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ind w:firstLine="321"/>
        <w:jc w:val="left"/>
        <w:spacing w:before="120" w:after="120" w:line="360" w:lineRule="auto"/>
        <w:rPr>
          <w:rFonts w:hint="eastAsia" w:ascii="Arial" w:hAnsi="Arial"/>
          <w:b/>
          <w:bCs/>
          <w:sz w:val="32"/>
          <w:szCs w:val="24"/>
          <w:u w:val="none"/>
        </w:rPr>
      </w:pPr>
      <w:r>
        <w:rPr>
          <w:rFonts w:hint="eastAsia" w:ascii="Arial" w:hAnsi="Arial"/>
          <w:b/>
          <w:bCs/>
          <w:sz w:val="32"/>
          <w:szCs w:val="24"/>
        </w:rPr>
        <w:t xml:space="preserve">项目名称：</w:t>
      </w:r>
      <w:r>
        <w:rPr>
          <w:rFonts w:hint="eastAsia" w:ascii="Arial" w:hAnsi="Arial"/>
          <w:b/>
          <w:bCs/>
          <w:sz w:val="32"/>
          <w:szCs w:val="24"/>
          <w:u w:val="none"/>
        </w:rPr>
        <w:t xml:space="preserve">中国教育科研网接入服务</w:t>
      </w:r>
      <w:r/>
    </w:p>
    <w:p>
      <w:pPr>
        <w:ind w:firstLine="321"/>
        <w:jc w:val="left"/>
        <w:spacing w:before="120" w:after="120" w:line="360" w:lineRule="auto"/>
        <w:rPr>
          <w:rFonts w:ascii="Arial" w:hAnsi="Arial"/>
          <w:b/>
          <w:bCs/>
          <w:sz w:val="32"/>
          <w:szCs w:val="24"/>
        </w:rPr>
      </w:pPr>
      <w:r>
        <w:rPr>
          <w:rFonts w:hint="eastAsia" w:ascii="Arial" w:hAnsi="Arial"/>
          <w:b/>
          <w:bCs/>
          <w:sz w:val="32"/>
          <w:szCs w:val="24"/>
        </w:rPr>
        <w:t xml:space="preserve">项目编号：JSZC-320000-SCZX-D2024-06</w:t>
      </w:r>
      <w:r>
        <w:rPr>
          <w:rFonts w:hint="eastAsia" w:ascii="Arial" w:hAnsi="Arial"/>
          <w:b/>
          <w:bCs/>
          <w:sz w:val="32"/>
          <w:szCs w:val="24"/>
          <w:lang w:val="en-US" w:eastAsia="zh-CN"/>
        </w:rPr>
        <w:t xml:space="preserve">19</w:t>
      </w:r>
      <w:r>
        <w:rPr>
          <w:rFonts w:ascii="Arial" w:hAnsi="Arial"/>
          <w:b/>
          <w:bCs/>
          <w:sz w:val="32"/>
          <w:szCs w:val="24"/>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hint="eastAsia" w:ascii="Arial" w:hAnsi="Arial"/>
          <w:b/>
          <w:bCs/>
          <w:sz w:val="32"/>
          <w:szCs w:val="24"/>
        </w:rPr>
      </w:pPr>
      <w:r>
        <w:rPr>
          <w:rFonts w:ascii="Arial" w:hAnsi="Arial"/>
          <w:b/>
          <w:bCs/>
          <w:sz w:val="32"/>
          <w:szCs w:val="24"/>
        </w:rPr>
        <w:t xml:space="preserve">_</w:t>
      </w:r>
      <w:r>
        <w:rPr>
          <w:rFonts w:hint="eastAsia" w:ascii="Arial" w:hAnsi="Arial"/>
          <w:b/>
          <w:bCs/>
          <w:sz w:val="32"/>
          <w:szCs w:val="24"/>
          <w:lang w:val="en-US" w:eastAsia="zh-CN"/>
        </w:rPr>
        <w:t xml:space="preserve">2024</w:t>
      </w:r>
      <w:r>
        <w:rPr>
          <w:rFonts w:ascii="Arial" w:hAnsi="Arial"/>
          <w:b/>
          <w:bCs/>
          <w:sz w:val="32"/>
          <w:szCs w:val="24"/>
        </w:rPr>
        <w:t xml:space="preserve">_</w:t>
      </w:r>
      <w:r>
        <w:rPr>
          <w:rFonts w:hint="eastAsia" w:ascii="Arial" w:hAnsi="Arial"/>
          <w:b/>
          <w:bCs/>
          <w:sz w:val="32"/>
          <w:szCs w:val="24"/>
        </w:rPr>
        <w:t xml:space="preserve">年</w:t>
      </w:r>
      <w:r>
        <w:rPr>
          <w:rFonts w:ascii="Arial" w:hAnsi="Arial"/>
          <w:b/>
          <w:bCs/>
          <w:sz w:val="32"/>
          <w:szCs w:val="24"/>
        </w:rPr>
        <w:t xml:space="preserve">_</w:t>
      </w:r>
      <w:r>
        <w:rPr>
          <w:rFonts w:hint="eastAsia" w:ascii="Arial" w:hAnsi="Arial"/>
          <w:b/>
          <w:bCs/>
          <w:sz w:val="32"/>
          <w:szCs w:val="24"/>
          <w:lang w:val="en-US" w:eastAsia="zh-CN"/>
        </w:rPr>
        <w:t xml:space="preserve">11</w:t>
      </w:r>
      <w:r>
        <w:rPr>
          <w:rFonts w:ascii="Arial" w:hAnsi="Arial"/>
          <w:b/>
          <w:bCs/>
          <w:sz w:val="32"/>
          <w:szCs w:val="24"/>
        </w:rPr>
        <w:t xml:space="preserve">_</w:t>
      </w:r>
      <w:r>
        <w:rPr>
          <w:rFonts w:hint="eastAsia" w:ascii="Arial" w:hAnsi="Arial"/>
          <w:b/>
          <w:bCs/>
          <w:sz w:val="32"/>
          <w:szCs w:val="24"/>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14</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22</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24</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sz w:val="44"/>
          <w:szCs w:val="4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425" w:equalWidth="1"/>
          <w:docGrid w:linePitch="360"/>
        </w:sectPr>
        <w:outlineLvl w:val="0"/>
      </w:pPr>
      <w:r>
        <w:rPr>
          <w:rFonts w:ascii="黑体" w:hAnsi="Times New Roman" w:eastAsia="黑体"/>
          <w:sz w:val="44"/>
          <w:szCs w:val="44"/>
        </w:rPr>
      </w:r>
      <w:r/>
    </w:p>
    <w:p>
      <w:pPr>
        <w:pStyle w:val="749"/>
      </w:p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受南京财经大学的委托，江苏省政府采购中心就中国教育科研网接入服务(JSZC-320000-SCZX-D2024-06</w:t>
      </w:r>
      <w:r>
        <w:rPr>
          <w:rFonts w:hint="eastAsia" w:ascii="宋体" w:hAnsi="宋体"/>
          <w:sz w:val="24"/>
          <w:szCs w:val="24"/>
          <w:lang w:val="en-US" w:eastAsia="zh-CN"/>
        </w:rPr>
        <w:t xml:space="preserve">19</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p>
    <w:p>
      <w:pPr>
        <w:ind w:firstLine="498"/>
        <w:keepLines/>
        <w:keepNext/>
        <w:pageBreakBefore w:val="0"/>
        <w:spacing w:before="156" w:after="156" w:line="460" w:lineRule="atLeast"/>
        <w:widowControl w:val="off"/>
        <w:rPr>
          <w:rFonts w:ascii="Times New Roman" w:hAnsi="Times New Roman"/>
          <w:b/>
          <w:bCs/>
          <w:sz w:val="32"/>
          <w:szCs w:val="32"/>
        </w:rPr>
        <w:outlineLvl w:val="2"/>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pageBreakBefore w:val="0"/>
        <w:spacing w:line="460" w:lineRule="atLeast"/>
        <w:widowControl w:val="off"/>
        <w:rPr>
          <w:rFonts w:hint="default" w:ascii="宋体" w:hAnsi="宋体" w:eastAsia="宋体"/>
          <w:sz w:val="24"/>
          <w:szCs w:val="24"/>
          <w:lang w:val="en-US" w:eastAsia="zh-CN"/>
        </w:rPr>
      </w:pPr>
      <w:r>
        <w:rPr>
          <w:rFonts w:hint="eastAsia" w:ascii="宋体" w:hAnsi="宋体"/>
          <w:sz w:val="24"/>
          <w:szCs w:val="24"/>
        </w:rPr>
        <w:t xml:space="preserve">1.项目编号：JSZC-320000-SCZX-D2024-06</w:t>
      </w:r>
      <w:r>
        <w:rPr>
          <w:rFonts w:hint="eastAsia" w:ascii="宋体" w:hAnsi="宋体"/>
          <w:sz w:val="24"/>
          <w:szCs w:val="24"/>
          <w:lang w:val="en-US" w:eastAsia="zh-CN"/>
        </w:rPr>
        <w:t xml:space="preserve">19</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2.项目名称：中国教育科研网接入服务</w:t>
      </w:r>
      <w:bookmarkEnd w:id="11"/>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3.预算金额</w:t>
      </w:r>
      <w:r/>
    </w:p>
    <w:tbl>
      <w:tblPr>
        <w:tblStyle w:val="728"/>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pageBreakBefore w:val="0"/>
              <w:spacing w:line="460" w:lineRule="atLeast"/>
              <w:widowControl w:val="off"/>
              <w:rPr>
                <w:rFonts w:hint="eastAsia" w:ascii="宋体" w:hAnsi="宋体"/>
                <w:szCs w:val="21"/>
              </w:rPr>
            </w:pPr>
            <w:r>
              <w:rPr>
                <w:rFonts w:hint="eastAsia" w:ascii="宋体" w:hAnsi="宋体"/>
                <w:szCs w:val="21"/>
              </w:rPr>
              <w:t xml:space="preserve">采购包</w:t>
            </w:r>
            <w:r>
              <w:rPr>
                <w:rFonts w:ascii="宋体" w:hAnsi="宋体"/>
                <w:szCs w:val="21"/>
              </w:rPr>
              <w:t xml:space="preserve">号</w:t>
            </w:r>
            <w:r/>
          </w:p>
        </w:tc>
        <w:tc>
          <w:tcPr>
            <w:tcW w:w="2800" w:type="dxa"/>
            <w:vAlign w:val="top"/>
            <w:textDirection w:val="lrTb"/>
            <w:noWrap w:val="false"/>
          </w:tcPr>
          <w:p>
            <w:pPr>
              <w:jc w:val="center"/>
              <w:pageBreakBefore w:val="0"/>
              <w:spacing w:line="460" w:lineRule="atLeast"/>
              <w:widowControl w:val="off"/>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c>
          <w:tcPr>
            <w:tcW w:w="1148" w:type="dxa"/>
            <w:vAlign w:val="top"/>
            <w:textDirection w:val="lrTb"/>
            <w:noWrap w:val="false"/>
          </w:tcPr>
          <w:p>
            <w:pPr>
              <w:jc w:val="center"/>
              <w:pageBreakBefore w:val="0"/>
              <w:spacing w:line="460" w:lineRule="atLeast"/>
              <w:widowControl w:val="off"/>
              <w:rPr>
                <w:rFonts w:ascii="宋体" w:hAnsi="宋体"/>
                <w:szCs w:val="21"/>
              </w:rPr>
            </w:pPr>
            <w:r>
              <w:rPr>
                <w:rFonts w:hint="eastAsia" w:ascii="宋体" w:hAnsi="宋体"/>
                <w:szCs w:val="21"/>
              </w:rPr>
              <w:t xml:space="preserve">1</w:t>
            </w:r>
            <w:r/>
          </w:p>
        </w:tc>
        <w:tc>
          <w:tcPr>
            <w:tcW w:w="2800" w:type="dxa"/>
            <w:vAlign w:val="top"/>
            <w:textDirection w:val="lrTb"/>
            <w:noWrap w:val="false"/>
          </w:tcPr>
          <w:p>
            <w:pPr>
              <w:jc w:val="center"/>
              <w:pageBreakBefore w:val="0"/>
              <w:spacing w:line="460" w:lineRule="atLeast"/>
              <w:widowControl w:val="off"/>
              <w:rPr>
                <w:rFonts w:hint="default" w:ascii="宋体" w:hAnsi="宋体" w:eastAsia="宋体"/>
                <w:szCs w:val="21"/>
                <w:lang w:val="en-US" w:eastAsia="zh-CN"/>
              </w:rPr>
            </w:pPr>
            <w:r>
              <w:rPr>
                <w:rFonts w:hint="eastAsia" w:ascii="宋体" w:hAnsi="宋体"/>
                <w:szCs w:val="21"/>
                <w:lang w:val="en-US" w:eastAsia="zh-CN"/>
              </w:rPr>
              <w:t xml:space="preserve">108</w:t>
            </w:r>
            <w:r/>
          </w:p>
        </w:tc>
      </w:tr>
    </w:tbl>
    <w:p>
      <w:pPr>
        <w:ind w:firstLine="480"/>
        <w:pageBreakBefore w:val="0"/>
        <w:spacing w:line="460" w:lineRule="atLeast"/>
        <w:widowControl w:val="off"/>
        <w:rPr>
          <w:rFonts w:ascii="宋体" w:hAnsi="宋体"/>
          <w:sz w:val="24"/>
          <w:szCs w:val="24"/>
          <w:u w:val="single"/>
        </w:rPr>
      </w:pPr>
      <w:r>
        <w:rPr>
          <w:rFonts w:hint="eastAsia" w:ascii="宋体" w:hAnsi="宋体"/>
          <w:sz w:val="24"/>
          <w:szCs w:val="24"/>
        </w:rPr>
        <w:t xml:space="preserve">4.采购需求（简介）：</w:t>
      </w:r>
      <w:r>
        <w:rPr>
          <w:rFonts w:hint="eastAsia" w:ascii="宋体" w:hAnsi="宋体"/>
          <w:sz w:val="24"/>
          <w:szCs w:val="24"/>
          <w:lang w:val="en-US" w:eastAsia="zh-CN"/>
        </w:rPr>
        <w:t xml:space="preserve">本项目主要是向南京财经大学提供中国教育和科研计算机网CERNET接入服务，协助南京财经大学办理接入线路租赁、设备采购和系统调试等，主要涉及相关的配套服务、增值服务、维保服务等。</w:t>
      </w:r>
      <w:r>
        <w:rPr>
          <w:rFonts w:hint="eastAsia" w:ascii="宋体" w:hAnsi="宋体" w:cs="宋体"/>
          <w:sz w:val="24"/>
          <w:szCs w:val="24"/>
        </w:rPr>
        <w:t xml:space="preserve">（详细内容见本采购文件第四章）</w:t>
      </w:r>
      <w:r/>
    </w:p>
    <w:p>
      <w:pPr>
        <w:ind w:firstLine="480"/>
        <w:pageBreakBefore w:val="0"/>
        <w:spacing w:line="460" w:lineRule="atLeast"/>
        <w:widowControl w:val="off"/>
        <w:rPr>
          <w:rFonts w:hint="eastAsia" w:ascii="宋体" w:hAnsi="宋体"/>
          <w:sz w:val="24"/>
          <w:szCs w:val="24"/>
          <w:u w:val="single"/>
        </w:rPr>
      </w:pPr>
      <w:r>
        <w:rPr>
          <w:rFonts w:hint="eastAsia" w:ascii="宋体" w:hAnsi="宋体"/>
          <w:sz w:val="24"/>
          <w:szCs w:val="24"/>
        </w:rPr>
        <w:t xml:space="preserve">5.合同履行期限：</w:t>
      </w:r>
      <w:r>
        <w:rPr>
          <w:rFonts w:hint="eastAsia" w:ascii="宋体" w:hAnsi="宋体"/>
          <w:sz w:val="24"/>
          <w:szCs w:val="24"/>
          <w:lang w:val="en-US" w:eastAsia="zh-CN"/>
        </w:rPr>
        <w:t xml:space="preserve">2年</w:t>
      </w:r>
      <w:r>
        <w:rPr>
          <w:rFonts w:hint="eastAsia" w:ascii="宋体" w:hAnsi="宋体"/>
          <w:sz w:val="24"/>
          <w:szCs w:val="24"/>
        </w:rPr>
        <w:t xml:space="preserve">。</w:t>
      </w:r>
      <w:r/>
    </w:p>
    <w:p>
      <w:pPr>
        <w:ind w:firstLine="498"/>
        <w:keepLines/>
        <w:keepNext/>
        <w:pageBreakBefore w:val="0"/>
        <w:spacing w:before="156" w:after="156" w:line="460" w:lineRule="atLeast"/>
        <w:widowControl w:val="off"/>
        <w:rPr>
          <w:rFonts w:ascii="Times New Roman" w:hAnsi="Times New Roman"/>
          <w:b/>
          <w:bCs/>
          <w:sz w:val="32"/>
          <w:szCs w:val="32"/>
        </w:rPr>
        <w:outlineLvl w:val="2"/>
      </w:pPr>
      <w:r/>
      <w:bookmarkStart w:id="12" w:name="_Toc35393622"/>
      <w:r/>
      <w:bookmarkStart w:id="13" w:name="_Toc35393791"/>
      <w:r/>
      <w:bookmarkStart w:id="14" w:name="_Toc28359003"/>
      <w:r/>
      <w:bookmarkStart w:id="15" w:name="_Toc28359080"/>
      <w:r/>
      <w:bookmarkStart w:id="16" w:name="_Toc38985264"/>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p>
    <w:p>
      <w:pPr>
        <w:ind w:firstLine="480"/>
        <w:pageBreakBefore w:val="0"/>
        <w:spacing w:line="460" w:lineRule="atLeast"/>
        <w:widowControl w:val="off"/>
        <w:rPr>
          <w:rFonts w:hint="eastAsia" w:ascii="宋体" w:hAnsi="宋体"/>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pageBreakBefore w:val="0"/>
        <w:spacing w:line="460" w:lineRule="atLeast"/>
        <w:widowControl w:val="off"/>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pageBreakBefore w:val="0"/>
        <w:spacing w:line="460" w:lineRule="atLeast"/>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pageBreakBefore w:val="0"/>
        <w:spacing w:line="460" w:lineRule="atLeast"/>
        <w:widowControl w:val="off"/>
        <w:rPr>
          <w:rFonts w:hint="eastAsia" w:ascii="华文新魏" w:hAnsi="宋体" w:eastAsia="华文新魏"/>
          <w:sz w:val="36"/>
          <w:szCs w:val="36"/>
        </w:rPr>
      </w:pPr>
      <w:r>
        <w:rPr>
          <w:rFonts w:hint="eastAsia" w:ascii="宋体" w:hAnsi="宋体"/>
          <w:sz w:val="24"/>
          <w:szCs w:val="24"/>
        </w:rPr>
        <w:t xml:space="preserve">2. 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pageBreakBefore w:val="0"/>
        <w:spacing w:line="460" w:lineRule="atLeast"/>
        <w:widowControl w:val="off"/>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t xml:space="preserve"> </w:t>
      </w:r>
      <w:r/>
    </w:p>
    <w:p>
      <w:pPr>
        <w:ind w:firstLine="480"/>
        <w:pageBreakBefore w:val="0"/>
        <w:spacing w:line="460" w:lineRule="atLeast"/>
        <w:widowControl w:val="off"/>
        <w:rPr>
          <w:rFonts w:hint="eastAsia" w:ascii="宋体" w:hAnsi="宋体"/>
          <w:color w:val="000000"/>
          <w:sz w:val="24"/>
          <w:szCs w:val="24"/>
        </w:rPr>
      </w:pPr>
      <w:r>
        <w:rPr>
          <w:rFonts w:hint="eastAsia" w:ascii="宋体" w:hAnsi="宋体"/>
          <w:sz w:val="24"/>
          <w:szCs w:val="24"/>
        </w:rPr>
        <w:t xml:space="preserve">4.</w:t>
      </w:r>
      <w:r>
        <w:rPr>
          <w:rFonts w:hint="eastAsia" w:ascii="宋体" w:hAnsi="宋体"/>
          <w:color w:val="000000"/>
          <w:sz w:val="24"/>
          <w:szCs w:val="24"/>
        </w:rPr>
        <w:t xml:space="preserve"> 联合</w:t>
      </w:r>
      <w:r>
        <w:rPr>
          <w:rFonts w:ascii="宋体" w:hAnsi="宋体"/>
          <w:color w:val="000000"/>
          <w:sz w:val="24"/>
          <w:szCs w:val="24"/>
        </w:rPr>
        <w:t xml:space="preserve">体</w:t>
      </w:r>
      <w:r>
        <w:rPr>
          <w:rFonts w:hint="eastAsia" w:ascii="宋体" w:hAnsi="宋体"/>
          <w:color w:val="000000"/>
          <w:sz w:val="24"/>
          <w:szCs w:val="24"/>
        </w:rPr>
        <w:t xml:space="preserve">参与单一来源采购活动</w:t>
      </w:r>
      <w:r/>
    </w:p>
    <w:tbl>
      <w:tblPr>
        <w:tblStyle w:val="728"/>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p>
        </w:tc>
        <w:tc>
          <w:tcPr>
            <w:tcW w:w="2968" w:type="dxa"/>
            <w:vAlign w:val="top"/>
            <w:textDirection w:val="lrTb"/>
            <w:noWrap w:val="false"/>
          </w:tcPr>
          <w:p>
            <w:pPr>
              <w:jc w:val="center"/>
              <w:rPr>
                <w:rFonts w:hint="eastAsia" w:ascii="宋体" w:hAnsi="宋体"/>
                <w:szCs w:val="21"/>
              </w:rPr>
            </w:pPr>
            <w:r>
              <w:rPr>
                <w:rFonts w:hint="eastAsia" w:ascii="宋体" w:hAnsi="宋体"/>
                <w:szCs w:val="21"/>
              </w:rPr>
              <w:t xml:space="preserve">是否接受联合体参与单一来源采购活动</w:t>
            </w: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2967" w:type="dxa"/>
            <w:vAlign w:val="top"/>
            <w:textDirection w:val="lrTb"/>
            <w:noWrap w:val="false"/>
          </w:tcPr>
          <w:p>
            <w:pPr>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p>
        </w:tc>
      </w:tr>
      <w:tr>
        <w:trPr/>
        <w:tc>
          <w:tcPr>
            <w:tcW w:w="1148" w:type="dxa"/>
            <w:vAlign w:val="top"/>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1</w:t>
            </w:r>
            <w:r/>
          </w:p>
        </w:tc>
        <w:tc>
          <w:tcPr>
            <w:tcW w:w="2968" w:type="dxa"/>
            <w:vAlign w:val="top"/>
            <w:textDirection w:val="lrTb"/>
            <w:noWrap w:val="false"/>
          </w:tcPr>
          <w:p>
            <w:pPr>
              <w:jc w:val="center"/>
              <w:rPr>
                <w:rFonts w:ascii="宋体" w:hAnsi="宋体"/>
                <w:szCs w:val="21"/>
              </w:rPr>
            </w:pPr>
            <w:r>
              <w:rPr>
                <w:rFonts w:hint="eastAsia" w:ascii="宋体" w:hAnsi="宋体"/>
                <w:szCs w:val="21"/>
              </w:rPr>
              <w:t xml:space="preserve">否</w:t>
            </w:r>
            <w:r/>
          </w:p>
        </w:tc>
        <w:tc>
          <w:tcPr>
            <w:tcW w:w="2967" w:type="dxa"/>
            <w:vAlign w:val="top"/>
            <w:textDirection w:val="lrTb"/>
            <w:noWrap w:val="false"/>
          </w:tcPr>
          <w:p>
            <w:pPr>
              <w:jc w:val="center"/>
              <w:rPr>
                <w:rFonts w:hint="eastAsia" w:ascii="宋体" w:hAnsi="宋体"/>
                <w:szCs w:val="21"/>
              </w:rPr>
            </w:pPr>
            <w:r>
              <w:rPr>
                <w:rFonts w:hint="eastAsia" w:ascii="宋体" w:hAnsi="宋体"/>
                <w:szCs w:val="21"/>
              </w:rPr>
              <w:t xml:space="preserve">/</w:t>
            </w:r>
            <w:r/>
          </w:p>
        </w:tc>
      </w:tr>
    </w:tbl>
    <w:p>
      <w:pPr>
        <w:ind w:firstLine="480"/>
        <w:rPr>
          <w:rFonts w:ascii="宋体" w:hAnsi="宋体"/>
          <w:sz w:val="24"/>
          <w:szCs w:val="24"/>
        </w:rPr>
      </w:pPr>
      <w:r>
        <w:rPr>
          <w:rFonts w:hint="eastAsia" w:ascii="宋体" w:hAnsi="宋体"/>
          <w:sz w:val="24"/>
          <w:szCs w:val="24"/>
        </w:rPr>
        <w:t xml:space="preserve">（二）本项目的特定资格要求</w:t>
      </w:r>
      <w:r/>
    </w:p>
    <w:tbl>
      <w:tblPr>
        <w:tblStyle w:val="728"/>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p>
        </w:tc>
        <w:tc>
          <w:tcPr>
            <w:tcW w:w="5921" w:type="dxa"/>
            <w:vAlign w:val="top"/>
            <w:textDirection w:val="lrTb"/>
            <w:noWrap w:val="false"/>
          </w:tcPr>
          <w:p>
            <w:pPr>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2</w:t>
            </w:r>
            <w:r/>
          </w:p>
        </w:tc>
        <w:tc>
          <w:tcPr>
            <w:tcW w:w="5921" w:type="dxa"/>
            <w:vAlign w:val="top"/>
            <w:textDirection w:val="lrTb"/>
            <w:noWrap w:val="false"/>
          </w:tcPr>
          <w:p>
            <w:pPr>
              <w:jc w:val="center"/>
              <w:rPr>
                <w:rFonts w:hint="eastAsia" w:ascii="宋体" w:hAnsi="宋体"/>
                <w:szCs w:val="21"/>
              </w:rPr>
            </w:pPr>
            <w:r>
              <w:rPr>
                <w:rFonts w:hint="eastAsia" w:ascii="宋体" w:hAnsi="宋体"/>
                <w:szCs w:val="21"/>
              </w:rPr>
              <w:t xml:space="preserve">/</w:t>
            </w:r>
            <w:bookmarkEnd w:id="17"/>
            <w:r/>
            <w:bookmarkEnd w:id="18"/>
            <w:r/>
            <w:bookmarkEnd w:id="19"/>
            <w:r/>
            <w:bookmarkEnd w:id="20"/>
            <w:r/>
            <w:bookmarkEnd w:id="21"/>
            <w:r/>
            <w:r/>
          </w:p>
        </w:tc>
      </w:tr>
    </w:tbl>
    <w:p>
      <w:pPr>
        <w:ind w:firstLine="498"/>
        <w:keepLines/>
        <w:keepNext/>
        <w:spacing w:before="156" w:after="156" w:line="360" w:lineRule="auto"/>
        <w:rPr>
          <w:rFonts w:ascii="Times New Roman" w:hAnsi="Times New Roman"/>
          <w:b/>
          <w:bCs/>
          <w:sz w:val="32"/>
          <w:szCs w:val="32"/>
        </w:rPr>
        <w:outlineLvl w:val="2"/>
      </w:pPr>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u w:val="single"/>
          <w:lang w:val="en-US" w:eastAsia="zh-CN"/>
        </w:rPr>
        <w:t xml:space="preserve">2024</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98"/>
        <w:keepLines/>
        <w:keepNext/>
        <w:spacing w:before="156" w:after="156" w:line="360" w:lineRule="auto"/>
        <w:rPr>
          <w:rFonts w:ascii="Times New Roman" w:hAnsi="Times New Roman"/>
          <w:b/>
          <w:bCs/>
          <w:sz w:val="32"/>
          <w:szCs w:val="32"/>
        </w:rPr>
        <w:outlineLvl w:val="2"/>
      </w:pPr>
      <w:r/>
      <w:bookmarkStart w:id="27" w:name="_Toc35393796"/>
      <w:r/>
      <w:bookmarkStart w:id="28" w:name="_Toc28359008"/>
      <w:r/>
      <w:bookmarkStart w:id="29" w:name="_Toc28359085"/>
      <w:r/>
      <w:bookmarkStart w:id="30" w:name="_Toc38985269"/>
      <w:r/>
      <w:bookmarkStart w:id="31" w:name="_Toc35393627"/>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南京财经大学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南京市栖霞区仙林文苑路3号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乔文宝</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p>
    <w:p>
      <w:pPr>
        <w:ind w:left="1079" w:hanging="300"/>
        <w:jc w:val="left"/>
        <w:spacing w:line="400" w:lineRule="exact"/>
        <w:rPr>
          <w:rFonts w:hint="default" w:ascii="宋体" w:hAnsi="宋体"/>
          <w:sz w:val="24"/>
          <w:szCs w:val="24"/>
          <w:u w:val="single"/>
          <w:lang w:val="en-US"/>
        </w:rPr>
      </w:pPr>
      <w:r>
        <w:rPr>
          <w:rFonts w:hint="eastAsia" w:ascii="宋体" w:hAnsi="宋体"/>
          <w:sz w:val="24"/>
          <w:szCs w:val="24"/>
        </w:rPr>
        <w:t xml:space="preserve">联系方式：</w:t>
      </w:r>
      <w:r>
        <w:rPr>
          <w:rFonts w:hint="eastAsia" w:ascii="宋体" w:hAnsi="宋体"/>
          <w:sz w:val="24"/>
          <w:szCs w:val="24"/>
          <w:u w:val="single"/>
        </w:rPr>
        <w:t xml:space="preserve">　　025-86718173　</w:t>
      </w:r>
      <w:r>
        <w:rPr>
          <w:rFonts w:hint="eastAsia" w:ascii="宋体" w:hAnsi="宋体"/>
          <w:sz w:val="24"/>
          <w:szCs w:val="24"/>
          <w:u w:val="single"/>
          <w:lang w:val="en-US" w:eastAsia="zh-CN"/>
        </w:rPr>
        <w:t xml:space="preserve">  </w:t>
      </w:r>
      <w:bookmarkStart w:id="32" w:name="_Toc28359086"/>
      <w:r/>
      <w:bookmarkStart w:id="33" w:name="_Toc28359009"/>
      <w:r>
        <w:rPr>
          <w:rFonts w:hint="eastAsia" w:ascii="宋体" w:hAnsi="宋体"/>
          <w:sz w:val="24"/>
          <w:szCs w:val="24"/>
          <w:u w:val="single"/>
          <w:lang w:val="en-US" w:eastAsia="zh-CN"/>
        </w:rPr>
        <w:t xml:space="preserve">    </w:t>
      </w:r>
      <w:bookmarkEnd w:id="32"/>
      <w:r/>
      <w:bookmarkEnd w:id="33"/>
      <w:r/>
      <w:r/>
    </w:p>
    <w:p>
      <w:pPr>
        <w:ind w:left="1079" w:hanging="300"/>
        <w:jc w:val="left"/>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2.江苏省政府采购中心信息</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南京市汉中门大街145号省政务中心二期3楼南区　</w:t>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厉彬彬         </w:t>
      </w:r>
      <w:r/>
    </w:p>
    <w:p>
      <w:pPr>
        <w:ind w:firstLine="720"/>
        <w:spacing w:line="400" w:lineRule="exact"/>
        <w:rPr>
          <w:rFonts w:ascii="宋体" w:hAnsi="宋体"/>
          <w:sz w:val="24"/>
          <w:szCs w:val="24"/>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　025-83668517　　　</w:t>
      </w:r>
      <w:r/>
    </w:p>
    <w:p>
      <w:pPr>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p>
    <w:p>
      <w:pPr>
        <w:ind w:firstLine="480"/>
        <w:tabs>
          <w:tab w:val="left" w:pos="900" w:leader="none"/>
        </w:tabs>
        <w:rPr>
          <w:rFonts w:ascii="宋体" w:hAnsi="宋体"/>
          <w:bCs/>
          <w:color w:val="ff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宋体" w:hAnsi="宋体"/>
          <w:bCs/>
          <w:color w:val="ff0000"/>
          <w:sz w:val="24"/>
          <w:szCs w:val="24"/>
        </w:rPr>
        <w:t xml:space="preserve">供应商也可前往“江苏政务服务网”（</w:t>
      </w:r>
      <w:r>
        <w:rPr>
          <w:rFonts w:ascii="Times New Roman" w:hAnsi="Times New Roman"/>
          <w:bCs/>
          <w:color w:val="ff0000"/>
          <w:szCs w:val="21"/>
        </w:rPr>
        <w:t xml:space="preserve">www.jszwfw.gov.cn</w:t>
      </w:r>
      <w:r>
        <w:rPr>
          <w:rFonts w:hint="eastAsia" w:ascii="宋体" w:hAnsi="宋体"/>
          <w:bCs/>
          <w:color w:val="ff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如果“江苏政府采购网”</w:t>
      </w:r>
      <w:r>
        <w:rPr>
          <w:rFonts w:ascii="Times New Roman" w:hAnsi="Times New Roman"/>
          <w:bCs/>
          <w:color w:val="ff0000"/>
          <w:szCs w:val="21"/>
        </w:rPr>
        <w:t xml:space="preserve">（www.ccgp-jiangsu.gov.cn）</w:t>
      </w:r>
      <w:r>
        <w:rPr>
          <w:rFonts w:hint="eastAsia" w:ascii="Times New Roman" w:hAnsi="Times New Roman"/>
          <w:bCs/>
          <w:color w:val="ff0000"/>
          <w:sz w:val="24"/>
          <w:szCs w:val="24"/>
        </w:rPr>
        <w:t xml:space="preserve">信息</w:t>
      </w:r>
      <w:r>
        <w:rPr>
          <w:rFonts w:hint="eastAsia" w:ascii="宋体" w:hAnsi="宋体"/>
          <w:bCs/>
          <w:color w:val="ff0000"/>
          <w:sz w:val="24"/>
          <w:szCs w:val="24"/>
        </w:rPr>
        <w:t xml:space="preserve">与“江苏政务服务网” </w:t>
      </w:r>
      <w:r>
        <w:rPr>
          <w:rFonts w:ascii="Times New Roman" w:hAnsi="Times New Roman"/>
          <w:bCs/>
          <w:color w:val="ff0000"/>
          <w:szCs w:val="21"/>
        </w:rPr>
        <w:t xml:space="preserve">（www.jszwfw.gov.cn）</w:t>
      </w:r>
      <w:r>
        <w:rPr>
          <w:rFonts w:hint="eastAsia" w:ascii="宋体" w:hAnsi="宋体"/>
          <w:bCs/>
          <w:color w:val="ff0000"/>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.本次单一来源采购不收取保证金。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rPr>
          <w:rFonts w:hint="eastAsia" w:ascii="黑体" w:hAnsi="Arial" w:eastAsia="黑体" w:cs="Arial"/>
          <w:b/>
          <w:bCs/>
          <w:sz w:val="44"/>
          <w:szCs w:val="44"/>
        </w:rPr>
      </w:pPr>
      <w:r/>
      <w:bookmarkStart w:id="34" w:name="_Toc120614211"/>
      <w:r>
        <w:rPr>
          <w:rFonts w:hint="eastAsia" w:ascii="黑体" w:hAnsi="Arial" w:eastAsia="黑体" w:cs="Arial"/>
          <w:b/>
          <w:bCs/>
          <w:sz w:val="44"/>
          <w:szCs w:val="44"/>
        </w:rPr>
        <w:br w:type="page" w:clear="all"/>
      </w:r>
      <w:r/>
    </w:p>
    <w:p>
      <w:pPr>
        <w:jc w:val="center"/>
        <w:keepLines/>
        <w:keepNext/>
        <w:spacing w:before="260" w:after="260" w:line="416" w:lineRule="auto"/>
        <w:rPr>
          <w:rFonts w:hint="eastAsia" w:ascii="黑体" w:hAnsi="Arial" w:eastAsia="黑体" w:cs="Arial"/>
          <w:sz w:val="44"/>
          <w:szCs w:val="44"/>
        </w:rPr>
        <w:outlineLvl w:val="1"/>
      </w:pPr>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p>
    <w:p>
      <w:pPr>
        <w:ind w:firstLine="498"/>
        <w:keepLines/>
        <w:keepNext/>
        <w:spacing w:before="156" w:after="156" w:line="360" w:lineRule="auto"/>
        <w:rPr>
          <w:rFonts w:hint="eastAsia" w:ascii="Times New Roman" w:hAnsi="Times New Roman"/>
          <w:b/>
          <w:bCs/>
          <w:sz w:val="32"/>
          <w:szCs w:val="32"/>
        </w:rPr>
        <w:outlineLvl w:val="2"/>
      </w:pPr>
      <w:r/>
      <w:bookmarkStart w:id="35" w:name="_Toc120614214"/>
      <w:r/>
      <w:bookmarkStart w:id="36" w:name="_Toc20823275"/>
      <w:r/>
      <w:bookmarkStart w:id="37" w:name="_Toc16938519"/>
      <w:r/>
      <w:bookmarkStart w:id="38" w:name="_Toc513029203"/>
      <w:r>
        <w:rPr>
          <w:rFonts w:hint="eastAsia" w:ascii="Times New Roman" w:hAnsi="Times New Roman"/>
          <w:b/>
          <w:bCs/>
          <w:sz w:val="32"/>
          <w:szCs w:val="32"/>
        </w:rPr>
        <w:t xml:space="preserve">一、总则</w:t>
      </w:r>
      <w:bookmarkEnd w:id="35"/>
      <w:r/>
      <w:bookmarkEnd w:id="36"/>
      <w:r/>
      <w:bookmarkEnd w:id="37"/>
      <w:r/>
      <w:bookmarkEnd w:id="38"/>
      <w:r/>
      <w:r/>
    </w:p>
    <w:p>
      <w:pPr>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16938520"/>
      <w:r/>
      <w:bookmarkStart w:id="43" w:name="_Toc20823276"/>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
    </w:p>
    <w:p>
      <w:pPr>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ind w:firstLine="420"/>
        <w:keepLines/>
        <w:keepNext/>
        <w:rPr>
          <w:rFonts w:hint="eastAsia" w:ascii="Arial" w:hAnsi="Arial" w:eastAsia="黑体" w:cs="Arial"/>
          <w:sz w:val="28"/>
          <w:szCs w:val="28"/>
        </w:rPr>
        <w:outlineLvl w:val="3"/>
      </w:pPr>
      <w:r/>
      <w:bookmarkStart w:id="44" w:name="_Toc16938521"/>
      <w:r/>
      <w:bookmarkStart w:id="45" w:name="_Toc513029205"/>
      <w:r/>
      <w:bookmarkStart w:id="46" w:name="_Toc20823277"/>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p>
    <w:p>
      <w:pPr>
        <w:ind w:firstLine="480"/>
        <w:spacing w:line="400" w:lineRule="exact"/>
        <w:rPr>
          <w:rFonts w:hint="eastAsia" w:ascii="Times New Roman" w:hAnsi="Times New Roman"/>
          <w:sz w:val="24"/>
          <w:szCs w:val="24"/>
        </w:rPr>
      </w:pPr>
      <w:r/>
      <w:bookmarkStart w:id="47" w:name="_Toc16938522"/>
      <w:r/>
      <w:bookmarkStart w:id="48" w:name="_Toc513029206"/>
      <w:r/>
      <w:bookmarkStart w:id="49" w:name="_Toc20823278"/>
      <w:r>
        <w:rPr>
          <w:rFonts w:hint="eastAsia" w:ascii="Times New Roman" w:hAnsi="Times New Roman"/>
          <w:sz w:val="24"/>
          <w:szCs w:val="24"/>
        </w:rPr>
        <w:t xml:space="preserve">2. 1 满足采购文件中合格单一来源供应商资格要求的规定。</w:t>
      </w:r>
      <w:r/>
    </w:p>
    <w:p>
      <w:pPr>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满足本采购文件实质性要求的规定。</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
    </w:p>
    <w:p>
      <w:pPr>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ind w:firstLine="420"/>
        <w:keepLines/>
        <w:keepNext/>
        <w:rPr>
          <w:rFonts w:hint="eastAsia" w:ascii="Arial" w:hAnsi="Arial" w:eastAsia="黑体" w:cs="Arial"/>
          <w:sz w:val="28"/>
          <w:szCs w:val="28"/>
        </w:rPr>
        <w:outlineLvl w:val="3"/>
      </w:pPr>
      <w:r/>
      <w:bookmarkStart w:id="50" w:name="_Toc20823279"/>
      <w:r/>
      <w:bookmarkStart w:id="51" w:name="_Toc16938523"/>
      <w:r/>
      <w:bookmarkStart w:id="52" w:name="_Toc513029207"/>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供应商应自行承担所有与参加本次采购有关的费用，无论采购过程中的做法和结果如何，江苏省政府采购中心（以下简称“采购中心”）在任何情况下均无义务和责任承担这些费用。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321"/>
        <w:keepLines/>
        <w:keepNext/>
        <w:spacing w:before="156" w:after="156" w:line="360" w:lineRule="auto"/>
        <w:rPr>
          <w:rFonts w:hint="eastAsia" w:ascii="Times New Roman" w:hAnsi="Times New Roman"/>
          <w:b/>
          <w:bCs/>
          <w:sz w:val="32"/>
          <w:szCs w:val="32"/>
        </w:rPr>
        <w:outlineLvl w:val="2"/>
      </w:pPr>
      <w:r/>
      <w:bookmarkStart w:id="54" w:name="_Toc513029209"/>
      <w:r/>
      <w:bookmarkStart w:id="55" w:name="_Toc16938525"/>
      <w:r/>
      <w:bookmarkStart w:id="56" w:name="_Toc20823281"/>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p>
    <w:p>
      <w:pPr>
        <w:ind w:firstLine="420"/>
        <w:keepLines/>
        <w:keepNext/>
        <w:rPr>
          <w:rFonts w:hint="eastAsia" w:ascii="Arial" w:hAnsi="Arial" w:eastAsia="黑体" w:cs="Arial"/>
          <w:sz w:val="28"/>
          <w:szCs w:val="28"/>
        </w:rPr>
        <w:outlineLvl w:val="3"/>
      </w:pPr>
      <w:r/>
      <w:bookmarkStart w:id="58" w:name="_Toc16938526"/>
      <w:r/>
      <w:bookmarkStart w:id="59" w:name="_Toc513029210"/>
      <w:r/>
      <w:bookmarkStart w:id="60" w:name="_Toc20823282"/>
      <w:r>
        <w:rPr>
          <w:rFonts w:hint="eastAsia" w:ascii="Arial" w:hAnsi="Arial" w:eastAsia="黑体" w:cs="Arial"/>
          <w:sz w:val="28"/>
          <w:szCs w:val="28"/>
        </w:rPr>
        <w:t xml:space="preserve">6、采购文件构成</w:t>
      </w:r>
      <w:bookmarkEnd w:id="58"/>
      <w:r/>
      <w:bookmarkEnd w:id="59"/>
      <w:r/>
      <w:bookmarkEnd w:id="60"/>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firstLine="560"/>
        <w:keepLines/>
        <w:keepNext/>
        <w:rPr>
          <w:rFonts w:hint="eastAsia" w:ascii="Arial" w:hAnsi="Arial" w:eastAsia="黑体" w:cs="Arial"/>
          <w:sz w:val="28"/>
          <w:szCs w:val="28"/>
        </w:rPr>
        <w:outlineLvl w:val="3"/>
      </w:pPr>
      <w:r/>
      <w:bookmarkStart w:id="61" w:name="_Toc20823285"/>
      <w:r/>
      <w:bookmarkStart w:id="62" w:name="_Toc462564072"/>
      <w:r/>
      <w:bookmarkStart w:id="63" w:name="_Toc120614216"/>
      <w:r/>
      <w:bookmarkStart w:id="64" w:name="_Toc16938529"/>
      <w:r/>
      <w:bookmarkStart w:id="65" w:name="_Toc513029213"/>
      <w:r>
        <w:rPr>
          <w:rFonts w:ascii="Arial" w:hAnsi="Arial" w:eastAsia="黑体" w:cs="Arial"/>
          <w:sz w:val="28"/>
          <w:szCs w:val="28"/>
        </w:rPr>
        <w:t xml:space="preserve">7</w:t>
      </w:r>
      <w:r>
        <w:rPr>
          <w:rFonts w:hint="eastAsia" w:ascii="Arial" w:hAnsi="Arial" w:eastAsia="黑体" w:cs="Arial"/>
          <w:sz w:val="28"/>
          <w:szCs w:val="28"/>
        </w:rPr>
        <w:t xml:space="preserve">、采购文件的修改</w:t>
      </w:r>
      <w:r/>
    </w:p>
    <w:p>
      <w:pPr>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p>
    <w:p>
      <w:pPr>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1"/>
      <w:r/>
      <w:bookmarkEnd w:id="62"/>
      <w:r/>
      <w:bookmarkEnd w:id="63"/>
      <w:r/>
      <w:bookmarkEnd w:id="64"/>
      <w:r/>
      <w:bookmarkEnd w:id="65"/>
      <w:r/>
      <w:r/>
    </w:p>
    <w:p>
      <w:pPr>
        <w:ind w:firstLine="560"/>
        <w:keepLines/>
        <w:keepNext/>
        <w:rPr>
          <w:rFonts w:hint="eastAsia" w:ascii="Arial" w:hAnsi="Arial" w:eastAsia="黑体" w:cs="Arial"/>
          <w:b/>
          <w:sz w:val="28"/>
          <w:szCs w:val="28"/>
        </w:rPr>
        <w:outlineLvl w:val="3"/>
      </w:pPr>
      <w:r/>
      <w:bookmarkStart w:id="66" w:name="_Toc513029214"/>
      <w:r/>
      <w:bookmarkStart w:id="67" w:name="_Toc462564073"/>
      <w:r/>
      <w:bookmarkStart w:id="68" w:name="_Toc20823286"/>
      <w:r/>
      <w:bookmarkStart w:id="69"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66"/>
      <w:r/>
      <w:bookmarkEnd w:id="67"/>
      <w:r/>
      <w:bookmarkEnd w:id="68"/>
      <w:r/>
      <w:bookmarkEnd w:id="6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rPr>
        <w:outlineLvl w:val="3"/>
      </w:pPr>
      <w:r/>
      <w:bookmarkStart w:id="70" w:name="_Toc20823287"/>
      <w:r/>
      <w:bookmarkStart w:id="71" w:name="_Toc462564074"/>
      <w:r/>
      <w:bookmarkStart w:id="72" w:name="_Toc513029215"/>
      <w:r/>
      <w:bookmarkStart w:id="73" w:name="_Toc16938531"/>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70"/>
      <w:r/>
      <w:bookmarkEnd w:id="71"/>
      <w:r/>
      <w:bookmarkEnd w:id="72"/>
      <w:r/>
      <w:bookmarkEnd w:id="73"/>
      <w:r/>
      <w:r/>
    </w:p>
    <w:p>
      <w:pPr>
        <w:ind w:firstLine="480"/>
        <w:spacing w:line="440" w:lineRule="exact"/>
        <w:rPr>
          <w:rFonts w:hint="eastAsia" w:ascii="宋体" w:hAnsi="宋体"/>
          <w:sz w:val="24"/>
          <w:szCs w:val="21"/>
        </w:rPr>
      </w:pPr>
      <w:r/>
      <w:bookmarkStart w:id="74" w:name="_Hlt26954838"/>
      <w:r/>
      <w:bookmarkEnd w:id="74"/>
      <w:r/>
      <w:bookmarkStart w:id="75" w:name="_Hlt26670360"/>
      <w:r/>
      <w:bookmarkEnd w:id="75"/>
      <w:r/>
      <w:bookmarkStart w:id="76" w:name="_Hlt26668975"/>
      <w:r/>
      <w:bookmarkEnd w:id="76"/>
      <w:r/>
      <w:bookmarkStart w:id="77" w:name="_Toc513029219"/>
      <w:r/>
      <w:bookmarkStart w:id="78" w:name="_Toc14577354"/>
      <w:r/>
      <w:bookmarkStart w:id="79" w:name="_Toc49090509"/>
      <w:r/>
      <w:bookmarkStart w:id="80" w:name="_Toc14577355"/>
      <w:r/>
      <w:bookmarkStart w:id="81" w:name="_Toc14577357"/>
      <w:r/>
      <w:bookmarkStart w:id="82" w:name="_Toc49090507"/>
      <w:r/>
      <w:bookmarkStart w:id="83" w:name="_Toc49090508"/>
      <w:r/>
      <w:bookmarkStart w:id="84" w:name="_Toc513029216"/>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供应商编写的响应文件应包括资格证明文件、实质性要求响应及偏离表、分项报价表、技术要求响应及偏离表、商务要求响应及偏离表、其他证明文件、单一来源响应函等部分。</w:t>
      </w:r>
      <w:bookmarkEnd w:id="77"/>
      <w:r/>
      <w:bookmarkEnd w:id="78"/>
      <w:r/>
      <w:bookmarkEnd w:id="79"/>
      <w:r/>
      <w:bookmarkEnd w:id="80"/>
      <w:r/>
      <w:bookmarkEnd w:id="81"/>
      <w:r/>
      <w:bookmarkEnd w:id="82"/>
      <w:r/>
      <w:bookmarkEnd w:id="83"/>
      <w:r/>
      <w:bookmarkEnd w:id="84"/>
      <w:r/>
      <w:r/>
    </w:p>
    <w:p>
      <w:pPr>
        <w:pStyle w:val="906"/>
        <w:ind w:firstLine="420"/>
        <w:spacing w:before="0" w:after="0" w:line="240" w:lineRule="auto"/>
        <w:rPr>
          <w:rFonts w:hint="eastAsia"/>
          <w:b w:val="0"/>
          <w:bCs w:val="0"/>
        </w:rPr>
      </w:pPr>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p>
    <w:p>
      <w:pPr>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ind w:firstLine="480"/>
        <w:spacing w:line="500" w:lineRule="exact"/>
        <w:rPr>
          <w:rFonts w:hint="eastAsia" w:ascii="宋体" w:hAnsi="宋体"/>
          <w:bCs/>
          <w:sz w:val="24"/>
        </w:rPr>
      </w:pPr>
      <w:r/>
      <w:bookmarkStart w:id="85" w:name="_Hlt26670482"/>
      <w:r/>
      <w:bookmarkEnd w:id="85"/>
      <w:r/>
      <w:bookmarkStart w:id="86" w:name="_Hlt26670486"/>
      <w:r/>
      <w:bookmarkEnd w:id="86"/>
      <w:r/>
      <w:bookmarkStart w:id="87" w:name="_Hlt26954848"/>
      <w:r/>
      <w:bookmarkEnd w:id="87"/>
      <w:r/>
      <w:bookmarkStart w:id="88" w:name="_Hlt26954846"/>
      <w:r/>
      <w:bookmarkEnd w:id="88"/>
      <w:r/>
      <w:bookmarkStart w:id="89" w:name="_Hlt26954731"/>
      <w:r/>
      <w:bookmarkEnd w:id="89"/>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p>
    <w:p>
      <w:pPr>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p>
    <w:p>
      <w:pPr>
        <w:pStyle w:val="906"/>
        <w:ind w:firstLine="420"/>
        <w:spacing w:before="0" w:after="0" w:line="240" w:lineRule="auto"/>
        <w:rPr>
          <w:rFonts w:hint="eastAsia"/>
          <w:b w:val="0"/>
          <w:bCs w:val="0"/>
        </w:rPr>
      </w:pPr>
      <w:r/>
      <w:bookmarkStart w:id="90" w:name="_Toc49090510"/>
      <w:r/>
      <w:bookmarkStart w:id="91" w:name="_Toc14577359"/>
      <w:r>
        <w:rPr>
          <w:rFonts w:hint="eastAsia"/>
          <w:b w:val="0"/>
          <w:bCs w:val="0"/>
        </w:rPr>
        <w:t xml:space="preserve">1</w:t>
      </w:r>
      <w:r>
        <w:rPr>
          <w:b w:val="0"/>
          <w:bCs w:val="0"/>
        </w:rPr>
        <w:t xml:space="preserve">3</w:t>
      </w:r>
      <w:r>
        <w:rPr>
          <w:rFonts w:hint="eastAsia"/>
          <w:b w:val="0"/>
          <w:bCs w:val="0"/>
        </w:rPr>
        <w:t xml:space="preserve">、服务承诺、培训计划、人员安排及其他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90"/>
      <w:r/>
      <w:bookmarkEnd w:id="91"/>
      <w:r/>
      <w:r/>
    </w:p>
    <w:p>
      <w:pPr>
        <w:pStyle w:val="906"/>
        <w:ind w:firstLine="420"/>
        <w:spacing w:before="0" w:after="0" w:line="240" w:lineRule="auto"/>
        <w:rPr>
          <w:rFonts w:hint="eastAsia"/>
          <w:b w:val="0"/>
          <w:bCs w:val="0"/>
        </w:rPr>
      </w:pPr>
      <w:r/>
      <w:bookmarkStart w:id="92" w:name="_Toc49090511"/>
      <w:r/>
      <w:bookmarkStart w:id="93" w:name="_Toc14577360"/>
      <w:r>
        <w:rPr>
          <w:rFonts w:hint="eastAsia"/>
          <w:b w:val="0"/>
          <w:bCs w:val="0"/>
        </w:rPr>
        <w:t xml:space="preserve">1</w:t>
      </w:r>
      <w:r>
        <w:rPr>
          <w:b w:val="0"/>
          <w:bCs w:val="0"/>
        </w:rPr>
        <w:t xml:space="preserve">4</w:t>
      </w:r>
      <w:r>
        <w:rPr>
          <w:rFonts w:hint="eastAsia"/>
          <w:b w:val="0"/>
          <w:bCs w:val="0"/>
        </w:rPr>
        <w:t xml:space="preserve">、单一来源响应函</w:t>
      </w:r>
      <w:r/>
    </w:p>
    <w:p>
      <w:pPr>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92"/>
      <w:r/>
      <w:bookmarkEnd w:id="93"/>
      <w:r/>
      <w:r/>
    </w:p>
    <w:p>
      <w:pPr>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482"/>
        <w:keepLines/>
        <w:keepNext/>
        <w:spacing w:before="156" w:after="156" w:line="360" w:lineRule="auto"/>
        <w:rPr>
          <w:rFonts w:hint="eastAsia" w:ascii="Times New Roman" w:hAnsi="Times New Roman"/>
          <w:b/>
          <w:bCs/>
          <w:sz w:val="32"/>
          <w:szCs w:val="32"/>
        </w:rPr>
        <w:outlineLvl w:val="2"/>
      </w:pPr>
      <w:r/>
      <w:bookmarkStart w:id="94" w:name="_Hlt26954739"/>
      <w:r/>
      <w:bookmarkEnd w:id="94"/>
      <w:r/>
      <w:bookmarkStart w:id="95" w:name="_Hlt26954852"/>
      <w:r/>
      <w:bookmarkEnd w:id="95"/>
      <w:r/>
      <w:bookmarkStart w:id="96" w:name="_Toc20823296"/>
      <w:r/>
      <w:bookmarkStart w:id="97" w:name="_Toc16938540"/>
      <w:r/>
      <w:bookmarkStart w:id="98" w:name="_Toc120614217"/>
      <w:r/>
      <w:bookmarkStart w:id="99" w:name="_Toc513029224"/>
      <w:r>
        <w:rPr>
          <w:rFonts w:hint="eastAsia" w:ascii="Times New Roman" w:hAnsi="Times New Roman"/>
          <w:b/>
          <w:bCs/>
          <w:sz w:val="32"/>
          <w:szCs w:val="32"/>
        </w:rPr>
        <w:t xml:space="preserve">四、响应文件的递交</w:t>
      </w:r>
      <w:bookmarkEnd w:id="96"/>
      <w:r/>
      <w:bookmarkEnd w:id="97"/>
      <w:r/>
      <w:bookmarkEnd w:id="98"/>
      <w:r/>
      <w:bookmarkEnd w:id="99"/>
      <w:r/>
      <w:r/>
    </w:p>
    <w:p>
      <w:pPr>
        <w:ind w:firstLine="560"/>
        <w:keepLines/>
        <w:keepNext/>
        <w:rPr>
          <w:rFonts w:hint="eastAsia" w:ascii="黑体" w:hAnsi="Arial" w:eastAsia="黑体" w:cs="Arial"/>
          <w:sz w:val="28"/>
          <w:szCs w:val="28"/>
        </w:rPr>
        <w:outlineLvl w:val="3"/>
      </w:pPr>
      <w:r/>
      <w:bookmarkStart w:id="100" w:name="_Toc20823297"/>
      <w:r/>
      <w:bookmarkStart w:id="101" w:name="_Toc462564084"/>
      <w:r/>
      <w:bookmarkStart w:id="102" w:name="_Toc513029225"/>
      <w:r/>
      <w:bookmarkStart w:id="103"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00"/>
      <w:r/>
      <w:bookmarkEnd w:id="101"/>
      <w:r/>
      <w:bookmarkEnd w:id="102"/>
      <w:r/>
      <w:bookmarkEnd w:id="103"/>
      <w:r>
        <w:rPr>
          <w:rFonts w:hint="eastAsia" w:ascii="黑体" w:hAnsi="Arial" w:eastAsia="黑体" w:cs="Arial"/>
          <w:sz w:val="28"/>
          <w:szCs w:val="28"/>
        </w:rPr>
        <w:t xml:space="preserve">响应文件的递交</w:t>
      </w:r>
      <w:r/>
    </w:p>
    <w:p>
      <w:pPr>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04" w:name="_Toc513029226"/>
      <w:r/>
      <w:bookmarkStart w:id="105" w:name="_Toc20823298"/>
      <w:r/>
      <w:bookmarkStart w:id="106" w:name="_Toc16938542"/>
      <w:r/>
      <w:r/>
    </w:p>
    <w:p>
      <w:pPr>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04"/>
      <w:r/>
      <w:bookmarkEnd w:id="105"/>
      <w:r/>
      <w:bookmarkEnd w:id="106"/>
      <w:r/>
      <w:r/>
    </w:p>
    <w:p>
      <w:pPr>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p>
    <w:p>
      <w:pPr>
        <w:ind w:firstLine="480"/>
        <w:spacing w:line="500" w:lineRule="exact"/>
        <w:rPr>
          <w:rFonts w:hint="eastAsia" w:ascii="宋体" w:hAnsi="宋体"/>
          <w:bCs/>
          <w:sz w:val="24"/>
          <w:szCs w:val="21"/>
        </w:rPr>
      </w:pPr>
      <w:r/>
      <w:bookmarkStart w:id="107" w:name="_Toc513029227"/>
      <w:r/>
      <w:bookmarkStart w:id="108" w:name="_Toc16938543"/>
      <w:r/>
      <w:bookmarkStart w:id="109"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7"/>
      <w:r/>
      <w:bookmarkEnd w:id="108"/>
      <w:r/>
      <w:bookmarkEnd w:id="10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采购中心拒绝接收在其规定的截止时间后上传的任何电子响应文件。</w:t>
      </w:r>
      <w:r/>
    </w:p>
    <w:p>
      <w:pPr>
        <w:ind w:firstLine="420"/>
        <w:keepLines/>
        <w:keepNext/>
        <w:rPr>
          <w:rFonts w:hint="eastAsia" w:ascii="Arial" w:hAnsi="Arial" w:eastAsia="黑体" w:cs="Arial"/>
          <w:sz w:val="28"/>
          <w:szCs w:val="28"/>
        </w:rPr>
        <w:outlineLvl w:val="3"/>
      </w:pPr>
      <w:r/>
      <w:bookmarkStart w:id="110" w:name="_Toc16938544"/>
      <w:r/>
      <w:bookmarkStart w:id="111" w:name="_Toc20823300"/>
      <w:r/>
      <w:bookmarkStart w:id="112"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10"/>
      <w:r/>
      <w:bookmarkEnd w:id="111"/>
      <w:r/>
      <w:bookmarkEnd w:id="112"/>
      <w:r/>
      <w:r/>
    </w:p>
    <w:p>
      <w:pPr>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p>
    <w:p>
      <w:pPr>
        <w:ind w:firstLine="482"/>
        <w:keepLines/>
        <w:keepNext/>
        <w:spacing w:before="156" w:after="156" w:line="360" w:lineRule="auto"/>
        <w:rPr>
          <w:rFonts w:hint="eastAsia" w:ascii="Times New Roman" w:hAnsi="Times New Roman"/>
          <w:b/>
          <w:bCs/>
          <w:sz w:val="32"/>
          <w:szCs w:val="32"/>
        </w:rPr>
        <w:outlineLvl w:val="2"/>
      </w:pPr>
      <w:r/>
      <w:bookmarkStart w:id="113" w:name="_Toc513029229"/>
      <w:r/>
      <w:bookmarkStart w:id="114" w:name="_Toc20823301"/>
      <w:r/>
      <w:bookmarkStart w:id="115" w:name="_Toc16938545"/>
      <w:r/>
      <w:bookmarkStart w:id="116" w:name="_Toc120614218"/>
      <w:r>
        <w:rPr>
          <w:rFonts w:hint="eastAsia" w:ascii="Times New Roman" w:hAnsi="Times New Roman"/>
          <w:b/>
          <w:bCs/>
          <w:sz w:val="32"/>
          <w:szCs w:val="32"/>
        </w:rPr>
        <w:t xml:space="preserve">五、响应文件的解密与评审</w:t>
      </w:r>
      <w:bookmarkEnd w:id="113"/>
      <w:r/>
      <w:bookmarkEnd w:id="114"/>
      <w:r/>
      <w:bookmarkEnd w:id="115"/>
      <w:r/>
      <w:bookmarkEnd w:id="116"/>
      <w:r/>
      <w:r/>
    </w:p>
    <w:p>
      <w:pPr>
        <w:ind w:firstLine="420"/>
        <w:keepLines/>
        <w:keepNext/>
        <w:rPr>
          <w:rFonts w:hint="eastAsia" w:ascii="Arial" w:hAnsi="Arial" w:eastAsia="黑体" w:cs="Arial"/>
          <w:sz w:val="28"/>
          <w:szCs w:val="28"/>
        </w:rPr>
        <w:outlineLvl w:val="3"/>
      </w:pPr>
      <w:r/>
      <w:bookmarkStart w:id="117" w:name="_Toc20823302"/>
      <w:r/>
      <w:bookmarkStart w:id="118" w:name="_Toc16938546"/>
      <w:r/>
      <w:bookmarkStart w:id="119"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17"/>
      <w:r/>
      <w:bookmarkEnd w:id="118"/>
      <w:r/>
      <w:bookmarkEnd w:id="119"/>
      <w:r>
        <w:rPr>
          <w:rFonts w:hint="eastAsia" w:ascii="Arial" w:hAnsi="Arial" w:eastAsia="黑体" w:cs="Arial"/>
          <w:sz w:val="28"/>
          <w:szCs w:val="28"/>
        </w:rPr>
        <w:t xml:space="preserve">响应文件解密</w:t>
      </w:r>
      <w:r/>
    </w:p>
    <w:p>
      <w:pPr>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p>
    <w:p>
      <w:pPr>
        <w:ind w:firstLine="420"/>
        <w:keepLines/>
        <w:keepNext/>
        <w:rPr>
          <w:rFonts w:hint="eastAsia" w:ascii="Arial" w:hAnsi="Arial" w:eastAsia="黑体" w:cs="Arial"/>
          <w:sz w:val="28"/>
          <w:szCs w:val="28"/>
        </w:rPr>
        <w:outlineLvl w:val="3"/>
      </w:pPr>
      <w:r/>
      <w:bookmarkStart w:id="120" w:name="_Toc16938547"/>
      <w:r/>
      <w:bookmarkStart w:id="121" w:name="_Toc513029231"/>
      <w:r/>
      <w:bookmarkStart w:id="12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bookmarkEnd w:id="120"/>
      <w:r/>
      <w:bookmarkEnd w:id="121"/>
      <w:r/>
      <w:bookmarkEnd w:id="122"/>
      <w:r/>
      <w:r/>
    </w:p>
    <w:p>
      <w:pPr>
        <w:ind w:firstLine="480"/>
        <w:spacing w:line="500" w:lineRule="exact"/>
        <w:rPr>
          <w:rFonts w:hint="eastAsia" w:ascii="宋体" w:hAnsi="宋体"/>
          <w:bCs/>
          <w:sz w:val="24"/>
          <w:szCs w:val="21"/>
        </w:rPr>
      </w:pPr>
      <w:r/>
      <w:bookmarkStart w:id="123" w:name="_Toc20823304"/>
      <w:r/>
      <w:bookmarkStart w:id="124" w:name="_Toc513029232"/>
      <w:r/>
      <w:bookmarkStart w:id="125" w:name="_Toc16938548"/>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（以下简称“采购过程”）</w:t>
      </w:r>
      <w:r>
        <w:rPr>
          <w:rFonts w:ascii="宋体" w:hAnsi="宋体"/>
          <w:bCs/>
          <w:sz w:val="24"/>
          <w:szCs w:val="21"/>
        </w:rPr>
        <w:t xml:space="preserve">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23"/>
      <w:r/>
      <w:bookmarkEnd w:id="124"/>
      <w:r/>
      <w:bookmarkEnd w:id="125"/>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p>
    <w:p>
      <w:pPr>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rPr>
        <w:outlineLvl w:val="3"/>
      </w:pPr>
      <w:r/>
      <w:bookmarkStart w:id="126" w:name="_Toc16938549"/>
      <w:r/>
      <w:bookmarkStart w:id="127" w:name="_Toc20823305"/>
      <w:r/>
      <w:bookmarkStart w:id="128"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26"/>
      <w:r/>
      <w:bookmarkEnd w:id="127"/>
      <w:r/>
      <w:bookmarkEnd w:id="128"/>
      <w:r>
        <w:rPr>
          <w:rFonts w:hint="eastAsia" w:ascii="Arial" w:hAnsi="Arial" w:eastAsia="黑体" w:cs="Arial"/>
          <w:sz w:val="28"/>
          <w:szCs w:val="28"/>
        </w:rPr>
        <w:t xml:space="preserve">查</w:t>
      </w:r>
      <w:r/>
    </w:p>
    <w:p>
      <w:pPr>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25.1.1 资格审查：由采购小组依据法律法规和单一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p>
    <w:p>
      <w:pPr>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r/>
    </w:p>
    <w:p>
      <w:pPr>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p>
    <w:p>
      <w:pPr>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p>
    <w:p>
      <w:pPr>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color w:val="ff0000"/>
          <w:sz w:val="24"/>
          <w:szCs w:val="21"/>
        </w:rPr>
        <w:t xml:space="preserve">（本单一来源文件中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或加*号条款为实质性要求）</w:t>
      </w:r>
      <w:r/>
    </w:p>
    <w:p>
      <w:pPr>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ind w:firstLine="480"/>
        <w:spacing w:line="460" w:lineRule="exact"/>
        <w:rPr>
          <w:rFonts w:hint="eastAsia" w:ascii="宋体" w:hAnsi="宋体"/>
          <w:bCs/>
          <w:sz w:val="24"/>
          <w:szCs w:val="21"/>
        </w:rPr>
      </w:pPr>
      <w:r>
        <w:rPr>
          <w:rFonts w:hint="eastAsia" w:ascii="宋体" w:hAnsi="宋体"/>
          <w:bCs/>
          <w:sz w:val="24"/>
          <w:szCs w:val="21"/>
        </w:rPr>
        <w:t xml:space="preserve">25.3.9 </w:t>
      </w:r>
      <w:r>
        <w:rPr>
          <w:rFonts w:hint="eastAsia" w:ascii="宋体" w:hAnsi="宋体"/>
          <w:bCs/>
          <w:color w:val="ff0000"/>
          <w:sz w:val="24"/>
          <w:szCs w:val="21"/>
        </w:rPr>
        <w:t xml:space="preserve">如</w:t>
      </w:r>
      <w:r>
        <w:rPr>
          <w:rFonts w:hint="eastAsia" w:ascii="宋体" w:hAnsi="宋体"/>
          <w:bCs/>
          <w:sz w:val="24"/>
          <w:szCs w:val="21"/>
        </w:rPr>
        <w:t xml:space="preserve">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p>
    <w:p>
      <w:pPr>
        <w:ind w:firstLine="480"/>
        <w:spacing w:line="460" w:lineRule="exact"/>
        <w:rPr>
          <w:rFonts w:hint="eastAsia" w:ascii="宋体" w:hAnsi="宋体"/>
          <w:bCs/>
          <w:sz w:val="24"/>
          <w:szCs w:val="21"/>
        </w:rPr>
      </w:pPr>
      <w:r>
        <w:rPr>
          <w:rFonts w:hint="eastAsia" w:ascii="宋体" w:hAnsi="宋体"/>
          <w:bCs/>
          <w:sz w:val="24"/>
          <w:szCs w:val="21"/>
        </w:rPr>
        <w:t xml:space="preserve">25.4未实质性响应采购文件的响应文件按无效响应处理。</w:t>
      </w:r>
      <w:r/>
    </w:p>
    <w:p>
      <w:pPr>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如果响应文件实质上没有响应采购文件的要求，采购小组将予以拒绝。</w:t>
      </w:r>
      <w:r/>
    </w:p>
    <w:p>
      <w:pPr>
        <w:ind w:firstLine="480"/>
        <w:spacing w:line="460" w:lineRule="exact"/>
        <w:rPr>
          <w:rFonts w:hint="eastAsia" w:ascii="宋体" w:hAnsi="宋体"/>
          <w:sz w:val="24"/>
          <w:szCs w:val="21"/>
        </w:rPr>
      </w:pPr>
      <w:r/>
      <w:bookmarkStart w:id="129" w:name="_Toc513029234"/>
      <w:r/>
      <w:bookmarkStart w:id="130" w:name="_Toc16938550"/>
      <w:r/>
      <w:bookmarkStart w:id="131" w:name="_Toc20823306"/>
      <w:r>
        <w:rPr>
          <w:rFonts w:hint="eastAsia" w:ascii="宋体" w:hAnsi="宋体"/>
          <w:sz w:val="24"/>
          <w:szCs w:val="21"/>
        </w:rPr>
        <w:t xml:space="preserve">25.6供应商在项目评审及单一</w:t>
      </w:r>
      <w:r>
        <w:rPr>
          <w:rFonts w:ascii="宋体" w:hAnsi="宋体"/>
          <w:sz w:val="24"/>
          <w:szCs w:val="21"/>
        </w:rPr>
        <w:t xml:space="preserve">来源</w:t>
      </w:r>
      <w:r>
        <w:rPr>
          <w:rFonts w:hint="eastAsia" w:ascii="宋体" w:hAnsi="宋体"/>
          <w:sz w:val="24"/>
          <w:szCs w:val="21"/>
        </w:rPr>
        <w:t xml:space="preserve">采购活动全过程中应保持通讯畅通，并安排专人与采购中心及采购小组联系。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29"/>
      <w:r/>
      <w:bookmarkEnd w:id="130"/>
      <w:r/>
      <w:bookmarkEnd w:id="131"/>
      <w:r>
        <w:rPr>
          <w:rFonts w:hint="eastAsia" w:ascii="Arial" w:hAnsi="Arial" w:eastAsia="黑体" w:cs="Arial"/>
          <w:sz w:val="28"/>
          <w:szCs w:val="28"/>
        </w:rPr>
        <w:t xml:space="preserve">单一来源谈判及成交原则</w:t>
      </w:r>
      <w:r/>
    </w:p>
    <w:p>
      <w:pPr>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p>
    <w:p>
      <w:pPr>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ind w:firstLine="478"/>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p>
    <w:p>
      <w:pPr>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p>
    <w:p>
      <w:pPr>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p>
    <w:p>
      <w:pPr>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采购小组根据政府采购相关法律、规章的规定，在供应商的响应情况能保证采购项目质量且最后报价合理的基础上确定其为成交供应商。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p>
    <w:p>
      <w:pPr>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p>
    <w:p>
      <w:pPr>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p>
    <w:p>
      <w:pPr>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5不满足本采购文件规定的实质性要求，但在评审过程中又未被采购小组发现的。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ind w:firstLine="600"/>
        <w:keepLines/>
        <w:keepNext/>
        <w:rPr>
          <w:rFonts w:hint="eastAsia" w:ascii="黑体" w:hAnsi="宋体" w:eastAsia="黑体"/>
          <w:bCs/>
          <w:sz w:val="30"/>
          <w:szCs w:val="30"/>
        </w:rPr>
        <w:outlineLvl w:val="3"/>
      </w:pPr>
      <w:r/>
      <w:bookmarkStart w:id="132"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32"/>
      <w:r/>
      <w:r/>
    </w:p>
    <w:p>
      <w:pPr>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28.1供应商认为采购过程和采购结果使自己的权益受到损害的，可以从采购结果公布之日起七个工作日内，以书面形式向采购中心提出质疑。</w:t>
      </w:r>
      <w:r/>
    </w:p>
    <w:p>
      <w:pPr>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p>
    <w:p>
      <w:pPr>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p>
    <w:p>
      <w:pPr>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hint="eastAsia" w:ascii="Times New Roman" w:hAnsi="Times New Roman"/>
          <w:b/>
          <w:bCs/>
          <w:sz w:val="32"/>
          <w:szCs w:val="32"/>
        </w:rPr>
        <w:outlineLvl w:val="2"/>
      </w:pPr>
      <w:r/>
      <w:bookmarkStart w:id="133" w:name="_Toc120614220"/>
      <w:r/>
      <w:bookmarkStart w:id="134" w:name="_Toc16938552"/>
      <w:r/>
      <w:bookmarkStart w:id="135" w:name="_Toc20823308"/>
      <w:r/>
      <w:bookmarkStart w:id="136" w:name="_Toc513029236"/>
      <w:r>
        <w:rPr>
          <w:rFonts w:hint="eastAsia" w:ascii="Times New Roman" w:hAnsi="Times New Roman"/>
          <w:b/>
          <w:bCs/>
          <w:sz w:val="32"/>
          <w:szCs w:val="32"/>
        </w:rPr>
        <w:t xml:space="preserve">七、授予合同</w:t>
      </w:r>
      <w:bookmarkEnd w:id="133"/>
      <w:r/>
      <w:bookmarkEnd w:id="134"/>
      <w:r/>
      <w:bookmarkEnd w:id="135"/>
      <w:r/>
      <w:bookmarkEnd w:id="136"/>
      <w:r/>
      <w:r/>
    </w:p>
    <w:p>
      <w:pPr>
        <w:ind w:firstLine="600"/>
        <w:keepLines/>
        <w:keepNext/>
        <w:rPr>
          <w:rFonts w:hint="eastAsia" w:ascii="黑体" w:hAnsi="宋体" w:eastAsia="黑体"/>
          <w:bCs/>
          <w:sz w:val="30"/>
          <w:szCs w:val="30"/>
        </w:rPr>
        <w:outlineLvl w:val="3"/>
      </w:pPr>
      <w:r/>
      <w:bookmarkStart w:id="137" w:name="_Toc16938553"/>
      <w:r/>
      <w:bookmarkStart w:id="138" w:name="_Toc513029237"/>
      <w:r/>
      <w:bookmarkStart w:id="139"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7"/>
      <w:r/>
      <w:bookmarkEnd w:id="138"/>
      <w:r/>
      <w:bookmarkEnd w:id="139"/>
      <w:r/>
      <w:r/>
    </w:p>
    <w:p>
      <w:pPr>
        <w:ind w:firstLine="600"/>
        <w:keepLines/>
        <w:keepNext/>
        <w:rPr>
          <w:rFonts w:ascii="黑体" w:hAnsi="宋体" w:eastAsia="黑体"/>
          <w:bCs/>
          <w:sz w:val="30"/>
          <w:szCs w:val="30"/>
        </w:rPr>
        <w:outlineLvl w:val="3"/>
      </w:pPr>
      <w:r/>
      <w:bookmarkStart w:id="140" w:name="_Toc120614221"/>
      <w:r/>
      <w:bookmarkStart w:id="141" w:name="_Toc513029242"/>
      <w:r/>
      <w:bookmarkStart w:id="142" w:name="_Toc16938558"/>
      <w:r/>
      <w:bookmarkStart w:id="143" w:name="_Toc20823314"/>
      <w:r/>
      <w:bookmarkStart w:id="144" w:name="_Toc479757207"/>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rPr>
          <w:rFonts w:hint="eastAsia" w:ascii="黑体" w:hAnsi="Times New Roman" w:eastAsia="黑体"/>
          <w:bCs/>
          <w:sz w:val="44"/>
          <w:szCs w:val="28"/>
        </w:rPr>
      </w:pPr>
      <w:r>
        <w:rPr>
          <w:rFonts w:hint="eastAsia" w:ascii="黑体" w:hAnsi="Times New Roman" w:eastAsia="黑体"/>
          <w:bCs/>
          <w:sz w:val="44"/>
          <w:szCs w:val="28"/>
        </w:rPr>
        <w:br w:type="page" w:clear="all"/>
      </w:r>
      <w:r/>
    </w:p>
    <w:p>
      <w:pPr>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0"/>
      <w:r/>
      <w:bookmarkEnd w:id="141"/>
      <w:r/>
      <w:bookmarkEnd w:id="142"/>
      <w:r/>
      <w:bookmarkEnd w:id="143"/>
      <w:r/>
      <w:bookmarkEnd w:id="144"/>
      <w:r>
        <w:rPr>
          <w:rFonts w:hint="eastAsia" w:ascii="黑体" w:hAnsi="Times New Roman" w:eastAsia="黑体"/>
          <w:bCs/>
          <w:sz w:val="44"/>
          <w:szCs w:val="28"/>
        </w:rPr>
        <w:t xml:space="preserve">文本</w:t>
      </w:r>
      <w:r/>
    </w:p>
    <w:p>
      <w:pPr>
        <w:jc w:val="center"/>
        <w:spacing w:before="156" w:after="156"/>
        <w:rPr>
          <w:rFonts w:hint="eastAsia" w:ascii="宋体" w:hAnsi="宋体"/>
          <w:b/>
          <w:bCs/>
          <w:sz w:val="30"/>
          <w:szCs w:val="20"/>
        </w:rPr>
        <w:outlineLvl w:val="0"/>
      </w:pPr>
      <w:r/>
      <w:bookmarkStart w:id="145" w:name="_Toc20823315"/>
      <w:r/>
      <w:bookmarkStart w:id="146" w:name="_Toc16938559"/>
      <w:r/>
      <w:bookmarkStart w:id="147" w:name="_Toc513029243"/>
      <w:r/>
      <w:bookmarkEnd w:id="145"/>
      <w:r/>
      <w:bookmarkEnd w:id="146"/>
      <w:r/>
      <w:bookmarkEnd w:id="147"/>
      <w:r/>
      <w:r/>
    </w:p>
    <w:p>
      <w:pPr>
        <w:jc w:val="center"/>
        <w:spacing w:before="156" w:after="156"/>
        <w:rPr>
          <w:rFonts w:ascii="宋体" w:hAnsi="宋体"/>
          <w:b/>
          <w:sz w:val="30"/>
          <w:szCs w:val="21"/>
        </w:rPr>
        <w:outlineLvl w:val="0"/>
      </w:pPr>
      <w:r/>
      <w:bookmarkStart w:id="148" w:name="_Hlt16619369"/>
      <w:r/>
      <w:bookmarkEnd w:id="148"/>
      <w:r/>
      <w:bookmarkStart w:id="149" w:name="_Hlt16619350"/>
      <w:r/>
      <w:bookmarkStart w:id="150" w:name="_Toc16938590"/>
      <w:r/>
      <w:bookmarkStart w:id="151" w:name="_Toc20823346"/>
      <w:r/>
      <w:bookmarkStart w:id="152" w:name="_Toc120614244"/>
      <w:r/>
      <w:bookmarkStart w:id="153" w:name="_Toc479757211"/>
      <w:r/>
      <w:bookmarkStart w:id="154" w:name="_Toc462564139"/>
      <w:r>
        <w:rPr>
          <w:rFonts w:hint="eastAsia" w:ascii="宋体" w:hAnsi="宋体"/>
          <w:b/>
          <w:sz w:val="30"/>
          <w:szCs w:val="21"/>
        </w:rPr>
        <w:t xml:space="preserve">江苏省政府采购合同（合同编号）</w:t>
      </w:r>
      <w:r/>
    </w:p>
    <w:p>
      <w:pPr>
        <w:jc w:val="center"/>
        <w:spacing w:before="156" w:after="156"/>
        <w:rPr>
          <w:rFonts w:hint="eastAsia" w:ascii="宋体" w:hAnsi="宋体"/>
          <w:b/>
          <w:bCs/>
          <w:color w:val="ff0000"/>
          <w:sz w:val="30"/>
          <w:szCs w:val="20"/>
        </w:rPr>
        <w:outlineLvl w:val="0"/>
      </w:pPr>
      <w:r>
        <w:rPr>
          <w:rFonts w:hint="eastAsia" w:ascii="宋体" w:hAnsi="宋体"/>
          <w:b/>
          <w:color w:val="ff0000"/>
          <w:sz w:val="30"/>
          <w:szCs w:val="21"/>
        </w:rPr>
        <w:t xml:space="preserve">（适用于服务类项目）</w:t>
      </w:r>
      <w:r/>
    </w:p>
    <w:p>
      <w:pPr>
        <w:jc w:val="center"/>
        <w:spacing w:before="156" w:after="156"/>
        <w:rPr>
          <w:rFonts w:hint="eastAsia" w:ascii="宋体" w:hAnsi="宋体"/>
          <w:b/>
          <w:bCs/>
          <w:sz w:val="30"/>
          <w:szCs w:val="20"/>
        </w:rPr>
        <w:outlineLvl w:val="0"/>
      </w:pPr>
      <w:r>
        <w:rPr>
          <w:rFonts w:hint="eastAsia" w:ascii="宋体" w:hAnsi="宋体"/>
          <w:b/>
          <w:bCs/>
          <w:sz w:val="30"/>
          <w:szCs w:val="20"/>
        </w:rPr>
      </w:r>
      <w:r/>
    </w:p>
    <w:p>
      <w:pPr>
        <w:spacing w:before="120" w:after="120"/>
        <w:rPr>
          <w:rFonts w:ascii="宋体" w:hAnsi="宋体" w:cs="Courier New"/>
          <w:sz w:val="24"/>
          <w:szCs w:val="24"/>
        </w:rPr>
      </w:pPr>
      <w:r>
        <w:rPr>
          <w:rFonts w:ascii="宋体" w:hAnsi="宋体" w:cs="Courier New"/>
          <w:sz w:val="24"/>
          <w:szCs w:val="24"/>
        </w:rPr>
        <w:t xml:space="preserve">项目名称： </w:t>
      </w:r>
      <w:r>
        <w:rPr>
          <w:rFonts w:hint="eastAsia" w:ascii="宋体" w:hAnsi="宋体" w:cs="Courier New"/>
          <w:sz w:val="24"/>
          <w:szCs w:val="24"/>
        </w:rPr>
        <w:t xml:space="preserve">中国教育科研网接入服务</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JSZC-320000-SCZX-D2024-0619</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spacing w:before="120" w:after="120"/>
        <w:rPr>
          <w:rFonts w:hint="eastAsia" w:ascii="宋体" w:hAnsi="宋体" w:cs="Courier New"/>
          <w:sz w:val="24"/>
          <w:szCs w:val="24"/>
        </w:rPr>
      </w:pPr>
      <w:r>
        <w:rPr>
          <w:rFonts w:hint="eastAsia" w:ascii="宋体" w:hAnsi="宋体" w:cs="Courier New"/>
          <w:sz w:val="24"/>
          <w:szCs w:val="24"/>
        </w:rPr>
      </w:r>
      <w:r/>
    </w:p>
    <w:p>
      <w:pPr>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w:t>
      </w:r>
      <w:r>
        <w:rPr>
          <w:rFonts w:hint="eastAsia" w:ascii="宋体" w:hAnsi="宋体" w:cs="Courier New"/>
          <w:sz w:val="24"/>
          <w:szCs w:val="24"/>
        </w:rPr>
        <w:t xml:space="preserve">南京财经大学</w:t>
      </w:r>
      <w:r>
        <w:rPr>
          <w:rFonts w:ascii="宋体" w:hAnsi="宋体" w:cs="Courier New"/>
          <w:sz w:val="24"/>
          <w:szCs w:val="24"/>
        </w:rPr>
        <w:t xml:space="preserve">________</w:t>
      </w:r>
      <w:r/>
    </w:p>
    <w:p>
      <w:pPr>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中国教育科研网接入服务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p>
    <w:p>
      <w:pPr>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spacing w:before="120" w:after="120"/>
        <w:rPr>
          <w:rFonts w:ascii="宋体" w:hAnsi="宋体" w:cs="Courier New"/>
          <w:sz w:val="24"/>
          <w:szCs w:val="24"/>
        </w:rPr>
      </w:pPr>
      <w:r>
        <w:rPr>
          <w:rFonts w:hint="eastAsia" w:ascii="宋体" w:hAnsi="宋体" w:cs="Courier New"/>
          <w:sz w:val="24"/>
          <w:szCs w:val="24"/>
        </w:rPr>
        <w:t xml:space="preserve">1.5 履行地点：</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spacing w:before="120" w:after="120"/>
        <w:rPr>
          <w:rFonts w:ascii="宋体" w:hAnsi="宋体" w:cs="Courier New"/>
          <w:b/>
          <w:sz w:val="24"/>
          <w:szCs w:val="24"/>
        </w:rPr>
      </w:pPr>
      <w:r>
        <w:rPr>
          <w:rFonts w:ascii="宋体" w:hAnsi="宋体" w:cs="Courier New"/>
          <w:b/>
          <w:sz w:val="24"/>
          <w:szCs w:val="24"/>
        </w:rPr>
        <w:t xml:space="preserve">二、合同金额</w:t>
      </w:r>
      <w:r/>
    </w:p>
    <w:p>
      <w:pPr>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spacing w:before="120" w:after="120"/>
        <w:rPr>
          <w:rFonts w:ascii="宋体" w:hAnsi="宋体" w:cs="Courier New"/>
          <w:b/>
          <w:sz w:val="24"/>
          <w:szCs w:val="24"/>
        </w:rPr>
      </w:pPr>
      <w:r>
        <w:rPr>
          <w:rFonts w:ascii="宋体" w:hAnsi="宋体" w:cs="Courier New"/>
          <w:b/>
          <w:sz w:val="24"/>
          <w:szCs w:val="24"/>
        </w:rPr>
        <w:t xml:space="preserve">三、技术资料</w:t>
      </w:r>
      <w:r/>
    </w:p>
    <w:p>
      <w:pPr>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spacing w:before="120" w:after="120"/>
        <w:rPr>
          <w:rFonts w:hint="eastAsia" w:ascii="宋体" w:hAnsi="宋体" w:cs="Courier New"/>
          <w:bCs/>
          <w:color w:val="ff0000"/>
          <w:sz w:val="24"/>
          <w:szCs w:val="24"/>
        </w:rPr>
      </w:pPr>
      <w:r>
        <w:rPr>
          <w:rFonts w:hint="eastAsia" w:ascii="宋体" w:hAnsi="宋体" w:cs="Courier New"/>
          <w:sz w:val="24"/>
          <w:szCs w:val="24"/>
          <w:lang w:val="en-US" w:eastAsia="zh-CN"/>
        </w:rPr>
        <w:t xml:space="preserve">本项不缴纳履约保证金。</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spacing w:before="156" w:after="156"/>
        <w:rPr>
          <w:rFonts w:hint="eastAsia" w:ascii="宋体" w:hAnsi="宋体"/>
          <w:b/>
          <w:sz w:val="24"/>
          <w:szCs w:val="24"/>
        </w:rPr>
      </w:pPr>
      <w:r>
        <w:rPr>
          <w:rFonts w:hint="eastAsia" w:ascii="宋体" w:hAnsi="宋体" w:cs="Courier New"/>
          <w:bCs/>
          <w:sz w:val="24"/>
          <w:szCs w:val="24"/>
        </w:rPr>
        <w:t xml:space="preserve">本项目服务期2年，每年</w:t>
      </w:r>
      <w:r>
        <w:rPr>
          <w:rFonts w:hint="eastAsia" w:ascii="宋体" w:hAnsi="宋体" w:cs="Courier New"/>
          <w:bCs/>
          <w:sz w:val="24"/>
          <w:szCs w:val="24"/>
          <w:lang w:val="en-US" w:eastAsia="zh-CN"/>
        </w:rPr>
        <w:t xml:space="preserve">10</w:t>
      </w:r>
      <w:r>
        <w:rPr>
          <w:rFonts w:hint="eastAsia" w:ascii="宋体" w:hAnsi="宋体" w:cs="Courier New"/>
          <w:bCs/>
          <w:sz w:val="24"/>
          <w:szCs w:val="24"/>
        </w:rPr>
        <w:t xml:space="preserve">月支付总合同款的50％。</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p>
    <w:p>
      <w:pPr>
        <w:spacing w:line="400" w:lineRule="exact"/>
        <w:rPr>
          <w:rFonts w:hint="eastAsia" w:ascii="宋体" w:hAnsi="宋体"/>
          <w:bCs/>
          <w:color w:val="ff0000"/>
          <w:sz w:val="24"/>
          <w:szCs w:val="24"/>
        </w:rPr>
      </w:pPr>
      <w:r>
        <w:rPr>
          <w:rFonts w:ascii="黑体" w:hAnsi="Courier New" w:eastAsia="黑体" w:cs="Courier New"/>
          <w:bCs/>
          <w:sz w:val="44"/>
          <w:szCs w:val="21"/>
        </w:rPr>
        <w:br w:type="page" w:clear="all"/>
      </w:r>
      <w:r/>
    </w:p>
    <w:p>
      <w:pPr>
        <w:jc w:val="center"/>
        <w:spacing w:line="360" w:lineRule="auto"/>
        <w:rPr>
          <w:rFonts w:hint="eastAsia" w:ascii="宋体" w:hAnsi="宋体" w:eastAsia="宋体" w:cs="宋体"/>
          <w:b/>
          <w:color w:val="000000" w:themeColor="text1"/>
          <w:sz w:val="32"/>
          <w:szCs w:val="32"/>
          <w:u w:val="none"/>
          <w14:textFill>
            <w14:solidFill>
              <w14:schemeClr w14:val="tx1"/>
            </w14:solidFill>
          </w14:textFill>
        </w:rPr>
      </w:pPr>
      <w:r>
        <w:rPr>
          <w:rFonts w:hint="eastAsia" w:ascii="宋体" w:hAnsi="宋体" w:eastAsia="宋体" w:cs="宋体"/>
          <w:b/>
          <w:color w:val="000000" w:themeColor="text1"/>
          <w:sz w:val="32"/>
          <w:szCs w:val="32"/>
          <w:u w:val="none"/>
          <w14:textFill>
            <w14:solidFill>
              <w14:schemeClr w14:val="tx1"/>
            </w14:solidFill>
          </w14:textFill>
        </w:rPr>
        <w:t xml:space="preserve">南京财经大学（项目名称）采购合同（服务类模板）</w:t>
      </w:r>
      <w:r/>
    </w:p>
    <w:p>
      <w:pP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甲方（采购人）：南京财经大学                    </w:t>
      </w:r>
      <w:r/>
    </w:p>
    <w:p>
      <w:pP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乙方（供应商）：                          </w:t>
      </w:r>
      <w:r/>
    </w:p>
    <w:p>
      <w:pP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招标编号：                  采购代理机构：                     </w:t>
      </w:r>
      <w:r/>
    </w:p>
    <w:p>
      <w:pPr>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合同编号：                     </w:t>
      </w:r>
      <w:r/>
    </w:p>
    <w:p>
      <w:pPr>
        <w:jc w:val="left"/>
        <w:spacing w:line="24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签订时间：               </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根据《中华人民共和国民法典》、《中华人民共和国政府采购法》、等法律、法规规定，按照XXX项目名称（项目编号：XXX） 采购文件、投标（响应）文件规定条款和中标（成交）供应商承诺，甲方向乙方购置相关服务，双方同意以下内容（包括合同表一、附件）。</w:t>
      </w:r>
      <w:r/>
    </w:p>
    <w:p>
      <w:pPr>
        <w:ind w:firstLine="480"/>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第一条　服务内容</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1.乙方所提供的服务必须与采购文件和承诺相一致。服务内容、时限、完成标准、服务费见下表（表一：服务内容一览表）。</w:t>
      </w:r>
      <w:r/>
    </w:p>
    <w:tbl>
      <w:tblPr>
        <w:tblStyle w:val="7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1637"/>
        <w:gridCol w:w="1964"/>
        <w:gridCol w:w="1637"/>
        <w:gridCol w:w="2296"/>
      </w:tblGrid>
      <w:tr>
        <w:trPr>
          <w:trHeight w:val="674"/>
        </w:trPr>
        <w:tc>
          <w:tcPr>
            <w:shd w:val="clear" w:color="auto" w:fill="auto"/>
            <w:tcW w:w="578"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序号</w:t>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服务内容</w:t>
            </w:r>
            <w:r/>
          </w:p>
        </w:tc>
        <w:tc>
          <w:tcPr>
            <w:shd w:val="clear" w:color="auto" w:fill="auto"/>
            <w:tcW w:w="1153"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合同履行期</w:t>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完成标准</w:t>
            </w:r>
            <w:r/>
          </w:p>
        </w:tc>
        <w:tc>
          <w:tcPr>
            <w:shd w:val="clear" w:color="auto" w:fill="auto"/>
            <w:tcW w:w="1344"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服务费（元）</w:t>
            </w:r>
            <w:r/>
          </w:p>
        </w:tc>
      </w:tr>
      <w:tr>
        <w:trPr/>
        <w:tc>
          <w:tcPr>
            <w:shd w:val="clear" w:color="auto" w:fill="auto"/>
            <w:tcW w:w="578"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w:t>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153"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344"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r>
      <w:tr>
        <w:trPr/>
        <w:tc>
          <w:tcPr>
            <w:shd w:val="clear" w:color="auto" w:fill="auto"/>
            <w:tcW w:w="578"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w:t>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153"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344"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r>
      <w:tr>
        <w:trPr/>
        <w:tc>
          <w:tcPr>
            <w:shd w:val="clear" w:color="auto" w:fill="auto"/>
            <w:tcW w:w="578"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w:t>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153"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344"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r>
      <w:tr>
        <w:trPr/>
        <w:tc>
          <w:tcPr>
            <w:shd w:val="clear" w:color="auto" w:fill="auto"/>
            <w:tcW w:w="578"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w:t>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153"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961"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c>
          <w:tcPr>
            <w:shd w:val="clear" w:color="auto" w:fill="auto"/>
            <w:tcW w:w="1344" w:type="pct"/>
            <w:vAlign w:val="center"/>
            <w:textDirection w:val="lrTb"/>
            <w:noWrap w:val="false"/>
          </w:tcPr>
          <w:p>
            <w:pPr>
              <w:jc w:val="cente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r>
            <w:r/>
          </w:p>
        </w:tc>
      </w:tr>
      <w:tr>
        <w:trPr>
          <w:trHeight w:val="405"/>
        </w:trPr>
        <w:tc>
          <w:tcPr>
            <w:gridSpan w:val="5"/>
            <w:tcW w:w="5000" w:type="pct"/>
            <w:vAlign w:val="center"/>
            <w:textDirection w:val="lrTb"/>
            <w:noWrap w:val="false"/>
          </w:tcPr>
          <w:p>
            <w:pP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合计金额：大写人民币               元整（¥       .00）。</w:t>
            </w:r>
            <w:r/>
          </w:p>
        </w:tc>
      </w:tr>
    </w:tbl>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3.乙方的服务承诺：</w:t>
      </w:r>
      <w:r/>
    </w:p>
    <w:p>
      <w:pPr>
        <w:ind w:firstLine="24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firstLine="24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（2）乙方提供给甲方的服务，必须按照合同表一规定的标准进行。</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第二条　服务费及支付方式</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1.服务费总金额为大写人民币               元整（¥       .00）。</w:t>
      </w:r>
      <w:r/>
    </w:p>
    <w:p>
      <w:pPr>
        <w:ind w:firstLine="480"/>
        <w:spacing w:line="360" w:lineRule="auto"/>
        <w:rPr>
          <w:rFonts w:hint="eastAsia" w:ascii="宋体" w:hAnsi="宋体" w:eastAsia="宋体" w:cs="宋体"/>
          <w:color w:val="ff0000"/>
          <w:sz w:val="24"/>
          <w:szCs w:val="24"/>
          <w:u w:val="none"/>
        </w:rPr>
      </w:pPr>
      <w:r>
        <w:rPr>
          <w:rFonts w:hint="eastAsia" w:ascii="宋体" w:hAnsi="宋体" w:eastAsia="宋体" w:cs="宋体"/>
          <w:color w:val="000000" w:themeColor="text1"/>
          <w:sz w:val="24"/>
          <w:szCs w:val="24"/>
          <w:u w:val="none"/>
          <w14:textFill>
            <w14:solidFill>
              <w14:schemeClr w14:val="tx1"/>
            </w14:solidFill>
          </w14:textFill>
        </w:rPr>
        <w:t xml:space="preserve">2.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w:t>
      </w:r>
      <w:r>
        <w:rPr>
          <w:rFonts w:hint="eastAsia" w:ascii="宋体" w:hAnsi="宋体" w:eastAsia="宋体" w:cs="宋体"/>
          <w:color w:val="000000"/>
          <w:sz w:val="24"/>
          <w:szCs w:val="24"/>
          <w:u w:val="none"/>
        </w:rPr>
        <w:t xml:space="preserve">本合同执行中相关的一切税费均由乙方负担。</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3.甲乙双方一致同意项目服务费按阶段以人民币形式支付。</w:t>
      </w:r>
      <w:r/>
    </w:p>
    <w:p>
      <w:pPr>
        <w:ind w:firstLine="482"/>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4.具体的付款方式：</w:t>
      </w:r>
      <w:r/>
    </w:p>
    <w:p>
      <w:pPr>
        <w:ind w:left="-61" w:firstLine="590"/>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合同签订，乙方按甲方要求完成全部服务内容，经甲方或专业机构验收合格，并签署验收单或验收报告之后，支付服务费总额，即大写人民币               元整（¥       .00）。</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5.有关发票方面的任何问题，甲方应在收到发票后及时书面通知乙方，乙方应及时作出解释或解决问题，以使甲方能按时付款。</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6.乙方将自行承担项目实施范围内合理的差旅费用。</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7.乙方同意免除项目杂费。</w:t>
      </w:r>
      <w:r/>
    </w:p>
    <w:p>
      <w:p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第三条  技术资料</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1．乙方应按采购文件规定的时间向甲方提供有关技术资料。</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第四条  知识产权</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第五条  产权担保</w:t>
      </w:r>
      <w:r/>
    </w:p>
    <w:p>
      <w:pPr>
        <w:ind w:firstLine="36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乙方保证所交付标的无任何抵押、查封等产权瑕疵。</w:t>
      </w:r>
      <w:r/>
    </w:p>
    <w:p>
      <w:pPr>
        <w:numPr>
          <w:ilvl w:val="0"/>
          <w:numId w:val="5"/>
        </w:num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履约保证金 </w:t>
      </w:r>
      <w:r/>
    </w:p>
    <w:p>
      <w:pPr>
        <w:ind w:left="0" w:firstLine="360"/>
        <w:spacing w:line="360" w:lineRule="auto"/>
        <w:rPr>
          <w:rFonts w:hint="eastAsia" w:ascii="宋体" w:hAnsi="宋体" w:eastAsia="宋体" w:cs="宋体"/>
          <w:b w:val="0"/>
          <w:color w:val="auto"/>
          <w:sz w:val="24"/>
          <w:szCs w:val="24"/>
          <w:u w:val="none"/>
          <w:lang w:val="en-US" w:eastAsia="zh-CN"/>
        </w:rPr>
      </w:pPr>
      <w:r>
        <w:rPr>
          <w:rFonts w:hint="eastAsia" w:ascii="宋体" w:hAnsi="宋体" w:eastAsia="宋体" w:cs="宋体"/>
          <w:b w:val="0"/>
          <w:color w:val="auto"/>
          <w:sz w:val="24"/>
          <w:szCs w:val="24"/>
          <w:u w:val="none"/>
          <w:lang w:val="en-US" w:eastAsia="zh-CN"/>
        </w:rPr>
        <w:t xml:space="preserve">本项目无履约保证金</w:t>
      </w:r>
      <w:r>
        <w:rPr>
          <w:rFonts w:hint="eastAsia" w:ascii="宋体" w:hAnsi="宋体" w:eastAsia="宋体" w:cs="宋体"/>
          <w:b w:val="0"/>
          <w:sz w:val="24"/>
          <w:szCs w:val="24"/>
          <w:u w:val="none"/>
          <w:lang w:val="en-US" w:eastAsia="zh-CN"/>
        </w:rPr>
        <w:t xml:space="preserve">。</w:t>
      </w:r>
      <w:r/>
    </w:p>
    <w:p>
      <w:p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第七条  合同履行期</w:t>
      </w:r>
      <w:r/>
    </w:p>
    <w:p>
      <w:p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color w:val="000000"/>
          <w:sz w:val="24"/>
          <w:szCs w:val="24"/>
          <w:u w:val="none"/>
        </w:rPr>
        <w:t xml:space="preserve">合同履行期【】年，从     年    月   日至     年  月    日止。</w:t>
      </w:r>
      <w:r/>
    </w:p>
    <w:p>
      <w:pPr>
        <w:ind w:left="-61" w:firstLine="588"/>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第八条 验收标准</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1．根据国家有关规定、甲方招标文件的要求、乙方的投标文件的承诺以及合同约定的内容和验收标准进行验收。</w:t>
      </w:r>
      <w:r/>
    </w:p>
    <w:p>
      <w:pPr>
        <w:ind w:firstLine="480"/>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第九条　合同的变更、终止与转让</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1.按照《中华人民共和国政府采购法》第50条规定，本合同一经签订，甲乙双方不得擅自变更、中止或终止。</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2.乙方不得擅自转让其应履行的合同义务。</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3.双方除非事先得到对方的书面同意或本合同另有约定，任何一方不得将本合同项下的任何权利、义务、责任转让给任何第三方。</w:t>
      </w:r>
      <w:r/>
    </w:p>
    <w:p>
      <w:pPr>
        <w:ind w:left="560"/>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第十条  违约责任</w:t>
      </w:r>
      <w:r/>
    </w:p>
    <w:p>
      <w:pPr>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firstLine="588"/>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7.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firstLine="482"/>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第十一条　争议处理</w:t>
      </w:r>
      <w:r/>
    </w:p>
    <w:p>
      <w:pPr>
        <w:ind w:firstLine="480"/>
        <w:spacing w:line="360" w:lineRule="auto"/>
        <w:rPr>
          <w:rFonts w:hint="eastAsia" w:ascii="宋体" w:hAnsi="宋体" w:eastAsia="宋体" w:cs="宋体"/>
          <w:color w:val="000000" w:themeColor="text1"/>
          <w:sz w:val="24"/>
          <w:szCs w:val="24"/>
          <w:highlight w:val="yellow"/>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甲乙双方如对本合同约定条款的理解存在歧义或在本合同履行过程中发生争议，双方应友好协商解决，协商不能解决的，任何一方均同意甲方所在地人民法院提起诉讼。</w:t>
      </w:r>
      <w:r/>
    </w:p>
    <w:p>
      <w:pPr>
        <w:ind w:firstLine="482"/>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第十二条 不可抗力</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2"/>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第十三条 其他</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1.合同表一和合同附件是本合同不可分割的组成部分，与本合同具有同等法律效力。</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2.本合同未尽事宜，由甲乙双方负责人协商后达成书面补充协议，补充协议具备与本合同同等法律效力。</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3.对本合同内容的任何修改和变更需要用书面形式，并经双方签字盖章后生效。</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4.甲方是本合同唯一的合法缔约者，除甲方特别书面授权外，甲方子公司、分公司或者管理人员、雇员等盖章或签字，均不代表甲方意志，甲方不承担法律责任。</w:t>
      </w:r>
      <w:r/>
    </w:p>
    <w:p>
      <w:pPr>
        <w:ind w:firstLine="482"/>
        <w:spacing w:line="360" w:lineRule="auto"/>
        <w:rPr>
          <w:rFonts w:hint="eastAsia" w:ascii="宋体" w:hAnsi="宋体" w:eastAsia="宋体" w:cs="宋体"/>
          <w:b/>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第十四条　签订本合同依据</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1.甲方发出的采购文件、中标（成交）通知书；</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2.乙方提供的投标（响应）文件；</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3.投标承诺书。</w:t>
      </w:r>
      <w:r/>
    </w:p>
    <w:p>
      <w:pPr>
        <w:ind w:firstLine="482"/>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b/>
          <w:color w:val="000000" w:themeColor="text1"/>
          <w:sz w:val="24"/>
          <w:szCs w:val="24"/>
          <w:u w:val="none"/>
          <w14:textFill>
            <w14:solidFill>
              <w14:schemeClr w14:val="tx1"/>
            </w14:solidFill>
          </w14:textFill>
        </w:rPr>
        <w:t xml:space="preserve">第十五条　</w:t>
      </w:r>
      <w:r>
        <w:rPr>
          <w:rFonts w:hint="eastAsia" w:ascii="宋体" w:hAnsi="宋体" w:eastAsia="宋体" w:cs="宋体"/>
          <w:color w:val="000000" w:themeColor="text1"/>
          <w:sz w:val="24"/>
          <w:szCs w:val="24"/>
          <w:u w:val="none"/>
          <w14:textFill>
            <w14:solidFill>
              <w14:schemeClr w14:val="tx1"/>
            </w14:solidFill>
          </w14:textFill>
        </w:rPr>
        <w:t xml:space="preserve">本合同一式陆份，甲方肆份，乙方贰份。（如有需要可另增加）</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本合同自甲乙双方签字盖章后生效。</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附件1：售后服务具体事项</w:t>
      </w:r>
      <w:r/>
    </w:p>
    <w:p>
      <w:pPr>
        <w:ind w:firstLine="480"/>
        <w:spacing w:line="360" w:lineRule="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 xml:space="preserve">附件2：技术要求</w:t>
      </w:r>
      <w:r/>
    </w:p>
    <w:tbl>
      <w:tblPr>
        <w:tblStyle w:val="7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9"/>
        <w:gridCol w:w="4261"/>
      </w:tblGrid>
      <w:tr>
        <w:trPr>
          <w:cantSplit/>
          <w:trHeight w:val="936"/>
        </w:trPr>
        <w:tc>
          <w:tcPr>
            <w:tcW w:w="2499"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甲方（公章）</w:t>
            </w:r>
            <w:r/>
          </w:p>
          <w:p>
            <w:pPr>
              <w:ind w:firstLine="60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乙方（公章）</w:t>
            </w:r>
            <w:r/>
          </w:p>
          <w:p>
            <w:pPr>
              <w:ind w:firstLine="60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w:t>
            </w:r>
            <w:r/>
          </w:p>
        </w:tc>
      </w:tr>
      <w:tr>
        <w:trPr>
          <w:cantSplit/>
          <w:trHeight w:val="250"/>
        </w:trPr>
        <w:tc>
          <w:tcPr>
            <w:tcW w:w="2499"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 </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p>
        </w:tc>
      </w:tr>
      <w:tr>
        <w:trPr>
          <w:cantSplit/>
          <w:trHeight w:val="849"/>
        </w:trPr>
        <w:tc>
          <w:tcPr>
            <w:tcW w:w="2499"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法定代表人（或委托代理人）</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法定代表人（或委托代理人）</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w:t>
            </w:r>
            <w:r/>
          </w:p>
        </w:tc>
      </w:tr>
      <w:tr>
        <w:trPr>
          <w:cantSplit/>
          <w:trHeight w:val="423"/>
        </w:trPr>
        <w:tc>
          <w:tcPr>
            <w:tcW w:w="2499" w:type="pct"/>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tc>
      </w:tr>
      <w:tr>
        <w:trPr>
          <w:cantSplit/>
          <w:trHeight w:val="653"/>
        </w:trPr>
        <w:tc>
          <w:tcPr>
            <w:tcW w:w="2499" w:type="pct"/>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开户银行：</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开户银行：</w:t>
            </w:r>
            <w:r/>
          </w:p>
        </w:tc>
      </w:tr>
      <w:tr>
        <w:trPr>
          <w:cantSplit/>
          <w:trHeight w:val="423"/>
        </w:trPr>
        <w:tc>
          <w:tcPr>
            <w:tcW w:w="2499" w:type="pct"/>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账号：</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账号：</w:t>
            </w:r>
            <w:r/>
          </w:p>
        </w:tc>
      </w:tr>
      <w:tr>
        <w:trPr>
          <w:cantSplit/>
          <w:trHeight w:val="421"/>
        </w:trPr>
        <w:tc>
          <w:tcPr>
            <w:tcW w:w="2499" w:type="pct"/>
            <w:vAlign w:val="center"/>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邮政编码：</w:t>
            </w:r>
            <w:r/>
          </w:p>
        </w:tc>
        <w:tc>
          <w:tcPr>
            <w:tcW w:w="2500" w:type="pct"/>
            <w:vAlign w:val="center"/>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邮政编码：</w:t>
            </w:r>
            <w:r/>
          </w:p>
        </w:tc>
      </w:tr>
    </w:tbl>
    <w:p>
      <w:pPr>
        <w:jc w:val="left"/>
        <w:spacing w:before="0" w:after="0" w:line="240" w:lineRule="auto"/>
        <w:rPr>
          <w:rFonts w:hint="eastAsia" w:ascii="黑体" w:hAnsi="Courier New" w:eastAsia="黑体" w:cs="Courier New"/>
          <w:bCs/>
          <w:sz w:val="44"/>
          <w:szCs w:val="21"/>
        </w:rPr>
      </w:pPr>
      <w:r>
        <w:rPr>
          <w:rFonts w:hint="eastAsia" w:ascii="黑体" w:hAnsi="Courier New" w:eastAsia="黑体" w:cs="Courier New"/>
          <w:bCs/>
          <w:sz w:val="44"/>
          <w:szCs w:val="21"/>
        </w:rPr>
        <w:br w:type="page" w:clear="all"/>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49"/>
      <w:r>
        <w:rPr>
          <w:rFonts w:hint="eastAsia" w:ascii="黑体" w:hAnsi="Courier New" w:eastAsia="黑体" w:cs="Courier New"/>
          <w:bCs/>
          <w:sz w:val="44"/>
          <w:szCs w:val="21"/>
        </w:rPr>
        <w:t xml:space="preserve">四章 采购需求</w:t>
      </w:r>
      <w:bookmarkEnd w:id="150"/>
      <w:r/>
      <w:bookmarkEnd w:id="151"/>
      <w:r/>
      <w:bookmarkEnd w:id="152"/>
      <w:r/>
      <w:bookmarkStart w:id="155" w:name="_Toc49090575"/>
      <w:r/>
      <w:bookmarkStart w:id="156" w:name="_Toc26554093"/>
      <w:r/>
      <w:r/>
    </w:p>
    <w:p>
      <w:pPr>
        <w:jc w:val="left"/>
        <w:spacing w:before="187" w:after="187"/>
        <w:rPr>
          <w:rFonts w:hint="eastAsia" w:ascii="宋体" w:hAnsi="宋体" w:eastAsia="宋体" w:cs="宋体"/>
          <w:sz w:val="24"/>
          <w:szCs w:val="24"/>
        </w:rPr>
      </w:pPr>
      <w:r>
        <w:rPr>
          <w:rFonts w:hint="eastAsia" w:ascii="宋体" w:hAnsi="宋体" w:eastAsia="宋体" w:cs="宋体"/>
          <w:b/>
          <w:color w:val="000000"/>
          <w:sz w:val="24"/>
          <w:szCs w:val="24"/>
        </w:rPr>
        <w:t xml:space="preserve">第一部分 采购清单</w:t>
      </w:r>
      <w:r/>
    </w:p>
    <w:tbl>
      <w:tblPr>
        <w:tblStyle w:val="728"/>
        <w:tblW w:w="9149" w:type="dxa"/>
        <w:tblInd w:w="-258"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2111"/>
        <w:gridCol w:w="1036"/>
        <w:gridCol w:w="1719"/>
        <w:gridCol w:w="602"/>
        <w:gridCol w:w="614"/>
        <w:gridCol w:w="1104"/>
        <w:gridCol w:w="1307"/>
      </w:tblGrid>
      <w:tr>
        <w:trPr>
          <w:gridAfter w:val="6"/>
          <w:trHeight w:val="570"/>
        </w:trPr>
        <w:tc>
          <w:tcPr>
            <w:gridSpan w:val="2"/>
            <w:shd w:val="clear" w:color="auto" w:fill="ffffff"/>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276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
                <w:color w:val="000000"/>
                <w:sz w:val="24"/>
                <w:szCs w:val="24"/>
              </w:rPr>
              <w:t xml:space="preserve">报价形式:</w:t>
            </w:r>
            <w:r>
              <w:rPr>
                <w:rFonts w:hint="eastAsia" w:ascii="宋体" w:hAnsi="宋体" w:eastAsia="宋体" w:cs="宋体"/>
                <w:color w:val="000000"/>
                <w:sz w:val="24"/>
                <w:szCs w:val="24"/>
              </w:rPr>
              <w:t xml:space="preserve">☑总价 ☐单价 ☐下浮率 ☐费率 ☐其他 </w:t>
            </w:r>
            <w:r/>
          </w:p>
        </w:tc>
      </w:tr>
      <w:tr>
        <w:trPr>
          <w:jc w:val="center"/>
          <w:trHeight w:val="54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65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序号</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2111"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服务内容</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103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服务期限</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1719"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完成标准</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单位</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614"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数量</w:t>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1104"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服务费</w:t>
            </w:r>
            <w:r/>
          </w:p>
          <w:p>
            <w:pPr>
              <w:jc w:val="center"/>
              <w:spacing w:before="0" w:after="0"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单价(元)</w:t>
            </w:r>
            <w:r/>
          </w:p>
        </w:tc>
        <w:tc>
          <w:tcPr>
            <w:tcBorders>
              <w:top w:val="single" w:color="000000" w:sz="12" w:space="0"/>
              <w:left w:val="single" w:color="000000" w:sz="6" w:space="0"/>
              <w:bottom w:val="none" w:color="000000" w:sz="4" w:space="0"/>
              <w:right w:val="single" w:color="000000" w:sz="12" w:space="0"/>
            </w:tcBorders>
            <w:tcMar>
              <w:left w:w="20" w:type="dxa"/>
              <w:top w:w="20" w:type="dxa"/>
              <w:right w:w="20" w:type="dxa"/>
              <w:bottom w:w="20" w:type="dxa"/>
            </w:tcMar>
            <w:tcW w:w="1307"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服务费估价（元）</w:t>
            </w:r>
            <w:r/>
          </w:p>
        </w:tc>
      </w:tr>
      <w:tr>
        <w:trPr>
          <w:jc w:val="center"/>
          <w:trHeight w:val="36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2111"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教育科研网IPv4出口带宽300M</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03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2年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719"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按服务内容提供阶段性服务小结</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104" w:type="dxa"/>
            <w:vAlign w:val="center"/>
            <w:textDirection w:val="lrTb"/>
            <w:noWrap w:val="false"/>
          </w:tcPr>
          <w:p>
            <w:pPr>
              <w:jc w:val="righ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Mar>
              <w:left w:w="20" w:type="dxa"/>
              <w:top w:w="20" w:type="dxa"/>
              <w:right w:w="20" w:type="dxa"/>
              <w:bottom w:w="20" w:type="dxa"/>
            </w:tcMar>
            <w:tcW w:w="1307" w:type="dxa"/>
            <w:vAlign w:val="center"/>
            <w:textDirection w:val="lrTb"/>
            <w:noWrap w:val="false"/>
          </w:tcPr>
          <w:p>
            <w:pPr>
              <w:jc w:val="right"/>
              <w:spacing w:line="234"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6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2111"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教育科研网国际带宽配额150M</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03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2年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719"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按服务内容提供阶段性服务小结</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104" w:type="dxa"/>
            <w:vAlign w:val="center"/>
            <w:textDirection w:val="lrTb"/>
            <w:noWrap w:val="false"/>
          </w:tcPr>
          <w:p>
            <w:pPr>
              <w:jc w:val="righ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Mar>
              <w:left w:w="20" w:type="dxa"/>
              <w:top w:w="20" w:type="dxa"/>
              <w:right w:w="20" w:type="dxa"/>
              <w:bottom w:w="20" w:type="dxa"/>
            </w:tcMar>
            <w:tcW w:w="1307" w:type="dxa"/>
            <w:vAlign w:val="center"/>
            <w:textDirection w:val="lrTb"/>
            <w:noWrap w:val="false"/>
          </w:tcPr>
          <w:p>
            <w:pPr>
              <w:jc w:val="right"/>
              <w:spacing w:line="234"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6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2111"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IPv4地址40C（10240个）</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03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2年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719"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按服务内容提供阶段性服务小结</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104" w:type="dxa"/>
            <w:vAlign w:val="center"/>
            <w:textDirection w:val="lrTb"/>
            <w:noWrap w:val="false"/>
          </w:tcPr>
          <w:p>
            <w:pPr>
              <w:jc w:val="righ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Mar>
              <w:left w:w="20" w:type="dxa"/>
              <w:top w:w="20" w:type="dxa"/>
              <w:right w:w="20" w:type="dxa"/>
              <w:bottom w:w="20" w:type="dxa"/>
            </w:tcMar>
            <w:tcW w:w="1307" w:type="dxa"/>
            <w:vAlign w:val="center"/>
            <w:textDirection w:val="lrTb"/>
            <w:noWrap w:val="false"/>
          </w:tcPr>
          <w:p>
            <w:pPr>
              <w:jc w:val="right"/>
              <w:spacing w:line="234"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6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2111"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一个edu.cn域名</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03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2年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719"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按服务内容提供阶段性服务小结</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104" w:type="dxa"/>
            <w:vAlign w:val="center"/>
            <w:textDirection w:val="lrTb"/>
            <w:noWrap w:val="false"/>
          </w:tcPr>
          <w:p>
            <w:pPr>
              <w:jc w:val="righ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Mar>
              <w:left w:w="20" w:type="dxa"/>
              <w:top w:w="20" w:type="dxa"/>
              <w:right w:w="20" w:type="dxa"/>
              <w:bottom w:w="20" w:type="dxa"/>
            </w:tcMar>
            <w:tcW w:w="1307" w:type="dxa"/>
            <w:vAlign w:val="center"/>
            <w:textDirection w:val="lrTb"/>
            <w:noWrap w:val="false"/>
          </w:tcPr>
          <w:p>
            <w:pPr>
              <w:jc w:val="right"/>
              <w:spacing w:line="234"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6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2111"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IPv6 接入IP地址段（::/48）</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036" w:type="dxa"/>
            <w:vAlign w:val="center"/>
            <w:textDirection w:val="lrTb"/>
            <w:noWrap w:val="false"/>
          </w:tcPr>
          <w:p>
            <w:pPr>
              <w:jc w:val="center"/>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2年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719" w:type="dxa"/>
            <w:vAlign w:val="center"/>
            <w:textDirection w:val="lrTb"/>
            <w:noWrap w:val="false"/>
          </w:tcPr>
          <w:p>
            <w:pPr>
              <w:jc w:val="left"/>
              <w:spacing w:line="273" w:lineRule="exact"/>
              <w:rPr>
                <w:rFonts w:hint="eastAsia" w:ascii="宋体" w:hAnsi="宋体" w:eastAsia="宋体" w:cs="宋体"/>
                <w:sz w:val="24"/>
                <w:szCs w:val="24"/>
              </w:rPr>
            </w:pPr>
            <w:r>
              <w:rPr>
                <w:rFonts w:hint="eastAsia" w:ascii="宋体" w:hAnsi="宋体" w:eastAsia="宋体" w:cs="宋体"/>
                <w:color w:val="000000"/>
                <w:sz w:val="24"/>
                <w:szCs w:val="24"/>
              </w:rPr>
              <w:t xml:space="preserve">按服务内容提供阶段性服务小结</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年</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1104" w:type="dxa"/>
            <w:vAlign w:val="center"/>
            <w:textDirection w:val="lrTb"/>
            <w:noWrap w:val="false"/>
          </w:tcPr>
          <w:p>
            <w:pPr>
              <w:jc w:val="righ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Mar>
              <w:left w:w="20" w:type="dxa"/>
              <w:top w:w="20" w:type="dxa"/>
              <w:right w:w="20" w:type="dxa"/>
              <w:bottom w:w="20" w:type="dxa"/>
            </w:tcMar>
            <w:tcW w:w="1307" w:type="dxa"/>
            <w:vAlign w:val="center"/>
            <w:textDirection w:val="lrTb"/>
            <w:noWrap w:val="false"/>
          </w:tcPr>
          <w:p>
            <w:pPr>
              <w:jc w:val="right"/>
              <w:spacing w:line="234"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60"/>
        </w:trPr>
        <w:tc>
          <w:tcPr>
            <w:tcBorders>
              <w:top w:val="single" w:color="000000" w:sz="6" w:space="0"/>
              <w:left w:val="single" w:color="000000" w:sz="12" w:space="0"/>
              <w:bottom w:val="single" w:color="000000" w:sz="12" w:space="0"/>
              <w:right w:val="none" w:color="000000" w:sz="4" w:space="0"/>
            </w:tcBorders>
            <w:tcMar>
              <w:left w:w="20" w:type="dxa"/>
              <w:top w:w="20" w:type="dxa"/>
              <w:right w:w="20" w:type="dxa"/>
              <w:bottom w:w="20" w:type="dxa"/>
            </w:tcMar>
            <w:tcW w:w="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合计</w:t>
            </w:r>
            <w:r/>
          </w:p>
        </w:tc>
        <w:tc>
          <w:tcPr>
            <w:tcBorders>
              <w:top w:val="single" w:color="000000" w:sz="6" w:space="0"/>
              <w:left w:val="single" w:color="000000" w:sz="6" w:space="0"/>
              <w:bottom w:val="single" w:color="000000" w:sz="12" w:space="0"/>
              <w:right w:val="none" w:color="000000" w:sz="4" w:space="0"/>
            </w:tcBorders>
            <w:tcMar>
              <w:left w:w="20" w:type="dxa"/>
              <w:top w:w="20" w:type="dxa"/>
              <w:right w:w="20" w:type="dxa"/>
              <w:bottom w:w="20" w:type="dxa"/>
            </w:tcMar>
            <w:tcW w:w="211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none" w:color="000000" w:sz="4" w:space="0"/>
            </w:tcBorders>
            <w:tcMar>
              <w:left w:w="20" w:type="dxa"/>
              <w:top w:w="20" w:type="dxa"/>
              <w:right w:w="20" w:type="dxa"/>
              <w:bottom w:w="20" w:type="dxa"/>
            </w:tcMar>
            <w:tcW w:w="103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none" w:color="000000" w:sz="4" w:space="0"/>
            </w:tcBorders>
            <w:tcMar>
              <w:left w:w="20" w:type="dxa"/>
              <w:top w:w="20" w:type="dxa"/>
              <w:right w:w="20" w:type="dxa"/>
              <w:bottom w:w="20" w:type="dxa"/>
            </w:tcMar>
            <w:tcW w:w="17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none" w:color="000000" w:sz="4" w:space="0"/>
            </w:tcBorders>
            <w:tcMar>
              <w:left w:w="20" w:type="dxa"/>
              <w:top w:w="20" w:type="dxa"/>
              <w:right w:w="20" w:type="dxa"/>
              <w:bottom w:w="20" w:type="dxa"/>
            </w:tcMar>
            <w:tcW w:w="60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none" w:color="000000" w:sz="4" w:space="0"/>
            </w:tcBorders>
            <w:tcMar>
              <w:left w:w="20" w:type="dxa"/>
              <w:top w:w="20" w:type="dxa"/>
              <w:right w:w="20" w:type="dxa"/>
              <w:bottom w:w="20" w:type="dxa"/>
            </w:tcMar>
            <w:tcW w:w="61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none" w:color="000000" w:sz="4" w:space="0"/>
            </w:tcBorders>
            <w:tcMar>
              <w:left w:w="20" w:type="dxa"/>
              <w:top w:w="20" w:type="dxa"/>
              <w:right w:w="20" w:type="dxa"/>
              <w:bottom w:w="20" w:type="dxa"/>
            </w:tcMar>
            <w:tcW w:w="110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Mar>
              <w:left w:w="20" w:type="dxa"/>
              <w:top w:w="20" w:type="dxa"/>
              <w:right w:w="20" w:type="dxa"/>
              <w:bottom w:w="20" w:type="dxa"/>
            </w:tcMar>
            <w:tcW w:w="1307" w:type="dxa"/>
            <w:vAlign w:val="center"/>
            <w:textDirection w:val="lrTb"/>
            <w:noWrap w:val="false"/>
          </w:tcPr>
          <w:p>
            <w:pPr>
              <w:jc w:val="right"/>
              <w:rPr>
                <w:rFonts w:hint="eastAsia" w:ascii="宋体" w:hAnsi="宋体" w:eastAsia="宋体" w:cs="宋体"/>
                <w:sz w:val="24"/>
                <w:szCs w:val="24"/>
              </w:rPr>
            </w:pPr>
            <w:r>
              <w:rPr>
                <w:rFonts w:hint="eastAsia" w:ascii="宋体" w:hAnsi="宋体" w:eastAsia="宋体" w:cs="宋体"/>
                <w:sz w:val="24"/>
                <w:szCs w:val="24"/>
              </w:rPr>
            </w:r>
            <w:r/>
          </w:p>
        </w:tc>
      </w:tr>
    </w:tbl>
    <w:p>
      <w:pPr>
        <w:spacing w:before="0" w:after="0" w:line="120" w:lineRule="exact"/>
        <w:rPr>
          <w:rFonts w:hint="eastAsia" w:ascii="宋体" w:hAnsi="宋体" w:eastAsia="宋体" w:cs="宋体"/>
          <w:sz w:val="24"/>
          <w:szCs w:val="24"/>
        </w:rPr>
      </w:pPr>
      <w:r>
        <w:rPr>
          <w:rFonts w:hint="eastAsia" w:ascii="宋体" w:hAnsi="宋体" w:eastAsia="宋体" w:cs="宋体"/>
          <w:sz w:val="24"/>
          <w:szCs w:val="24"/>
        </w:rPr>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第二部分 技术参数（标准）</w:t>
      </w:r>
      <w:r/>
    </w:p>
    <w:p>
      <w:pPr>
        <w:ind w:firstLine="480"/>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包括但不限于：主要用途、技术方案（配置）、工艺要求、技术指标、技术规格以及相关图纸等。</w:t>
      </w:r>
      <w:r/>
    </w:p>
    <w:p>
      <w:pPr>
        <w:ind w:firstLine="480"/>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提供持续且稳定的中国教育科研网接入服务，包括且不限于：国内国际带宽质量保障；edu.cn域名服务；IPv6接入服务。</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第三部分 服务要求</w:t>
      </w:r>
      <w:r/>
    </w:p>
    <w:p>
      <w:pPr>
        <w:jc w:val="left"/>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cs="宋体"/>
          <w:color w:val="000000"/>
          <w:sz w:val="24"/>
          <w:szCs w:val="24"/>
          <w:lang w:val="en-US" w:eastAsia="zh-CN"/>
        </w:rPr>
        <w:t xml:space="preserve">主要涉及提供</w:t>
      </w:r>
      <w:r>
        <w:rPr>
          <w:rFonts w:hint="eastAsia" w:ascii="宋体" w:hAnsi="宋体" w:eastAsia="宋体" w:cs="宋体"/>
          <w:color w:val="000000"/>
          <w:sz w:val="24"/>
          <w:szCs w:val="24"/>
        </w:rPr>
        <w:t xml:space="preserve">配套服务、增值服务、维保服务等</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具体如下：</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（1）向南京财经大学提供中国教育和科研计算机网CERNET接入服务，协助南京财经大学办理接入线路租赁、设备采购和系统调试等。</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（2）负责对中国教育和科研计算机网CERNET接入线路进行监测和必要日常维护。</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（3）由于线路检修、设备搬迁、工程割接、网络及软件升级等可预见的原因，影响或可能影响南京财经大学使用</w:t>
      </w:r>
      <w:r>
        <w:rPr>
          <w:rFonts w:hint="eastAsia" w:ascii="宋体" w:hAnsi="宋体" w:cs="宋体"/>
          <w:color w:val="000000"/>
          <w:sz w:val="24"/>
          <w:szCs w:val="24"/>
          <w:lang w:val="en-US" w:eastAsia="zh-CN"/>
        </w:rPr>
        <w:t xml:space="preserve">中国</w:t>
      </w:r>
      <w:r>
        <w:rPr>
          <w:rFonts w:hint="eastAsia" w:ascii="宋体" w:hAnsi="宋体" w:eastAsia="宋体" w:cs="宋体"/>
          <w:color w:val="000000"/>
          <w:sz w:val="24"/>
          <w:szCs w:val="24"/>
        </w:rPr>
        <w:t xml:space="preserve">教育</w:t>
      </w:r>
      <w:r>
        <w:rPr>
          <w:rFonts w:hint="eastAsia" w:ascii="宋体" w:hAnsi="宋体" w:cs="宋体"/>
          <w:color w:val="000000"/>
          <w:sz w:val="24"/>
          <w:szCs w:val="24"/>
          <w:lang w:val="en-US" w:eastAsia="zh-CN"/>
        </w:rPr>
        <w:t xml:space="preserve">和</w:t>
      </w:r>
      <w:r>
        <w:rPr>
          <w:rFonts w:hint="eastAsia" w:ascii="宋体" w:hAnsi="宋体" w:cs="宋体"/>
          <w:color w:val="000000"/>
          <w:sz w:val="24"/>
          <w:szCs w:val="24"/>
        </w:rPr>
        <w:t xml:space="preserve">科研计算机</w:t>
      </w:r>
      <w:r>
        <w:rPr>
          <w:rFonts w:hint="eastAsia" w:ascii="宋体" w:hAnsi="宋体" w:eastAsia="宋体" w:cs="宋体"/>
          <w:color w:val="000000"/>
          <w:sz w:val="24"/>
          <w:szCs w:val="24"/>
        </w:rPr>
        <w:t xml:space="preserve">网接入服务的，应提前72小时通知南京财经大学。</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负责</w:t>
      </w:r>
      <w:r>
        <w:rPr>
          <w:rFonts w:hint="eastAsia" w:ascii="宋体" w:hAnsi="宋体" w:eastAsia="宋体" w:cs="宋体"/>
          <w:color w:val="000000"/>
          <w:sz w:val="24"/>
          <w:szCs w:val="24"/>
        </w:rPr>
        <w:t xml:space="preserve">协调有关各方完成对南京财经大学接入中国教育和科研计算机网CERNET的相关调试工作，开通网络。</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维护网络畅通，保障南京财经大学能够正常使用中国教育和科研计算机网CERNET接入服务。</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（6）向南京财经大学免费提供不少于::/48的IPv6地址，2^80(2的80次方)个及以上的地址，并提供原有IP地址的平滑迁移服务，提供对IPv6支持度的持续检测服务并给出排查改进建议。</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（7）向南京财经大学提供 “edu.cn”的顶级域名解析服务。</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（8）提供相应的</w:t>
      </w:r>
      <w:r>
        <w:rPr>
          <w:rFonts w:hint="eastAsia" w:ascii="宋体" w:hAnsi="宋体" w:cs="宋体"/>
          <w:color w:val="000000"/>
          <w:sz w:val="24"/>
          <w:szCs w:val="24"/>
          <w:lang w:val="en-US" w:eastAsia="zh-CN"/>
        </w:rPr>
        <w:t xml:space="preserve">接入</w:t>
      </w:r>
      <w:r>
        <w:rPr>
          <w:rFonts w:hint="eastAsia" w:ascii="宋体" w:hAnsi="宋体" w:eastAsia="宋体" w:cs="宋体"/>
          <w:color w:val="000000"/>
          <w:sz w:val="24"/>
          <w:szCs w:val="24"/>
        </w:rPr>
        <w:t xml:space="preserve">拓扑示意图，将南京财经大学</w:t>
      </w:r>
      <w:r>
        <w:rPr>
          <w:rFonts w:hint="eastAsia" w:ascii="宋体" w:hAnsi="宋体" w:cs="宋体"/>
          <w:color w:val="000000"/>
          <w:sz w:val="24"/>
          <w:szCs w:val="24"/>
          <w:lang w:val="en-US" w:eastAsia="zh-CN"/>
        </w:rPr>
        <w:t xml:space="preserve">网络</w:t>
      </w:r>
      <w:r>
        <w:rPr>
          <w:rFonts w:hint="eastAsia" w:ascii="宋体" w:hAnsi="宋体" w:eastAsia="宋体" w:cs="宋体"/>
          <w:color w:val="000000"/>
          <w:sz w:val="24"/>
          <w:szCs w:val="24"/>
        </w:rPr>
        <w:t xml:space="preserve">出口接入城域网主干</w:t>
      </w:r>
      <w:r>
        <w:rPr>
          <w:rFonts w:hint="eastAsia" w:ascii="宋体" w:hAnsi="宋体" w:cs="宋体"/>
          <w:color w:val="000000"/>
          <w:sz w:val="24"/>
          <w:szCs w:val="24"/>
          <w:lang w:val="en-US" w:eastAsia="zh-CN"/>
        </w:rPr>
        <w:t xml:space="preserve">网的</w:t>
      </w:r>
      <w:r>
        <w:rPr>
          <w:rFonts w:hint="eastAsia" w:ascii="宋体" w:hAnsi="宋体" w:eastAsia="宋体" w:cs="宋体"/>
          <w:color w:val="000000"/>
          <w:sz w:val="24"/>
          <w:szCs w:val="24"/>
        </w:rPr>
        <w:t xml:space="preserve">可接入链路入口，</w:t>
      </w:r>
      <w:r>
        <w:rPr>
          <w:rFonts w:hint="eastAsia" w:ascii="宋体" w:hAnsi="宋体" w:eastAsia="宋体" w:cs="宋体"/>
          <w:color w:val="000000"/>
          <w:sz w:val="24"/>
          <w:szCs w:val="24"/>
        </w:rPr>
        <w:t xml:space="preserve">保证南京财经大学的链路稳定性及纯独享带宽。</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（9）南京财经大学提供校园网光纤接入端口，供应商免费提供其余所有互联设备及材料。同时，供应商承担所有接入产生的费用，包括光缆施工、初装、割接、调试等。</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（10）向南京财经大学提供支持静态接入和BGP动态路由接入，并可发布全球路由表。</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（11）需提供质量保证承诺及维修响应承诺，提供7*24小时免费专业技术保障，确保在专线出现故障时30分钟内</w:t>
      </w:r>
      <w:r>
        <w:rPr>
          <w:rFonts w:hint="eastAsia" w:ascii="宋体" w:hAnsi="宋体" w:cs="宋体"/>
          <w:color w:val="000000"/>
          <w:sz w:val="24"/>
          <w:szCs w:val="24"/>
          <w:lang w:val="en-US" w:eastAsia="zh-CN"/>
        </w:rPr>
        <w:t xml:space="preserve">响应</w:t>
      </w:r>
      <w:r>
        <w:rPr>
          <w:rFonts w:hint="eastAsia" w:ascii="宋体" w:hAnsi="宋体" w:eastAsia="宋体" w:cs="宋体"/>
          <w:color w:val="000000"/>
          <w:sz w:val="24"/>
          <w:szCs w:val="24"/>
        </w:rPr>
        <w:t xml:space="preserve">，并在1小时内排除故障，故障处理后进行相应的回访。</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第四部分 验收标准</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兑现承诺的服务内容，根据服务内容提供盖有公章的阶段性服务归纳小结。</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第五部分 付款方式</w:t>
      </w:r>
      <w:r/>
    </w:p>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本项目服务期2年，每年</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月支付总合</w:t>
      </w:r>
      <w:bookmarkStart w:id="167" w:name="_GoBack"/>
      <w:r/>
      <w:bookmarkEnd w:id="167"/>
      <w:r>
        <w:rPr>
          <w:rFonts w:hint="eastAsia" w:ascii="宋体" w:hAnsi="宋体" w:eastAsia="宋体" w:cs="宋体"/>
          <w:color w:val="000000"/>
          <w:sz w:val="24"/>
          <w:szCs w:val="24"/>
        </w:rPr>
        <w:t xml:space="preserve">同款的50％。</w:t>
      </w:r>
      <w:r/>
    </w:p>
    <w:p>
      <w:pPr>
        <w:keepLines w:val="0"/>
        <w:keepNext w:val="0"/>
        <w:pageBreakBefore w:val="0"/>
        <w:spacing w:line="500" w:lineRule="exact"/>
        <w:widowControl w:val="off"/>
        <w:rPr>
          <w:rFonts w:hint="eastAsia" w:ascii="宋体" w:hAnsi="宋体"/>
          <w:b/>
          <w:color w:val="000000"/>
          <w:sz w:val="24"/>
          <w:szCs w:val="24"/>
        </w:rPr>
      </w:pPr>
      <w:r>
        <w:rPr>
          <w:rFonts w:hint="eastAsia" w:ascii="宋体" w:hAnsi="宋体"/>
          <w:b/>
          <w:color w:val="000000"/>
          <w:sz w:val="24"/>
          <w:szCs w:val="24"/>
          <w:lang w:val="en-US" w:eastAsia="zh-CN"/>
        </w:rPr>
        <w:t xml:space="preserve">第六部分 </w:t>
      </w:r>
      <w:r>
        <w:rPr>
          <w:rFonts w:ascii="宋体" w:hAnsi="宋体"/>
          <w:b/>
          <w:color w:val="000000"/>
          <w:sz w:val="24"/>
          <w:szCs w:val="24"/>
        </w:rPr>
        <w:t xml:space="preserve">其他要求</w:t>
      </w:r>
      <w:r/>
    </w:p>
    <w:p>
      <w:pPr>
        <w:ind w:firstLine="480"/>
        <w:keepLines w:val="0"/>
        <w:keepNext w:val="0"/>
        <w:pageBreakBefore w:val="0"/>
        <w:spacing w:line="500" w:lineRule="exact"/>
        <w:widowControl w:val="off"/>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参与单一来源采购</w:t>
      </w:r>
      <w:r/>
    </w:p>
    <w:tbl>
      <w:tblPr>
        <w:tblStyle w:val="728"/>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号</w:t>
            </w:r>
            <w:r/>
          </w:p>
        </w:tc>
        <w:tc>
          <w:tcPr>
            <w:tcW w:w="3094"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是否接受</w:t>
            </w:r>
            <w:r>
              <w:rPr>
                <w:rFonts w:ascii="宋体" w:hAnsi="宋体"/>
                <w:sz w:val="24"/>
                <w:szCs w:val="24"/>
              </w:rPr>
              <w:t xml:space="preserve">进口产品</w:t>
            </w:r>
            <w:r>
              <w:rPr>
                <w:rFonts w:hint="eastAsia" w:ascii="宋体" w:hAnsi="宋体"/>
                <w:sz w:val="24"/>
                <w:szCs w:val="24"/>
              </w:rPr>
              <w:t xml:space="preserve">参与单一来源采购（是/否）</w:t>
            </w:r>
            <w:r/>
          </w:p>
        </w:tc>
      </w:tr>
      <w:tr>
        <w:trPr/>
        <w:tc>
          <w:tcPr>
            <w:tcW w:w="1148" w:type="dxa"/>
            <w:vAlign w:val="top"/>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3094" w:type="dxa"/>
            <w:vAlign w:val="top"/>
            <w:textDirection w:val="lrTb"/>
            <w:noWrap w:val="false"/>
          </w:tcPr>
          <w:p>
            <w:pPr>
              <w:jc w:val="center"/>
              <w:rPr>
                <w:rFonts w:hint="eastAsia" w:ascii="宋体" w:hAnsi="宋体"/>
                <w:sz w:val="24"/>
                <w:szCs w:val="24"/>
              </w:rPr>
            </w:pPr>
            <w:r>
              <w:rPr>
                <w:rFonts w:hint="eastAsia" w:ascii="宋体" w:hAnsi="宋体"/>
                <w:sz w:val="24"/>
                <w:szCs w:val="24"/>
              </w:rPr>
              <w:t xml:space="preserve">否</w:t>
            </w:r>
            <w:r/>
          </w:p>
        </w:tc>
      </w:tr>
    </w:tbl>
    <w:p>
      <w:pPr>
        <w:ind w:firstLine="480"/>
        <w:spacing w:line="0" w:lineRule="atLeast"/>
        <w:rPr>
          <w:rFonts w:hint="eastAsia" w:ascii="宋体" w:hAnsi="宋体"/>
          <w:color w:val="ff0000"/>
          <w:sz w:val="24"/>
          <w:szCs w:val="21"/>
        </w:rPr>
      </w:pPr>
      <w:r>
        <w:rPr>
          <w:rFonts w:hint="eastAsia" w:ascii="宋体" w:hAnsi="宋体"/>
          <w:color w:val="ff0000"/>
          <w:sz w:val="24"/>
          <w:szCs w:val="21"/>
        </w:rPr>
      </w:r>
      <w:r/>
    </w:p>
    <w:p>
      <w:pPr>
        <w:spacing w:line="0" w:lineRule="atLeas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1"/>
        </w:rPr>
      </w:pPr>
      <w:r>
        <w:rPr>
          <w:rFonts w:hint="eastAsia" w:ascii="宋体" w:hAnsi="宋体"/>
          <w:sz w:val="24"/>
          <w:szCs w:val="21"/>
        </w:rPr>
      </w:r>
      <w:r/>
    </w:p>
    <w:p>
      <w:pPr>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pStyle w:val="749"/>
      </w:pPr>
      <w:r/>
      <w:bookmarkStart w:id="157" w:name="_Toc120614281"/>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55"/>
      <w:r/>
      <w:bookmarkEnd w:id="156"/>
      <w:r/>
      <w:bookmarkEnd w:id="157"/>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58" w:name="_Hlt26955039"/>
      <w:r/>
      <w:bookmarkEnd w:id="158"/>
      <w:r/>
      <w:bookmarkStart w:id="159" w:name="_Hlt26671244"/>
      <w:r/>
      <w:bookmarkEnd w:id="159"/>
      <w:r/>
      <w:bookmarkStart w:id="160" w:name="_Toc26554094"/>
      <w:r/>
      <w:bookmarkStart w:id="161" w:name="_Toc49090576"/>
      <w:r/>
      <w:bookmarkStart w:id="162"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left"/>
        <w:spacing w:line="240" w:lineRule="auto"/>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4.***（格式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w:t>
      </w:r>
      <w:r/>
    </w:p>
    <w:p>
      <w:pPr>
        <w:spacing w:line="400" w:lineRule="exact"/>
        <w:rPr>
          <w:rFonts w:hint="eastAsia" w:ascii="宋体" w:hAnsi="宋体"/>
          <w:sz w:val="24"/>
          <w:szCs w:val="21"/>
        </w:rPr>
      </w:pPr>
      <w:r>
        <w:rPr>
          <w:rFonts w:hint="eastAsia" w:ascii="宋体" w:hAnsi="宋体"/>
          <w:sz w:val="24"/>
          <w:szCs w:val="21"/>
        </w:rPr>
        <w:t xml:space="preserve">内至少一个月依法缴纳税收及缴纳社会保障资金的证明材料。供应商依法享受缓缴、免缴税收、社会保障资金的提供证明材料。）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p>
    <w:p>
      <w:pPr>
        <w:spacing w:line="400" w:lineRule="exact"/>
        <w:rPr>
          <w:rFonts w:hint="eastAsia" w:ascii="宋体" w:hAnsi="宋体"/>
          <w:sz w:val="24"/>
          <w:szCs w:val="21"/>
        </w:rPr>
      </w:pPr>
      <w:r>
        <w:rPr>
          <w:rFonts w:hint="eastAsia" w:ascii="宋体" w:hAnsi="宋体"/>
          <w:sz w:val="24"/>
          <w:szCs w:val="21"/>
        </w:rPr>
        <w:t xml:space="preserve">见</w:t>
      </w:r>
      <w:r>
        <w:rPr>
          <w:rFonts w:ascii="宋体" w:hAnsi="宋体"/>
          <w:sz w:val="24"/>
          <w:szCs w:val="21"/>
        </w:rPr>
        <w:t xml:space="preserve">附件5</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w:t>
      </w:r>
      <w:r>
        <w:rPr>
          <w:rFonts w:hint="eastAsia" w:ascii="宋体" w:hAnsi="宋体"/>
          <w:sz w:val="24"/>
          <w:szCs w:val="24"/>
          <w:lang w:val="en-US" w:eastAsia="zh-CN"/>
        </w:rPr>
        <w:t xml:space="preserve">6</w:t>
      </w:r>
      <w:r>
        <w:rPr>
          <w:rFonts w:hint="eastAsia" w:ascii="宋体" w:hAnsi="宋体"/>
          <w:sz w:val="24"/>
          <w:szCs w:val="24"/>
        </w:rPr>
        <w:t xml:space="preserve">条、8、9条供应商必须在响应文件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中提供相关材料，否则作无效响应处理</w:t>
      </w:r>
      <w:r>
        <w:rPr>
          <w:rFonts w:hint="eastAsia" w:ascii="宋体" w:hAnsi="宋体"/>
          <w:sz w:val="24"/>
          <w:szCs w:val="24"/>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spacing w:line="44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hint="eastAsia" w:ascii="宋体" w:hAnsi="宋体"/>
          <w:b/>
          <w:sz w:val="24"/>
          <w:szCs w:val="21"/>
        </w:rPr>
        <w:t xml:space="preserve">附件1 分项报价表（服务类项目）</w:t>
      </w:r>
      <w:r/>
    </w:p>
    <w:tbl>
      <w:tblPr>
        <w:tblStyle w:val="728"/>
        <w:tblW w:w="8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366"/>
        <w:gridCol w:w="1514"/>
        <w:gridCol w:w="1227"/>
        <w:gridCol w:w="682"/>
        <w:gridCol w:w="1391"/>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3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5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6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3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3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6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4" w:type="dxa"/>
            <w:vAlign w:val="center"/>
            <w:textDirection w:val="lrTb"/>
            <w:noWrap w:val="false"/>
          </w:tcPr>
          <w:p>
            <w:pPr>
              <w:jc w:val="center"/>
              <w:spacing w:line="0" w:lineRule="atLeast"/>
              <w:rPr>
                <w:rFonts w:ascii="宋体" w:hAnsi="宋体"/>
                <w:sz w:val="18"/>
                <w:szCs w:val="18"/>
              </w:rPr>
            </w:pPr>
            <w:r>
              <w:rPr>
                <w:rFonts w:hint="eastAsia" w:ascii="宋体" w:hAnsi="宋体"/>
                <w:sz w:val="18"/>
                <w:szCs w:val="18"/>
              </w:rPr>
              <w:t xml:space="preserve">合同签</w:t>
            </w:r>
            <w:r/>
          </w:p>
          <w:p>
            <w:pPr>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p>
        </w:tc>
        <w:tc>
          <w:tcPr>
            <w:tcW w:w="12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3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6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9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01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391"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ascii="宋体" w:hAnsi="宋体"/>
          <w:sz w:val="24"/>
          <w:szCs w:val="24"/>
        </w:rPr>
      </w:pPr>
      <w:r>
        <w:rPr>
          <w:rFonts w:hint="eastAsia" w:ascii="宋体" w:hAnsi="宋体"/>
          <w:sz w:val="24"/>
          <w:szCs w:val="24"/>
        </w:rPr>
        <w:t xml:space="preserve">备注： </w:t>
      </w:r>
      <w:r/>
    </w:p>
    <w:p>
      <w:pPr>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p>
    <w:p>
      <w:pPr>
        <w:spacing w:line="400" w:lineRule="exact"/>
        <w:rPr>
          <w:rFonts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rPr>
      </w:r>
      <w:r/>
    </w:p>
    <w:p>
      <w:pPr>
        <w:ind w:firstLine="480"/>
        <w:spacing w:line="440" w:lineRule="exact"/>
        <w:rPr>
          <w:rFonts w:ascii="宋体" w:hAnsi="宋体"/>
          <w:sz w:val="24"/>
          <w:szCs w:val="21"/>
        </w:rPr>
      </w:pPr>
      <w:r>
        <w:rPr>
          <w:rFonts w:ascii="宋体" w:hAnsi="宋体"/>
          <w:sz w:val="24"/>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实质性内容</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40" w:lineRule="exact"/>
        <w:rPr>
          <w:rFonts w:ascii="宋体" w:hAnsi="宋体"/>
          <w:sz w:val="24"/>
          <w:szCs w:val="21"/>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firstLine="480"/>
        <w:spacing w:line="440" w:lineRule="exact"/>
        <w:rPr>
          <w:rFonts w:ascii="宋体" w:hAnsi="宋体"/>
          <w:sz w:val="24"/>
          <w:szCs w:val="21"/>
        </w:rPr>
      </w:pPr>
      <w:r>
        <w:rPr>
          <w:rFonts w:ascii="宋体" w:hAnsi="宋体"/>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40" w:lineRule="exact"/>
        <w:rPr>
          <w:rFonts w:ascii="宋体" w:hAnsi="宋体"/>
          <w:sz w:val="24"/>
          <w:szCs w:val="21"/>
        </w:rPr>
      </w:pPr>
      <w:r>
        <w:rPr>
          <w:rFonts w:ascii="宋体" w:hAnsi="宋体"/>
          <w:sz w:val="24"/>
          <w:szCs w:val="21"/>
        </w:rPr>
      </w:r>
      <w:bookmarkEnd w:id="160"/>
      <w:r/>
      <w:bookmarkEnd w:id="161"/>
      <w:r/>
      <w:bookmarkEnd w:id="162"/>
      <w:r/>
      <w:r/>
    </w:p>
    <w:p>
      <w:pPr>
        <w:spacing w:line="460" w:lineRule="exact"/>
        <w:rPr>
          <w:rFonts w:hint="eastAsia" w:ascii="宋体" w:hAnsi="宋体"/>
          <w:bCs/>
          <w:sz w:val="24"/>
          <w:szCs w:val="21"/>
        </w:rPr>
      </w:pPr>
      <w:r/>
      <w:bookmarkStart w:id="163" w:name="_Toc120614284"/>
      <w:r/>
      <w:r/>
    </w:p>
    <w:p>
      <w:pPr>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480"/>
        <w:spacing w:line="0" w:lineRule="atLeast"/>
        <w:tabs>
          <w:tab w:val="left" w:pos="360" w:leader="none"/>
        </w:tabs>
        <w:rPr>
          <w:rFonts w:hint="eastAsia"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64" w:name="_Hlt26671380"/>
      <w:r/>
      <w:bookmarkEnd w:id="164"/>
      <w:r/>
      <w:bookmarkStart w:id="165" w:name="_Hlt26955070"/>
      <w:r/>
      <w:bookmarkEnd w:id="165"/>
      <w:r/>
      <w:bookmarkStart w:id="166" w:name="_格式3__银行出具的资信证明"/>
      <w:r/>
      <w:bookmarkEnd w:id="166"/>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jc w:val="center"/>
        <w:rPr>
          <w:rFonts w:ascii="宋体" w:hAnsi="宋体"/>
          <w:b/>
          <w:color w:val="000000"/>
          <w:sz w:val="24"/>
          <w:szCs w:val="21"/>
        </w:rPr>
      </w:pPr>
      <w:r>
        <w:rPr>
          <w:rFonts w:ascii="宋体" w:hAnsi="宋体"/>
          <w:b/>
          <w:color w:val="000000"/>
          <w:sz w:val="24"/>
          <w:szCs w:val="21"/>
        </w:rPr>
      </w:r>
      <w:r/>
    </w:p>
    <w:p>
      <w:pPr>
        <w:jc w:val="center"/>
        <w:rPr>
          <w:rFonts w:ascii="黑体" w:hAnsi="黑体" w:eastAsia="黑体"/>
          <w:b/>
          <w:sz w:val="32"/>
          <w:szCs w:val="32"/>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单一来源响应函</w:t>
      </w:r>
      <w:r/>
    </w:p>
    <w:p>
      <w:pPr>
        <w:jc w:val="left"/>
        <w:spacing w:line="420" w:lineRule="exact"/>
        <w:rPr>
          <w:rFonts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号采购文件，正式授权下述签字人______(姓名)代表我方______________（供应商的名称），全权处理本次项目单一来源采购的有关事宜。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321"/>
        <w:jc w:val="center"/>
        <w:spacing w:line="560" w:lineRule="exact"/>
        <w:rPr>
          <w:rFonts w:ascii="黑体" w:hAnsi="黑体" w:eastAsia="黑体"/>
          <w:b/>
          <w:sz w:val="32"/>
          <w:szCs w:val="32"/>
        </w:rPr>
      </w:pPr>
      <w:r>
        <w:rPr>
          <w:rFonts w:ascii="黑体" w:hAnsi="黑体" w:eastAsia="黑体"/>
          <w:b/>
          <w:sz w:val="32"/>
          <w:szCs w:val="32"/>
        </w:rPr>
      </w:r>
      <w:bookmarkEnd w:id="153"/>
      <w:r/>
      <w:bookmarkEnd w:id="154"/>
      <w:r/>
      <w:bookmarkEnd w:id="163"/>
      <w:r/>
      <w:r/>
    </w:p>
    <w:p>
      <w:pPr>
        <w:jc w:val="center"/>
        <w:spacing w:line="0" w:lineRule="atLeast"/>
        <w:rPr>
          <w:rFonts w:ascii="宋体" w:hAnsi="宋体"/>
          <w:b/>
          <w:sz w:val="24"/>
          <w:szCs w:val="24"/>
        </w:rPr>
      </w:pPr>
      <w:r>
        <w:rPr>
          <w:rFonts w:ascii="宋体" w:hAnsi="宋体"/>
          <w:b/>
          <w:sz w:val="24"/>
          <w:szCs w:val="24"/>
        </w:rPr>
      </w:r>
      <w:r/>
    </w:p>
    <w:p>
      <w:pPr>
        <w:jc w:val="center"/>
        <w:spacing w:line="0" w:lineRule="atLeast"/>
        <w:rPr>
          <w:rFonts w:ascii="宋体" w:hAnsi="宋体"/>
          <w:b/>
          <w:sz w:val="24"/>
          <w:szCs w:val="24"/>
        </w:rPr>
      </w:pPr>
      <w:r>
        <w:rPr>
          <w:rFonts w:ascii="宋体" w:hAnsi="宋体"/>
          <w:b/>
          <w:sz w:val="24"/>
          <w:szCs w:val="24"/>
        </w:rPr>
      </w:r>
      <w:r/>
    </w:p>
    <w:p>
      <w:pPr>
        <w:ind w:firstLine="645"/>
        <w:spacing w:line="560" w:lineRule="exact"/>
        <w:rPr>
          <w:rFonts w:hint="eastAsia" w:ascii="宋体" w:hAnsi="宋体"/>
          <w:sz w:val="24"/>
          <w:szCs w:val="21"/>
        </w:rPr>
      </w:pPr>
      <w:r>
        <w:rPr>
          <w:rFonts w:hint="eastAsia" w:ascii="宋体" w:hAnsi="宋体"/>
          <w:sz w:val="24"/>
          <w:szCs w:val="21"/>
        </w:rPr>
      </w:r>
      <w:r/>
    </w:p>
    <w:p>
      <w:pPr>
        <w:jc w:val="center"/>
        <w:rPr>
          <w:rFonts w:ascii="宋体" w:hAnsi="宋体"/>
          <w:b/>
          <w:color w:val="ff0000"/>
          <w:sz w:val="24"/>
          <w:szCs w:val="24"/>
        </w:rPr>
      </w:pPr>
      <w:r>
        <w:rPr>
          <w:rFonts w:ascii="宋体" w:hAnsi="宋体"/>
          <w:b/>
          <w:color w:val="ff0000"/>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b/>
          <w:sz w:val="24"/>
          <w:szCs w:val="24"/>
        </w:rPr>
        <w:t xml:space="preserve">实质性要求响应及偏离表</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1"/>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p>
        </w:tc>
        <w:tc>
          <w:tcPr>
            <w:tcW w:w="33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9-1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1"/>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1"/>
        </w:rPr>
        <w:t xml:space="preserve">否则视为未实质性响应采购文件</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2.如果采购文件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3.供应商未对实质性要求逐条作出明确响应的，或未按采购文件要求提供证明材料的，该采购包作无效响应处理。</w:t>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2569533</wp:posOffset>
              </wp:positionH>
              <wp:positionV relativeFrom="paragraph">
                <wp:posOffset>-5990</wp:posOffset>
              </wp:positionV>
              <wp:extent cx="1410014" cy="162780"/>
              <wp:effectExtent l="6350" t="6350" r="6350" b="6350"/>
              <wp:wrapNone/>
              <wp:docPr id="1" name="文本框 1025"/>
              <wp:cNvGraphicFramePr/>
              <a:graphic xmlns:a="http://schemas.openxmlformats.org/drawingml/2006/main">
                <a:graphicData uri="http://schemas.microsoft.com/office/word/2010/wordprocessingShape">
                  <wps:wsp>
                    <wps:cNvPr id="0" name=""/>
                    <wps:cNvSpPr txBox="1"/>
                    <wps:spPr bwMode="auto">
                      <a:xfrm flipH="0" flipV="0">
                        <a:off x="0" y="0"/>
                        <a:ext cx="1410013" cy="16278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argin-left:202.3pt;mso-position-horizontal:absolute;mso-position-vertical-relative:text;margin-top:-0.5pt;mso-position-vertical:absolute;width:111.0pt;height:12.8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8"/>
      <w:isLgl w:val="false"/>
      <w:suff w:val="nothing"/>
      <w:lvlText w:val=""/>
      <w:lvlJc w:val="left"/>
      <w:pPr>
        <w:ind w:left="0" w:firstLine="0"/>
      </w:pPr>
      <w:rPr>
        <w:rFonts w:hint="eastAsia"/>
      </w:rPr>
    </w:lvl>
    <w:lvl w:ilvl="6">
      <w:start w:val="1"/>
      <w:numFmt w:val="decimal"/>
      <w:pStyle w:val="909"/>
      <w:isLgl w:val="false"/>
      <w:suff w:val="nothing"/>
      <w:lvlText w:val=""/>
      <w:lvlJc w:val="left"/>
      <w:pPr>
        <w:ind w:left="0" w:firstLine="0"/>
      </w:pPr>
      <w:rPr>
        <w:rFonts w:hint="eastAsia"/>
      </w:rPr>
    </w:lvl>
    <w:lvl w:ilvl="7">
      <w:start w:val="1"/>
      <w:numFmt w:val="decimal"/>
      <w:pStyle w:val="910"/>
      <w:isLgl w:val="false"/>
      <w:suff w:val="nothing"/>
      <w:lvlText w:val=""/>
      <w:lvlJc w:val="left"/>
      <w:pPr>
        <w:ind w:left="0" w:firstLine="0"/>
      </w:pPr>
      <w:rPr>
        <w:rFonts w:hint="eastAsia"/>
      </w:rPr>
    </w:lvl>
    <w:lvl w:ilvl="8">
      <w:start w:val="1"/>
      <w:numFmt w:val="decimal"/>
      <w:pStyle w:val="911"/>
      <w:isLgl w:val="false"/>
      <w:suff w:val="nothing"/>
      <w:lvlText w:val=""/>
      <w:lvlJc w:val="left"/>
      <w:pPr>
        <w:ind w:left="0" w:firstLine="0"/>
      </w:pPr>
      <w:rPr>
        <w:rFonts w:hint="eastAsia"/>
      </w:rPr>
    </w:lvl>
  </w:abstractNum>
  <w:abstractNum w:abstractNumId="2">
    <w:multiLevelType w:val="hybridMultilevel"/>
    <w:lvl w:ilvl="0">
      <w:start w:val="6"/>
      <w:numFmt w:val="chineseCounting"/>
      <w:isLgl w:val="false"/>
      <w:suff w:val="nothing"/>
      <w:lvlText w:val="第%1条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929"/>
    <w:uiPriority w:val="0"/>
    <w:qFormat/>
    <w:pPr>
      <w:jc w:val="both"/>
      <w:widowControl w:val="off"/>
    </w:pPr>
    <w:rPr>
      <w:rFonts w:hint="default" w:ascii="Calibri" w:hAnsi="Calibri" w:eastAsia="宋体" w:cs="Times New Roman"/>
      <w:sz w:val="21"/>
      <w:szCs w:val="22"/>
      <w:lang w:val="en-US" w:eastAsia="zh-CN" w:bidi="ar-SA"/>
    </w:rPr>
  </w:style>
  <w:style w:type="paragraph" w:styleId="718">
    <w:name w:val="Heading 1"/>
    <w:basedOn w:val="717"/>
    <w:next w:val="717"/>
    <w:link w:val="754"/>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5"/>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29"/>
    <w:link w:val="756"/>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29"/>
    <w:link w:val="757"/>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29"/>
    <w:link w:val="758"/>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59"/>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1"/>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2"/>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Normal Indent"/>
    <w:basedOn w:val="717"/>
    <w:uiPriority w:val="0"/>
    <w:qFormat/>
    <w:pPr>
      <w:ind w:firstLine="420"/>
    </w:pPr>
  </w:style>
  <w:style w:type="paragraph" w:styleId="730">
    <w:name w:val="toc 7"/>
    <w:basedOn w:val="717"/>
    <w:next w:val="717"/>
    <w:uiPriority w:val="39"/>
    <w:unhideWhenUsed/>
    <w:qFormat/>
    <w:pPr>
      <w:ind w:left="1701" w:right="0" w:firstLine="0"/>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7"/>
    <w:uiPriority w:val="99"/>
    <w:semiHidden/>
    <w:unhideWhenUsed/>
    <w:qFormat/>
    <w:pPr>
      <w:jc w:val="left"/>
    </w:pPr>
  </w:style>
  <w:style w:type="paragraph" w:styleId="733">
    <w:name w:val="Body Text"/>
    <w:basedOn w:val="717"/>
    <w:uiPriority w:val="1"/>
    <w:qFormat/>
    <w:rPr>
      <w:rFonts w:ascii="楷体_GB2312" w:hAnsi="Arial" w:eastAsia="楷体_GB2312"/>
      <w:sz w:val="28"/>
      <w:szCs w:val="28"/>
    </w:rPr>
  </w:style>
  <w:style w:type="paragraph" w:styleId="734">
    <w:name w:val="toc 5"/>
    <w:basedOn w:val="717"/>
    <w:next w:val="717"/>
    <w:uiPriority w:val="39"/>
    <w:unhideWhenUsed/>
    <w:qFormat/>
    <w:pPr>
      <w:ind w:left="1134" w:right="0" w:firstLine="0"/>
      <w:spacing w:after="57"/>
    </w:pPr>
  </w:style>
  <w:style w:type="paragraph" w:styleId="735">
    <w:name w:val="toc 3"/>
    <w:basedOn w:val="717"/>
    <w:next w:val="717"/>
    <w:uiPriority w:val="39"/>
    <w:unhideWhenUsed/>
    <w:qFormat/>
    <w:pPr>
      <w:ind w:left="567" w:right="0" w:firstLine="0"/>
      <w:spacing w:after="57"/>
    </w:pPr>
  </w:style>
  <w:style w:type="paragraph" w:styleId="736">
    <w:name w:val="toc 8"/>
    <w:basedOn w:val="717"/>
    <w:next w:val="717"/>
    <w:uiPriority w:val="39"/>
    <w:unhideWhenUsed/>
    <w:qFormat/>
    <w:pPr>
      <w:ind w:left="1984" w:right="0" w:firstLine="0"/>
      <w:spacing w:after="57"/>
    </w:pPr>
  </w:style>
  <w:style w:type="paragraph" w:styleId="737">
    <w:name w:val="endnote text"/>
    <w:basedOn w:val="717"/>
    <w:link w:val="900"/>
    <w:uiPriority w:val="99"/>
    <w:semiHidden/>
    <w:unhideWhenUsed/>
    <w:qFormat/>
    <w:pPr>
      <w:spacing w:after="0" w:line="240" w:lineRule="auto"/>
    </w:pPr>
    <w:rPr>
      <w:sz w:val="20"/>
    </w:rPr>
  </w:style>
  <w:style w:type="paragraph" w:styleId="738">
    <w:name w:val="Footer"/>
    <w:basedOn w:val="717"/>
    <w:link w:val="773"/>
    <w:uiPriority w:val="99"/>
    <w:unhideWhenUsed/>
    <w:qFormat/>
    <w:pPr>
      <w:spacing w:after="0" w:line="240" w:lineRule="auto"/>
      <w:tabs>
        <w:tab w:val="center" w:pos="7143" w:leader="none"/>
        <w:tab w:val="right" w:pos="14287" w:leader="none"/>
      </w:tabs>
    </w:pPr>
  </w:style>
  <w:style w:type="paragraph" w:styleId="739">
    <w:name w:val="Header"/>
    <w:basedOn w:val="717"/>
    <w:link w:val="771"/>
    <w:uiPriority w:val="99"/>
    <w:unhideWhenUsed/>
    <w:qFormat/>
    <w:pPr>
      <w:spacing w:after="0" w:line="240" w:lineRule="auto"/>
      <w:tabs>
        <w:tab w:val="center" w:pos="7143" w:leader="none"/>
        <w:tab w:val="right" w:pos="14287" w:leader="none"/>
      </w:tabs>
    </w:pPr>
  </w:style>
  <w:style w:type="paragraph" w:styleId="740">
    <w:name w:val="toc 1"/>
    <w:basedOn w:val="717"/>
    <w:next w:val="717"/>
    <w:uiPriority w:val="39"/>
    <w:unhideWhenUsed/>
    <w:qFormat/>
    <w:pPr>
      <w:ind w:left="0" w:right="0" w:firstLine="0"/>
      <w:spacing w:after="57"/>
    </w:pPr>
  </w:style>
  <w:style w:type="paragraph" w:styleId="741">
    <w:name w:val="toc 4"/>
    <w:basedOn w:val="717"/>
    <w:next w:val="717"/>
    <w:uiPriority w:val="39"/>
    <w:unhideWhenUsed/>
    <w:qFormat/>
    <w:pPr>
      <w:ind w:left="850" w:right="0" w:firstLine="0"/>
      <w:spacing w:after="57"/>
    </w:pPr>
  </w:style>
  <w:style w:type="paragraph" w:styleId="742">
    <w:name w:val="Subtitle"/>
    <w:basedOn w:val="717"/>
    <w:next w:val="717"/>
    <w:link w:val="766"/>
    <w:uiPriority w:val="11"/>
    <w:qFormat/>
    <w:pPr>
      <w:spacing w:before="200" w:after="200"/>
    </w:pPr>
    <w:rPr>
      <w:sz w:val="24"/>
      <w:szCs w:val="24"/>
    </w:rPr>
  </w:style>
  <w:style w:type="paragraph" w:styleId="743">
    <w:name w:val="footnote text"/>
    <w:basedOn w:val="717"/>
    <w:link w:val="899"/>
    <w:uiPriority w:val="99"/>
    <w:semiHidden/>
    <w:unhideWhenUsed/>
    <w:qFormat/>
    <w:pPr>
      <w:spacing w:after="40" w:line="240" w:lineRule="auto"/>
    </w:pPr>
    <w:rPr>
      <w:sz w:val="18"/>
    </w:rPr>
  </w:style>
  <w:style w:type="paragraph" w:styleId="744">
    <w:name w:val="toc 6"/>
    <w:basedOn w:val="717"/>
    <w:next w:val="717"/>
    <w:uiPriority w:val="39"/>
    <w:unhideWhenUsed/>
    <w:qFormat/>
    <w:pPr>
      <w:ind w:left="1417" w:right="0" w:firstLine="0"/>
      <w:spacing w:after="57"/>
    </w:pPr>
  </w:style>
  <w:style w:type="paragraph" w:styleId="745">
    <w:name w:val="table of figures"/>
    <w:basedOn w:val="717"/>
    <w:next w:val="717"/>
    <w:uiPriority w:val="99"/>
    <w:unhideWhenUsed/>
    <w:qFormat/>
    <w:pPr>
      <w:spacing w:after="0" w:afterAutospacing="0"/>
    </w:pPr>
  </w:style>
  <w:style w:type="paragraph" w:styleId="746">
    <w:name w:val="toc 2"/>
    <w:basedOn w:val="717"/>
    <w:next w:val="717"/>
    <w:uiPriority w:val="39"/>
    <w:unhideWhenUsed/>
    <w:qFormat/>
    <w:pPr>
      <w:ind w:left="283" w:right="0" w:firstLine="0"/>
      <w:spacing w:after="57"/>
    </w:pPr>
  </w:style>
  <w:style w:type="paragraph" w:styleId="747">
    <w:name w:val="toc 9"/>
    <w:basedOn w:val="717"/>
    <w:next w:val="717"/>
    <w:uiPriority w:val="39"/>
    <w:unhideWhenUsed/>
    <w:qFormat/>
    <w:pPr>
      <w:ind w:left="2268" w:right="0" w:firstLine="0"/>
      <w:spacing w:after="57"/>
    </w:pPr>
  </w:style>
  <w:style w:type="paragraph" w:styleId="748">
    <w:name w:val="Title"/>
    <w:basedOn w:val="717"/>
    <w:next w:val="717"/>
    <w:link w:val="765"/>
    <w:uiPriority w:val="10"/>
    <w:qFormat/>
    <w:pPr>
      <w:contextualSpacing/>
      <w:spacing w:before="300" w:after="200"/>
    </w:pPr>
    <w:rPr>
      <w:sz w:val="48"/>
      <w:szCs w:val="48"/>
    </w:rPr>
  </w:style>
  <w:style w:type="paragraph" w:styleId="749">
    <w:name w:val="Body Text First Indent"/>
    <w:basedOn w:val="733"/>
    <w:uiPriority w:val="0"/>
    <w:qFormat/>
    <w:pPr>
      <w:ind w:firstLine="200"/>
      <w:spacing w:line="360" w:lineRule="auto"/>
    </w:pPr>
    <w:rPr>
      <w:rFonts w:ascii="仿宋_GB2312" w:eastAsia="仿宋_GB2312"/>
      <w:sz w:val="30"/>
      <w:szCs w:val="30"/>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character" w:styleId="754" w:customStyle="1">
    <w:name w:val="Heading 1 Char"/>
    <w:link w:val="718"/>
    <w:uiPriority w:val="9"/>
    <w:qFormat/>
    <w:rPr>
      <w:rFonts w:ascii="Arial" w:hAnsi="Arial" w:eastAsia="Arial" w:cs="Arial"/>
      <w:sz w:val="40"/>
      <w:szCs w:val="40"/>
    </w:rPr>
  </w:style>
  <w:style w:type="character" w:styleId="755" w:customStyle="1">
    <w:name w:val="Heading 2 Char"/>
    <w:link w:val="719"/>
    <w:uiPriority w:val="9"/>
    <w:qFormat/>
    <w:rPr>
      <w:rFonts w:ascii="Arial" w:hAnsi="Arial" w:eastAsia="Arial" w:cs="Arial"/>
      <w:sz w:val="34"/>
    </w:rPr>
  </w:style>
  <w:style w:type="character" w:styleId="756" w:customStyle="1">
    <w:name w:val="Heading 3 Char"/>
    <w:link w:val="720"/>
    <w:uiPriority w:val="9"/>
    <w:qFormat/>
    <w:rPr>
      <w:rFonts w:ascii="Arial" w:hAnsi="Arial" w:eastAsia="Arial" w:cs="Arial"/>
      <w:sz w:val="30"/>
      <w:szCs w:val="30"/>
    </w:rPr>
  </w:style>
  <w:style w:type="character" w:styleId="757" w:customStyle="1">
    <w:name w:val="Heading 4 Char"/>
    <w:link w:val="721"/>
    <w:uiPriority w:val="9"/>
    <w:qFormat/>
    <w:rPr>
      <w:rFonts w:ascii="Arial" w:hAnsi="Arial" w:eastAsia="Arial" w:cs="Arial"/>
      <w:b/>
      <w:bCs/>
      <w:sz w:val="26"/>
      <w:szCs w:val="26"/>
    </w:rPr>
  </w:style>
  <w:style w:type="character" w:styleId="758" w:customStyle="1">
    <w:name w:val="Heading 5 Char"/>
    <w:link w:val="722"/>
    <w:uiPriority w:val="9"/>
    <w:qFormat/>
    <w:rPr>
      <w:rFonts w:ascii="Arial" w:hAnsi="Arial" w:eastAsia="Arial" w:cs="Arial"/>
      <w:b/>
      <w:bCs/>
      <w:sz w:val="24"/>
      <w:szCs w:val="24"/>
    </w:rPr>
  </w:style>
  <w:style w:type="character" w:styleId="759" w:customStyle="1">
    <w:name w:val="Heading 6 Char"/>
    <w:link w:val="723"/>
    <w:uiPriority w:val="9"/>
    <w:qFormat/>
    <w:rPr>
      <w:rFonts w:ascii="Arial" w:hAnsi="Arial" w:eastAsia="Arial" w:cs="Arial"/>
      <w:b/>
      <w:bCs/>
      <w:sz w:val="22"/>
      <w:szCs w:val="22"/>
    </w:rPr>
  </w:style>
  <w:style w:type="character" w:styleId="760" w:customStyle="1">
    <w:name w:val="Heading 7 Char"/>
    <w:link w:val="724"/>
    <w:uiPriority w:val="9"/>
    <w:qFormat/>
    <w:rPr>
      <w:rFonts w:ascii="Arial" w:hAnsi="Arial" w:eastAsia="Arial" w:cs="Arial"/>
      <w:b/>
      <w:bCs/>
      <w:i/>
      <w:iCs/>
      <w:sz w:val="22"/>
      <w:szCs w:val="22"/>
    </w:rPr>
  </w:style>
  <w:style w:type="character" w:styleId="761" w:customStyle="1">
    <w:name w:val="Heading 8 Char"/>
    <w:link w:val="725"/>
    <w:uiPriority w:val="9"/>
    <w:qFormat/>
    <w:rPr>
      <w:rFonts w:ascii="Arial" w:hAnsi="Arial" w:eastAsia="Arial" w:cs="Arial"/>
      <w:i/>
      <w:iCs/>
      <w:sz w:val="22"/>
      <w:szCs w:val="22"/>
    </w:rPr>
  </w:style>
  <w:style w:type="character" w:styleId="762" w:customStyle="1">
    <w:name w:val="Heading 9 Char"/>
    <w:link w:val="726"/>
    <w:uiPriority w:val="9"/>
    <w:qFormat/>
    <w:rPr>
      <w:rFonts w:ascii="Arial" w:hAnsi="Arial" w:eastAsia="Arial" w:cs="Arial"/>
      <w:i/>
      <w:iCs/>
      <w:sz w:val="21"/>
      <w:szCs w:val="21"/>
    </w:rPr>
  </w:style>
  <w:style w:type="paragraph" w:styleId="763">
    <w:name w:val="List Paragraph"/>
    <w:basedOn w:val="717"/>
    <w:uiPriority w:val="34"/>
    <w:qFormat/>
    <w:pPr>
      <w:contextualSpacing/>
      <w:ind w:left="720"/>
    </w:pPr>
  </w:style>
  <w:style w:type="paragraph" w:styleId="764">
    <w:name w:val="No Spacing"/>
    <w:uiPriority w:val="1"/>
    <w:qFormat/>
    <w:pPr>
      <w:spacing w:before="0" w:after="0" w:line="240" w:lineRule="auto"/>
    </w:pPr>
    <w:rPr>
      <w:rFonts w:hint="default" w:ascii="Calibri" w:hAnsi="Calibri" w:eastAsia="宋体" w:cs="Times New Roman"/>
    </w:rPr>
  </w:style>
  <w:style w:type="character" w:styleId="765" w:customStyle="1">
    <w:name w:val="Title Char"/>
    <w:link w:val="748"/>
    <w:uiPriority w:val="10"/>
    <w:qFormat/>
    <w:rPr>
      <w:sz w:val="48"/>
      <w:szCs w:val="48"/>
    </w:rPr>
  </w:style>
  <w:style w:type="character" w:styleId="766" w:customStyle="1">
    <w:name w:val="Subtitle Char"/>
    <w:link w:val="742"/>
    <w:uiPriority w:val="11"/>
    <w:qFormat/>
    <w:rPr>
      <w:sz w:val="24"/>
      <w:szCs w:val="24"/>
    </w:rPr>
  </w:style>
  <w:style w:type="paragraph" w:styleId="767">
    <w:name w:val="Quote"/>
    <w:basedOn w:val="717"/>
    <w:next w:val="717"/>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7"/>
    <w:next w:val="717"/>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9"/>
    <w:uiPriority w:val="99"/>
    <w:qFormat/>
  </w:style>
  <w:style w:type="character" w:styleId="772" w:customStyle="1">
    <w:name w:val="Footer Char"/>
    <w:link w:val="738"/>
    <w:uiPriority w:val="99"/>
    <w:qFormat/>
  </w:style>
  <w:style w:type="character" w:styleId="773" w:customStyle="1">
    <w:name w:val="Caption Char"/>
    <w:link w:val="738"/>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43"/>
    <w:uiPriority w:val="99"/>
    <w:qFormat/>
    <w:rPr>
      <w:sz w:val="18"/>
    </w:rPr>
  </w:style>
  <w:style w:type="character" w:styleId="900" w:customStyle="1">
    <w:name w:val="Endnote Text Char"/>
    <w:link w:val="737"/>
    <w:uiPriority w:val="99"/>
    <w:qFormat/>
    <w:rPr>
      <w:sz w:val="20"/>
    </w:rPr>
  </w:style>
  <w:style w:type="paragraph" w:styleId="901" w:customStyle="1">
    <w:name w:val="TOC Heading"/>
    <w:uiPriority w:val="39"/>
    <w:unhideWhenUsed/>
    <w:qFormat/>
    <w:rPr>
      <w:rFonts w:hint="default" w:ascii="Calibri" w:hAnsi="Calibri" w:eastAsia="宋体" w:cs="Times New Roman"/>
    </w:rPr>
  </w:style>
  <w:style w:type="paragraph" w:styleId="902" w:customStyle="1">
    <w:name w:val="标题 11"/>
    <w:basedOn w:val="717"/>
    <w:next w:val="717"/>
    <w:link w:val="914"/>
    <w:uiPriority w:val="0"/>
    <w:qFormat/>
    <w:pPr>
      <w:jc w:val="center"/>
      <w:keepNext/>
      <w:outlineLvl w:val="0"/>
    </w:pPr>
    <w:rPr>
      <w:rFonts w:ascii="楷体_GB2312" w:hAnsi="Times New Roman" w:eastAsia="楷体_GB2312" w:cs="Times New Roman"/>
      <w:sz w:val="28"/>
      <w:szCs w:val="28"/>
    </w:rPr>
  </w:style>
  <w:style w:type="paragraph" w:styleId="903" w:customStyle="1">
    <w:name w:val="标题 21"/>
    <w:basedOn w:val="717"/>
    <w:next w:val="904"/>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4" w:customStyle="1">
    <w:name w:val="正文缩进1"/>
    <w:basedOn w:val="717"/>
    <w:link w:val="925"/>
    <w:uiPriority w:val="0"/>
    <w:qFormat/>
    <w:pPr>
      <w:ind w:firstLine="420"/>
    </w:pPr>
    <w:rPr>
      <w:szCs w:val="21"/>
    </w:rPr>
  </w:style>
  <w:style w:type="paragraph" w:styleId="905" w:customStyle="1">
    <w:name w:val="标题 31"/>
    <w:basedOn w:val="717"/>
    <w:next w:val="904"/>
    <w:link w:val="91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6" w:customStyle="1">
    <w:name w:val="标题 41"/>
    <w:basedOn w:val="717"/>
    <w:next w:val="904"/>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7" w:customStyle="1">
    <w:name w:val="标题 51"/>
    <w:basedOn w:val="717"/>
    <w:next w:val="904"/>
    <w:link w:val="918"/>
    <w:uiPriority w:val="0"/>
    <w:qFormat/>
    <w:pPr>
      <w:keepNext/>
      <w:outlineLvl w:val="4"/>
    </w:pPr>
    <w:rPr>
      <w:rFonts w:ascii="宋体" w:hAnsi="Times New Roman" w:eastAsia="宋体" w:cs="Times New Roman"/>
      <w:color w:val="000000"/>
      <w:sz w:val="28"/>
      <w:szCs w:val="28"/>
    </w:rPr>
  </w:style>
  <w:style w:type="paragraph" w:styleId="908" w:customStyle="1">
    <w:name w:val="标题 61"/>
    <w:basedOn w:val="717"/>
    <w:next w:val="717"/>
    <w:link w:val="91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9" w:customStyle="1">
    <w:name w:val="标题 71"/>
    <w:basedOn w:val="717"/>
    <w:next w:val="717"/>
    <w:link w:val="92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0" w:customStyle="1">
    <w:name w:val="标题 81"/>
    <w:basedOn w:val="717"/>
    <w:next w:val="717"/>
    <w:link w:val="92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1" w:customStyle="1">
    <w:name w:val="标题 91"/>
    <w:basedOn w:val="717"/>
    <w:next w:val="717"/>
    <w:link w:val="92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2" w:customStyle="1">
    <w:name w:val="默认段落字体1"/>
    <w:link w:val="717"/>
    <w:uiPriority w:val="1"/>
    <w:semiHidden/>
    <w:unhideWhenUsed/>
    <w:qFormat/>
  </w:style>
  <w:style w:type="table" w:styleId="913" w:customStyle="1">
    <w:name w:val="普通表格1"/>
    <w:uiPriority w:val="99"/>
    <w:semiHidden/>
    <w:unhideWhenUsed/>
    <w:qFormat/>
    <w:tblPr/>
  </w:style>
  <w:style w:type="character" w:styleId="914" w:customStyle="1">
    <w:name w:val="标题 1 Char"/>
    <w:link w:val="902"/>
    <w:uiPriority w:val="0"/>
    <w:qFormat/>
    <w:rPr>
      <w:rFonts w:ascii="楷体_GB2312" w:hAnsi="Times New Roman" w:eastAsia="楷体_GB2312" w:cs="Times New Roman"/>
      <w:sz w:val="28"/>
      <w:szCs w:val="28"/>
    </w:rPr>
  </w:style>
  <w:style w:type="character" w:styleId="915" w:customStyle="1">
    <w:name w:val="标题 2 Char"/>
    <w:link w:val="903"/>
    <w:uiPriority w:val="0"/>
    <w:qFormat/>
    <w:rPr>
      <w:rFonts w:ascii="Arial" w:hAnsi="Arial" w:eastAsia="幼圆" w:cs="Arial"/>
      <w:b/>
      <w:bCs/>
      <w:sz w:val="44"/>
      <w:szCs w:val="44"/>
    </w:rPr>
  </w:style>
  <w:style w:type="character" w:styleId="916" w:customStyle="1">
    <w:name w:val="标题 3 Char"/>
    <w:link w:val="905"/>
    <w:uiPriority w:val="0"/>
    <w:qFormat/>
    <w:rPr>
      <w:rFonts w:ascii="Times New Roman" w:hAnsi="Times New Roman" w:eastAsia="宋体" w:cs="Times New Roman"/>
      <w:b/>
      <w:bCs/>
      <w:sz w:val="32"/>
      <w:szCs w:val="32"/>
    </w:rPr>
  </w:style>
  <w:style w:type="character" w:styleId="917" w:customStyle="1">
    <w:name w:val="标题 4 Char"/>
    <w:link w:val="906"/>
    <w:uiPriority w:val="0"/>
    <w:qFormat/>
    <w:rPr>
      <w:rFonts w:ascii="Arial" w:hAnsi="Arial" w:eastAsia="黑体" w:cs="Arial"/>
      <w:b/>
      <w:bCs/>
      <w:sz w:val="28"/>
      <w:szCs w:val="28"/>
    </w:rPr>
  </w:style>
  <w:style w:type="character" w:styleId="918" w:customStyle="1">
    <w:name w:val="标题 5 Char"/>
    <w:link w:val="907"/>
    <w:uiPriority w:val="0"/>
    <w:qFormat/>
    <w:rPr>
      <w:rFonts w:ascii="宋体" w:hAnsi="Times New Roman" w:eastAsia="宋体" w:cs="Times New Roman"/>
      <w:color w:val="000000"/>
      <w:sz w:val="28"/>
      <w:szCs w:val="28"/>
    </w:rPr>
  </w:style>
  <w:style w:type="character" w:styleId="919" w:customStyle="1">
    <w:name w:val="标题 6 Char"/>
    <w:link w:val="908"/>
    <w:uiPriority w:val="0"/>
    <w:qFormat/>
    <w:rPr>
      <w:rFonts w:ascii="Arial" w:hAnsi="Arial" w:eastAsia="黑体" w:cs="Times New Roman"/>
      <w:b/>
      <w:bCs/>
      <w:sz w:val="24"/>
      <w:szCs w:val="24"/>
    </w:rPr>
  </w:style>
  <w:style w:type="character" w:styleId="920" w:customStyle="1">
    <w:name w:val="标题 7 Char"/>
    <w:link w:val="909"/>
    <w:uiPriority w:val="0"/>
    <w:qFormat/>
    <w:rPr>
      <w:rFonts w:ascii="Times New Roman" w:hAnsi="Times New Roman" w:eastAsia="宋体" w:cs="Times New Roman"/>
      <w:b/>
      <w:bCs/>
      <w:sz w:val="24"/>
      <w:szCs w:val="24"/>
    </w:rPr>
  </w:style>
  <w:style w:type="character" w:styleId="921" w:customStyle="1">
    <w:name w:val="标题 8 Char"/>
    <w:link w:val="910"/>
    <w:uiPriority w:val="0"/>
    <w:qFormat/>
    <w:rPr>
      <w:rFonts w:ascii="Arial" w:hAnsi="Arial" w:eastAsia="黑体" w:cs="Times New Roman"/>
      <w:sz w:val="24"/>
      <w:szCs w:val="24"/>
    </w:rPr>
  </w:style>
  <w:style w:type="character" w:styleId="922" w:customStyle="1">
    <w:name w:val="标题 9 Char"/>
    <w:link w:val="911"/>
    <w:uiPriority w:val="0"/>
    <w:qFormat/>
    <w:rPr>
      <w:rFonts w:ascii="Arial" w:hAnsi="Arial" w:eastAsia="黑体" w:cs="Times New Roman"/>
      <w:szCs w:val="21"/>
    </w:rPr>
  </w:style>
  <w:style w:type="character" w:styleId="923" w:customStyle="1">
    <w:name w:val="访问过的超链接"/>
    <w:link w:val="717"/>
    <w:uiPriority w:val="0"/>
    <w:qFormat/>
    <w:rPr>
      <w:color w:val="800080"/>
      <w:u w:val="single"/>
    </w:rPr>
  </w:style>
  <w:style w:type="character" w:styleId="924" w:customStyle="1">
    <w:name w:val="font5 Char"/>
    <w:link w:val="717"/>
    <w:uiPriority w:val="0"/>
    <w:qFormat/>
    <w:rPr>
      <w:rFonts w:ascii="宋体" w:hAnsi="宋体" w:eastAsia="宋体"/>
      <w:sz w:val="28"/>
      <w:szCs w:val="28"/>
      <w:lang w:val="en-US" w:eastAsia="zh-CN" w:bidi="ar-SA"/>
    </w:rPr>
  </w:style>
  <w:style w:type="character" w:styleId="925" w:customStyle="1">
    <w:name w:val="正文缩进 Char"/>
    <w:link w:val="904"/>
    <w:uiPriority w:val="0"/>
    <w:qFormat/>
    <w:rPr>
      <w:szCs w:val="21"/>
    </w:rPr>
  </w:style>
  <w:style w:type="character" w:styleId="926" w:customStyle="1">
    <w:name w:val="批注引用1"/>
    <w:link w:val="717"/>
    <w:uiPriority w:val="0"/>
    <w:semiHidden/>
    <w:qFormat/>
    <w:rPr>
      <w:sz w:val="21"/>
      <w:szCs w:val="21"/>
    </w:rPr>
  </w:style>
  <w:style w:type="character" w:styleId="927" w:customStyle="1">
    <w:name w:val="要点1"/>
    <w:link w:val="717"/>
    <w:uiPriority w:val="0"/>
    <w:qFormat/>
    <w:rPr>
      <w:b/>
      <w:bCs/>
    </w:rPr>
  </w:style>
  <w:style w:type="character" w:styleId="928" w:customStyle="1">
    <w:name w:val="超链接1"/>
    <w:link w:val="717"/>
    <w:uiPriority w:val="0"/>
    <w:qFormat/>
    <w:rPr>
      <w:color w:val="0000ff"/>
      <w:u w:val="single"/>
    </w:rPr>
  </w:style>
  <w:style w:type="character" w:styleId="929" w:customStyle="1">
    <w:name w:val="页码1"/>
    <w:link w:val="717"/>
    <w:uiPriority w:val="0"/>
    <w:qFormat/>
  </w:style>
  <w:style w:type="character" w:styleId="930" w:customStyle="1">
    <w:name w:val="二级目录 Char"/>
    <w:link w:val="931"/>
    <w:uiPriority w:val="0"/>
    <w:qFormat/>
    <w:rPr>
      <w:b/>
      <w:sz w:val="30"/>
      <w:szCs w:val="28"/>
    </w:rPr>
  </w:style>
  <w:style w:type="paragraph" w:styleId="931" w:customStyle="1">
    <w:name w:val="二级目录"/>
    <w:next w:val="717"/>
    <w:link w:val="93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2" w:customStyle="1">
    <w:name w:val="列出段落 Char"/>
    <w:link w:val="933"/>
    <w:uiPriority w:val="0"/>
    <w:qFormat/>
    <w:rPr>
      <w:rFonts w:ascii="Calibri" w:hAnsi="Calibri"/>
      <w:sz w:val="24"/>
      <w:szCs w:val="24"/>
      <w:lang w:eastAsia="en-US" w:bidi="en-US"/>
    </w:rPr>
  </w:style>
  <w:style w:type="paragraph" w:styleId="933" w:customStyle="1">
    <w:name w:val="列出段落1"/>
    <w:basedOn w:val="717"/>
    <w:link w:val="932"/>
    <w:uiPriority w:val="0"/>
    <w:qFormat/>
    <w:pPr>
      <w:contextualSpacing/>
      <w:ind w:left="720"/>
      <w:jc w:val="left"/>
      <w:widowControl/>
    </w:pPr>
    <w:rPr>
      <w:rFonts w:ascii="Calibri" w:hAnsi="Calibri"/>
      <w:sz w:val="24"/>
      <w:szCs w:val="24"/>
      <w:lang w:eastAsia="en-US" w:bidi="en-US"/>
    </w:rPr>
  </w:style>
  <w:style w:type="paragraph" w:styleId="934" w:customStyle="1">
    <w:name w:val="Body Text(ch)"/>
    <w:basedOn w:val="717"/>
    <w:next w:val="935"/>
    <w:uiPriority w:val="0"/>
    <w:qFormat/>
    <w:pPr>
      <w:spacing w:after="120"/>
    </w:pPr>
    <w:rPr>
      <w:rFonts w:ascii="宋体" w:hAnsi="Arial" w:eastAsia="宋体" w:cs="Times New Roman"/>
      <w:bCs/>
      <w:iCs/>
      <w:szCs w:val="24"/>
    </w:rPr>
  </w:style>
  <w:style w:type="paragraph" w:styleId="935" w:customStyle="1">
    <w:name w:val="正文文本1"/>
    <w:basedOn w:val="717"/>
    <w:link w:val="940"/>
    <w:uiPriority w:val="0"/>
    <w:qFormat/>
    <w:rPr>
      <w:rFonts w:ascii="楷体_GB2312" w:hAnsi="Arial" w:eastAsia="楷体_GB2312" w:cs="Times New Roman"/>
      <w:sz w:val="28"/>
      <w:szCs w:val="28"/>
    </w:rPr>
  </w:style>
  <w:style w:type="paragraph" w:styleId="936"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937"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8" w:customStyle="1">
    <w:name w:val="正文文本缩进 21"/>
    <w:basedOn w:val="717"/>
    <w:link w:val="939"/>
    <w:uiPriority w:val="0"/>
    <w:qFormat/>
    <w:pPr>
      <w:ind w:left="630" w:firstLine="645"/>
    </w:pPr>
    <w:rPr>
      <w:rFonts w:ascii="Arial" w:hAnsi="Arial" w:eastAsia="仿宋_GB2312" w:cs="Arial"/>
      <w:sz w:val="32"/>
      <w:szCs w:val="32"/>
    </w:rPr>
  </w:style>
  <w:style w:type="character" w:styleId="939" w:customStyle="1">
    <w:name w:val="正文文本缩进 2 Char"/>
    <w:link w:val="938"/>
    <w:uiPriority w:val="0"/>
    <w:qFormat/>
    <w:rPr>
      <w:rFonts w:ascii="Arial" w:hAnsi="Arial" w:eastAsia="仿宋_GB2312" w:cs="Arial"/>
      <w:sz w:val="32"/>
      <w:szCs w:val="32"/>
    </w:rPr>
  </w:style>
  <w:style w:type="character" w:styleId="940" w:customStyle="1">
    <w:name w:val="正文文本 Char"/>
    <w:link w:val="935"/>
    <w:uiPriority w:val="0"/>
    <w:qFormat/>
    <w:rPr>
      <w:rFonts w:ascii="楷体_GB2312" w:hAnsi="Arial" w:eastAsia="楷体_GB2312" w:cs="Times New Roman"/>
      <w:sz w:val="28"/>
      <w:szCs w:val="28"/>
    </w:rPr>
  </w:style>
  <w:style w:type="paragraph" w:styleId="941"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942"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3"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944" w:customStyle="1">
    <w:name w:val=" Char"/>
    <w:basedOn w:val="945"/>
    <w:uiPriority w:val="0"/>
    <w:qFormat/>
    <w:rPr>
      <w:rFonts w:ascii="Tahoma" w:hAnsi="Tahoma"/>
      <w:sz w:val="24"/>
      <w:szCs w:val="24"/>
    </w:rPr>
  </w:style>
  <w:style w:type="paragraph" w:styleId="945" w:customStyle="1">
    <w:name w:val="文档结构图1"/>
    <w:basedOn w:val="717"/>
    <w:link w:val="969"/>
    <w:uiPriority w:val="0"/>
    <w:semiHidden/>
    <w:qFormat/>
    <w:pPr>
      <w:shd w:val="clear" w:color="auto" w:fill="000080"/>
    </w:pPr>
    <w:rPr>
      <w:rFonts w:ascii="Times New Roman" w:hAnsi="Times New Roman" w:eastAsia="宋体" w:cs="Times New Roman"/>
      <w:szCs w:val="21"/>
    </w:rPr>
  </w:style>
  <w:style w:type="paragraph" w:styleId="946" w:customStyle="1">
    <w:name w:val="批注文字1"/>
    <w:basedOn w:val="717"/>
    <w:link w:val="947"/>
    <w:uiPriority w:val="0"/>
    <w:semiHidden/>
    <w:unhideWhenUsed/>
    <w:qFormat/>
    <w:pPr>
      <w:jc w:val="left"/>
    </w:pPr>
  </w:style>
  <w:style w:type="character" w:styleId="947" w:customStyle="1">
    <w:name w:val="批注文字 Char"/>
    <w:basedOn w:val="912"/>
    <w:link w:val="946"/>
    <w:uiPriority w:val="99"/>
    <w:semiHidden/>
    <w:qFormat/>
  </w:style>
  <w:style w:type="paragraph" w:styleId="948" w:customStyle="1">
    <w:name w:val="批注主题1"/>
    <w:basedOn w:val="946"/>
    <w:next w:val="946"/>
    <w:link w:val="949"/>
    <w:uiPriority w:val="0"/>
    <w:semiHidden/>
    <w:qFormat/>
    <w:rPr>
      <w:rFonts w:ascii="Times New Roman" w:hAnsi="Times New Roman" w:eastAsia="宋体" w:cs="Times New Roman"/>
      <w:b/>
      <w:bCs/>
      <w:szCs w:val="21"/>
    </w:rPr>
  </w:style>
  <w:style w:type="character" w:styleId="949" w:customStyle="1">
    <w:name w:val="批注主题 Char"/>
    <w:link w:val="948"/>
    <w:uiPriority w:val="0"/>
    <w:semiHidden/>
    <w:qFormat/>
    <w:rPr>
      <w:rFonts w:ascii="Times New Roman" w:hAnsi="Times New Roman" w:eastAsia="宋体" w:cs="Times New Roman"/>
      <w:b/>
      <w:bCs/>
      <w:szCs w:val="21"/>
    </w:rPr>
  </w:style>
  <w:style w:type="paragraph" w:styleId="950"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951"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952"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95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4" w:customStyle="1">
    <w:name w:val="目录 31"/>
    <w:basedOn w:val="717"/>
    <w:next w:val="717"/>
    <w:uiPriority w:val="0"/>
    <w:semiHidden/>
    <w:qFormat/>
    <w:pPr>
      <w:ind w:left="420"/>
      <w:jc w:val="left"/>
    </w:pPr>
    <w:rPr>
      <w:rFonts w:ascii="Times New Roman" w:hAnsi="Times New Roman" w:eastAsia="宋体" w:cs="Times New Roman"/>
      <w:i/>
      <w:iCs/>
      <w:szCs w:val="24"/>
    </w:rPr>
  </w:style>
  <w:style w:type="paragraph" w:styleId="955" w:customStyle="1">
    <w:name w:val="正文文本缩进1"/>
    <w:basedOn w:val="717"/>
    <w:link w:val="956"/>
    <w:uiPriority w:val="0"/>
    <w:unhideWhenUsed/>
    <w:qFormat/>
    <w:pPr>
      <w:ind w:left="420"/>
      <w:spacing w:after="120"/>
    </w:pPr>
  </w:style>
  <w:style w:type="character" w:styleId="956" w:customStyle="1">
    <w:name w:val="正文文本缩进 Char"/>
    <w:basedOn w:val="912"/>
    <w:link w:val="955"/>
    <w:uiPriority w:val="99"/>
    <w:semiHidden/>
    <w:qFormat/>
  </w:style>
  <w:style w:type="paragraph" w:styleId="957" w:customStyle="1">
    <w:name w:val="正文首行缩进 21"/>
    <w:basedOn w:val="955"/>
    <w:link w:val="958"/>
    <w:uiPriority w:val="0"/>
    <w:qFormat/>
    <w:pPr>
      <w:ind w:left="0" w:firstLine="420"/>
      <w:spacing w:after="0" w:line="360" w:lineRule="auto"/>
    </w:pPr>
    <w:rPr>
      <w:rFonts w:ascii="宋体" w:hAnsi="宋体" w:eastAsia="宋体" w:cs="Times New Roman"/>
      <w:szCs w:val="20"/>
    </w:rPr>
  </w:style>
  <w:style w:type="character" w:styleId="958" w:customStyle="1">
    <w:name w:val="正文首行缩进 2 Char"/>
    <w:link w:val="957"/>
    <w:uiPriority w:val="0"/>
    <w:qFormat/>
    <w:rPr>
      <w:rFonts w:ascii="宋体" w:hAnsi="宋体" w:eastAsia="宋体" w:cs="Times New Roman"/>
      <w:szCs w:val="20"/>
    </w:rPr>
  </w:style>
  <w:style w:type="paragraph" w:styleId="959" w:customStyle="1">
    <w:name w:val="正文文本缩进 31"/>
    <w:basedOn w:val="717"/>
    <w:link w:val="960"/>
    <w:uiPriority w:val="0"/>
    <w:qFormat/>
    <w:pPr>
      <w:ind w:left="645" w:firstLine="645"/>
    </w:pPr>
    <w:rPr>
      <w:rFonts w:ascii="Arial" w:hAnsi="Arial" w:eastAsia="仿宋_GB2312" w:cs="Arial"/>
      <w:color w:val="ffff00"/>
      <w:sz w:val="32"/>
      <w:szCs w:val="32"/>
    </w:rPr>
  </w:style>
  <w:style w:type="character" w:styleId="960" w:customStyle="1">
    <w:name w:val="正文文本缩进 3 Char"/>
    <w:link w:val="959"/>
    <w:uiPriority w:val="0"/>
    <w:qFormat/>
    <w:rPr>
      <w:rFonts w:ascii="Arial" w:hAnsi="Arial" w:eastAsia="仿宋_GB2312" w:cs="Arial"/>
      <w:color w:val="ffff00"/>
      <w:sz w:val="32"/>
      <w:szCs w:val="32"/>
    </w:rPr>
  </w:style>
  <w:style w:type="paragraph" w:styleId="961"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962"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3" w:customStyle="1">
    <w:name w:val=" Char Char Char Char"/>
    <w:basedOn w:val="945"/>
    <w:uiPriority w:val="0"/>
    <w:qFormat/>
    <w:pPr>
      <w:spacing w:line="360" w:lineRule="auto"/>
    </w:pPr>
    <w:rPr>
      <w:rFonts w:ascii="Tahoma" w:hAnsi="Tahoma"/>
      <w:sz w:val="24"/>
      <w:szCs w:val="24"/>
    </w:rPr>
  </w:style>
  <w:style w:type="paragraph" w:styleId="964" w:customStyle="1">
    <w:name w:val="正文文本 31"/>
    <w:basedOn w:val="717"/>
    <w:link w:val="965"/>
    <w:uiPriority w:val="0"/>
    <w:qFormat/>
    <w:rPr>
      <w:rFonts w:ascii="仿宋_GB2312" w:hAnsi="Arial" w:eastAsia="仿宋_GB2312" w:cs="Times New Roman"/>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967" w:customStyle="1">
    <w:name w:val="目录 41"/>
    <w:basedOn w:val="717"/>
    <w:next w:val="717"/>
    <w:uiPriority w:val="0"/>
    <w:semiHidden/>
    <w:qFormat/>
    <w:pPr>
      <w:ind w:left="630"/>
      <w:jc w:val="left"/>
    </w:pPr>
    <w:rPr>
      <w:rFonts w:ascii="Times New Roman" w:hAnsi="Times New Roman" w:eastAsia="宋体" w:cs="Times New Roman"/>
      <w:szCs w:val="21"/>
    </w:rPr>
  </w:style>
  <w:style w:type="paragraph" w:styleId="968" w:customStyle="1">
    <w:name w:val="列出段落"/>
    <w:basedOn w:val="717"/>
    <w:uiPriority w:val="0"/>
    <w:qFormat/>
    <w:pPr>
      <w:contextualSpacing/>
      <w:ind w:left="720"/>
      <w:jc w:val="left"/>
      <w:widowControl/>
    </w:pPr>
    <w:rPr>
      <w:rFonts w:ascii="Calibri" w:hAnsi="Calibri" w:eastAsia="宋体" w:cs="Times New Roman"/>
      <w:sz w:val="24"/>
      <w:szCs w:val="24"/>
      <w:lang w:eastAsia="en-US" w:bidi="en-US"/>
    </w:rPr>
  </w:style>
  <w:style w:type="character" w:styleId="969" w:customStyle="1">
    <w:name w:val="文档结构图 Char"/>
    <w:link w:val="945"/>
    <w:uiPriority w:val="0"/>
    <w:semiHidden/>
    <w:qFormat/>
    <w:rPr>
      <w:rFonts w:ascii="Times New Roman" w:hAnsi="Times New Roman" w:eastAsia="宋体" w:cs="Times New Roman"/>
      <w:szCs w:val="21"/>
      <w:shd w:val="clear" w:color="auto" w:fill="000080"/>
    </w:rPr>
  </w:style>
  <w:style w:type="paragraph" w:styleId="970" w:customStyle="1">
    <w:name w:val="4"/>
    <w:basedOn w:val="717"/>
    <w:next w:val="959"/>
    <w:uiPriority w:val="0"/>
    <w:qFormat/>
    <w:pPr>
      <w:ind w:firstLine="420"/>
      <w:spacing w:line="360" w:lineRule="auto"/>
    </w:pPr>
    <w:rPr>
      <w:rFonts w:ascii="Times New Roman" w:hAnsi="Times New Roman" w:eastAsia="宋体" w:cs="Times New Roman"/>
      <w:color w:val="ff0000"/>
      <w:sz w:val="24"/>
      <w:szCs w:val="24"/>
    </w:rPr>
  </w:style>
  <w:style w:type="paragraph" w:styleId="971"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972"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973" w:customStyle="1">
    <w:name w:val="列表 21"/>
    <w:basedOn w:val="717"/>
    <w:uiPriority w:val="0"/>
    <w:qFormat/>
    <w:pPr>
      <w:ind w:left="100" w:hanging="200"/>
    </w:pPr>
    <w:rPr>
      <w:rFonts w:ascii="Times New Roman" w:hAnsi="Times New Roman" w:eastAsia="宋体" w:cs="Times New Roman"/>
      <w:szCs w:val="21"/>
    </w:rPr>
  </w:style>
  <w:style w:type="paragraph" w:styleId="974" w:customStyle="1">
    <w:name w:val="正文首行缩进1"/>
    <w:basedOn w:val="717"/>
    <w:link w:val="975"/>
    <w:uiPriority w:val="0"/>
    <w:qFormat/>
    <w:pPr>
      <w:ind w:firstLine="200"/>
      <w:spacing w:line="360" w:lineRule="auto"/>
    </w:pPr>
    <w:rPr>
      <w:rFonts w:ascii="仿宋_GB2312" w:hAnsi="Times New Roman" w:eastAsia="仿宋_GB2312" w:cs="Times New Roman"/>
      <w:sz w:val="30"/>
      <w:szCs w:val="30"/>
    </w:rPr>
  </w:style>
  <w:style w:type="character" w:styleId="975" w:customStyle="1">
    <w:name w:val="正文首行缩进 Char"/>
    <w:link w:val="974"/>
    <w:uiPriority w:val="0"/>
    <w:qFormat/>
    <w:rPr>
      <w:rFonts w:ascii="仿宋_GB2312" w:hAnsi="Times New Roman" w:eastAsia="仿宋_GB2312" w:cs="Times New Roman"/>
      <w:sz w:val="30"/>
      <w:szCs w:val="30"/>
    </w:rPr>
  </w:style>
  <w:style w:type="paragraph" w:styleId="976" w:customStyle="1">
    <w:name w:val="样式1"/>
    <w:basedOn w:val="717"/>
    <w:uiPriority w:val="0"/>
    <w:qFormat/>
    <w:pPr>
      <w:numPr>
        <w:ilvl w:val="0"/>
        <w:numId w:val="3"/>
      </w:numPr>
    </w:pPr>
    <w:rPr>
      <w:rFonts w:ascii="宋体" w:hAnsi="宋体" w:eastAsia="宋体" w:cs="Times New Roman"/>
      <w:szCs w:val="21"/>
    </w:rPr>
  </w:style>
  <w:style w:type="paragraph" w:styleId="977"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979" w:customStyle="1">
    <w:name w:val="目录 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0" w:customStyle="1">
    <w:name w:val="纯文本1"/>
    <w:basedOn w:val="717"/>
    <w:link w:val="981"/>
    <w:uiPriority w:val="0"/>
    <w:qFormat/>
    <w:rPr>
      <w:rFonts w:ascii="宋体" w:hAnsi="Courier New" w:eastAsia="宋体" w:cs="Courier New"/>
      <w:szCs w:val="21"/>
    </w:rPr>
  </w:style>
  <w:style w:type="character" w:styleId="981" w:customStyle="1">
    <w:name w:val="纯文本 Char"/>
    <w:link w:val="980"/>
    <w:uiPriority w:val="0"/>
    <w:qFormat/>
    <w:rPr>
      <w:rFonts w:ascii="宋体" w:hAnsi="Courier New" w:eastAsia="宋体" w:cs="Courier New"/>
      <w:szCs w:val="21"/>
    </w:rPr>
  </w:style>
  <w:style w:type="paragraph" w:styleId="982" w:customStyle="1">
    <w:name w:val="批注框文本1"/>
    <w:basedOn w:val="717"/>
    <w:link w:val="983"/>
    <w:uiPriority w:val="0"/>
    <w:semiHidden/>
    <w:qFormat/>
    <w:rPr>
      <w:rFonts w:ascii="Times New Roman" w:hAnsi="Times New Roman" w:eastAsia="宋体" w:cs="Times New Roman"/>
      <w:sz w:val="18"/>
      <w:szCs w:val="18"/>
    </w:rPr>
  </w:style>
  <w:style w:type="character" w:styleId="983" w:customStyle="1">
    <w:name w:val="批注框文本 Char"/>
    <w:link w:val="982"/>
    <w:uiPriority w:val="0"/>
    <w:semiHidden/>
    <w:qFormat/>
    <w:rPr>
      <w:rFonts w:ascii="Times New Roman" w:hAnsi="Times New Roman" w:eastAsia="宋体" w:cs="Times New Roman"/>
      <w:sz w:val="18"/>
      <w:szCs w:val="18"/>
    </w:rPr>
  </w:style>
  <w:style w:type="paragraph" w:styleId="984"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列表1"/>
    <w:basedOn w:val="717"/>
    <w:uiPriority w:val="0"/>
    <w:qFormat/>
    <w:pPr>
      <w:ind w:left="200" w:hanging="200"/>
    </w:pPr>
    <w:rPr>
      <w:rFonts w:ascii="Times New Roman" w:hAnsi="Times New Roman" w:eastAsia="宋体" w:cs="Times New Roman"/>
      <w:szCs w:val="21"/>
    </w:rPr>
  </w:style>
  <w:style w:type="paragraph" w:styleId="986"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customStyle="1">
    <w:name w:val="日期1"/>
    <w:basedOn w:val="717"/>
    <w:next w:val="717"/>
    <w:link w:val="988"/>
    <w:uiPriority w:val="0"/>
    <w:qFormat/>
    <w:rPr>
      <w:rFonts w:ascii="Times New Roman" w:hAnsi="Times New Roman" w:eastAsia="宋体" w:cs="Times New Roman"/>
      <w:sz w:val="24"/>
      <w:szCs w:val="24"/>
    </w:rPr>
  </w:style>
  <w:style w:type="character" w:styleId="988" w:customStyle="1">
    <w:name w:val="日期 Char"/>
    <w:link w:val="987"/>
    <w:uiPriority w:val="0"/>
    <w:qFormat/>
    <w:rPr>
      <w:rFonts w:ascii="Times New Roman" w:hAnsi="Times New Roman" w:eastAsia="宋体" w:cs="Times New Roman"/>
      <w:sz w:val="24"/>
      <w:szCs w:val="24"/>
    </w:rPr>
  </w:style>
  <w:style w:type="paragraph" w:styleId="989"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990"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2"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正文文本 21"/>
    <w:basedOn w:val="717"/>
    <w:link w:val="994"/>
    <w:uiPriority w:val="0"/>
    <w:qFormat/>
    <w:pPr>
      <w:jc w:val="center"/>
      <w:widowControl/>
    </w:pPr>
    <w:rPr>
      <w:rFonts w:ascii="楷体_GB2312" w:hAnsi="Times New Roman" w:eastAsia="楷体_GB2312" w:cs="Times New Roman"/>
      <w:sz w:val="28"/>
      <w:szCs w:val="28"/>
    </w:rPr>
  </w:style>
  <w:style w:type="character" w:styleId="994" w:customStyle="1">
    <w:name w:val="正文文本 2 Char"/>
    <w:link w:val="993"/>
    <w:uiPriority w:val="0"/>
    <w:qFormat/>
    <w:rPr>
      <w:rFonts w:ascii="楷体_GB2312" w:hAnsi="Times New Roman" w:eastAsia="楷体_GB2312" w:cs="Times New Roman"/>
      <w:sz w:val="28"/>
      <w:szCs w:val="28"/>
    </w:rPr>
  </w:style>
  <w:style w:type="paragraph" w:styleId="995" w:customStyle="1">
    <w:name w:val="列表 31"/>
    <w:basedOn w:val="717"/>
    <w:uiPriority w:val="0"/>
    <w:qFormat/>
    <w:pPr>
      <w:ind w:left="100" w:hanging="200"/>
    </w:pPr>
    <w:rPr>
      <w:rFonts w:ascii="Times New Roman" w:hAnsi="Times New Roman" w:eastAsia="宋体" w:cs="Times New Roman"/>
      <w:szCs w:val="21"/>
    </w:rPr>
  </w:style>
  <w:style w:type="paragraph" w:styleId="996"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997" w:customStyle="1">
    <w:name w:val="目录 21"/>
    <w:basedOn w:val="717"/>
    <w:next w:val="717"/>
    <w:uiPriority w:val="0"/>
    <w:semiHidden/>
    <w:qFormat/>
    <w:pPr>
      <w:ind w:left="210"/>
      <w:jc w:val="left"/>
    </w:pPr>
    <w:rPr>
      <w:rFonts w:ascii="Times New Roman" w:hAnsi="Times New Roman" w:eastAsia="宋体" w:cs="Times New Roman"/>
      <w:smallCaps/>
      <w:szCs w:val="24"/>
    </w:rPr>
  </w:style>
  <w:style w:type="paragraph" w:styleId="998"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customStyle="1">
    <w:name w:val="页眉1"/>
    <w:basedOn w:val="717"/>
    <w:link w:val="100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页脚1"/>
    <w:basedOn w:val="717"/>
    <w:link w:val="1002"/>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02" w:customStyle="1">
    <w:name w:val="页脚 Char"/>
    <w:link w:val="1001"/>
    <w:uiPriority w:val="99"/>
    <w:qFormat/>
    <w:rPr>
      <w:rFonts w:ascii="Times New Roman" w:hAnsi="Times New Roman" w:eastAsia="宋体" w:cs="Times New Roman"/>
      <w:sz w:val="18"/>
      <w:szCs w:val="18"/>
    </w:rPr>
  </w:style>
  <w:style w:type="paragraph" w:styleId="1003"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1005"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6" w:customStyle="1">
    <w:name w:val="Char Char Char Char"/>
    <w:basedOn w:val="945"/>
    <w:uiPriority w:val="0"/>
    <w:qFormat/>
    <w:pPr>
      <w:spacing w:line="360" w:lineRule="auto"/>
    </w:pPr>
    <w:rPr>
      <w:rFonts w:ascii="Tahoma" w:hAnsi="Tahoma"/>
      <w:sz w:val="24"/>
      <w:szCs w:val="24"/>
    </w:rPr>
  </w:style>
  <w:style w:type="paragraph" w:styleId="1007"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8"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customStyle="1">
    <w:name w:val="修订"/>
    <w:uiPriority w:val="99"/>
    <w:semiHidden/>
    <w:qFormat/>
    <w:rPr>
      <w:rFonts w:hint="default" w:ascii="Times New Roman" w:hAnsi="Times New Roman" w:eastAsia="宋体" w:cs="Times New Roman"/>
      <w:sz w:val="21"/>
      <w:szCs w:val="21"/>
      <w:lang w:val="en-US" w:eastAsia="zh-CN" w:bidi="ar-SA"/>
    </w:rPr>
  </w:style>
  <w:style w:type="table" w:styleId="1011" w:customStyle="1">
    <w:name w:val="网格型1"/>
    <w:basedOn w:val="913"/>
    <w:uiPriority w:val="0"/>
    <w:qFormat/>
    <w:pPr>
      <w:jc w:val="both"/>
      <w:widowControl w:val="off"/>
    </w:pPr>
    <w:rPr>
      <w:rFonts w:ascii="Times New Roman" w:hAnsi="Times New Roman" w:eastAsia="宋体" w:cs="Times New Roman"/>
      <w:sz w:val="20"/>
      <w:szCs w:val="20"/>
    </w:rPr>
    <w:tbl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厉彬彬</cp:lastModifiedBy>
  <cp:revision>74</cp:revision>
  <dcterms:created xsi:type="dcterms:W3CDTF">2023-03-27T07:28:00Z</dcterms:created>
  <dcterms:modified xsi:type="dcterms:W3CDTF">2024-11-25T03:02:30Z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ED743356C133429FA5C0ED1F366693BA_13</vt:lpwstr>
  </property>
</Properties>
</file>