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auto"/>
          <w:sz w:val="56"/>
          <w:szCs w:val="56"/>
          <w:highlight w:val="none"/>
        </w:rPr>
      </w:pPr>
      <w:r>
        <w:rPr>
          <w:rFonts w:hint="eastAsia" w:ascii="宋体" w:hAnsi="宋体" w:cs="宋体"/>
          <w:b/>
          <w:bCs/>
          <w:color w:val="auto"/>
          <w:sz w:val="56"/>
          <w:szCs w:val="56"/>
          <w:highlight w:val="none"/>
        </w:rPr>
        <w:t xml:space="preserve"> </w:t>
      </w:r>
      <w:r/>
    </w:p>
    <w:p>
      <w:pPr>
        <w:rPr>
          <w:rFonts w:ascii="宋体" w:hAnsi="宋体" w:cs="宋体"/>
          <w:b/>
          <w:bCs/>
          <w:color w:val="auto"/>
          <w:sz w:val="56"/>
          <w:szCs w:val="56"/>
          <w:highlight w:val="none"/>
        </w:rPr>
      </w:pPr>
      <w:r>
        <w:rPr>
          <w:rFonts w:ascii="宋体" w:hAnsi="宋体" w:cs="宋体"/>
          <w:b/>
          <w:bCs/>
          <w:color w:val="auto"/>
          <w:sz w:val="56"/>
          <w:szCs w:val="56"/>
          <w:highlight w:val="none"/>
        </w:rPr>
      </w:r>
      <w:r/>
    </w:p>
    <w:p>
      <w:pPr>
        <w:pStyle w:val="854"/>
        <w:ind w:firstLine="0"/>
        <w:jc w:val="both"/>
        <w:rPr>
          <w:rFonts w:ascii="宋体" w:hAnsi="宋体" w:cs="宋体"/>
          <w:b/>
          <w:bCs/>
          <w:color w:val="auto"/>
          <w:sz w:val="56"/>
          <w:szCs w:val="22"/>
          <w:highlight w:val="none"/>
        </w:rPr>
      </w:pPr>
      <w:r>
        <w:rPr>
          <w:rFonts w:ascii="宋体" w:hAnsi="宋体" w:cs="宋体"/>
          <w:b/>
          <w:bCs/>
          <w:color w:val="auto"/>
          <w:sz w:val="56"/>
          <w:szCs w:val="22"/>
          <w:highlight w:val="none"/>
        </w:rPr>
      </w:r>
      <w:r/>
    </w:p>
    <w:p>
      <w:pPr>
        <w:pStyle w:val="854"/>
        <w:ind w:firstLine="0"/>
        <w:jc w:val="center"/>
        <w:rPr>
          <w:rFonts w:ascii="宋体" w:hAnsi="宋体" w:cs="宋体"/>
          <w:b/>
          <w:bCs/>
          <w:color w:val="auto"/>
          <w:sz w:val="84"/>
          <w:highlight w:val="none"/>
        </w:rPr>
      </w:pPr>
      <w:r>
        <w:rPr>
          <w:rFonts w:hint="eastAsia" w:ascii="宋体" w:hAnsi="宋体" w:cs="宋体"/>
          <w:b/>
          <w:bCs/>
          <w:color w:val="auto"/>
          <w:sz w:val="56"/>
          <w:szCs w:val="22"/>
          <w:highlight w:val="none"/>
        </w:rPr>
        <w:t xml:space="preserve">单 一 来 源 采 购 文 件</w:t>
      </w:r>
      <w:r/>
    </w:p>
    <w:p>
      <w:pPr>
        <w:jc w:val="center"/>
        <w:spacing w:line="64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64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64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64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等线"/>
          <w:b/>
          <w:bCs/>
          <w:sz w:val="32"/>
          <w:szCs w:val="32"/>
          <w:lang w:eastAsia="zh-CN"/>
        </w:rPr>
        <w:t xml:space="preserve">“信大优学”教学云平台项目</w:t>
      </w:r>
      <w:r/>
    </w:p>
    <w:p>
      <w:pPr>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项目编号：JSSYJC-ZB-2024</w:t>
      </w:r>
      <w:r>
        <w:rPr>
          <w:rFonts w:hint="eastAsia" w:ascii="宋体" w:hAnsi="宋体" w:cs="宋体"/>
          <w:b/>
          <w:bCs/>
          <w:color w:val="auto"/>
          <w:sz w:val="32"/>
          <w:szCs w:val="32"/>
          <w:highlight w:val="none"/>
          <w:lang w:val="en-US" w:eastAsia="zh-CN"/>
        </w:rPr>
        <w:t xml:space="preserve">0929</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58"/>
      </w:pPr>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 购 人：南京信息工程大学</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代理机构：江苏苏亚金诚工程管理咨询有限公司</w:t>
      </w:r>
      <w:r/>
    </w:p>
    <w:p>
      <w:pPr>
        <w:ind w:firstLine="2249"/>
        <w:jc w:val="lef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 〇 二 四 年 </w:t>
      </w:r>
      <w:r>
        <w:rPr>
          <w:rFonts w:hint="eastAsia" w:ascii="宋体" w:hAnsi="宋体" w:cs="宋体"/>
          <w:b/>
          <w:bCs/>
          <w:color w:val="auto"/>
          <w:sz w:val="28"/>
          <w:szCs w:val="28"/>
          <w:highlight w:val="none"/>
          <w:lang w:val="en-US" w:eastAsia="zh-CN"/>
        </w:rPr>
        <w:t xml:space="preserve">十</w:t>
      </w:r>
      <w:r>
        <w:rPr>
          <w:rFonts w:hint="eastAsia" w:ascii="宋体" w:hAnsi="宋体" w:cs="宋体"/>
          <w:b/>
          <w:bCs/>
          <w:color w:val="auto"/>
          <w:sz w:val="28"/>
          <w:szCs w:val="28"/>
          <w:highlight w:val="none"/>
        </w:rPr>
        <w:t xml:space="preserve"> 月</w:t>
      </w:r>
      <w:r/>
    </w:p>
    <w:p>
      <w:pPr>
        <w:rPr>
          <w:rFonts w:ascii="宋体" w:hAnsi="宋体" w:cs="宋体"/>
          <w:color w:val="auto"/>
          <w:highlight w:val="none"/>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ascii="宋体" w:hAnsi="宋体" w:cs="宋体"/>
          <w:color w:val="auto"/>
          <w:highlight w:val="none"/>
        </w:rPr>
      </w:r>
      <w:r/>
    </w:p>
    <w:p>
      <w:pPr>
        <w:jc w:val="center"/>
        <w:spacing w:line="360" w:lineRule="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目 录</w:t>
      </w:r>
      <w:r/>
    </w:p>
    <w:p>
      <w:pPr>
        <w:pStyle w:val="773"/>
        <w:keepLines w:val="0"/>
        <w:keepNext w:val="0"/>
        <w:pageBreakBefore w:val="0"/>
        <w:spacing w:line="36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"1-3"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_Toc2018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单一来源采购邀请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_Toc2018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773"/>
        <w:keepLines w:val="0"/>
        <w:keepNext w:val="0"/>
        <w:pageBreakBefore w:val="0"/>
        <w:spacing w:line="36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_Toc7891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_Toc7891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_Toc10416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采购方式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_Toc10416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_Toc8953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合格的供应商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_Toc8370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适用法律</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_Toc1344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采购文件的约束力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_Toc5143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采购文件构成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_Toc28923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协商语言及度量衡单位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_Toc28923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_Toc16713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协商响应文件编制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_Toc16713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_Toc20959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_Toc20959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_Toc9822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证明供应商资格的文件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_Toc9822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_Toc31308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协商有效期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_Toc31308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_Toc23954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协商响应文件签署</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_Toc23954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_Toc10812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协商响应文件的密封和标记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_Toc10812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_Toc26041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13</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谈判协商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_Toc26041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14</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协商小组</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_Toc30543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谈判协商过程的保密与公正</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_Toc31122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16</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评审过程的澄清</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_Toc19024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17</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对协商响应文件的评审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_Toc19024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_Toc25011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谈判协商及成交原则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_Toc3620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确定成交单位</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_Toc3620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_Toc17079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20</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中标、成交通知书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签订合同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3"/>
        <w:keepLines w:val="0"/>
        <w:keepNext w:val="0"/>
        <w:pageBreakBefore w:val="0"/>
        <w:spacing w:line="36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_Toc19236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_Toc19236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9</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773"/>
        <w:keepLines w:val="0"/>
        <w:keepNext w:val="0"/>
        <w:pageBreakBefore w:val="0"/>
        <w:spacing w:line="36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_Toc15480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lang w:val="zh-CN"/>
        </w:rPr>
        <w:t xml:space="preserve">第</w:t>
      </w: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zh-CN"/>
        </w:rPr>
        <w:t xml:space="preserve">章</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lang w:val="zh-CN"/>
        </w:rPr>
        <w:t xml:space="preserve">项目采购需求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_Toc15480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15</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_Toc7426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_Toc7426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_Toc21445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二、基本要求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_Toc21445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_Toc1158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总体架构要求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_Toc6291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统一身份认证要求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_Toc6291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_Toc14636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数据集成要求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_Toc14636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_Toc4627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平台安全要求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_Toc4627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_Toc9339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平台性能要求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_Toc9339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_Toc28257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平台运维要求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_Toc28257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_Toc17413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7</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培训答疑服务要求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_Toc17670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_Toc17670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_Toc10347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服务要求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_Toc10347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6"/>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_Toc18034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三、详细要求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_Toc18034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_Toc24933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1.智慧教学系统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_Toc24933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60"/>
        <w:keepLines w:val="0"/>
        <w:keepNext w:val="0"/>
        <w:pageBreakBefore w:val="0"/>
        <w:spacing w:line="360" w:lineRule="auto"/>
        <w:widowControl w:val="off"/>
        <w:tabs>
          <w:tab w:val="right" w:pos="8306"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_Toc24134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教学评价系统</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_Toc24134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773"/>
        <w:keepLines w:val="0"/>
        <w:keepNext w:val="0"/>
        <w:pageBreakBefore w:val="0"/>
        <w:spacing w:line="360" w:lineRule="auto"/>
        <w:widowControl w:val="off"/>
        <w:tabs>
          <w:tab w:val="right" w:pos="8306" w:leader="dot"/>
        </w:tabs>
        <w:rPr>
          <w:rFonts w:hint="eastAsia" w:ascii="宋体" w:hAnsi="宋体" w:eastAsia="宋体" w:cs="宋体"/>
          <w:b/>
          <w:bCs/>
          <w:sz w:val="24"/>
          <w:szCs w:val="24"/>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_Toc13709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zh-CN"/>
        </w:rPr>
        <w:t xml:space="preserve">五</w:t>
      </w:r>
      <w:r>
        <w:rPr>
          <w:rFonts w:hint="eastAsia" w:ascii="宋体" w:hAnsi="宋体" w:eastAsia="宋体" w:cs="宋体"/>
          <w:b/>
          <w:bCs/>
          <w:sz w:val="24"/>
          <w:szCs w:val="24"/>
          <w:highlight w:val="none"/>
        </w:rPr>
        <w:t xml:space="preserve">章</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_Toc13709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64</w:t>
      </w:r>
      <w:r>
        <w:rPr>
          <w:rFonts w:hint="eastAsia" w:ascii="宋体" w:hAnsi="宋体" w:eastAsia="宋体" w:cs="宋体"/>
          <w:b/>
          <w:bCs/>
          <w:sz w:val="24"/>
          <w:szCs w:val="24"/>
        </w:rPr>
        <w:fldChar w:fldCharType="end"/>
      </w:r>
      <w:r>
        <w:rPr>
          <w:rFonts w:hint="eastAsia" w:ascii="宋体" w:hAnsi="宋体" w:eastAsia="宋体" w:cs="宋体"/>
          <w:b/>
          <w:bCs/>
          <w:color w:val="auto"/>
          <w:sz w:val="24"/>
          <w:szCs w:val="24"/>
          <w:highlight w:val="none"/>
        </w:rPr>
        <w:fldChar w:fldCharType="end"/>
      </w:r>
      <w:r/>
    </w:p>
    <w:p>
      <w:pPr>
        <w:pStyle w:val="773"/>
        <w:jc w:val="left"/>
        <w:keepLines w:val="0"/>
        <w:keepNext w:val="0"/>
        <w:pageBreakBefore w:val="0"/>
        <w:spacing w:line="360" w:lineRule="auto"/>
        <w:widowControl w:val="off"/>
        <w:tabs>
          <w:tab w:val="right" w:pos="8296" w:leader="dot"/>
        </w:tabs>
        <w:rPr>
          <w:rFonts w:ascii="宋体" w:hAnsi="宋体" w:cs="宋体"/>
          <w:color w:val="auto"/>
          <w:sz w:val="24"/>
          <w:szCs w:val="24"/>
          <w:highlight w:val="none"/>
        </w:rPr>
        <w:sectPr>
          <w:footerReference w:type="default" r:id="rId11"/>
          <w:footnotePr/>
          <w:endnotePr/>
          <w:type w:val="nextPage"/>
          <w:pgSz w:w="11906" w:h="16838" w:orient="portrait"/>
          <w:pgMar w:top="1440" w:right="1800" w:bottom="1440" w:left="1800" w:header="1020" w:footer="1191" w:gutter="0"/>
          <w:pgNumType w:start="1"/>
          <w:cols w:num="1" w:sep="0" w:space="720" w:equalWidth="1"/>
          <w:docGrid w:linePitch="360"/>
        </w:sectPr>
      </w:pPr>
      <w:r>
        <w:rPr>
          <w:rFonts w:hint="eastAsia" w:ascii="宋体" w:hAnsi="宋体" w:eastAsia="宋体" w:cs="宋体"/>
          <w:color w:val="auto"/>
          <w:sz w:val="24"/>
          <w:szCs w:val="24"/>
          <w:highlight w:val="none"/>
        </w:rPr>
        <w:fldChar w:fldCharType="end"/>
      </w:r>
      <w:r/>
    </w:p>
    <w:p>
      <w:pPr>
        <w:pStyle w:val="745"/>
        <w:jc w:val="center"/>
        <w:spacing w:before="20" w:after="20" w:line="360" w:lineRule="auto"/>
        <w:rPr>
          <w:rFonts w:ascii="宋体" w:hAnsi="宋体" w:cs="宋体"/>
          <w:color w:val="auto"/>
          <w:sz w:val="28"/>
          <w:szCs w:val="28"/>
          <w:highlight w:val="none"/>
        </w:rPr>
      </w:pPr>
      <w:r/>
      <w:bookmarkStart w:id="0" w:name="_Toc13030"/>
      <w:r/>
      <w:bookmarkStart w:id="1" w:name="_Toc2018"/>
      <w:r/>
      <w:bookmarkStart w:id="2" w:name="_Toc13260"/>
      <w:r/>
      <w:bookmarkStart w:id="3" w:name="_Toc447724705"/>
      <w:r/>
      <w:bookmarkStart w:id="4" w:name="_Toc5380"/>
      <w:r/>
      <w:bookmarkStart w:id="5" w:name="_Toc497401656"/>
      <w:r>
        <w:rPr>
          <w:rFonts w:hint="eastAsia" w:ascii="宋体" w:hAnsi="宋体" w:cs="宋体"/>
          <w:color w:val="auto"/>
          <w:sz w:val="28"/>
          <w:szCs w:val="28"/>
          <w:highlight w:val="none"/>
        </w:rPr>
        <w:t xml:space="preserve">第一章 单一来源采购邀请</w:t>
      </w:r>
      <w:bookmarkEnd w:id="0"/>
      <w:r/>
      <w:bookmarkEnd w:id="1"/>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北京世纪超星信息技术发展有限责任公司：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江苏苏亚金诚工程管理咨询有限公司受南京信息工程大学的委托，就</w:t>
      </w:r>
      <w:r>
        <w:rPr>
          <w:rFonts w:hint="eastAsia" w:ascii="宋体" w:hAnsi="宋体" w:cs="宋体"/>
          <w:color w:val="auto"/>
          <w:sz w:val="24"/>
          <w:szCs w:val="24"/>
          <w:highlight w:val="none"/>
          <w:lang w:eastAsia="zh-CN"/>
        </w:rPr>
        <w:t xml:space="preserve">“信大优学”教学云平台项目</w:t>
      </w:r>
      <w:r>
        <w:rPr>
          <w:rFonts w:hint="eastAsia" w:ascii="宋体" w:hAnsi="宋体" w:cs="宋体"/>
          <w:color w:val="auto"/>
          <w:sz w:val="24"/>
          <w:szCs w:val="24"/>
          <w:highlight w:val="none"/>
        </w:rPr>
        <w:t xml:space="preserve">进行单一来源采购，欢迎贵单位参加，并提请注意以下事项：</w:t>
      </w:r>
      <w:r/>
    </w:p>
    <w:p>
      <w:pPr>
        <w:pStyle w:val="790"/>
        <w:ind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rPr>
        <w:t xml:space="preserve">一、项目名称：</w:t>
      </w:r>
      <w:r>
        <w:rPr>
          <w:rFonts w:hint="eastAsia" w:ascii="宋体" w:hAnsi="宋体" w:cs="宋体"/>
          <w:b/>
          <w:bCs/>
          <w:color w:val="auto"/>
          <w:sz w:val="24"/>
          <w:szCs w:val="24"/>
          <w:highlight w:val="none"/>
          <w:lang w:val="en-US" w:eastAsia="zh-CN"/>
        </w:rPr>
        <w:t xml:space="preserve">“信大优学”教学云平台项目</w:t>
      </w:r>
      <w:r/>
    </w:p>
    <w:p>
      <w:pPr>
        <w:pStyle w:val="790"/>
        <w:ind w:firstLine="0"/>
        <w:spacing w:line="360" w:lineRule="auto"/>
        <w:rPr>
          <w:rFonts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二、招标编号：JSSYJC-ZB-2024</w:t>
      </w:r>
      <w:r>
        <w:rPr>
          <w:rFonts w:hint="eastAsia" w:ascii="宋体" w:hAnsi="宋体" w:cs="宋体"/>
          <w:b/>
          <w:bCs/>
          <w:color w:val="auto"/>
          <w:sz w:val="24"/>
          <w:szCs w:val="24"/>
          <w:highlight w:val="none"/>
          <w:lang w:val="en-US" w:eastAsia="zh-CN"/>
        </w:rPr>
        <w:t xml:space="preserve">0929</w:t>
      </w:r>
      <w:r/>
    </w:p>
    <w:p>
      <w:pPr>
        <w:spacing w:line="360" w:lineRule="auto"/>
        <w:rPr>
          <w:rFonts w:ascii="宋体" w:hAnsi="宋体" w:cs="宋体"/>
          <w:b/>
          <w:bCs/>
          <w:color w:val="auto"/>
          <w:sz w:val="24"/>
          <w:szCs w:val="24"/>
          <w:highlight w:val="none"/>
        </w:rPr>
      </w:pPr>
      <w:r/>
      <w:bookmarkStart w:id="6" w:name="_Toc85783846"/>
      <w:r/>
      <w:bookmarkStart w:id="7" w:name="_Toc13501"/>
      <w:r>
        <w:rPr>
          <w:rFonts w:hint="eastAsia" w:ascii="宋体" w:hAnsi="宋体" w:cs="宋体"/>
          <w:b/>
          <w:bCs/>
          <w:color w:val="auto"/>
          <w:sz w:val="24"/>
          <w:szCs w:val="24"/>
          <w:highlight w:val="none"/>
        </w:rPr>
        <w:t xml:space="preserve">三、最高限价：</w:t>
      </w:r>
      <w:r>
        <w:rPr>
          <w:rFonts w:hint="eastAsia" w:ascii="宋体" w:hAnsi="宋体" w:cs="宋体"/>
          <w:b/>
          <w:bCs/>
          <w:color w:val="auto"/>
          <w:sz w:val="24"/>
          <w:szCs w:val="24"/>
          <w:highlight w:val="none"/>
          <w:lang w:val="en-US" w:eastAsia="zh-CN"/>
        </w:rPr>
        <w:t xml:space="preserve">两年服务期共计130</w:t>
      </w:r>
      <w:r>
        <w:rPr>
          <w:rFonts w:hint="eastAsia" w:ascii="宋体" w:hAnsi="宋体" w:cs="宋体"/>
          <w:b/>
          <w:bCs/>
          <w:color w:val="auto"/>
          <w:sz w:val="24"/>
          <w:szCs w:val="24"/>
          <w:highlight w:val="none"/>
        </w:rPr>
        <w:t xml:space="preserve">万元</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四、合格响应供应商资质要求</w:t>
      </w:r>
      <w:bookmarkEnd w:id="6"/>
      <w:r/>
      <w:bookmarkEnd w:id="7"/>
      <w:r/>
      <w:bookmarkStart w:id="194" w:name="_GoBack"/>
      <w:r/>
      <w:bookmarkEnd w:id="194"/>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1、满足《中华人民共和国政府采购法》第二十二条规定，并依照</w:t>
      </w:r>
      <w:r>
        <w:rPr>
          <w:rFonts w:ascii="宋体" w:hAnsi="宋体"/>
          <w:color w:val="auto"/>
          <w:sz w:val="24"/>
          <w:highlight w:val="none"/>
        </w:rPr>
        <w:t xml:space="preserve">《中华人民共和国政府采购法实施条例》</w:t>
      </w:r>
      <w:r>
        <w:rPr>
          <w:rFonts w:hint="eastAsia" w:ascii="宋体" w:hAnsi="宋体" w:cs="宋体"/>
          <w:color w:val="auto"/>
          <w:sz w:val="24"/>
          <w:szCs w:val="24"/>
          <w:highlight w:val="none"/>
        </w:rPr>
        <w:t xml:space="preserve">第十七条规定提供材料：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（1）具有独立承担民事责任的能力，依法注册登记、具有独立法人资格，提供法人或其他组织的营业执照等证明文件，复印件加盖公章。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（3）具有履行合同所必需的设备和专业技术能力（根据项目需求提供履行合同所必需的设备和专业技术能力的书面声明。）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（4）承诺在近三年经营活动中没有违法记录：需提供参加本次投标活动前3年内在经营活动中没有重大违法记录的书面声明。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（5）有依法缴纳税收的良好记录，提供距开标时间六个月内任意一月份的纳税凭据复印件加盖公章（依法免税的应提供相应文件说明）</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（6）有依法缴纳社会保障资金的良好记录，提供距开标时间六个月内任意一月份的依法缴纳社会保障资金的凭据复印件加盖公章。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（7）法律、行政法规规定的其他条件（提供项目实施所必须的许可资质证明材料）：无。</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2、落实政府采购政策需满足的资格要求：无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供应商具有有效期内中国气象局气象专用技术装备使用许可证产品或国家认可的第三方测试报告（提供相关证明材料复印件加盖公章）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4、本项目拒绝下述供应商参加本次投标活动的情形：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（1）投标人单位负责人为同一人或者存在直接控股、管理关系的不同投标人，不得参加同一合同项下的投标活动。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（2）凡为招标项目提供整体设计、规范编制或者项目管理、监理、检测等服务的投标人，不得再参加本项目的投标活动。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（3）投标人被“信用中国”网站（www.creditchina.gov.cn）、“中国政府采购网”(www.ccgp.gov.cn)列入失信被执行人、重大税收违法案件当事人名单、政府采购严重违法失信行为记录名单。</w:t>
      </w:r>
      <w:r/>
    </w:p>
    <w:p>
      <w:pPr>
        <w:pStyle w:val="790"/>
        <w:spacing w:line="360" w:lineRule="auto"/>
        <w:rPr>
          <w:rFonts w:ascii="宋体" w:hAnsi="宋体"/>
          <w:color w:val="auto"/>
          <w:sz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rPr>
        <w:t xml:space="preserve">、</w:t>
      </w:r>
      <w:r>
        <w:rPr>
          <w:rFonts w:hint="eastAsia" w:ascii="宋体" w:hAnsi="宋体" w:cs="宋体"/>
          <w:color w:val="auto"/>
          <w:sz w:val="24"/>
          <w:szCs w:val="24"/>
          <w:highlight w:val="none"/>
        </w:rPr>
        <w:t xml:space="preserve">本项目不接受联合体投标。</w:t>
      </w:r>
      <w:r>
        <w:rPr>
          <w:rFonts w:hint="eastAsia" w:ascii="宋体" w:hAnsi="宋体"/>
          <w:color w:val="auto"/>
          <w:sz w:val="24"/>
          <w:highlight w:val="none"/>
        </w:rPr>
        <w:t xml:space="preserve">  </w:t>
      </w:r>
      <w:r/>
    </w:p>
    <w:p>
      <w:pPr>
        <w:pStyle w:val="790"/>
        <w:ind w:firstLine="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rPr>
        <w:t xml:space="preserve">五</w:t>
      </w:r>
      <w:r>
        <w:rPr>
          <w:rFonts w:hint="eastAsia" w:ascii="宋体" w:hAnsi="宋体" w:cs="宋体"/>
          <w:b/>
          <w:bCs/>
          <w:color w:val="auto"/>
          <w:sz w:val="24"/>
          <w:szCs w:val="24"/>
          <w:highlight w:val="none"/>
        </w:rPr>
        <w:t xml:space="preserve">、采购文件获取及报名要求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1、获取时间：2024-</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18 14</w:t>
      </w:r>
      <w:r>
        <w:rPr>
          <w:rFonts w:hint="eastAsia" w:ascii="宋体" w:hAnsi="宋体" w:cs="宋体"/>
          <w:color w:val="auto"/>
          <w:sz w:val="24"/>
          <w:szCs w:val="24"/>
          <w:highlight w:val="none"/>
        </w:rPr>
        <w:t xml:space="preserve">:00到2024-</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23 </w:t>
      </w:r>
      <w:r>
        <w:rPr>
          <w:rFonts w:hint="eastAsia" w:ascii="宋体" w:hAnsi="宋体" w:cs="宋体"/>
          <w:color w:val="auto"/>
          <w:sz w:val="24"/>
          <w:szCs w:val="24"/>
          <w:highlight w:val="none"/>
        </w:rPr>
        <w:t xml:space="preserve">17:00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2、获取方式：本项目文件获取采用邮件方式。有意参加投标的投标人须在上述规定时间</w:t>
      </w:r>
      <w:r>
        <w:rPr>
          <w:rFonts w:hint="eastAsia" w:ascii="宋体" w:hAnsi="宋体" w:cs="宋体"/>
          <w:color w:val="auto"/>
          <w:sz w:val="24"/>
          <w:szCs w:val="24"/>
          <w:highlight w:val="none"/>
        </w:rPr>
        <w:t xml:space="preserve">内将单位介绍信原件扫描件或法人授权委托书原件扫描件（无固定格式，但须载明项目名称、经办人姓名并加盖投标人公章）、经办人身份证原件扫描件</w:t>
      </w:r>
      <w:r>
        <w:rPr>
          <w:rFonts w:hint="eastAsia" w:ascii="宋体" w:hAnsi="宋体" w:cs="宋体"/>
          <w:color w:val="auto"/>
          <w:sz w:val="24"/>
          <w:szCs w:val="24"/>
          <w:highlight w:val="none"/>
        </w:rPr>
        <w:t xml:space="preserve">和</w:t>
      </w:r>
      <w:r>
        <w:rPr>
          <w:rFonts w:hint="eastAsia" w:ascii="宋体" w:hAnsi="宋体" w:cs="宋体"/>
          <w:color w:val="auto"/>
          <w:sz w:val="24"/>
          <w:szCs w:val="24"/>
          <w:highlight w:val="none"/>
        </w:rPr>
        <w:t xml:space="preserve">报名登记表</w:t>
      </w:r>
      <w:r>
        <w:rPr>
          <w:rFonts w:hint="eastAsia" w:ascii="宋体" w:hAnsi="宋体" w:cs="宋体"/>
          <w:color w:val="auto"/>
          <w:sz w:val="24"/>
          <w:szCs w:val="24"/>
          <w:highlight w:val="none"/>
        </w:rPr>
        <w:t xml:space="preserve">扫</w:t>
      </w:r>
      <w:r>
        <w:rPr>
          <w:rFonts w:hint="eastAsia" w:ascii="宋体" w:hAnsi="宋体" w:cs="宋体"/>
          <w:color w:val="auto"/>
          <w:sz w:val="24"/>
          <w:szCs w:val="24"/>
          <w:highlight w:val="none"/>
        </w:rPr>
        <w:t xml:space="preserve">描件材料发送至1032686102@qq.com（注：发送材料时邮件主题须为“项目名称+单位名称+经办人手机号”），并电话提醒代理机构。所有资料经代理机构收到并确认无误后发放单一来源采购文件（word版）。未在上述规定时间内发送上述规定材料至指定邮箱的投标人递交的响应文件，采购人将拒绝接受其响应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3、对项目需求部分的询问、质疑请与采购人联系；其他部分的询问、质疑由采购代理负责答复。</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有关本次采购的事项若存在变动或修改，敬请及时关注邮件。</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六、响应文件递交开始时间、截止时间、地点</w:t>
      </w:r>
      <w:r/>
    </w:p>
    <w:p>
      <w:pPr>
        <w:ind w:firstLine="56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1、开始时间：2024年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24日</w:t>
      </w:r>
      <w:r>
        <w:rPr>
          <w:rFonts w:hint="eastAsia" w:ascii="宋体" w:hAnsi="宋体" w:cs="宋体"/>
          <w:color w:val="auto"/>
          <w:sz w:val="24"/>
          <w:szCs w:val="24"/>
          <w:highlight w:val="none"/>
        </w:rPr>
        <w:t xml:space="preserve">下午14时00分</w:t>
      </w:r>
      <w:r/>
    </w:p>
    <w:p>
      <w:pPr>
        <w:ind w:firstLine="56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2、截止时间：2024年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24日</w:t>
      </w:r>
      <w:r>
        <w:rPr>
          <w:rFonts w:hint="eastAsia" w:ascii="宋体" w:hAnsi="宋体" w:cs="宋体"/>
          <w:color w:val="auto"/>
          <w:sz w:val="24"/>
          <w:szCs w:val="24"/>
          <w:highlight w:val="none"/>
        </w:rPr>
        <w:t xml:space="preserve">下午14时30分</w:t>
      </w:r>
      <w:r/>
    </w:p>
    <w:p>
      <w:pPr>
        <w:ind w:firstLine="56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3、地点：南京市鼓楼区中山北路105-6号中环国际广场22楼江苏苏亚金诚工程管理咨询有限公司2217会议室</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4、响应文件递交方式：现场纸质递交</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七、谈判时间及地点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1、时间：22024年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24日</w:t>
      </w:r>
      <w:r>
        <w:rPr>
          <w:rFonts w:hint="eastAsia" w:ascii="宋体" w:hAnsi="宋体" w:cs="宋体"/>
          <w:color w:val="auto"/>
          <w:sz w:val="24"/>
          <w:szCs w:val="24"/>
          <w:highlight w:val="none"/>
        </w:rPr>
        <w:t xml:space="preserve">下午14时30分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2、地点：南京市鼓楼区中山北路105-6号中环国际广场22楼江苏苏亚金诚工程管理咨询有限公司2217会议室</w:t>
      </w:r>
      <w:r/>
    </w:p>
    <w:p>
      <w:pP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八、递交标书注意事项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请供应商提前安排好时间，按单一来源采购文件要求的时间和地址提前抵达谈判现场，因大楼相关管理要求，请供应商至少提前15分钟到达单一来源采购文件指定的递交地点并与代理工作人员联系（联系电话：15951948121），由工作人员带领至谈判现场，若因供应商预留时间不足，未能在谈判截止时间前抵达谈判现场或未签到的，代理机构将不接收该供应商的响应文件，由供应商自行承担相关后果。</w:t>
      </w:r>
      <w:r/>
    </w:p>
    <w:p>
      <w:pPr>
        <w:pStyle w:val="790"/>
        <w:ind w:firstLine="0"/>
        <w:spacing w:line="360" w:lineRule="auto"/>
        <w:rPr>
          <w:rFonts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九、响应文件数量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正本份数：1份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副本份数：3份</w:t>
      </w:r>
      <w:r/>
    </w:p>
    <w:p>
      <w:pPr>
        <w:pStyle w:val="79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电子版</w:t>
      </w:r>
      <w:r>
        <w:rPr>
          <w:rFonts w:hint="eastAsia" w:ascii="宋体" w:hAnsi="宋体" w:cs="宋体"/>
          <w:color w:val="auto"/>
          <w:sz w:val="24"/>
          <w:szCs w:val="24"/>
          <w:highlight w:val="none"/>
        </w:rPr>
        <w:t xml:space="preserve">：1份</w:t>
      </w:r>
      <w:r>
        <w:rPr>
          <w:rFonts w:hint="eastAsia"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（电子版须为</w:t>
      </w:r>
      <w:r>
        <w:rPr>
          <w:rFonts w:hint="eastAsia" w:ascii="宋体" w:hAnsi="宋体" w:cs="宋体"/>
          <w:color w:val="auto"/>
          <w:sz w:val="24"/>
          <w:szCs w:val="24"/>
          <w:highlight w:val="none"/>
          <w:lang w:val="en-US"/>
        </w:rPr>
        <w:t xml:space="preserve">响应文件</w:t>
      </w:r>
      <w:r>
        <w:rPr>
          <w:rFonts w:hint="eastAsia" w:ascii="宋体" w:hAnsi="宋体" w:cs="宋体"/>
          <w:color w:val="auto"/>
          <w:sz w:val="24"/>
          <w:szCs w:val="24"/>
          <w:highlight w:val="none"/>
        </w:rPr>
        <w:t xml:space="preserve">正本加盖公章的PDF扫描件，扫描件内容应与纸质文件完全一致。文件名建议修改为公司名+项目编号简写。电子文档用于存档，以U盘（请勿提交刻录光盘）形式递交，U盘不予退还。）</w:t>
      </w:r>
      <w:r/>
    </w:p>
    <w:p>
      <w:pPr>
        <w:pStyle w:val="790"/>
        <w:ind w:firstLine="0"/>
        <w:spacing w:line="360" w:lineRule="auto"/>
        <w:rPr>
          <w:rFonts w:ascii="宋体" w:hAnsi="宋体" w:cs="宋体"/>
          <w:color w:val="auto"/>
          <w:sz w:val="24"/>
          <w:highlight w:val="none"/>
          <w:lang w:val="en-US"/>
        </w:rPr>
      </w:pPr>
      <w:r>
        <w:rPr>
          <w:rFonts w:ascii="宋体" w:hAnsi="宋体" w:cs="宋体"/>
          <w:color w:val="auto"/>
          <w:sz w:val="24"/>
          <w:highlight w:val="none"/>
          <w:lang w:val="en-US"/>
        </w:rPr>
      </w:r>
      <w:r/>
    </w:p>
    <w:p>
      <w:pPr>
        <w:pStyle w:val="790"/>
        <w:ind w:firstLine="0"/>
        <w:spacing w:line="360" w:lineRule="auto"/>
        <w:rPr>
          <w:rFonts w:ascii="宋体" w:hAnsi="宋体" w:cs="宋体"/>
          <w:b/>
          <w:bCs/>
          <w:color w:val="auto"/>
          <w:sz w:val="24"/>
          <w:szCs w:val="24"/>
          <w:highlight w:val="none"/>
        </w:rPr>
      </w:pPr>
      <w:r>
        <w:rPr>
          <w:rFonts w:hint="eastAsia" w:ascii="宋体" w:hAnsi="宋体" w:cs="宋体"/>
          <w:b/>
          <w:bCs/>
          <w:color w:val="auto"/>
          <w:sz w:val="24"/>
          <w:highlight w:val="none"/>
          <w:lang w:val="en-US"/>
        </w:rPr>
        <w:t xml:space="preserve">十</w:t>
      </w:r>
      <w:r>
        <w:rPr>
          <w:rFonts w:hint="eastAsia" w:ascii="宋体" w:hAnsi="宋体" w:cs="宋体"/>
          <w:b/>
          <w:bCs/>
          <w:color w:val="auto"/>
          <w:sz w:val="24"/>
          <w:szCs w:val="24"/>
          <w:highlight w:val="none"/>
        </w:rPr>
        <w:t xml:space="preserve">、联系方式</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采购单位：</w:t>
      </w:r>
      <w:r>
        <w:rPr>
          <w:rFonts w:hint="eastAsia" w:ascii="宋体" w:hAnsi="宋体" w:cs="宋体"/>
          <w:color w:val="auto"/>
          <w:sz w:val="24"/>
          <w:szCs w:val="24"/>
          <w:highlight w:val="none"/>
        </w:rPr>
        <w:t xml:space="preserve">南京信息工程大学</w:t>
      </w:r>
      <w:r/>
    </w:p>
    <w:p>
      <w:pPr>
        <w:jc w:val="left"/>
        <w:spacing w:line="360" w:lineRule="auto"/>
        <w:rPr>
          <w:rFonts w:ascii="宋体" w:hAnsi="宋体" w:cs="宋体"/>
          <w:color w:val="auto"/>
          <w:sz w:val="24"/>
          <w:szCs w:val="24"/>
          <w:highlight w:val="none"/>
        </w:rPr>
      </w:pPr>
      <w:r>
        <w:rPr>
          <w:rFonts w:hint="eastAsia" w:ascii="宋体" w:hAnsi="宋体"/>
          <w:color w:val="auto"/>
          <w:sz w:val="24"/>
          <w:highlight w:val="none"/>
        </w:rPr>
        <w:t xml:space="preserve">地    址：南京市浦口区宁六路219号 </w:t>
      </w:r>
      <w:r/>
    </w:p>
    <w:p>
      <w:pPr>
        <w:jc w:val="left"/>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联系人：</w:t>
      </w:r>
      <w:r>
        <w:rPr>
          <w:rFonts w:hint="eastAsia" w:ascii="宋体" w:hAnsi="宋体"/>
          <w:color w:val="auto"/>
          <w:sz w:val="24"/>
          <w:highlight w:val="none"/>
          <w:lang w:val="en-US" w:eastAsia="zh-CN"/>
        </w:rPr>
        <w:t xml:space="preserve">王老师</w:t>
      </w:r>
      <w:r/>
    </w:p>
    <w:p>
      <w:pPr>
        <w:jc w:val="left"/>
        <w:widowControl/>
        <w:rPr>
          <w:rFonts w:hint="eastAsia" w:eastAsia="宋体"/>
          <w:color w:val="auto"/>
          <w:highlight w:val="none"/>
          <w:lang w:val="en-US"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025-58695664 </w:t>
      </w:r>
      <w:r/>
    </w:p>
    <w:p>
      <w:pPr>
        <w:jc w:val="left"/>
        <w:spacing w:line="360" w:lineRule="auto"/>
        <w:rPr>
          <w:rFonts w:ascii="宋体" w:hAnsi="宋体"/>
          <w:color w:val="auto"/>
          <w:sz w:val="24"/>
          <w:highlight w:val="none"/>
        </w:rPr>
      </w:pPr>
      <w:r>
        <w:rPr>
          <w:rFonts w:ascii="宋体" w:hAnsi="宋体"/>
          <w:color w:val="auto"/>
          <w:sz w:val="24"/>
          <w:highlight w:val="none"/>
        </w:rPr>
      </w:r>
      <w:r/>
    </w:p>
    <w:p>
      <w:pPr>
        <w:ind w:left="233" w:hanging="120"/>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代理机构：江苏苏亚金诚工程管理咨询有限公司</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址：</w:t>
      </w:r>
      <w:r>
        <w:rPr>
          <w:rFonts w:hint="eastAsia" w:ascii="宋体" w:hAnsi="宋体" w:cs="宋体"/>
          <w:color w:val="auto"/>
          <w:sz w:val="24"/>
          <w:szCs w:val="24"/>
          <w:highlight w:val="none"/>
        </w:rPr>
        <w:t xml:space="preserve">南京市鼓楼区中山北路105-6号中环国际广场22楼</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系</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人：张明月</w:t>
      </w:r>
      <w:r/>
    </w:p>
    <w:p>
      <w:pPr>
        <w:jc w:val="left"/>
        <w:spacing w:line="360" w:lineRule="auto"/>
        <w:rPr>
          <w:rFonts w:ascii="宋体" w:hAnsi="宋体" w:cs="Calibri"/>
          <w:color w:val="auto"/>
          <w:sz w:val="24"/>
          <w:szCs w:val="24"/>
          <w:highlight w:val="none"/>
        </w:rPr>
      </w:pPr>
      <w:r>
        <w:rPr>
          <w:rFonts w:hint="eastAsia" w:ascii="宋体" w:hAnsi="宋体"/>
          <w:color w:val="auto"/>
          <w:sz w:val="24"/>
          <w:highlight w:val="none"/>
        </w:rPr>
        <w:t xml:space="preserve">联系方式</w:t>
      </w:r>
      <w:r>
        <w:rPr>
          <w:rFonts w:hint="eastAsia" w:ascii="宋体" w:hAnsi="宋体" w:cs="宋体"/>
          <w:color w:val="auto"/>
          <w:sz w:val="24"/>
          <w:szCs w:val="24"/>
          <w:highlight w:val="none"/>
        </w:rPr>
        <w:t xml:space="preserve">：15951948121</w:t>
      </w:r>
      <w:r/>
    </w:p>
    <w:p>
      <w:pPr>
        <w:pStyle w:val="745"/>
        <w:jc w:val="center"/>
        <w:spacing w:before="0" w:after="0" w:line="360" w:lineRule="auto"/>
        <w:rPr>
          <w:rFonts w:ascii="宋体" w:hAnsi="宋体" w:cs="宋体"/>
          <w:color w:val="auto"/>
          <w:sz w:val="28"/>
          <w:szCs w:val="28"/>
          <w:highlight w:val="none"/>
        </w:rPr>
      </w:pPr>
      <w:r>
        <w:rPr>
          <w:rFonts w:hint="eastAsia" w:ascii="宋体" w:hAnsi="宋体" w:cs="宋体"/>
          <w:color w:val="auto"/>
          <w:highlight w:val="none"/>
        </w:rPr>
        <w:br w:type="page" w:clear="all"/>
      </w:r>
      <w:bookmarkStart w:id="8" w:name="_Toc32592"/>
      <w:r/>
      <w:bookmarkStart w:id="9" w:name="_Toc7891"/>
      <w:r>
        <w:rPr>
          <w:rFonts w:hint="eastAsia" w:ascii="宋体" w:hAnsi="宋体" w:cs="宋体"/>
          <w:color w:val="auto"/>
          <w:sz w:val="28"/>
          <w:szCs w:val="28"/>
          <w:highlight w:val="none"/>
        </w:rPr>
        <w:t xml:space="preserve">第二章 </w:t>
      </w:r>
      <w:bookmarkEnd w:id="2"/>
      <w:r/>
      <w:bookmarkEnd w:id="3"/>
      <w:r/>
      <w:bookmarkEnd w:id="4"/>
      <w:r>
        <w:rPr>
          <w:rFonts w:hint="eastAsia" w:ascii="宋体" w:hAnsi="宋体" w:cs="宋体"/>
          <w:color w:val="auto"/>
          <w:sz w:val="28"/>
          <w:szCs w:val="28"/>
          <w:highlight w:val="none"/>
        </w:rPr>
        <w:t xml:space="preserve">供应商须知</w:t>
      </w:r>
      <w:bookmarkEnd w:id="5"/>
      <w:r/>
      <w:bookmarkEnd w:id="8"/>
      <w:r/>
      <w:bookmarkEnd w:id="9"/>
      <w:r/>
      <w:r/>
    </w:p>
    <w:p>
      <w:pPr>
        <w:pStyle w:val="746"/>
        <w:spacing w:before="0" w:after="0" w:line="348" w:lineRule="auto"/>
        <w:rPr>
          <w:rFonts w:ascii="宋体" w:hAnsi="宋体" w:cs="宋体"/>
          <w:color w:val="auto"/>
          <w:sz w:val="24"/>
          <w:szCs w:val="24"/>
          <w:highlight w:val="none"/>
        </w:rPr>
      </w:pPr>
      <w:r/>
      <w:bookmarkStart w:id="10" w:name="_Toc7130"/>
      <w:r/>
      <w:bookmarkStart w:id="11" w:name="_Toc31362"/>
      <w:r/>
      <w:bookmarkStart w:id="12" w:name="_Toc447724707"/>
      <w:r/>
      <w:bookmarkStart w:id="13" w:name="_Toc15939"/>
      <w:r/>
      <w:bookmarkStart w:id="14" w:name="_Toc497401658"/>
      <w:r/>
      <w:bookmarkStart w:id="15" w:name="_Toc10416"/>
      <w:r>
        <w:rPr>
          <w:rFonts w:hint="eastAsia" w:ascii="宋体" w:hAnsi="宋体" w:cs="宋体"/>
          <w:color w:val="auto"/>
          <w:sz w:val="24"/>
          <w:szCs w:val="24"/>
          <w:highlight w:val="none"/>
        </w:rPr>
        <w:t xml:space="preserve">1</w:t>
      </w:r>
      <w:bookmarkEnd w:id="10"/>
      <w:r/>
      <w:bookmarkEnd w:id="11"/>
      <w:r/>
      <w:bookmarkEnd w:id="12"/>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采购方式</w:t>
      </w:r>
      <w:bookmarkEnd w:id="13"/>
      <w:r/>
      <w:bookmarkEnd w:id="14"/>
      <w:r/>
      <w:bookmarkEnd w:id="15"/>
      <w:r/>
      <w:r/>
    </w:p>
    <w:p>
      <w:pPr>
        <w:ind w:firstLine="560"/>
        <w:spacing w:line="348" w:lineRule="auto"/>
        <w:rPr>
          <w:rFonts w:ascii="宋体" w:hAnsi="宋体" w:cs="宋体"/>
          <w:color w:val="auto"/>
          <w:sz w:val="24"/>
          <w:szCs w:val="24"/>
          <w:highlight w:val="none"/>
        </w:rPr>
      </w:pPr>
      <w:r/>
      <w:bookmarkStart w:id="16" w:name="_Toc447724740"/>
      <w:r/>
      <w:bookmarkStart w:id="17" w:name="_Toc497401691"/>
      <w:r/>
      <w:bookmarkStart w:id="18" w:name="_Toc10660"/>
      <w:r/>
      <w:bookmarkStart w:id="19" w:name="_Toc11454"/>
      <w:r>
        <w:rPr>
          <w:rFonts w:hint="eastAsia" w:ascii="宋体" w:hAnsi="宋体" w:cs="宋体"/>
          <w:color w:val="auto"/>
          <w:sz w:val="24"/>
          <w:szCs w:val="24"/>
          <w:highlight w:val="none"/>
        </w:rPr>
        <w:t xml:space="preserve">1.1本次采购采取单一来源方式。本采购文件仅适用于单一来源采购邀请中所述采购项目。</w:t>
      </w:r>
      <w:r/>
    </w:p>
    <w:p>
      <w:pPr>
        <w:pStyle w:val="746"/>
        <w:spacing w:before="0" w:after="0" w:line="348" w:lineRule="auto"/>
        <w:rPr>
          <w:rFonts w:ascii="宋体" w:hAnsi="宋体" w:cs="宋体"/>
          <w:color w:val="auto"/>
          <w:sz w:val="24"/>
          <w:szCs w:val="24"/>
          <w:highlight w:val="none"/>
        </w:rPr>
      </w:pPr>
      <w:r/>
      <w:bookmarkStart w:id="20" w:name="_Toc14489"/>
      <w:r/>
      <w:bookmarkStart w:id="21" w:name="_Toc8953"/>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合格的供应商</w:t>
      </w:r>
      <w:bookmarkEnd w:id="20"/>
      <w:r/>
      <w:bookmarkEnd w:id="21"/>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2.1满足采购文件中合格协商供应商资格要求的规定。</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2.2满足本采购文件实质性条款的规定。</w:t>
      </w:r>
      <w:r/>
    </w:p>
    <w:p>
      <w:pPr>
        <w:pStyle w:val="746"/>
        <w:spacing w:before="0" w:after="0" w:line="348" w:lineRule="auto"/>
        <w:rPr>
          <w:rFonts w:ascii="宋体" w:hAnsi="宋体" w:cs="宋体"/>
          <w:color w:val="auto"/>
          <w:sz w:val="24"/>
          <w:szCs w:val="24"/>
          <w:highlight w:val="none"/>
        </w:rPr>
      </w:pPr>
      <w:r/>
      <w:bookmarkStart w:id="22" w:name="_Toc10874"/>
      <w:r/>
      <w:bookmarkStart w:id="23" w:name="_Toc8370"/>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适用法律</w:t>
      </w:r>
      <w:bookmarkEnd w:id="22"/>
      <w:r/>
      <w:bookmarkEnd w:id="23"/>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3.1《中华人民共和国政府采购法》、《中华人民共和国政府采购法实施条例》、《政府采购货物和服务招标投标管理办法》等有关法律、规章和规定等。</w:t>
      </w:r>
      <w:r/>
    </w:p>
    <w:p>
      <w:pPr>
        <w:pStyle w:val="746"/>
        <w:spacing w:before="0" w:after="0" w:line="348" w:lineRule="auto"/>
        <w:rPr>
          <w:rFonts w:ascii="宋体" w:hAnsi="宋体" w:cs="宋体"/>
          <w:color w:val="auto"/>
          <w:sz w:val="24"/>
          <w:szCs w:val="24"/>
          <w:highlight w:val="none"/>
        </w:rPr>
      </w:pPr>
      <w:r/>
      <w:bookmarkStart w:id="24" w:name="_Toc1344"/>
      <w:r/>
      <w:bookmarkStart w:id="25" w:name="_Toc24285"/>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采购文件的约束力</w:t>
      </w:r>
      <w:bookmarkEnd w:id="24"/>
      <w:r/>
      <w:bookmarkEnd w:id="25"/>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4.1供应商应当按照本单一来源采购文件的规定拟定响应文件并按时参加协商。</w:t>
      </w:r>
      <w:r/>
    </w:p>
    <w:p>
      <w:pPr>
        <w:pStyle w:val="746"/>
        <w:spacing w:before="0" w:after="0" w:line="348" w:lineRule="auto"/>
        <w:rPr>
          <w:rFonts w:ascii="宋体" w:hAnsi="宋体" w:cs="宋体"/>
          <w:color w:val="auto"/>
          <w:sz w:val="24"/>
          <w:szCs w:val="24"/>
          <w:highlight w:val="none"/>
        </w:rPr>
      </w:pPr>
      <w:r/>
      <w:bookmarkStart w:id="26" w:name="_Toc5143"/>
      <w:r/>
      <w:bookmarkStart w:id="27" w:name="_Toc23955"/>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采购文件构成</w:t>
      </w:r>
      <w:bookmarkEnd w:id="26"/>
      <w:r/>
      <w:bookmarkEnd w:id="27"/>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5.1采购文件有以下部分组成：</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（1）单一来源采购邀请</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（2）参加商谈供应商须知</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（4）项目采购需求</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（5）响应文件格式</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供应商应认真阅读采购文件中所有的事项、格式、条款和规范等要求。按采购文件要求和规定编制协商响应文件，并保证所提供的全部资料的真实性，以使其协商响应文件对采购文件做出实质性响应，否则，其风险应由供应商自行承担。否则，其协商响应文件将被拒绝。</w:t>
      </w:r>
      <w:r/>
    </w:p>
    <w:p>
      <w:pPr>
        <w:pStyle w:val="746"/>
        <w:spacing w:before="0" w:after="0" w:line="348" w:lineRule="auto"/>
        <w:rPr>
          <w:rFonts w:ascii="宋体" w:hAnsi="宋体" w:cs="宋体"/>
          <w:color w:val="auto"/>
          <w:sz w:val="24"/>
          <w:szCs w:val="24"/>
          <w:highlight w:val="none"/>
        </w:rPr>
      </w:pPr>
      <w:r/>
      <w:bookmarkStart w:id="28" w:name="_Toc28923"/>
      <w:r/>
      <w:bookmarkStart w:id="29" w:name="_Toc8196"/>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协商语言及度量衡单位</w:t>
      </w:r>
      <w:bookmarkEnd w:id="28"/>
      <w:r/>
      <w:bookmarkEnd w:id="29"/>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6.1供应商提交的协商响应文件以及供应商与采购代理机构就有关协商的所有来往通知、函件和文件均应使用简体中文。</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6.2除技术性能另有规定外，协商响应文件所使用的度量衡单位，均须采用国家法定计量单位。</w:t>
      </w:r>
      <w:r/>
    </w:p>
    <w:p>
      <w:pPr>
        <w:pStyle w:val="746"/>
        <w:spacing w:before="0" w:after="0" w:line="348" w:lineRule="auto"/>
        <w:rPr>
          <w:rFonts w:ascii="宋体" w:hAnsi="宋体" w:cs="宋体"/>
          <w:color w:val="auto"/>
          <w:sz w:val="24"/>
          <w:szCs w:val="24"/>
          <w:highlight w:val="none"/>
        </w:rPr>
      </w:pPr>
      <w:r/>
      <w:bookmarkStart w:id="30" w:name="_Toc9828"/>
      <w:r/>
      <w:bookmarkStart w:id="31" w:name="_Toc16713"/>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协商响应文件编制</w:t>
      </w:r>
      <w:bookmarkEnd w:id="30"/>
      <w:r/>
      <w:bookmarkEnd w:id="31"/>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供应商应将响应文件按顺序装订成册，并编制响应文件资料目录。</w:t>
      </w:r>
      <w:r/>
    </w:p>
    <w:p>
      <w:pPr>
        <w:pStyle w:val="746"/>
        <w:spacing w:before="0" w:after="0" w:line="348" w:lineRule="auto"/>
        <w:rPr>
          <w:rFonts w:ascii="宋体" w:hAnsi="宋体" w:cs="宋体"/>
          <w:color w:val="auto"/>
          <w:sz w:val="24"/>
          <w:szCs w:val="24"/>
          <w:highlight w:val="none"/>
        </w:rPr>
      </w:pPr>
      <w:r/>
      <w:bookmarkStart w:id="32" w:name="_Toc20959"/>
      <w:r/>
      <w:bookmarkStart w:id="33" w:name="_Toc19925"/>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报价表</w:t>
      </w:r>
      <w:bookmarkEnd w:id="32"/>
      <w:r/>
      <w:bookmarkEnd w:id="33"/>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8.1本次采购采用总承包方式，因此供应商的总报价应包括项目实施所需的所有费用。</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8.2采购文件未列明，而供应商认为必需的费用也需列入报价。</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8.3谈判货币：响应文件中的单价和总价应采用人民币报价。当数量和单价之积不等于总价时，以单价为准重新计算总价。</w:t>
      </w:r>
      <w:r/>
    </w:p>
    <w:p>
      <w:pPr>
        <w:ind w:firstLine="480"/>
        <w:jc w:val="left"/>
        <w:spacing w:line="348" w:lineRule="auto"/>
        <w:rPr>
          <w:rFonts w:ascii="宋体" w:hAnsi="宋体" w:cs="宋体"/>
          <w:color w:val="auto"/>
          <w:sz w:val="24"/>
          <w:highlight w:val="none"/>
        </w:rPr>
      </w:pPr>
      <w:r>
        <w:rPr>
          <w:rFonts w:hint="eastAsia" w:ascii="宋体" w:hAnsi="宋体" w:cs="宋体"/>
          <w:color w:val="auto"/>
          <w:sz w:val="24"/>
          <w:szCs w:val="24"/>
          <w:highlight w:val="none"/>
        </w:rPr>
        <w:t xml:space="preserve">8.4</w:t>
      </w:r>
      <w:r>
        <w:rPr>
          <w:rFonts w:hint="eastAsia" w:ascii="宋体" w:hAnsi="宋体" w:cs="宋体"/>
          <w:color w:val="auto"/>
          <w:sz w:val="24"/>
          <w:highlight w:val="none"/>
        </w:rPr>
        <w:t xml:space="preserve">招标代理费及其他费用：</w:t>
      </w:r>
      <w:r/>
    </w:p>
    <w:p>
      <w:pPr>
        <w:ind w:firstLine="480"/>
        <w:jc w:val="left"/>
        <w:spacing w:line="348" w:lineRule="auto"/>
        <w:rPr>
          <w:rFonts w:ascii="宋体" w:hAnsi="宋体" w:cs="宋体"/>
          <w:color w:val="auto"/>
          <w:sz w:val="24"/>
          <w:highlight w:val="none"/>
        </w:rPr>
      </w:pPr>
      <w:r/>
      <w:bookmarkStart w:id="34" w:name="_Toc31938"/>
      <w:r>
        <w:rPr>
          <w:rFonts w:hint="eastAsia" w:ascii="宋体" w:hAnsi="宋体" w:cs="宋体"/>
          <w:color w:val="auto"/>
          <w:sz w:val="24"/>
          <w:highlight w:val="none"/>
        </w:rPr>
        <w:t xml:space="preserve">（1）招标代理服务费按“国家计委关于印发《招标代理服务收费管理暂行办法》的通知《招标代理服务收费管理暂行办法》（计价格[2002]1980号）”中规定的收费标准的30%计算招标代理服务费，由中标人在领取中标通知书时一次性支付给招标代理公司。</w:t>
      </w:r>
      <w:r/>
    </w:p>
    <w:p>
      <w:pPr>
        <w:ind w:firstLine="480"/>
        <w:jc w:val="left"/>
        <w:spacing w:line="348" w:lineRule="auto"/>
        <w:rPr>
          <w:rFonts w:ascii="宋体" w:hAnsi="宋体" w:cs="宋体"/>
          <w:color w:val="auto"/>
          <w:sz w:val="24"/>
          <w:highlight w:val="none"/>
        </w:rPr>
      </w:pPr>
      <w:r>
        <w:rPr>
          <w:rFonts w:hint="eastAsia" w:ascii="宋体" w:hAnsi="宋体" w:cs="宋体"/>
          <w:color w:val="auto"/>
          <w:sz w:val="24"/>
          <w:highlight w:val="none"/>
        </w:rPr>
        <w:t xml:space="preserve">（2）收款信息：</w:t>
      </w:r>
      <w:r/>
    </w:p>
    <w:p>
      <w:pPr>
        <w:ind w:firstLine="480"/>
        <w:jc w:val="left"/>
        <w:spacing w:line="348" w:lineRule="auto"/>
        <w:rPr>
          <w:rFonts w:ascii="宋体" w:hAnsi="宋体" w:cs="宋体"/>
          <w:color w:val="auto"/>
          <w:sz w:val="24"/>
          <w:highlight w:val="none"/>
        </w:rPr>
      </w:pPr>
      <w:r>
        <w:rPr>
          <w:rFonts w:hint="eastAsia" w:ascii="宋体" w:hAnsi="宋体" w:cs="宋体"/>
          <w:color w:val="auto"/>
          <w:sz w:val="24"/>
          <w:highlight w:val="none"/>
        </w:rPr>
        <w:t xml:space="preserve">户名：江苏苏亚金诚工程管理咨询有限公司</w:t>
      </w:r>
      <w:r/>
    </w:p>
    <w:p>
      <w:pPr>
        <w:ind w:firstLine="480"/>
        <w:jc w:val="left"/>
        <w:spacing w:line="348" w:lineRule="auto"/>
        <w:rPr>
          <w:rFonts w:ascii="宋体" w:hAnsi="宋体" w:cs="宋体"/>
          <w:color w:val="auto"/>
          <w:sz w:val="24"/>
          <w:highlight w:val="none"/>
        </w:rPr>
      </w:pPr>
      <w:r>
        <w:rPr>
          <w:rFonts w:hint="eastAsia" w:ascii="宋体" w:hAnsi="宋体" w:cs="宋体"/>
          <w:color w:val="auto"/>
          <w:sz w:val="24"/>
          <w:highlight w:val="none"/>
        </w:rPr>
        <w:t xml:space="preserve">开户行：交通银行股份有限公司南京鼓楼支行</w:t>
      </w:r>
      <w:r/>
    </w:p>
    <w:p>
      <w:pPr>
        <w:ind w:firstLine="480"/>
        <w:jc w:val="left"/>
        <w:spacing w:line="348" w:lineRule="auto"/>
        <w:rPr>
          <w:rFonts w:ascii="宋体" w:hAnsi="宋体" w:cs="宋体"/>
          <w:color w:val="auto"/>
          <w:sz w:val="24"/>
          <w:highlight w:val="none"/>
        </w:rPr>
      </w:pPr>
      <w:r>
        <w:rPr>
          <w:rFonts w:hint="eastAsia" w:ascii="宋体" w:hAnsi="宋体" w:cs="宋体"/>
          <w:color w:val="auto"/>
          <w:sz w:val="24"/>
          <w:highlight w:val="none"/>
        </w:rPr>
        <w:t xml:space="preserve">账号：320006600018170099237</w:t>
      </w:r>
      <w:r/>
    </w:p>
    <w:p>
      <w:pPr>
        <w:ind w:firstLine="480"/>
        <w:spacing w:before="0" w:after="0" w:line="348" w:lineRule="auto"/>
        <w:rPr>
          <w:rFonts w:ascii="宋体" w:hAnsi="宋体" w:cs="宋体"/>
          <w:b w:val="0"/>
          <w:color w:val="auto"/>
          <w:sz w:val="24"/>
          <w:highlight w:val="none"/>
        </w:rPr>
        <w:outlineLvl w:val="9"/>
      </w:pPr>
      <w:r/>
      <w:bookmarkStart w:id="35" w:name="_Toc8665"/>
      <w:r/>
      <w:bookmarkStart w:id="36" w:name="_Toc14413"/>
      <w:r/>
      <w:bookmarkStart w:id="37" w:name="_Toc5586"/>
      <w:r>
        <w:rPr>
          <w:rFonts w:hint="eastAsia" w:ascii="宋体" w:hAnsi="宋体" w:cs="宋体"/>
          <w:b w:val="0"/>
          <w:color w:val="auto"/>
          <w:sz w:val="24"/>
          <w:highlight w:val="none"/>
        </w:rPr>
        <w:t xml:space="preserve">开户行行号：301301000020</w:t>
      </w:r>
      <w:bookmarkEnd w:id="35"/>
      <w:r/>
      <w:bookmarkEnd w:id="36"/>
      <w:r/>
      <w:bookmarkEnd w:id="37"/>
      <w:r/>
      <w:r/>
    </w:p>
    <w:p>
      <w:pPr>
        <w:pStyle w:val="746"/>
        <w:spacing w:before="0" w:after="0" w:line="348" w:lineRule="auto"/>
        <w:rPr>
          <w:rFonts w:ascii="宋体" w:hAnsi="宋体" w:cs="宋体"/>
          <w:color w:val="auto"/>
          <w:sz w:val="24"/>
          <w:szCs w:val="24"/>
          <w:highlight w:val="none"/>
        </w:rPr>
      </w:pPr>
      <w:r/>
      <w:bookmarkStart w:id="38" w:name="_Toc9822"/>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证明供应商资格的文件</w:t>
      </w:r>
      <w:bookmarkEnd w:id="34"/>
      <w:r/>
      <w:bookmarkEnd w:id="38"/>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9.1供应商应提交证明其有资格参加协商和成交后有能力独立履行合同的文件，并作为其协商响应文件的一部分。</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9.2供应商除必须具有履行合同所需提供的货物以及服务的能力外，还必须具备相应的财务、技术方面的能力。</w:t>
      </w:r>
      <w:r/>
    </w:p>
    <w:p>
      <w:pPr>
        <w:pStyle w:val="746"/>
        <w:spacing w:before="0" w:after="0" w:line="348" w:lineRule="auto"/>
        <w:rPr>
          <w:rFonts w:ascii="宋体" w:hAnsi="宋体" w:cs="宋体"/>
          <w:color w:val="auto"/>
          <w:sz w:val="24"/>
          <w:szCs w:val="24"/>
          <w:highlight w:val="none"/>
        </w:rPr>
      </w:pPr>
      <w:r/>
      <w:bookmarkStart w:id="39" w:name="_Toc16750"/>
      <w:r/>
      <w:bookmarkStart w:id="40" w:name="_Toc31308"/>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协商有效期</w:t>
      </w:r>
      <w:bookmarkEnd w:id="39"/>
      <w:r/>
      <w:bookmarkEnd w:id="40"/>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10.1协商有效期为本文件规定的协商之时后玖拾（90）天。协商有效期比规定短的将被视为非响应性谈判而予以拒绝。</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10.2在特殊情况下，代理机构于原协商有效期满之前，可向供应商提出延长协商有效期的要求。这种要求与答复均应采用书面形式（如信件、传真或电报等）。</w:t>
      </w:r>
      <w:r/>
    </w:p>
    <w:p>
      <w:pPr>
        <w:pStyle w:val="746"/>
        <w:spacing w:before="0" w:after="0" w:line="348" w:lineRule="auto"/>
        <w:rPr>
          <w:rFonts w:ascii="宋体" w:hAnsi="宋体" w:cs="宋体"/>
          <w:color w:val="auto"/>
          <w:sz w:val="24"/>
          <w:szCs w:val="24"/>
          <w:highlight w:val="none"/>
        </w:rPr>
      </w:pPr>
      <w:r/>
      <w:bookmarkStart w:id="41" w:name="_Toc23954"/>
      <w:r/>
      <w:bookmarkStart w:id="42" w:name="_Toc31615"/>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协商响应文件签署</w:t>
      </w:r>
      <w:bookmarkEnd w:id="41"/>
      <w:r/>
      <w:bookmarkEnd w:id="42"/>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11.1授权代表系非企业法定代表人的须将法定代表人以书面形式出具的“法定代表人授权书”附在协商响应文件中。</w:t>
      </w:r>
      <w:r/>
    </w:p>
    <w:p>
      <w:pPr>
        <w:ind w:firstLine="482"/>
        <w:jc w:val="left"/>
        <w:spacing w:line="348" w:lineRule="auto"/>
        <w:rPr>
          <w:rFonts w:ascii="宋体" w:hAnsi="宋体" w:cs="宋体"/>
          <w:b/>
          <w:bCs/>
          <w:color w:val="auto"/>
          <w:sz w:val="24"/>
          <w:highlight w:val="none"/>
        </w:rPr>
      </w:pPr>
      <w:r>
        <w:rPr>
          <w:rFonts w:hint="eastAsia" w:ascii="宋体" w:hAnsi="宋体" w:cs="宋体"/>
          <w:b/>
          <w:bCs/>
          <w:color w:val="auto"/>
          <w:sz w:val="24"/>
          <w:szCs w:val="24"/>
          <w:highlight w:val="none"/>
        </w:rPr>
        <w:t xml:space="preserve">11.2协审</w:t>
      </w:r>
      <w:r>
        <w:rPr>
          <w:rFonts w:hint="eastAsia" w:ascii="宋体" w:hAnsi="宋体" w:cs="宋体"/>
          <w:b/>
          <w:bCs/>
          <w:color w:val="auto"/>
          <w:sz w:val="24"/>
          <w:highlight w:val="none"/>
        </w:rPr>
        <w:t xml:space="preserve">响应文件正本应用不褪色的墨水书写或打印并加盖公章，不得为打印件，副本可由正本复印制成。协商响应文件的任何一页都不应涂改，不应有行间插字或删除。如果出现上述情况，不论何种原因造成，均应由授权委托人或者法定代表人在改动处签名和加盖公章。</w:t>
      </w:r>
      <w:r/>
    </w:p>
    <w:p>
      <w:pPr>
        <w:pStyle w:val="746"/>
        <w:spacing w:before="0" w:after="0" w:line="348" w:lineRule="auto"/>
        <w:rPr>
          <w:rFonts w:ascii="宋体" w:hAnsi="宋体" w:cs="宋体"/>
          <w:color w:val="auto"/>
          <w:sz w:val="24"/>
          <w:szCs w:val="24"/>
          <w:highlight w:val="none"/>
        </w:rPr>
      </w:pPr>
      <w:r/>
      <w:bookmarkStart w:id="43" w:name="_Toc32706"/>
      <w:r/>
      <w:bookmarkStart w:id="44" w:name="_Toc10812"/>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协商响应文件的密封和标记</w:t>
      </w:r>
      <w:bookmarkEnd w:id="43"/>
      <w:r/>
      <w:bookmarkEnd w:id="44"/>
      <w:r/>
      <w:r/>
    </w:p>
    <w:p>
      <w:pPr>
        <w:spacing w:line="348" w:lineRule="auto"/>
        <w:tabs>
          <w:tab w:val="left" w:pos="1213" w:leader="none"/>
        </w:tabs>
        <w:rPr>
          <w:rFonts w:ascii="宋体" w:hAnsi="宋体" w:cs="宋体"/>
          <w:b/>
          <w:bCs/>
          <w:color w:val="auto"/>
          <w:sz w:val="24"/>
          <w:highlight w:val="none"/>
        </w:rPr>
      </w:pPr>
      <w:r>
        <w:rPr>
          <w:rFonts w:hint="eastAsia" w:ascii="宋体" w:hAnsi="宋体" w:cs="宋体"/>
          <w:b/>
          <w:bCs/>
          <w:color w:val="auto"/>
          <w:sz w:val="24"/>
          <w:highlight w:val="none"/>
        </w:rPr>
        <w:t xml:space="preserve">    12.1</w:t>
      </w:r>
      <w:r>
        <w:rPr>
          <w:rFonts w:hint="eastAsia" w:ascii="宋体" w:hAnsi="宋体" w:cs="宋体"/>
          <w:b/>
          <w:bCs/>
          <w:color w:val="auto"/>
          <w:sz w:val="24"/>
          <w:szCs w:val="24"/>
          <w:highlight w:val="none"/>
        </w:rPr>
        <w:t xml:space="preserve">协商响应文件</w:t>
      </w:r>
      <w:r>
        <w:rPr>
          <w:rFonts w:hint="eastAsia" w:ascii="宋体" w:hAnsi="宋体" w:cs="宋体"/>
          <w:b/>
          <w:bCs/>
          <w:color w:val="auto"/>
          <w:sz w:val="24"/>
          <w:highlight w:val="none"/>
        </w:rPr>
        <w:t xml:space="preserve">的正本与副本应分别装订成册；</w:t>
      </w:r>
      <w:r>
        <w:rPr>
          <w:rFonts w:hint="eastAsia" w:ascii="宋体" w:hAnsi="宋体" w:cs="宋体"/>
          <w:b/>
          <w:bCs/>
          <w:color w:val="auto"/>
          <w:sz w:val="24"/>
          <w:szCs w:val="24"/>
          <w:highlight w:val="none"/>
        </w:rPr>
        <w:t xml:space="preserve">协商响应文件</w:t>
      </w:r>
      <w:r>
        <w:rPr>
          <w:rFonts w:hint="eastAsia" w:ascii="宋体" w:hAnsi="宋体" w:cs="宋体"/>
          <w:b/>
          <w:bCs/>
          <w:color w:val="auto"/>
          <w:sz w:val="24"/>
          <w:highlight w:val="none"/>
        </w:rPr>
        <w:t xml:space="preserve">应编制目录，并且逐页标注连续页码，否则，对由于</w:t>
      </w:r>
      <w:r>
        <w:rPr>
          <w:rFonts w:hint="eastAsia" w:ascii="宋体" w:hAnsi="宋体" w:cs="宋体"/>
          <w:b/>
          <w:bCs/>
          <w:color w:val="auto"/>
          <w:sz w:val="24"/>
          <w:szCs w:val="24"/>
          <w:highlight w:val="none"/>
        </w:rPr>
        <w:t xml:space="preserve">协商响应文件</w:t>
      </w:r>
      <w:r>
        <w:rPr>
          <w:rFonts w:hint="eastAsia" w:ascii="宋体" w:hAnsi="宋体" w:cs="宋体"/>
          <w:b/>
          <w:bCs/>
          <w:color w:val="auto"/>
          <w:sz w:val="24"/>
          <w:highlight w:val="none"/>
        </w:rPr>
        <w:t xml:space="preserve">装订松散而造成的丢失或其它后果由供应商自行承担。</w:t>
      </w:r>
      <w:r>
        <w:rPr>
          <w:rFonts w:hint="eastAsia" w:ascii="宋体" w:hAnsi="宋体" w:cs="宋体"/>
          <w:b/>
          <w:bCs/>
          <w:color w:val="auto"/>
          <w:sz w:val="24"/>
          <w:szCs w:val="24"/>
          <w:highlight w:val="none"/>
        </w:rPr>
        <w:t xml:space="preserve">协商响应文件</w:t>
      </w:r>
      <w:r>
        <w:rPr>
          <w:rFonts w:hint="eastAsia" w:ascii="宋体" w:hAnsi="宋体" w:cs="宋体"/>
          <w:b/>
          <w:bCs/>
          <w:color w:val="auto"/>
          <w:sz w:val="24"/>
          <w:highlight w:val="none"/>
        </w:rPr>
        <w:t xml:space="preserve">必须使用胶装或其他不可替换内容页的方式装订，本项目不接受活页夹装订的协商响应文件，否则将按无效投标处理。</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12.2协商响应文件使用“正本”袋、“副本”袋和“电子版”袋封装，正本装入“正本”袋中并密封，副本装入“副本”袋中并密封，电子版装入“电子版”袋中并密封（每袋须分别注明是 “正本”、“副本”、“电子版”）。</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12.3密封要求：密封完好，在封口处贴上密封封面（格式详见响应文件格式），并按要求盖章。</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12.4未密封的协商响应文件按无效投标处理，协商响应文件全部内容应密封提交。</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12.5如果因密封不严、标记不明而造成过早启封、失密等情况，采购人概不负责。</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12.6不论协商成交与否，协商响应文件均不退回。</w:t>
      </w:r>
      <w:r/>
    </w:p>
    <w:p>
      <w:pPr>
        <w:pStyle w:val="746"/>
        <w:spacing w:before="0" w:after="0" w:line="348" w:lineRule="auto"/>
        <w:rPr>
          <w:rFonts w:ascii="宋体" w:hAnsi="宋体" w:cs="宋体"/>
          <w:color w:val="auto"/>
          <w:sz w:val="24"/>
          <w:szCs w:val="24"/>
          <w:highlight w:val="none"/>
        </w:rPr>
      </w:pPr>
      <w:r/>
      <w:bookmarkStart w:id="45" w:name="_Toc15235"/>
      <w:r/>
      <w:bookmarkStart w:id="46" w:name="_Toc26041"/>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谈判协商</w:t>
      </w:r>
      <w:bookmarkEnd w:id="45"/>
      <w:r/>
      <w:bookmarkEnd w:id="46"/>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代理机构将在单一来源采购邀请中规定的时间和地点组织协商小组与供应商谈判协商采购标的的价格、质量、服务等。供应商应委派携带有效证件的代表准时参加，并且谈判协商期间未经谈判小组同意不得离开谈判现场。</w:t>
      </w:r>
      <w:r/>
    </w:p>
    <w:p>
      <w:pPr>
        <w:pStyle w:val="746"/>
        <w:spacing w:before="0" w:after="0" w:line="348" w:lineRule="auto"/>
        <w:rPr>
          <w:rFonts w:ascii="宋体" w:hAnsi="宋体" w:cs="宋体"/>
          <w:color w:val="auto"/>
          <w:sz w:val="24"/>
          <w:szCs w:val="24"/>
          <w:highlight w:val="none"/>
        </w:rPr>
      </w:pPr>
      <w:r/>
      <w:bookmarkStart w:id="47" w:name="_Toc20178"/>
      <w:r/>
      <w:bookmarkStart w:id="48" w:name="_Toc5"/>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协商小组</w:t>
      </w:r>
      <w:bookmarkEnd w:id="47"/>
      <w:r/>
      <w:bookmarkEnd w:id="48"/>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14.1协商小组由采购人、采购代理机构按照政府采购有关规定，组织具有相关经验的专业人员构成。</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14.2协商小组应当按照客观、公正、审慎的原则评审供应商的协商响应文件及与供应商谈判协商采购标的的价格服务等。</w:t>
      </w:r>
      <w:r/>
    </w:p>
    <w:p>
      <w:pPr>
        <w:pStyle w:val="746"/>
        <w:spacing w:before="0" w:after="0" w:line="348" w:lineRule="auto"/>
        <w:rPr>
          <w:rFonts w:ascii="宋体" w:hAnsi="宋体" w:cs="宋体"/>
          <w:color w:val="auto"/>
          <w:sz w:val="24"/>
          <w:szCs w:val="24"/>
          <w:highlight w:val="none"/>
        </w:rPr>
      </w:pPr>
      <w:r/>
      <w:bookmarkStart w:id="49" w:name="_Toc30543"/>
      <w:r/>
      <w:bookmarkStart w:id="50" w:name="_Toc8355"/>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谈判协商过程的保密与公正</w:t>
      </w:r>
      <w:bookmarkEnd w:id="49"/>
      <w:r/>
      <w:bookmarkEnd w:id="50"/>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15.1协商小组、采购人和代理机构工作人员、相关监督人员等与评审工作有关的人员， 对评审、协商协商情况以及在评审、谈判协商过程中获悉的国家秘密、商业秘密负有保密责任。</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15.2在谈判协商过程中，如果供应商试图向代理机构和参与谈判协商的人员施加任何影响，都将会导致其协商响应文件被拒绝。</w:t>
      </w:r>
      <w:r/>
    </w:p>
    <w:p>
      <w:pPr>
        <w:pStyle w:val="746"/>
        <w:spacing w:before="0" w:after="0" w:line="348" w:lineRule="auto"/>
        <w:rPr>
          <w:rFonts w:ascii="宋体" w:hAnsi="宋体" w:cs="宋体"/>
          <w:color w:val="auto"/>
          <w:sz w:val="24"/>
          <w:szCs w:val="24"/>
          <w:highlight w:val="none"/>
        </w:rPr>
      </w:pPr>
      <w:r/>
      <w:bookmarkStart w:id="51" w:name="_Toc10666"/>
      <w:r/>
      <w:bookmarkStart w:id="52" w:name="_Toc31122"/>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评审过程的澄清</w:t>
      </w:r>
      <w:bookmarkEnd w:id="51"/>
      <w:r/>
      <w:bookmarkEnd w:id="52"/>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16.1协商响应文件评审期间，为有助于对协商响应文件的审查、评价和比较，协商小组有权要求供应商对其协商响应文件进行澄清。</w:t>
      </w:r>
      <w:r/>
    </w:p>
    <w:p>
      <w:pPr>
        <w:pStyle w:val="746"/>
        <w:spacing w:before="0" w:after="0" w:line="348" w:lineRule="auto"/>
        <w:rPr>
          <w:rFonts w:ascii="宋体" w:hAnsi="宋体" w:cs="宋体"/>
          <w:color w:val="auto"/>
          <w:sz w:val="24"/>
          <w:szCs w:val="24"/>
          <w:highlight w:val="none"/>
        </w:rPr>
      </w:pPr>
      <w:r/>
      <w:bookmarkStart w:id="53" w:name="_Toc28183"/>
      <w:r/>
      <w:bookmarkStart w:id="54" w:name="_Toc19024"/>
      <w:r>
        <w:rPr>
          <w:rFonts w:hint="eastAsia" w:ascii="宋体" w:hAnsi="宋体" w:cs="宋体"/>
          <w:color w:val="auto"/>
          <w:sz w:val="24"/>
          <w:szCs w:val="24"/>
          <w:highlight w:val="none"/>
        </w:rPr>
        <w:t xml:space="preserve">17、对协商响应文件的评审</w:t>
      </w:r>
      <w:bookmarkEnd w:id="53"/>
      <w:r/>
      <w:bookmarkEnd w:id="54"/>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17.1在正式谈判之前，协商小组将首先审查协商响应文件是否实质性响应了采购文件的要求。实质性响应的协商响应文件应该是与采购文件要求的全部条款、条件和规格相符， 没有重大偏离或保留。</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协商小组三分二及以上成员的认定。</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17.2被认定为非响应性的协商响应文件的情形</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（1）未按照采购文件规定要求密封、签署、盖章的；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（2）供应商在报价时采用选择性报价；</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（3）供应商不具备采购文件中规定资格要求的；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（4）不符合法律、法规和采购文件中规定的其他实质性要求的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（5）其他法律、法规及本采购文件规定的属非响应性的协商响应文件的情形。</w:t>
      </w:r>
      <w:r/>
    </w:p>
    <w:p>
      <w:pPr>
        <w:pStyle w:val="746"/>
        <w:spacing w:before="0" w:after="0" w:line="348" w:lineRule="auto"/>
        <w:rPr>
          <w:rFonts w:ascii="宋体" w:hAnsi="宋体" w:cs="宋体"/>
          <w:color w:val="auto"/>
          <w:sz w:val="24"/>
          <w:szCs w:val="24"/>
          <w:highlight w:val="none"/>
        </w:rPr>
      </w:pPr>
      <w:r/>
      <w:bookmarkStart w:id="55" w:name="_Toc25011"/>
      <w:r/>
      <w:bookmarkStart w:id="56" w:name="_Toc12665"/>
      <w:r>
        <w:rPr>
          <w:rFonts w:hint="eastAsia" w:ascii="宋体" w:hAnsi="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谈判协商及成交原则</w:t>
      </w:r>
      <w:bookmarkEnd w:id="55"/>
      <w:r/>
      <w:bookmarkEnd w:id="56"/>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18.1谈判协商</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18.1.1对于提交了实质性响应的协商响应文件的供应商，协商小组将与其就采购标的的价格服务等进行谈判协商。</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18.1.2参加协商的供应商应当以书面形式对谈判协商中做出的承诺与澄清进行确认，并在协商小组规定的时间内完成书面报价（最终总报价或可能的中间报价）。谈判承诺及书面报价均须由法定代表人或其授权代表签字确认。</w:t>
      </w:r>
      <w:r/>
    </w:p>
    <w:p>
      <w:pPr>
        <w:ind w:firstLine="560"/>
        <w:spacing w:line="348"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18.1.3</w:t>
      </w:r>
      <w:r>
        <w:rPr>
          <w:rFonts w:hint="eastAsia" w:ascii="宋体" w:hAnsi="宋体" w:cs="宋体"/>
          <w:b/>
          <w:bCs/>
          <w:color w:val="auto"/>
          <w:sz w:val="24"/>
          <w:szCs w:val="24"/>
          <w:highlight w:val="none"/>
        </w:rPr>
        <w:t xml:space="preserve">供应商最终总报价在响应产品数量没有增加，配置、服务没有重大提高的情况下， 一般不允许高于第一次报价（即协商响应文件首次报价与分项报价表中的报价）。否则， 协商小组有权拒绝该谈判报价并不再给予报价补救机会。</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18.2谈判协商成交原则</w:t>
      </w:r>
      <w:r/>
    </w:p>
    <w:p>
      <w:pPr>
        <w:ind w:firstLine="560"/>
        <w:spacing w:line="348"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18.2.1协商小组根据政府采购相关法律、规章的规定，在供应商的协商响应能保证采购项目质量且最终报价合理的基础上确定其为成交供应商。</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18.2.2协商终止情形处理</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出现下列情形之一的，代理机构将终止采购活动，发布项目终止公告并说明原因，重新开展采购活动：</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（一）因情况变化，不再符合规定的单一来源采购方式适用情形的；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（三）至协商小组规定的协商截止时间，供应商报价超过采购预算的；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（四）至协商小组规定的协商截止时间，供应商的最终报价、技术方案、服务承诺、商务条款等不能满足采购人或协商小组的要求；</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（五）法律、法规、规章规定的其他应当终止的情形。</w:t>
      </w:r>
      <w:r/>
    </w:p>
    <w:p>
      <w:pPr>
        <w:pStyle w:val="746"/>
        <w:spacing w:before="0" w:after="0" w:line="348" w:lineRule="auto"/>
        <w:rPr>
          <w:rFonts w:ascii="宋体" w:hAnsi="宋体" w:cs="宋体"/>
          <w:color w:val="auto"/>
          <w:sz w:val="24"/>
          <w:szCs w:val="24"/>
          <w:highlight w:val="none"/>
        </w:rPr>
      </w:pPr>
      <w:r/>
      <w:bookmarkStart w:id="57" w:name="_Toc3620"/>
      <w:r/>
      <w:bookmarkStart w:id="58" w:name="_Toc26564"/>
      <w:r>
        <w:rPr>
          <w:rFonts w:hint="eastAsia" w:ascii="宋体" w:hAnsi="宋体" w:cs="宋体"/>
          <w:color w:val="auto"/>
          <w:sz w:val="24"/>
          <w:szCs w:val="24"/>
          <w:highlight w:val="none"/>
        </w:rPr>
        <w:t xml:space="preserve">19</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确定成交单位</w:t>
      </w:r>
      <w:bookmarkEnd w:id="57"/>
      <w:r/>
      <w:bookmarkEnd w:id="58"/>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19.1协商小组根据谈判协商情况编写协商情况记录，确定成交候选人。</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19.2若有充分证据证明，成交人出现下列情况之一的，一经查实，将被取消成交资格：</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（1）提供虚假材料谋取成交的；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（2）与评审专家、采购人、其他供应商或者代理机构工作人员恶意串通的；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（3）向评审专家、采购人或代理机构工作人员行贿或者提供其他不正当利益的；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（4）不满足本采购文件规定的实质性要求，但在评审过程中又未被协商小组发现的；</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（5）不符合法律、法规的规定的其他情形。</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供应商被取消成交资格后，代理机构有权重新组织采购。</w:t>
      </w:r>
      <w:r/>
    </w:p>
    <w:p>
      <w:pPr>
        <w:pStyle w:val="746"/>
        <w:spacing w:before="0" w:after="0" w:line="348" w:lineRule="auto"/>
        <w:rPr>
          <w:rFonts w:ascii="宋体" w:hAnsi="宋体" w:cs="宋体"/>
          <w:color w:val="auto"/>
          <w:sz w:val="24"/>
          <w:szCs w:val="24"/>
          <w:highlight w:val="none"/>
        </w:rPr>
      </w:pPr>
      <w:r/>
      <w:bookmarkStart w:id="59" w:name="_Toc27070"/>
      <w:r/>
      <w:bookmarkStart w:id="60" w:name="_Toc447724741"/>
      <w:r/>
      <w:bookmarkStart w:id="61" w:name="_Toc27710"/>
      <w:r/>
      <w:bookmarkStart w:id="62" w:name="_Toc13090"/>
      <w:r/>
      <w:bookmarkStart w:id="63" w:name="_Toc17079"/>
      <w:r/>
      <w:bookmarkStart w:id="64" w:name="_Toc497401692"/>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中标、成交通知书</w:t>
      </w:r>
      <w:bookmarkEnd w:id="59"/>
      <w:r/>
      <w:bookmarkEnd w:id="60"/>
      <w:r/>
      <w:bookmarkEnd w:id="61"/>
      <w:r/>
      <w:bookmarkEnd w:id="62"/>
      <w:r/>
      <w:bookmarkEnd w:id="63"/>
      <w:r/>
      <w:bookmarkEnd w:id="64"/>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20.1 确定中标、成交供应商后,代理机构应将采购结果通知响应供应商，并向中标、成交供应商发出中标通知书。</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 中标、成交通知书是合同的组成部分。</w:t>
      </w:r>
      <w:r/>
    </w:p>
    <w:p>
      <w:pPr>
        <w:pStyle w:val="746"/>
        <w:spacing w:before="0" w:after="0" w:line="348" w:lineRule="auto"/>
        <w:rPr>
          <w:rFonts w:ascii="宋体" w:hAnsi="宋体" w:cs="宋体"/>
          <w:color w:val="auto"/>
          <w:sz w:val="24"/>
          <w:szCs w:val="24"/>
          <w:highlight w:val="none"/>
        </w:rPr>
      </w:pPr>
      <w:r/>
      <w:bookmarkStart w:id="65" w:name="_Toc497401693"/>
      <w:r/>
      <w:bookmarkStart w:id="66" w:name="_Toc23575"/>
      <w:r/>
      <w:bookmarkStart w:id="67" w:name="_Toc32432"/>
      <w:r/>
      <w:bookmarkStart w:id="68" w:name="_Toc11957"/>
      <w:r/>
      <w:bookmarkStart w:id="69" w:name="_Toc447724742"/>
      <w:r/>
      <w:bookmarkStart w:id="70" w:name="_Toc571"/>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签订合同</w:t>
      </w:r>
      <w:bookmarkEnd w:id="65"/>
      <w:r/>
      <w:bookmarkEnd w:id="66"/>
      <w:r/>
      <w:bookmarkEnd w:id="67"/>
      <w:r/>
      <w:bookmarkEnd w:id="68"/>
      <w:r/>
      <w:bookmarkEnd w:id="69"/>
      <w:r/>
      <w:bookmarkEnd w:id="70"/>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 中标、成交供应商应当在中标、成交通知书发出之日起7个工作日内，凭《中标通知书》原件与项目归口管理部门或采购人签订服务合同。中标人不得以任何理由拖延、拒签合同；中标单位拒不签订合同的，将其列入南京信息工程大学供应商失信名单，拒绝其3年内直接或间接参加南京信息工程大学采购活动。</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 采购文件、中标、成交供应商的响应文件及评审过程中有关澄清文件均应作为合同附件。</w:t>
      </w:r>
      <w:r/>
    </w:p>
    <w:p>
      <w:pPr>
        <w:ind w:firstLine="560"/>
        <w:spacing w:line="34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  签订合同后，成交、中标人不得将货物及其他相关服务进行转包。未经采购人同意，成交、中标人也不得采用分包的形式履行合同，否则采购人有权终止合同。转包或分包造成采购人损失的，成交、中标人应承担相应赔偿责任。</w:t>
      </w:r>
      <w:bookmarkEnd w:id="16"/>
      <w:bookmarkEnd w:id="17"/>
      <w:bookmarkEnd w:id="18"/>
      <w:bookmarkEnd w:id="19"/>
      <w:r/>
    </w:p>
    <w:p>
      <w:pPr>
        <w:rPr>
          <w:rFonts w:ascii="宋体" w:hAnsi="宋体" w:cs="宋体"/>
          <w:color w:val="auto"/>
          <w:sz w:val="32"/>
          <w:szCs w:val="32"/>
          <w:highlight w:val="none"/>
        </w:rPr>
      </w:pPr>
      <w:r/>
      <w:bookmarkStart w:id="71" w:name="_Toc26062"/>
      <w:r>
        <w:rPr>
          <w:rFonts w:hint="eastAsia" w:ascii="宋体" w:hAnsi="宋体" w:cs="宋体"/>
          <w:color w:val="auto"/>
          <w:sz w:val="32"/>
          <w:szCs w:val="32"/>
          <w:highlight w:val="none"/>
        </w:rPr>
        <w:br w:type="page" w:clear="all"/>
      </w:r>
      <w:r/>
    </w:p>
    <w:p>
      <w:pPr>
        <w:pStyle w:val="745"/>
        <w:jc w:val="center"/>
        <w:spacing w:before="0" w:after="0" w:line="360" w:lineRule="auto"/>
        <w:rPr>
          <w:rStyle w:val="821"/>
          <w:rFonts w:ascii="宋体" w:hAnsi="宋体" w:cs="宋体"/>
          <w:b w:val="0"/>
          <w:bCs w:val="0"/>
          <w:color w:val="auto"/>
          <w:sz w:val="28"/>
          <w:szCs w:val="28"/>
          <w:highlight w:val="none"/>
        </w:rPr>
      </w:pPr>
      <w:r/>
      <w:bookmarkStart w:id="72" w:name="_Toc19236"/>
      <w:r>
        <w:rPr>
          <w:rFonts w:hint="eastAsia" w:ascii="宋体" w:hAnsi="宋体" w:cs="宋体"/>
          <w:color w:val="auto"/>
          <w:sz w:val="28"/>
          <w:szCs w:val="28"/>
          <w:highlight w:val="none"/>
        </w:rPr>
        <w:t xml:space="preserve">第三章 合同条款及格式</w:t>
      </w:r>
      <w:bookmarkEnd w:id="71"/>
      <w:r/>
      <w:bookmarkEnd w:id="72"/>
      <w:r/>
      <w:r/>
    </w:p>
    <w:p>
      <w:pPr>
        <w:jc w:val="center"/>
        <w:spacing w:before="160" w:after="160" w:line="360" w:lineRule="auto"/>
        <w:rPr>
          <w:rFonts w:ascii="宋体" w:hAnsi="宋体" w:cs="宋体"/>
          <w:b/>
          <w:color w:val="auto"/>
          <w:sz w:val="24"/>
          <w:szCs w:val="24"/>
          <w:highlight w:val="none"/>
        </w:rPr>
      </w:pPr>
      <w:r/>
      <w:bookmarkStart w:id="73" w:name="_Toc17447"/>
      <w:r/>
      <w:bookmarkStart w:id="74" w:name="_Toc7726"/>
      <w:r>
        <w:rPr>
          <w:rFonts w:hint="eastAsia" w:ascii="宋体" w:hAnsi="宋体" w:cs="宋体"/>
          <w:b/>
          <w:color w:val="auto"/>
          <w:sz w:val="28"/>
          <w:szCs w:val="28"/>
          <w:highlight w:val="none"/>
        </w:rPr>
        <w:t xml:space="preserve">采购合同（参考模版）</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项目名称：                                      </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合同编号：</w:t>
      </w:r>
      <w:r/>
    </w:p>
    <w:p>
      <w:pPr>
        <w:pStyle w:val="761"/>
        <w:keepLines w:val="0"/>
        <w:keepNext w:val="0"/>
        <w:pageBreakBefore w:val="0"/>
        <w:spacing w:before="120" w:after="120" w:line="324" w:lineRule="auto"/>
        <w:rPr>
          <w:rFonts w:hAnsi="宋体" w:cs="宋体"/>
          <w:color w:val="auto"/>
          <w:sz w:val="24"/>
          <w:szCs w:val="24"/>
          <w:highlight w:val="none"/>
          <w:u w:val="single"/>
        </w:rPr>
      </w:pPr>
      <w:r>
        <w:rPr>
          <w:rFonts w:hint="eastAsia" w:hAnsi="宋体" w:cs="宋体"/>
          <w:color w:val="auto"/>
          <w:sz w:val="24"/>
          <w:szCs w:val="24"/>
          <w:highlight w:val="none"/>
        </w:rPr>
        <w:t xml:space="preserve">甲方：（买方）</w:t>
      </w:r>
      <w:r>
        <w:rPr>
          <w:rFonts w:hint="eastAsia" w:hAnsi="宋体" w:cs="宋体"/>
          <w:color w:val="auto"/>
          <w:sz w:val="24"/>
          <w:szCs w:val="24"/>
          <w:highlight w:val="none"/>
          <w:u w:val="single"/>
        </w:rPr>
        <w:t xml:space="preserve">                          </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乙方：（卖方）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r/>
    </w:p>
    <w:p>
      <w:pPr>
        <w:pStyle w:val="761"/>
        <w:ind w:firstLine="480"/>
        <w:keepLines w:val="0"/>
        <w:keepNext w:val="0"/>
        <w:pageBreakBefore w:val="0"/>
        <w:spacing w:line="324" w:lineRule="auto"/>
        <w:rPr>
          <w:rFonts w:hAnsi="宋体" w:cs="宋体"/>
          <w:b/>
          <w:color w:val="auto"/>
          <w:sz w:val="24"/>
          <w:szCs w:val="24"/>
          <w:highlight w:val="none"/>
        </w:rPr>
      </w:pPr>
      <w:r>
        <w:rPr>
          <w:rFonts w:hint="eastAsia" w:hAnsi="宋体" w:cs="宋体"/>
          <w:color w:val="auto"/>
          <w:sz w:val="24"/>
          <w:szCs w:val="24"/>
          <w:highlight w:val="none"/>
        </w:rPr>
        <w:t xml:space="preserve">甲、乙双方根据《中华人民共和国采购法》、《中华人民共和国民法典》等法律法规规定，按照</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项目的单一来源采购结果，签署本合同。</w:t>
      </w:r>
      <w:r/>
    </w:p>
    <w:p>
      <w:pPr>
        <w:pStyle w:val="761"/>
        <w:ind w:firstLine="482"/>
        <w:keepLines w:val="0"/>
        <w:keepNext w:val="0"/>
        <w:pageBreakBefore w:val="0"/>
        <w:spacing w:line="324" w:lineRule="auto"/>
        <w:rPr>
          <w:rFonts w:hAnsi="宋体" w:cs="宋体"/>
          <w:b/>
          <w:color w:val="auto"/>
          <w:sz w:val="24"/>
          <w:szCs w:val="24"/>
          <w:highlight w:val="none"/>
        </w:rPr>
      </w:pPr>
      <w:r>
        <w:rPr>
          <w:rFonts w:hint="eastAsia" w:hAnsi="宋体" w:cs="宋体"/>
          <w:b/>
          <w:color w:val="auto"/>
          <w:sz w:val="24"/>
          <w:szCs w:val="24"/>
          <w:highlight w:val="none"/>
        </w:rPr>
        <w:t xml:space="preserve">一、采购标的</w:t>
      </w:r>
      <w:r/>
    </w:p>
    <w:p>
      <w:pPr>
        <w:pStyle w:val="761"/>
        <w:ind w:firstLine="480"/>
        <w:keepLines w:val="0"/>
        <w:keepNext w:val="0"/>
        <w:pageBreakBefore w:val="0"/>
        <w:spacing w:line="324" w:lineRule="auto"/>
        <w:rPr>
          <w:rFonts w:hAnsi="宋体" w:cs="宋体"/>
          <w:color w:val="auto"/>
          <w:sz w:val="24"/>
          <w:szCs w:val="24"/>
          <w:highlight w:val="none"/>
        </w:rPr>
      </w:pPr>
      <w:r>
        <w:rPr>
          <w:rFonts w:hint="eastAsia" w:hAnsi="宋体" w:cs="宋体"/>
          <w:color w:val="auto"/>
          <w:sz w:val="24"/>
          <w:szCs w:val="24"/>
          <w:highlight w:val="none"/>
        </w:rPr>
        <w:t xml:space="preserve">1.1乙方向甲方提供的服务内容：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（具体的采购内容、要求、服务质量等详见采购文件、成交供应商的响应文件及采购过程中有关澄清、承诺文件）。</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二、合同金额</w:t>
      </w:r>
      <w:r/>
    </w:p>
    <w:p>
      <w:pPr>
        <w:pStyle w:val="761"/>
        <w:ind w:firstLine="480"/>
        <w:keepLines w:val="0"/>
        <w:keepNext w:val="0"/>
        <w:pageBreakBefore w:val="0"/>
        <w:spacing w:line="324" w:lineRule="auto"/>
        <w:rPr>
          <w:rFonts w:hint="default" w:hAnsi="宋体" w:cs="宋体"/>
          <w:b w:val="0"/>
          <w:bCs/>
          <w:color w:val="auto"/>
          <w:sz w:val="24"/>
          <w:szCs w:val="24"/>
          <w:highlight w:val="none"/>
          <w:u w:val="single"/>
          <w:lang w:val="en-US" w:eastAsia="zh-CN"/>
        </w:rPr>
      </w:pPr>
      <w:r>
        <w:rPr>
          <w:rFonts w:hint="eastAsia" w:hAnsi="宋体" w:cs="宋体"/>
          <w:color w:val="auto"/>
          <w:sz w:val="24"/>
          <w:szCs w:val="24"/>
          <w:highlight w:val="none"/>
        </w:rPr>
        <w:t xml:space="preserve">2.1本合同总价金额为（大写）：</w:t>
      </w:r>
      <w:r>
        <w:rPr>
          <w:rFonts w:hint="eastAsia" w:hAnsi="宋体" w:cs="宋体"/>
          <w:color w:val="auto"/>
          <w:sz w:val="24"/>
          <w:szCs w:val="24"/>
          <w:highlight w:val="none"/>
          <w:u w:val="single"/>
        </w:rPr>
        <w:t xml:space="preserve">       元 </w:t>
      </w:r>
      <w:r>
        <w:rPr>
          <w:rFonts w:hint="eastAsia" w:hAnsi="宋体" w:cs="宋体"/>
          <w:color w:val="auto"/>
          <w:sz w:val="24"/>
          <w:szCs w:val="24"/>
          <w:highlight w:val="none"/>
        </w:rPr>
        <w:t xml:space="preserve">（小写</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其中</w:t>
      </w:r>
      <w:r>
        <w:rPr>
          <w:rFonts w:hint="eastAsia" w:hAnsi="宋体" w:cs="宋体"/>
          <w:color w:val="auto"/>
          <w:sz w:val="24"/>
          <w:szCs w:val="24"/>
          <w:highlight w:val="none"/>
          <w:u w:val="single"/>
          <w:lang w:val="en-US" w:eastAsia="zh-CN"/>
        </w:rPr>
        <w:t xml:space="preserve">     元/年，服务期2年。</w:t>
      </w:r>
      <w:r/>
    </w:p>
    <w:p>
      <w:pPr>
        <w:pStyle w:val="761"/>
        <w:ind w:firstLine="480"/>
        <w:keepLines w:val="0"/>
        <w:keepNext w:val="0"/>
        <w:pageBreakBefore w:val="0"/>
        <w:spacing w:line="324" w:lineRule="auto"/>
        <w:rPr>
          <w:rFonts w:hint="eastAsia" w:hAnsi="宋体" w:cs="宋体"/>
          <w:color w:val="auto"/>
          <w:sz w:val="24"/>
          <w:szCs w:val="24"/>
          <w:highlight w:val="none"/>
        </w:rPr>
      </w:pPr>
      <w:r>
        <w:rPr>
          <w:rFonts w:hint="eastAsia" w:hAnsi="宋体" w:cs="宋体"/>
          <w:color w:val="auto"/>
          <w:sz w:val="24"/>
          <w:szCs w:val="24"/>
          <w:highlight w:val="none"/>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p>
    <w:p>
      <w:pPr>
        <w:pStyle w:val="761"/>
        <w:ind w:left="50" w:firstLine="36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三、知识产权</w:t>
      </w:r>
      <w:r/>
    </w:p>
    <w:p>
      <w:pPr>
        <w:ind w:firstLine="480"/>
        <w:keepLines w:val="0"/>
        <w:keepNext w:val="0"/>
        <w:pageBreakBefore w:val="0"/>
        <w:spacing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3.1乙方应保证甲方在使用、接受本合同服务或其任何一部分时不受乙方及任何第三方提出侵犯其专利权、版权、商标权和工业设计权等知识产权的起诉。一旦出现侵权起诉，由乙方负全部责任。</w:t>
      </w:r>
      <w:r/>
    </w:p>
    <w:p>
      <w:pPr>
        <w:pStyle w:val="761"/>
        <w:ind w:firstLine="482"/>
        <w:keepLines w:val="0"/>
        <w:keepNext w:val="0"/>
        <w:pageBreakBefore w:val="0"/>
        <w:spacing w:before="120" w:after="120" w:line="324" w:lineRule="auto"/>
        <w:rPr>
          <w:rFonts w:hAnsi="宋体" w:cs="宋体"/>
          <w:color w:val="auto"/>
          <w:sz w:val="24"/>
          <w:szCs w:val="24"/>
          <w:highlight w:val="none"/>
          <w:u w:val="single"/>
        </w:rPr>
      </w:pPr>
      <w:r>
        <w:rPr>
          <w:rFonts w:hint="eastAsia" w:hAnsi="宋体" w:cs="宋体"/>
          <w:b/>
          <w:color w:val="auto"/>
          <w:sz w:val="24"/>
          <w:szCs w:val="24"/>
          <w:highlight w:val="none"/>
        </w:rPr>
        <w:t xml:space="preserve">四、产权担保</w:t>
      </w:r>
      <w:r/>
    </w:p>
    <w:p>
      <w:pPr>
        <w:pStyle w:val="761"/>
        <w:ind w:firstLine="480"/>
        <w:keepLines w:val="0"/>
        <w:keepNext w:val="0"/>
        <w:pageBreakBefore w:val="0"/>
        <w:spacing w:before="120" w:after="120" w:line="324" w:lineRule="auto"/>
        <w:rPr>
          <w:rFonts w:hAnsi="宋体" w:cs="宋体"/>
          <w:color w:val="auto"/>
          <w:sz w:val="24"/>
          <w:szCs w:val="24"/>
          <w:highlight w:val="none"/>
          <w:u w:val="single"/>
        </w:rPr>
      </w:pPr>
      <w:r>
        <w:rPr>
          <w:rFonts w:hint="eastAsia" w:hAnsi="宋体" w:cs="宋体"/>
          <w:color w:val="auto"/>
          <w:sz w:val="24"/>
          <w:szCs w:val="24"/>
          <w:highlight w:val="none"/>
        </w:rPr>
        <w:t xml:space="preserve">4.1 乙方保证所交付的服务所有权完全属于乙方且无任何抵押、查封等产权瑕疵。</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五、履约保证金</w:t>
      </w:r>
      <w:r/>
    </w:p>
    <w:p>
      <w:pPr>
        <w:pStyle w:val="761"/>
        <w:ind w:left="2"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5.1 乙方在签订本合同之前，按合同总价款（</w:t>
      </w:r>
      <w:r>
        <w:rPr>
          <w:rFonts w:hint="eastAsia" w:hAnsi="宋体" w:cs="宋体"/>
          <w:color w:val="auto"/>
          <w:sz w:val="24"/>
          <w:szCs w:val="24"/>
          <w:highlight w:val="none"/>
          <w:u w:val="single"/>
        </w:rPr>
        <w:t xml:space="preserve">10</w:t>
      </w:r>
      <w:r>
        <w:rPr>
          <w:rFonts w:hint="eastAsia" w:hAnsi="宋体" w:cs="宋体"/>
          <w:color w:val="auto"/>
          <w:sz w:val="24"/>
          <w:szCs w:val="24"/>
          <w:highlight w:val="none"/>
        </w:rPr>
        <w:t xml:space="preserve">%）比例向甲方提交履约保证金人民币</w:t>
      </w:r>
      <w:r/>
    </w:p>
    <w:p>
      <w:pPr>
        <w:pStyle w:val="761"/>
        <w:ind w:left="2"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u w:val="single"/>
        </w:rPr>
        <w:t xml:space="preserve">     元整</w:t>
      </w:r>
      <w:r>
        <w:rPr>
          <w:rFonts w:hint="eastAsia" w:hAnsi="宋体" w:cs="宋体"/>
          <w:color w:val="auto"/>
          <w:sz w:val="24"/>
          <w:szCs w:val="24"/>
          <w:highlight w:val="none"/>
        </w:rPr>
        <w:t xml:space="preserve">，项目服务期结束后并无质量问题后无息退还。</w:t>
      </w:r>
      <w:r/>
    </w:p>
    <w:p>
      <w:pPr>
        <w:pStyle w:val="761"/>
        <w:ind w:left="2"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5.2乙方在履行合同过程中有违约行为的，甲方有权直接从履约保证金中扣除相应的违约金。</w:t>
      </w:r>
      <w:r/>
    </w:p>
    <w:p>
      <w:pPr>
        <w:pStyle w:val="761"/>
        <w:ind w:left="2"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5.3乙方在履行合同过程中有严重违约行为，导致合同被解除的，甲方有权没收全部履约保证金。保证金不足以赔偿甲方遭受的损失的，乙方还应继续承担赔偿责任。</w:t>
      </w:r>
      <w:r/>
    </w:p>
    <w:p>
      <w:pPr>
        <w:ind w:firstLine="482"/>
        <w:keepLines w:val="0"/>
        <w:keepNext w:val="0"/>
        <w:pageBreakBefore w:val="0"/>
        <w:spacing w:before="160" w:after="160" w:line="324"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六、转包或分包</w:t>
      </w:r>
      <w:r/>
    </w:p>
    <w:p>
      <w:pPr>
        <w:ind w:firstLine="480"/>
        <w:keepLines w:val="0"/>
        <w:keepNext w:val="0"/>
        <w:pageBreakBefore w:val="0"/>
        <w:spacing w:before="160"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6.1本合同范围的服务，应由乙方直接供应，不得转让他人供应；</w:t>
      </w:r>
      <w:r/>
    </w:p>
    <w:p>
      <w:pPr>
        <w:ind w:firstLine="480"/>
        <w:keepLines w:val="0"/>
        <w:keepNext w:val="0"/>
        <w:pageBreakBefore w:val="0"/>
        <w:spacing w:before="160"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6.2 除非得到甲方的书面同意，乙方不得部分分包给他人供应。</w:t>
      </w:r>
      <w:r/>
    </w:p>
    <w:p>
      <w:pPr>
        <w:ind w:firstLine="480"/>
        <w:keepLines w:val="0"/>
        <w:keepNext w:val="0"/>
        <w:pageBreakBefore w:val="0"/>
        <w:spacing w:before="160"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6.3如有转让和未经甲方同意的分包行为，甲方有权给予终止合同并追究乙方的违约责任。</w:t>
      </w:r>
      <w:r/>
    </w:p>
    <w:p>
      <w:pPr>
        <w:pStyle w:val="761"/>
        <w:ind w:firstLine="480"/>
        <w:keepLines w:val="0"/>
        <w:keepNext w:val="0"/>
        <w:pageBreakBefore w:val="0"/>
        <w:spacing w:before="120" w:after="120" w:line="324" w:lineRule="auto"/>
        <w:rPr>
          <w:rFonts w:hint="default" w:hAnsi="宋体" w:eastAsia="宋体" w:cs="宋体"/>
          <w:b/>
          <w:color w:val="auto"/>
          <w:sz w:val="24"/>
          <w:szCs w:val="24"/>
          <w:highlight w:val="none"/>
          <w:lang w:val="en-US" w:eastAsia="zh-CN"/>
        </w:rPr>
      </w:pPr>
      <w:r>
        <w:rPr>
          <w:rFonts w:hint="eastAsia" w:hAnsi="宋体" w:cs="宋体"/>
          <w:b/>
          <w:color w:val="auto"/>
          <w:sz w:val="24"/>
          <w:szCs w:val="24"/>
          <w:highlight w:val="none"/>
        </w:rPr>
        <w:t xml:space="preserve">七、</w:t>
      </w:r>
      <w:r>
        <w:rPr>
          <w:rFonts w:hint="eastAsia" w:hAnsi="宋体" w:cs="宋体"/>
          <w:b/>
          <w:color w:val="auto"/>
          <w:sz w:val="24"/>
          <w:szCs w:val="24"/>
          <w:highlight w:val="none"/>
          <w:lang w:val="en-US" w:eastAsia="zh-CN"/>
        </w:rPr>
        <w:t xml:space="preserve">服务要求</w:t>
      </w:r>
      <w:r/>
    </w:p>
    <w:p>
      <w:pPr>
        <w:pStyle w:val="761"/>
        <w:ind w:firstLine="480"/>
        <w:keepLines w:val="0"/>
        <w:keepNext w:val="0"/>
        <w:pageBreakBefore w:val="0"/>
        <w:spacing w:line="324" w:lineRule="auto"/>
        <w:widowControl w:val="off"/>
        <w:rPr>
          <w:rFonts w:hint="eastAsia" w:hAnsi="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7.1</w:t>
      </w:r>
      <w:r>
        <w:rPr>
          <w:rFonts w:hint="eastAsia" w:hAnsi="宋体" w:cs="宋体"/>
          <w:b w:val="0"/>
          <w:bCs/>
          <w:color w:val="auto"/>
          <w:sz w:val="24"/>
          <w:szCs w:val="24"/>
          <w:highlight w:val="none"/>
        </w:rPr>
        <w:t xml:space="preserve">服务时间：自项目合同签订之日起服务期 2 年。 </w:t>
      </w:r>
      <w:r/>
    </w:p>
    <w:p>
      <w:pPr>
        <w:pStyle w:val="761"/>
        <w:ind w:firstLine="480"/>
        <w:keepLines w:val="0"/>
        <w:keepNext w:val="0"/>
        <w:pageBreakBefore w:val="0"/>
        <w:spacing w:line="324" w:lineRule="auto"/>
        <w:widowControl w:val="off"/>
        <w:rPr>
          <w:rFonts w:hint="eastAsia" w:hAnsi="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7.2</w:t>
      </w:r>
      <w:r>
        <w:rPr>
          <w:rFonts w:hint="eastAsia" w:hAnsi="宋体" w:cs="宋体"/>
          <w:b w:val="0"/>
          <w:bCs/>
          <w:color w:val="auto"/>
          <w:sz w:val="24"/>
          <w:szCs w:val="24"/>
          <w:highlight w:val="none"/>
        </w:rPr>
        <w:t xml:space="preserve">服务地点：南京信息工程大学校内指定地点。 </w:t>
      </w:r>
      <w:r/>
    </w:p>
    <w:p>
      <w:pPr>
        <w:pStyle w:val="761"/>
        <w:ind w:firstLine="480"/>
        <w:keepLines w:val="0"/>
        <w:keepNext w:val="0"/>
        <w:pageBreakBefore w:val="0"/>
        <w:spacing w:line="324" w:lineRule="auto"/>
        <w:widowControl w:val="off"/>
        <w:rPr>
          <w:rFonts w:hint="eastAsia" w:hAnsi="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7.3</w:t>
      </w:r>
      <w:r>
        <w:rPr>
          <w:rFonts w:hint="eastAsia" w:hAnsi="宋体" w:cs="宋体"/>
          <w:b w:val="0"/>
          <w:bCs/>
          <w:color w:val="auto"/>
          <w:sz w:val="24"/>
          <w:szCs w:val="24"/>
          <w:highlight w:val="none"/>
        </w:rPr>
        <w:t xml:space="preserve">服务期满后，双方可进一步协商续约方案，若双方没有达成续约共识，乙方须保留甲方在使用过程中产生的所有数据，并可允许甲方用户即时访问。</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八、合同款支付</w:t>
      </w:r>
      <w:r/>
    </w:p>
    <w:p>
      <w:pPr>
        <w:ind w:firstLine="480"/>
        <w:keepLines w:val="0"/>
        <w:keepNext w:val="0"/>
        <w:pageBreakBefore w:val="0"/>
        <w:spacing w:line="324"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8.1</w:t>
      </w:r>
      <w:r>
        <w:rPr>
          <w:rFonts w:hint="eastAsia" w:ascii="宋体" w:hAnsi="宋体" w:eastAsia="宋体" w:cs="宋体"/>
          <w:sz w:val="24"/>
          <w:szCs w:val="24"/>
          <w:highlight w:val="none"/>
          <w:u w:val="none"/>
        </w:rPr>
        <w:t xml:space="preserve">本项目服务期两年。</w:t>
      </w:r>
      <w:r>
        <w:rPr>
          <w:rFonts w:hint="eastAsia" w:ascii="宋体" w:hAnsi="宋体" w:cs="宋体"/>
          <w:sz w:val="24"/>
          <w:szCs w:val="24"/>
          <w:highlight w:val="none"/>
          <w:u w:val="none"/>
        </w:rPr>
        <w:t xml:space="preserve">合同签订后</w:t>
      </w:r>
      <w:r>
        <w:rPr>
          <w:rFonts w:hint="eastAsia" w:ascii="宋体" w:hAnsi="宋体" w:cs="宋体"/>
          <w:sz w:val="24"/>
          <w:szCs w:val="24"/>
          <w:highlight w:val="none"/>
          <w:u w:val="none"/>
          <w:lang w:val="en-US" w:eastAsia="zh-CN"/>
        </w:rPr>
        <w:t xml:space="preserve">甲方</w:t>
      </w:r>
      <w:r>
        <w:rPr>
          <w:rFonts w:hint="eastAsia" w:ascii="宋体" w:hAnsi="宋体" w:cs="宋体"/>
          <w:sz w:val="24"/>
          <w:szCs w:val="24"/>
          <w:highlight w:val="none"/>
          <w:u w:val="none"/>
        </w:rPr>
        <w:t xml:space="preserve">支付合同总价款的30%。项目上线运行并验收通过后，</w:t>
      </w:r>
      <w:r>
        <w:rPr>
          <w:rFonts w:hint="eastAsia" w:ascii="宋体" w:hAnsi="宋体" w:cs="宋体"/>
          <w:sz w:val="24"/>
          <w:szCs w:val="24"/>
          <w:highlight w:val="none"/>
          <w:u w:val="none"/>
          <w:lang w:val="en-US" w:eastAsia="zh-CN"/>
        </w:rPr>
        <w:t xml:space="preserve">甲方</w:t>
      </w:r>
      <w:r>
        <w:rPr>
          <w:rFonts w:hint="eastAsia" w:ascii="宋体" w:hAnsi="宋体" w:cs="宋体"/>
          <w:sz w:val="24"/>
          <w:szCs w:val="24"/>
          <w:highlight w:val="none"/>
          <w:u w:val="none"/>
        </w:rPr>
        <w:t xml:space="preserve">向</w:t>
      </w:r>
      <w:r>
        <w:rPr>
          <w:rFonts w:hint="eastAsia" w:ascii="宋体" w:hAnsi="宋体" w:cs="宋体"/>
          <w:sz w:val="24"/>
          <w:szCs w:val="24"/>
          <w:highlight w:val="none"/>
          <w:u w:val="none"/>
          <w:lang w:val="en-US" w:eastAsia="zh-CN"/>
        </w:rPr>
        <w:t xml:space="preserve">乙方</w:t>
      </w:r>
      <w:r>
        <w:rPr>
          <w:rFonts w:hint="eastAsia" w:ascii="宋体" w:hAnsi="宋体" w:cs="宋体"/>
          <w:sz w:val="24"/>
          <w:szCs w:val="24"/>
          <w:highlight w:val="none"/>
          <w:u w:val="none"/>
        </w:rPr>
        <w:t xml:space="preserve">支付合同总价款的</w:t>
      </w:r>
      <w:r>
        <w:rPr>
          <w:rFonts w:hint="eastAsia" w:ascii="宋体" w:hAnsi="宋体" w:cs="宋体"/>
          <w:sz w:val="24"/>
          <w:szCs w:val="24"/>
          <w:highlight w:val="none"/>
          <w:u w:val="none"/>
          <w:lang w:val="en-US" w:eastAsia="zh-CN"/>
        </w:rPr>
        <w:t xml:space="preserve">2</w:t>
      </w:r>
      <w:r>
        <w:rPr>
          <w:rFonts w:hint="eastAsia" w:ascii="宋体" w:hAnsi="宋体" w:cs="宋体"/>
          <w:sz w:val="24"/>
          <w:szCs w:val="24"/>
          <w:highlight w:val="none"/>
          <w:u w:val="none"/>
        </w:rPr>
        <w:t xml:space="preserve">0%。</w:t>
      </w:r>
      <w:r>
        <w:rPr>
          <w:rFonts w:hint="eastAsia" w:ascii="宋体" w:hAnsi="宋体" w:eastAsia="宋体" w:cs="宋体"/>
          <w:sz w:val="24"/>
          <w:szCs w:val="24"/>
          <w:highlight w:val="none"/>
          <w:u w:val="none"/>
        </w:rPr>
        <w:t xml:space="preserve">服务期满一年后</w:t>
      </w:r>
      <w:r>
        <w:rPr>
          <w:rFonts w:hint="eastAsia" w:ascii="宋体" w:hAnsi="宋体" w:cs="宋体"/>
          <w:sz w:val="24"/>
          <w:szCs w:val="24"/>
          <w:highlight w:val="none"/>
          <w:u w:val="none"/>
          <w:lang w:val="en-US" w:eastAsia="zh-CN"/>
        </w:rPr>
        <w:t xml:space="preserve">甲方</w:t>
      </w:r>
      <w:r>
        <w:rPr>
          <w:rFonts w:hint="eastAsia" w:ascii="宋体" w:hAnsi="宋体" w:eastAsia="宋体" w:cs="宋体"/>
          <w:sz w:val="24"/>
          <w:szCs w:val="24"/>
          <w:highlight w:val="none"/>
          <w:u w:val="none"/>
        </w:rPr>
        <w:t xml:space="preserve">支付合同总价款的 </w:t>
      </w:r>
      <w:r>
        <w:rPr>
          <w:rFonts w:hint="eastAsia" w:ascii="宋体" w:hAnsi="宋体" w:eastAsia="宋体" w:cs="宋体"/>
          <w:sz w:val="24"/>
          <w:szCs w:val="24"/>
          <w:highlight w:val="none"/>
          <w:u w:val="none"/>
          <w:lang w:val="en-US" w:eastAsia="zh-CN"/>
        </w:rPr>
        <w:t xml:space="preserve">3</w:t>
      </w:r>
      <w:r>
        <w:rPr>
          <w:rFonts w:hint="eastAsia" w:ascii="宋体" w:hAnsi="宋体" w:eastAsia="宋体" w:cs="宋体"/>
          <w:sz w:val="24"/>
          <w:szCs w:val="24"/>
          <w:highlight w:val="none"/>
          <w:u w:val="none"/>
        </w:rPr>
        <w:t xml:space="preserve">0%，项目服务期满后</w:t>
      </w:r>
      <w:r>
        <w:rPr>
          <w:rFonts w:hint="eastAsia" w:ascii="宋体" w:hAnsi="宋体" w:cs="宋体"/>
          <w:sz w:val="24"/>
          <w:szCs w:val="24"/>
          <w:highlight w:val="none"/>
          <w:u w:val="none"/>
          <w:lang w:val="en-US" w:eastAsia="zh-CN"/>
        </w:rPr>
        <w:t xml:space="preserve">甲方</w:t>
      </w:r>
      <w:r>
        <w:rPr>
          <w:rFonts w:hint="eastAsia" w:ascii="宋体" w:hAnsi="宋体" w:eastAsia="宋体" w:cs="宋体"/>
          <w:sz w:val="24"/>
          <w:szCs w:val="24"/>
          <w:highlight w:val="none"/>
          <w:u w:val="none"/>
        </w:rPr>
        <w:t xml:space="preserve">支付合同总价款的</w:t>
      </w:r>
      <w:r>
        <w:rPr>
          <w:rFonts w:hint="eastAsia" w:ascii="宋体" w:hAnsi="宋体" w:eastAsia="宋体" w:cs="宋体"/>
          <w:sz w:val="24"/>
          <w:szCs w:val="24"/>
          <w:highlight w:val="none"/>
          <w:u w:val="none"/>
          <w:lang w:val="en-US" w:eastAsia="zh-CN"/>
        </w:rPr>
        <w:t xml:space="preserve">2</w:t>
      </w:r>
      <w:r>
        <w:rPr>
          <w:rFonts w:hint="eastAsia" w:ascii="宋体" w:hAnsi="宋体" w:eastAsia="宋体" w:cs="宋体"/>
          <w:sz w:val="24"/>
          <w:szCs w:val="24"/>
          <w:highlight w:val="none"/>
          <w:u w:val="none"/>
        </w:rPr>
        <w:t xml:space="preserve">0%。合同签订后，</w:t>
      </w:r>
      <w:r>
        <w:rPr>
          <w:rFonts w:hint="eastAsia" w:ascii="宋体" w:hAnsi="宋体" w:cs="宋体"/>
          <w:sz w:val="24"/>
          <w:szCs w:val="24"/>
          <w:highlight w:val="none"/>
          <w:u w:val="none"/>
          <w:lang w:val="en-US" w:eastAsia="zh-CN"/>
        </w:rPr>
        <w:t xml:space="preserve">乙方</w:t>
      </w:r>
      <w:r>
        <w:rPr>
          <w:rFonts w:hint="eastAsia" w:ascii="宋体" w:hAnsi="宋体" w:eastAsia="宋体" w:cs="宋体"/>
          <w:sz w:val="24"/>
          <w:szCs w:val="24"/>
          <w:highlight w:val="none"/>
          <w:u w:val="none"/>
        </w:rPr>
        <w:t xml:space="preserve">须向</w:t>
      </w:r>
      <w:r>
        <w:rPr>
          <w:rFonts w:hint="eastAsia" w:ascii="宋体" w:hAnsi="宋体" w:cs="宋体"/>
          <w:sz w:val="24"/>
          <w:szCs w:val="24"/>
          <w:highlight w:val="none"/>
          <w:u w:val="none"/>
          <w:lang w:val="en-US" w:eastAsia="zh-CN"/>
        </w:rPr>
        <w:t xml:space="preserve">甲方</w:t>
      </w:r>
      <w:r>
        <w:rPr>
          <w:rFonts w:hint="eastAsia" w:ascii="宋体" w:hAnsi="宋体" w:eastAsia="宋体" w:cs="宋体"/>
          <w:sz w:val="24"/>
          <w:szCs w:val="24"/>
          <w:highlight w:val="none"/>
          <w:u w:val="none"/>
          <w:lang w:val="en-US" w:eastAsia="zh-CN"/>
        </w:rPr>
        <w:t xml:space="preserve">按服务年度提供该年度的</w:t>
      </w:r>
      <w:r>
        <w:rPr>
          <w:rFonts w:hint="eastAsia" w:ascii="宋体" w:hAnsi="宋体" w:eastAsia="宋体" w:cs="宋体"/>
          <w:sz w:val="24"/>
          <w:szCs w:val="24"/>
          <w:highlight w:val="none"/>
          <w:u w:val="none"/>
        </w:rPr>
        <w:t xml:space="preserve">全额发票。</w:t>
      </w:r>
      <w:r/>
    </w:p>
    <w:p>
      <w:pPr>
        <w:ind w:firstLine="480"/>
        <w:keepLines w:val="0"/>
        <w:keepNext w:val="0"/>
        <w:pageBreakBefore w:val="0"/>
        <w:spacing w:before="160" w:after="160" w:line="324"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九、税</w:t>
      </w:r>
      <w:r/>
    </w:p>
    <w:p>
      <w:pPr>
        <w:ind w:firstLine="480"/>
        <w:keepLines w:val="0"/>
        <w:keepNext w:val="0"/>
        <w:pageBreakBefore w:val="0"/>
        <w:spacing w:before="160"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9.1发票要求：乙方开具合同全额“增值税普通发票”（抬头：南京信息工程大学）。（增值税普通发票开票信息：户名：南京信息工程大学  地址：江苏省南京市浦口区宁六路219号  财务电话：025-58731111 开户行：中国农业银行股份有限公司南京盘城支行 账号：10115401040000228 税号：12320000466006762K）</w:t>
      </w:r>
      <w:r/>
    </w:p>
    <w:p>
      <w:pPr>
        <w:ind w:firstLine="480"/>
        <w:keepLines w:val="0"/>
        <w:keepNext w:val="0"/>
        <w:pageBreakBefore w:val="0"/>
        <w:spacing w:before="160"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9.2本合同执行中相关的一切税费均由乙方负担。</w:t>
      </w:r>
      <w:r/>
    </w:p>
    <w:p>
      <w:pPr>
        <w:ind w:firstLine="482"/>
        <w:keepLines w:val="0"/>
        <w:keepNext w:val="0"/>
        <w:pageBreakBefore w:val="0"/>
        <w:spacing w:after="160" w:line="324"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十、权利义务</w:t>
      </w:r>
      <w:r/>
    </w:p>
    <w:p>
      <w:pPr>
        <w:ind w:firstLine="480"/>
        <w:keepLines w:val="0"/>
        <w:keepNext w:val="0"/>
        <w:pageBreakBefore w:val="0"/>
        <w:spacing w:after="160" w:line="32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12.1甲方应积极协助乙方完成本合同项下义务，包括积极组织验收等，若因甲方未能积极配合导致乙方无法履行或延迟履行本合同项下义务的，乙方不承担违约责任。</w:t>
      </w:r>
      <w:r/>
    </w:p>
    <w:p>
      <w:pPr>
        <w:ind w:firstLine="480"/>
        <w:keepLines w:val="0"/>
        <w:keepNext w:val="0"/>
        <w:pageBreakBefore w:val="0"/>
        <w:spacing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2甲方应依约足额按时支付合同相关款项。</w:t>
      </w:r>
      <w:r/>
    </w:p>
    <w:p>
      <w:pPr>
        <w:ind w:firstLine="480"/>
        <w:keepLines w:val="0"/>
        <w:keepNext w:val="0"/>
        <w:pageBreakBefore w:val="0"/>
        <w:spacing w:after="160" w:line="324"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甲方有权在合同范围内，根据其对项目的实际情况向乙方做出反馈，对乙方提供的技术服务提出修改意见，乙方应对甲方的反馈和建议作出积极的回应，如在甲方提出建议或意见3日内，没有得到乙方相应的反馈，则视为乙方认同此建议或意见；在建设周期内，乙方应立即响应甲方的修改方案并推进建设，不得推诿、拖延或敷衍；如甲方提出的服务超出合同范围的，甲方应向乙方另行支付费用。乙方按照甲方提出的修改意见进行修改的时间应包含在乙方服务期限内，乙方不得以此为由延迟交付项目成果。</w:t>
      </w:r>
      <w:r/>
    </w:p>
    <w:p>
      <w:pPr>
        <w:ind w:firstLine="480"/>
        <w:keepLines w:val="0"/>
        <w:keepNext w:val="0"/>
        <w:pageBreakBefore w:val="0"/>
        <w:spacing w:line="324" w:lineRule="auto"/>
        <w:shd w:val="clear" w:color="auto" w:fill="ffffff"/>
        <w:tabs>
          <w:tab w:val="left" w:pos="7506"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12.4</w:t>
      </w:r>
      <w:r>
        <w:rPr>
          <w:rFonts w:hint="eastAsia" w:ascii="宋体" w:hAnsi="宋体" w:cs="宋体"/>
          <w:sz w:val="24"/>
          <w:szCs w:val="24"/>
          <w:highlight w:val="none"/>
        </w:rPr>
        <w:t xml:space="preserve">乙方应严格遵守相关法律法规和甲方校内场所的相关安全管理规定，乙方根据甲方的要求，安排工作人员到甲方开展平台建设工作，保证建设项目安全有序开展，乙方如果产生任何人身、财物损失，由乙方自行负责解决并承担责任，给甲方造成损失的，乙方应全面足额赔偿；同样，甲方人员的人身安全和财产安全由甲方自行承担。</w:t>
      </w:r>
      <w:r/>
    </w:p>
    <w:p>
      <w:pPr>
        <w:pStyle w:val="868"/>
        <w:ind w:firstLine="480"/>
        <w:keepLines w:val="0"/>
        <w:keepNext w:val="0"/>
        <w:pageBreakBefore w:val="0"/>
        <w:spacing w:line="324" w:lineRule="auto"/>
        <w:rPr>
          <w:rFonts w:hint="eastAsia" w:eastAsia="宋体"/>
          <w:color w:val="auto"/>
          <w:highlight w:val="none"/>
          <w:lang w:val="en-US" w:eastAsia="zh-CN"/>
        </w:rPr>
      </w:pPr>
      <w:r>
        <w:rPr>
          <w:rFonts w:hint="eastAsia" w:ascii="宋体" w:cs="宋体"/>
          <w:color w:val="auto"/>
          <w:sz w:val="24"/>
          <w:szCs w:val="24"/>
          <w:highlight w:val="none"/>
          <w:lang w:val="en-US" w:eastAsia="zh-CN"/>
        </w:rPr>
        <w:t xml:space="preserve">12.5</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保证合同期内软件正常使用，以及相关技术支持和更新服务</w:t>
      </w:r>
      <w:r>
        <w:rPr>
          <w:rFonts w:hint="eastAsia" w:ascii="宋体" w:hAnsi="宋体" w:cs="宋体"/>
          <w:color w:val="auto"/>
          <w:sz w:val="24"/>
          <w:szCs w:val="24"/>
          <w:highlight w:val="none"/>
          <w:lang w:eastAsia="zh-CN"/>
        </w:rPr>
        <w:t xml:space="preserve">；</w:t>
      </w:r>
      <w:r>
        <w:rPr>
          <w:rFonts w:hint="eastAsia" w:hAnsi="宋体" w:cs="宋体"/>
          <w:b w:val="0"/>
          <w:bCs/>
          <w:color w:val="auto"/>
          <w:sz w:val="24"/>
          <w:szCs w:val="24"/>
          <w:highlight w:val="none"/>
        </w:rPr>
        <w:t xml:space="preserve">服务期满后，双方可进一步协商续约方案，若双方没有达成续约共识，乙方须保留甲方在使用过程中产生的所有数据，并可允许甲方用户即时访问。</w:t>
      </w:r>
      <w:r/>
    </w:p>
    <w:p>
      <w:pPr>
        <w:ind w:firstLine="480"/>
        <w:keepLines w:val="0"/>
        <w:keepNext w:val="0"/>
        <w:pageBreakBefore w:val="0"/>
        <w:spacing w:line="324" w:lineRule="auto"/>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12.6</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保证所提供的资源符合我国相关法律法规和政策。如果发现有违法或侵权等内容，</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应及时把相关内容下架，并告知</w:t>
      </w:r>
      <w:r>
        <w:rPr>
          <w:rFonts w:hint="eastAsia" w:ascii="宋体" w:hAnsi="宋体" w:cs="宋体"/>
          <w:color w:val="auto"/>
          <w:sz w:val="24"/>
          <w:szCs w:val="24"/>
          <w:highlight w:val="none"/>
        </w:rPr>
        <w:t xml:space="preserve">甲</w:t>
      </w:r>
      <w:r>
        <w:rPr>
          <w:rFonts w:ascii="宋体" w:hAnsi="宋体" w:cs="宋体"/>
          <w:color w:val="auto"/>
          <w:sz w:val="24"/>
          <w:szCs w:val="24"/>
          <w:highlight w:val="none"/>
        </w:rPr>
        <w:t xml:space="preserve">方。</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提供的资源涉及违法或侵权等问题均由</w:t>
      </w:r>
      <w:r>
        <w:rPr>
          <w:rFonts w:hint="eastAsia" w:ascii="宋体" w:hAnsi="宋体" w:cs="宋体"/>
          <w:color w:val="auto"/>
          <w:sz w:val="24"/>
          <w:szCs w:val="24"/>
          <w:highlight w:val="none"/>
        </w:rPr>
        <w:t xml:space="preserve">乙方</w:t>
      </w:r>
      <w:r>
        <w:rPr>
          <w:rFonts w:ascii="宋体" w:hAnsi="宋体" w:cs="宋体"/>
          <w:color w:val="auto"/>
          <w:sz w:val="24"/>
          <w:szCs w:val="24"/>
          <w:highlight w:val="none"/>
        </w:rPr>
        <w:t xml:space="preserve">负责解决，并承担相关法律和经济责任，与</w:t>
      </w:r>
      <w:r>
        <w:rPr>
          <w:rFonts w:hint="eastAsia" w:ascii="宋体" w:hAnsi="宋体" w:cs="宋体"/>
          <w:color w:val="auto"/>
          <w:sz w:val="24"/>
          <w:szCs w:val="24"/>
          <w:highlight w:val="none"/>
        </w:rPr>
        <w:t xml:space="preserve">甲</w:t>
      </w:r>
      <w:r>
        <w:rPr>
          <w:rFonts w:ascii="宋体" w:hAnsi="宋体" w:cs="宋体"/>
          <w:color w:val="auto"/>
          <w:sz w:val="24"/>
          <w:szCs w:val="24"/>
          <w:highlight w:val="none"/>
        </w:rPr>
        <w:t xml:space="preserve">方无关。</w:t>
      </w:r>
      <w:r/>
    </w:p>
    <w:p>
      <w:pPr>
        <w:ind w:firstLine="482"/>
        <w:keepLines w:val="0"/>
        <w:keepNext w:val="0"/>
        <w:pageBreakBefore w:val="0"/>
        <w:spacing w:line="324"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十一、验收</w:t>
      </w:r>
      <w:r>
        <w:rPr>
          <w:rFonts w:hint="eastAsia" w:ascii="宋体" w:hAnsi="宋体" w:cs="宋体"/>
          <w:b/>
          <w:bCs/>
          <w:color w:val="auto"/>
          <w:sz w:val="24"/>
          <w:szCs w:val="24"/>
          <w:highlight w:val="none"/>
          <w:lang w:val="en-US" w:eastAsia="zh-CN"/>
        </w:rPr>
        <w:t xml:space="preserve">及售后服务</w:t>
      </w:r>
      <w:r/>
    </w:p>
    <w:p>
      <w:pPr>
        <w:pStyle w:val="761"/>
        <w:ind w:firstLine="480"/>
        <w:keepLines w:val="0"/>
        <w:keepNext w:val="0"/>
        <w:pageBreakBefore w:val="0"/>
        <w:spacing w:line="324" w:lineRule="auto"/>
        <w:rPr>
          <w:rFonts w:hAnsi="宋体" w:cs="宋体"/>
          <w:color w:val="auto"/>
          <w:sz w:val="24"/>
          <w:szCs w:val="24"/>
          <w:highlight w:val="none"/>
        </w:rPr>
      </w:pPr>
      <w:r>
        <w:rPr>
          <w:rFonts w:hint="eastAsia" w:hAnsi="宋体"/>
          <w:color w:val="auto"/>
          <w:sz w:val="24"/>
          <w:szCs w:val="24"/>
          <w:highlight w:val="none"/>
        </w:rPr>
        <w:t xml:space="preserve">11.1服务期结束后</w:t>
      </w:r>
      <w:r>
        <w:rPr>
          <w:rFonts w:hAnsi="宋体"/>
          <w:color w:val="auto"/>
          <w:sz w:val="24"/>
          <w:szCs w:val="24"/>
          <w:highlight w:val="none"/>
        </w:rPr>
        <w:t xml:space="preserve">甲方依据采购文件上的项目要求、乙方响应文件承诺及国家有关质量标准进行对乙方提供的服务</w:t>
      </w:r>
      <w:r>
        <w:rPr>
          <w:rFonts w:hAnsi="宋体" w:cs="宋体"/>
          <w:color w:val="auto"/>
          <w:sz w:val="24"/>
          <w:szCs w:val="24"/>
          <w:highlight w:val="none"/>
        </w:rPr>
        <w:t xml:space="preserve">及履行本合同情况实行考核验收。</w:t>
      </w:r>
      <w:r/>
    </w:p>
    <w:p>
      <w:pPr>
        <w:pStyle w:val="761"/>
        <w:ind w:firstLine="480"/>
        <w:keepLines w:val="0"/>
        <w:keepNext w:val="0"/>
        <w:pageBreakBefore w:val="0"/>
        <w:spacing w:line="324" w:lineRule="auto"/>
        <w:rPr>
          <w:rFonts w:hAnsi="宋体"/>
          <w:color w:val="auto"/>
          <w:sz w:val="24"/>
          <w:szCs w:val="24"/>
          <w:highlight w:val="none"/>
        </w:rPr>
      </w:pPr>
      <w:r>
        <w:rPr>
          <w:rFonts w:hint="eastAsia" w:hAnsi="宋体" w:cs="宋体"/>
          <w:color w:val="auto"/>
          <w:sz w:val="24"/>
          <w:szCs w:val="24"/>
          <w:highlight w:val="none"/>
        </w:rPr>
        <w:t xml:space="preserve">11.2</w:t>
      </w:r>
      <w:r>
        <w:rPr>
          <w:rFonts w:hAnsi="宋体"/>
          <w:color w:val="auto"/>
          <w:sz w:val="24"/>
          <w:szCs w:val="24"/>
          <w:highlight w:val="none"/>
        </w:rPr>
        <w:t xml:space="preserve">对专业技术复杂的服务，甲方可请国家认可的专业检测机构或组织相关的技术专家参与验收，并由其出具检测报告或验收报告。</w:t>
      </w:r>
      <w:r/>
    </w:p>
    <w:p>
      <w:pPr>
        <w:pStyle w:val="761"/>
        <w:ind w:left="1" w:firstLine="480"/>
        <w:keepLines w:val="0"/>
        <w:keepNext w:val="0"/>
        <w:pageBreakBefore w:val="0"/>
        <w:spacing w:before="120" w:after="120" w:line="324" w:lineRule="auto"/>
        <w:rPr>
          <w:rFonts w:hAnsi="宋体" w:cs="宋体"/>
          <w:color w:val="auto"/>
          <w:sz w:val="24"/>
          <w:highlight w:val="none"/>
        </w:rPr>
      </w:pPr>
      <w:r>
        <w:rPr>
          <w:rFonts w:hint="eastAsia" w:hAnsi="宋体" w:cs="宋体"/>
          <w:color w:val="auto"/>
          <w:sz w:val="24"/>
          <w:szCs w:val="24"/>
          <w:highlight w:val="none"/>
        </w:rPr>
        <w:t xml:space="preserve">11.3验收时乙方必须在现场，验收完毕后作出验收结果报告，验收报告须经甲方最终用户签字和部门盖章。</w:t>
      </w:r>
      <w:r/>
    </w:p>
    <w:p>
      <w:pPr>
        <w:ind w:firstLine="480"/>
        <w:keepLines w:val="0"/>
        <w:keepNext w:val="0"/>
        <w:pageBreakBefore w:val="0"/>
        <w:spacing w:line="324" w:lineRule="auto"/>
        <w:rPr>
          <w:rFonts w:hint="eastAsia" w:ascii="宋体" w:hAnsi="宋体" w:cs="宋体"/>
          <w:color w:val="auto"/>
          <w:sz w:val="24"/>
          <w:highlight w:val="none"/>
        </w:rPr>
      </w:pPr>
      <w:r>
        <w:rPr>
          <w:rFonts w:hint="eastAsia" w:ascii="宋体" w:hAnsi="宋体" w:cs="宋体"/>
          <w:color w:val="auto"/>
          <w:sz w:val="24"/>
          <w:highlight w:val="none"/>
        </w:rPr>
        <w:t xml:space="preserve">11.4甲方有权根据国家政策或法律法规的变动对服务的需求标准和质量做出相应变动。</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11.5平台运维要求 </w:t>
      </w:r>
      <w:r/>
    </w:p>
    <w:p>
      <w:pPr>
        <w:pStyle w:val="761"/>
        <w:ind w:firstLine="480"/>
        <w:keepLines w:val="0"/>
        <w:keepNext w:val="0"/>
        <w:pageBreakBefore w:val="0"/>
        <w:spacing w:before="120" w:after="120" w:line="324" w:lineRule="auto"/>
        <w:rPr>
          <w:rFonts w:hint="eastAsia" w:hAnsi="宋体" w:eastAsia="宋体" w:cs="宋体"/>
          <w:b w:val="0"/>
          <w:bCs/>
          <w:color w:val="auto"/>
          <w:sz w:val="24"/>
          <w:szCs w:val="24"/>
          <w:highlight w:val="none"/>
          <w:lang w:eastAsia="zh-CN"/>
        </w:rPr>
      </w:pPr>
      <w:r>
        <w:rPr>
          <w:rFonts w:hint="eastAsia" w:hAnsi="宋体" w:cs="宋体"/>
          <w:b w:val="0"/>
          <w:bCs/>
          <w:color w:val="auto"/>
          <w:sz w:val="24"/>
          <w:szCs w:val="24"/>
          <w:highlight w:val="none"/>
        </w:rPr>
        <w:t xml:space="preserve">对平台产生的不同程度的问题，进行及时响应并解决问题</w:t>
      </w:r>
      <w:r>
        <w:rPr>
          <w:rFonts w:hint="eastAsia" w:hAnsi="宋体" w:cs="宋体"/>
          <w:b w:val="0"/>
          <w:bCs/>
          <w:color w:val="auto"/>
          <w:sz w:val="24"/>
          <w:szCs w:val="24"/>
          <w:highlight w:val="none"/>
          <w:lang w:eastAsia="zh-CN"/>
        </w:rPr>
        <w:t xml:space="preserve">：</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（1）一级问题：系统无法运作，而且没有任何暂时性的解决方案；或者虽有暂时性的解决方案，但影响到使用者正常使用；或系统可以运作，但存在信息安全问题或信息丢失。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1 小时内做出响应、2 小时内与客户讨论解决方案、3小时内提供现场技术支持、8 小时内解决问题。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（2）二级问题：系统可以运作，但功能已受到严重影响；系统性能受到严重影响或出现其它未知异常现象；大规模范围出现使用者使用速度明显偏慢。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4 小时内做出响应、12 小时内与客户讨论解决方案、24小时内提供现场技术支持、48 小时内解决问题。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（3）三级问题：系统可以运作，但出现小范围的功能问题或者性能问题，采取修改配置等措施后仍无法正常运转。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8 小时内做出响应、48 小时内提供现场技术支持、72小时内解决问题。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（4）四级问题：客户有问题询问或是功能方面的加强。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48 小时内做出响应、72 小时内解决问题、问题解决后知会有关部门。</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11.6</w:t>
      </w:r>
      <w:r>
        <w:rPr>
          <w:rFonts w:hint="eastAsia" w:hAnsi="宋体" w:cs="宋体"/>
          <w:b w:val="0"/>
          <w:bCs/>
          <w:color w:val="auto"/>
          <w:sz w:val="24"/>
          <w:szCs w:val="24"/>
          <w:highlight w:val="none"/>
        </w:rPr>
        <w:t xml:space="preserve">培训答疑服务要求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（1）提供不同角色使用者的使用手册，包含：管理员使用手册、教师使用手册、学生使用手册等。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（2）针对不同使用者录制使用帮助微视频，方便使用者学习使用。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（3）分别提供针对平台管理员、教师和学生等角色的专门培训服务，培训时间、时长及场次以招标人需要为准。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（4）需要提供现场答疑、电话答疑、在线客服、本地客服等形式的答疑服务。具体响应时间要求如下。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1）现场答疑：根据学校需求，提供 5*12 小时驻场服务，随时解答师生使用过程出现的问题。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2）上门答疑：教师提出需求后，在 1 小时内提供上门答疑，针对使用者的使用问题进行解答，不限时长，以全部问题解决为准。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3）电话答疑：提供服务人员的电话，使用者有问题时可拨打电话，随时进行沟通，工作日要求 8:00-22:00，非工作日要求 8:00-20:00。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4）在线客服：平台提供在线客服入口，提供 7*24 小时的在线咨询服务。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5）本地客服：投标人须提供 5 人的本地客服团队，专门维护学校的用户群，提供咨询服务。 </w:t>
      </w:r>
      <w:r/>
    </w:p>
    <w:p>
      <w:pPr>
        <w:pStyle w:val="761"/>
        <w:ind w:firstLine="480"/>
        <w:keepLines w:val="0"/>
        <w:keepNext w:val="0"/>
        <w:pageBreakBefore w:val="0"/>
        <w:spacing w:before="120" w:after="120" w:line="324" w:lineRule="auto"/>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11.7乙方承担免费系统对接责任。</w:t>
      </w:r>
      <w:r/>
    </w:p>
    <w:p>
      <w:pPr>
        <w:pStyle w:val="761"/>
        <w:ind w:firstLine="480"/>
        <w:keepLines w:val="0"/>
        <w:keepNext w:val="0"/>
        <w:pageBreakBefore w:val="0"/>
        <w:spacing w:before="120" w:after="120" w:line="324" w:lineRule="auto"/>
        <w:rPr>
          <w:rFonts w:hint="default" w:hAnsi="宋体" w:eastAsia="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11.8乙方提供的系统应通过甲方网络安全测试。</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十二、违约责任</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12.1 甲方无正当理由要求取消服务的，甲方向乙方偿付合同总价款的百分之五违约金。</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12.2 甲方无故逾期验收和办理合同款支付手续的,甲方应按逾期付款总额每日万分之五向乙方支付违约金。违约金总计不得超过合同总额的百分之五。</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12.3 乙方不能按约定时间和要求提供服务的，乙方应按合同总额每日千分之六向甲方支付违约金。乙方逾期提供约定服务使得甲方无法实现合同目的，乙方应按合同总额百分之三十支付违约金。逾期超过约定日期10个工作日不能提供服务的，甲方可解除本合同。</w:t>
      </w:r>
      <w:r/>
    </w:p>
    <w:p>
      <w:pPr>
        <w:pStyle w:val="761"/>
        <w:ind w:firstLine="480"/>
        <w:keepLines w:val="0"/>
        <w:keepNext w:val="0"/>
        <w:pageBreakBefore w:val="0"/>
        <w:spacing w:line="324" w:lineRule="auto"/>
        <w:rPr>
          <w:rFonts w:hAnsi="宋体" w:cs="宋体"/>
          <w:color w:val="auto"/>
          <w:sz w:val="24"/>
          <w:szCs w:val="24"/>
          <w:highlight w:val="none"/>
        </w:rPr>
      </w:pPr>
      <w:r>
        <w:rPr>
          <w:rFonts w:hint="eastAsia" w:hAnsi="宋体" w:cs="宋体"/>
          <w:color w:val="auto"/>
          <w:sz w:val="24"/>
          <w:szCs w:val="24"/>
          <w:highlight w:val="none"/>
        </w:rPr>
        <w:t xml:space="preserve">12.4 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12.5乙方因不履行合同、不完全履行合同、履行合同不符合合同约定、逾期提供服务或因其他违约行为导致甲方解除合同的，乙方应向甲方支付合同总值百分之三十的违约金，如造成甲方损失超过违约金的，超出部分由乙方继续承担赔偿责任。</w:t>
      </w:r>
      <w:r>
        <w:rPr>
          <w:color w:val="auto"/>
          <w:sz w:val="24"/>
          <w:szCs w:val="24"/>
          <w:highlight w:val="none"/>
        </w:rPr>
        <w:t xml:space="preserve">同时甲方有权扣除乙方缴 纳的全部履约保证金。</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12.6乙方未按本合同的规定和“服务承诺”提供售后服务的，应按合同总价款的5%向甲方承担违约责任。同时甲方有权另行委托第三方提供相关服务，由此产生的费用由乙方全部承担。乙方拒绝承担费用的，甲方有权追偿。甲方维权产生的全部费用均由乙方承担。</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12.7乙方未按本合同第九条的规定向甲方交付履约保证金的，应按应交付履约保证金的10%向甲方支付违约金，该违约金的支付不影响乙方应承担的其他违约责任。</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12.8乙方在承担上述一项或多项违约责任后，仍应继续履行合同规定的义务（甲方解除合同的除外）。甲方未能及时追究乙方的任何一项违约责任并不表明甲方放弃追究乙方该项或其他违约责任。</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12.9乙方提供的服务如侵犯了第三方合法权益而引发的任何纠纷或诉讼，均由乙方负责交涉并承担全部责任。</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12.10乙方不服从甲方管理要求，在甲方书面通知后，乙方仍不作整改或整改仍不符合甲方要求的，甲方有权解除合同或采取措施组织第三方提供服务，由此产生的全部费用由乙方承担，并从合同总额中直接扣除。造成甲方损失的，乙方还应继续承担赔偿责任。本条款的执行并不免除乙方履行本合同约定的全部义务的责任。</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12.11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十三、廉政条款</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13.1乙方必须支持甲方的廉政建设，不得向甲方相关人员提供金钱和物质上的好处，一经发现处以合同金额20%的罚款。</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十四、不可抗力事件处理</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14.1 在合同有效期内，任何一方因不可抗力事件导致不能履行合同，则合同履行期可延长，其延长期与不可抗力影响期相同。</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14.2 不可抗力事件发生后，应立即通知对方，并寄送有关权威机构出具的证明。</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14.3 不可抗力事件延续30天以上，双方应通过友好协商，确定是否继续履行合同。</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十五、诉讼</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15.1 双方在执行合同中所发生的一切争议，应通过协商解决。如协商不成，可向合同签订地法院起诉，合同签订地在此约定为南京市。因本合同履行产生的争议适用中华人民共和国法律。</w:t>
      </w:r>
      <w:r/>
    </w:p>
    <w:p>
      <w:pPr>
        <w:pStyle w:val="761"/>
        <w:ind w:firstLine="480"/>
        <w:keepLines w:val="0"/>
        <w:keepNext w:val="0"/>
        <w:pageBreakBefore w:val="0"/>
        <w:spacing w:before="120" w:after="120" w:line="324" w:lineRule="auto"/>
        <w:rPr>
          <w:rFonts w:hAnsi="宋体" w:cs="宋体"/>
          <w:b/>
          <w:color w:val="auto"/>
          <w:sz w:val="24"/>
          <w:szCs w:val="24"/>
          <w:highlight w:val="none"/>
        </w:rPr>
      </w:pPr>
      <w:r>
        <w:rPr>
          <w:rFonts w:hint="eastAsia" w:hAnsi="宋体" w:cs="宋体"/>
          <w:b/>
          <w:color w:val="auto"/>
          <w:sz w:val="24"/>
          <w:szCs w:val="24"/>
          <w:highlight w:val="none"/>
        </w:rPr>
        <w:t xml:space="preserve">十六、合同生效及其它</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16.1 合同经双方法定代表人或授权委托代表人签字并加盖单位公章后生效。</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16.2 本合同未尽事宜，遵照《中华人民共和国民法典》有关条文执行。</w:t>
      </w:r>
      <w:r/>
    </w:p>
    <w:p>
      <w:pPr>
        <w:pStyle w:val="761"/>
        <w:ind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16.3本合同的附件、招投标文件、项目答疑回复是本合同不可分割的组成部分，具有同等法律效力。</w:t>
      </w:r>
      <w:r/>
    </w:p>
    <w:p>
      <w:pPr>
        <w:pStyle w:val="761"/>
        <w:ind w:left="1" w:firstLine="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16.4本合同正本一式四份，具有同等法律效力，甲方、乙方各执两份。</w:t>
      </w:r>
      <w:r/>
    </w:p>
    <w:p>
      <w:pPr>
        <w:pStyle w:val="761"/>
        <w:ind w:left="480" w:hanging="480"/>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甲方：                                   乙方： </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地址：                                   地址： </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法定代表人或授权代表：                   法定代表人或授权代表：</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项目负责人：                             联系电话：</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项目联系人：</w:t>
      </w:r>
      <w:r/>
    </w:p>
    <w:p>
      <w:pPr>
        <w:pStyle w:val="761"/>
        <w:keepLines w:val="0"/>
        <w:keepNext w:val="0"/>
        <w:pageBreakBefore w:val="0"/>
        <w:spacing w:before="120" w:after="120" w:line="324" w:lineRule="auto"/>
        <w:rPr>
          <w:rFonts w:hAnsi="宋体" w:cs="宋体"/>
          <w:color w:val="auto"/>
          <w:sz w:val="24"/>
          <w:szCs w:val="24"/>
          <w:highlight w:val="none"/>
        </w:rPr>
      </w:pPr>
      <w:r>
        <w:rPr>
          <w:rFonts w:hint="eastAsia" w:hAnsi="宋体" w:cs="宋体"/>
          <w:color w:val="auto"/>
          <w:sz w:val="24"/>
          <w:szCs w:val="24"/>
          <w:highlight w:val="none"/>
        </w:rPr>
        <w:t xml:space="preserve">联系电话：                               </w:t>
      </w:r>
      <w:r/>
    </w:p>
    <w:p>
      <w:pPr>
        <w:pStyle w:val="761"/>
        <w:jc w:val="right"/>
        <w:keepLines w:val="0"/>
        <w:keepNext w:val="0"/>
        <w:pageBreakBefore w:val="0"/>
        <w:spacing w:before="120" w:after="120" w:line="324" w:lineRule="auto"/>
        <w:rPr>
          <w:rStyle w:val="798"/>
          <w:rFonts w:ascii="宋体" w:hAnsi="宋体" w:cs="宋体"/>
          <w:color w:val="auto"/>
          <w:sz w:val="24"/>
          <w:szCs w:val="24"/>
          <w:highlight w:val="none"/>
          <w:lang w:val="zh-CN"/>
        </w:rPr>
      </w:pPr>
      <w:r>
        <w:rPr>
          <w:rFonts w:hint="eastAsia" w:hAnsi="宋体" w:cs="宋体"/>
          <w:color w:val="auto"/>
          <w:sz w:val="24"/>
          <w:szCs w:val="24"/>
          <w:highlight w:val="none"/>
        </w:rPr>
        <w:t xml:space="preserve">                              签订日期：      年  月  日</w:t>
      </w:r>
      <w:r/>
    </w:p>
    <w:p>
      <w:pPr>
        <w:jc w:val="left"/>
        <w:spacing w:line="240" w:lineRule="auto"/>
        <w:rPr>
          <w:rStyle w:val="798"/>
          <w:rFonts w:hint="eastAsia" w:ascii="宋体" w:hAnsi="宋体" w:cs="宋体"/>
          <w:color w:val="auto"/>
          <w:sz w:val="28"/>
          <w:szCs w:val="28"/>
          <w:highlight w:val="none"/>
          <w:lang w:val="zh-CN"/>
        </w:rPr>
        <w:outlineLvl w:val="9"/>
      </w:pPr>
      <w:r/>
      <w:bookmarkStart w:id="75" w:name="_Toc15480"/>
      <w:r>
        <w:rPr>
          <w:rStyle w:val="798"/>
          <w:rFonts w:hint="eastAsia" w:ascii="宋体" w:hAnsi="宋体" w:cs="宋体"/>
          <w:color w:val="auto"/>
          <w:sz w:val="28"/>
          <w:szCs w:val="28"/>
          <w:highlight w:val="none"/>
          <w:lang w:val="zh-CN"/>
        </w:rPr>
        <w:br w:type="page" w:clear="all"/>
      </w:r>
      <w:r/>
    </w:p>
    <w:p>
      <w:pPr>
        <w:jc w:val="center"/>
        <w:spacing w:line="360" w:lineRule="auto"/>
        <w:rPr>
          <w:rStyle w:val="798"/>
          <w:rFonts w:ascii="宋体" w:hAnsi="宋体" w:cs="宋体"/>
          <w:color w:val="auto"/>
          <w:sz w:val="24"/>
          <w:szCs w:val="24"/>
          <w:highlight w:val="none"/>
        </w:rPr>
        <w:outlineLvl w:val="0"/>
      </w:pPr>
      <w:r>
        <w:rPr>
          <w:rStyle w:val="798"/>
          <w:rFonts w:hint="eastAsia" w:ascii="宋体" w:hAnsi="宋体" w:cs="宋体"/>
          <w:color w:val="auto"/>
          <w:sz w:val="28"/>
          <w:szCs w:val="28"/>
          <w:highlight w:val="none"/>
          <w:lang w:val="zh-CN"/>
        </w:rPr>
        <w:t xml:space="preserve">第</w:t>
      </w:r>
      <w:r>
        <w:rPr>
          <w:rStyle w:val="798"/>
          <w:rFonts w:hint="eastAsia" w:ascii="宋体" w:hAnsi="宋体" w:cs="宋体"/>
          <w:color w:val="auto"/>
          <w:sz w:val="28"/>
          <w:szCs w:val="28"/>
          <w:highlight w:val="none"/>
        </w:rPr>
        <w:t xml:space="preserve">四</w:t>
      </w:r>
      <w:r>
        <w:rPr>
          <w:rStyle w:val="798"/>
          <w:rFonts w:hint="eastAsia" w:ascii="宋体" w:hAnsi="宋体" w:cs="宋体"/>
          <w:color w:val="auto"/>
          <w:sz w:val="28"/>
          <w:szCs w:val="28"/>
          <w:highlight w:val="none"/>
          <w:lang w:val="zh-CN"/>
        </w:rPr>
        <w:t xml:space="preserve">章 </w:t>
      </w:r>
      <w:bookmarkEnd w:id="73"/>
      <w:r>
        <w:rPr>
          <w:rStyle w:val="798"/>
          <w:rFonts w:hint="eastAsia" w:ascii="宋体" w:hAnsi="宋体" w:cs="宋体"/>
          <w:color w:val="auto"/>
          <w:sz w:val="28"/>
          <w:szCs w:val="28"/>
          <w:highlight w:val="none"/>
          <w:lang w:val="zh-CN"/>
        </w:rPr>
        <w:t xml:space="preserve">项目采购需求</w:t>
      </w:r>
      <w:bookmarkEnd w:id="74"/>
      <w:r/>
      <w:bookmarkEnd w:id="75"/>
      <w:r/>
      <w:r/>
    </w:p>
    <w:p>
      <w:pPr>
        <w:pStyle w:val="746"/>
        <w:ind w:left="0"/>
        <w:pageBreakBefore w:val="0"/>
        <w:spacing w:before="0" w:after="0" w:line="360" w:lineRule="auto"/>
        <w:rPr>
          <w:rFonts w:hint="eastAsia" w:ascii="宋体" w:hAnsi="宋体" w:eastAsia="宋体" w:cs="宋体"/>
          <w:sz w:val="24"/>
          <w:szCs w:val="24"/>
        </w:rPr>
      </w:pPr>
      <w:r/>
      <w:bookmarkStart w:id="76" w:name="_Toc7426"/>
      <w:r/>
      <w:bookmarkStart w:id="77" w:name="_Toc18799"/>
      <w:r>
        <w:rPr>
          <w:rFonts w:hint="eastAsia" w:ascii="宋体" w:hAnsi="宋体" w:eastAsia="宋体" w:cs="宋体"/>
          <w:sz w:val="24"/>
          <w:szCs w:val="24"/>
        </w:rPr>
        <w:t xml:space="preserve">一、项目概况</w:t>
      </w:r>
      <w:bookmarkEnd w:id="76"/>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“信大优学”教学云平台使用功能齐备，可分为两个部分：</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智慧教学系统以南信大教育在线教学平台为中心，融合教室端、移动端、管理端等各类教学应用于一体，实现对教学全过程的即时数据采集、云端分析处理和即时结果反馈，激活课堂、转变师生职能、促进课堂教学模式与学习模式变革。以</w:t>
      </w:r>
      <w:r>
        <w:rPr>
          <w:rFonts w:hint="eastAsia" w:ascii="宋体" w:hAnsi="宋体" w:cs="宋体"/>
          <w:sz w:val="24"/>
          <w:szCs w:val="24"/>
          <w:lang w:val="en-US" w:eastAsia="zh-CN"/>
        </w:rPr>
        <w:t xml:space="preserve">南京信息工程大学</w:t>
      </w:r>
      <w:r>
        <w:rPr>
          <w:rFonts w:hint="eastAsia" w:ascii="宋体" w:hAnsi="宋体" w:eastAsia="宋体" w:cs="宋体"/>
          <w:sz w:val="24"/>
          <w:szCs w:val="24"/>
        </w:rPr>
        <w:t xml:space="preserve">一流专业的核心课程为主阵地，重塑教学的各个环节，深化改革课堂教学模式，应用大数据支撑和促进专业课程建设，建设打造一批具有</w:t>
      </w:r>
      <w:r>
        <w:rPr>
          <w:rFonts w:hint="eastAsia" w:ascii="宋体" w:hAnsi="宋体" w:cs="宋体"/>
          <w:sz w:val="24"/>
          <w:szCs w:val="24"/>
          <w:lang w:val="en-US" w:eastAsia="zh-CN"/>
        </w:rPr>
        <w:t xml:space="preserve">南京信息工程大学</w:t>
      </w:r>
      <w:r>
        <w:rPr>
          <w:rFonts w:hint="eastAsia" w:ascii="宋体" w:hAnsi="宋体" w:eastAsia="宋体" w:cs="宋体"/>
          <w:sz w:val="24"/>
          <w:szCs w:val="24"/>
        </w:rPr>
        <w:t xml:space="preserve">特色的专业“金课”。本系统使用人群为全校师生。</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2.教学评教系统与智慧教学系统打通，实现</w:t>
      </w:r>
      <w:r>
        <w:rPr>
          <w:rFonts w:hint="eastAsia" w:ascii="宋体" w:hAnsi="宋体" w:eastAsia="宋体" w:cs="宋体"/>
          <w:sz w:val="24"/>
          <w:szCs w:val="24"/>
        </w:rPr>
        <w:t xml:space="preserve">多维度实时教学评价，将线上、线下教学中教师、学生、同行、督导、领导等评价数据做实时收集汇总、对比分析，提高教学质量检查评价的效率。学校可对主要教学环节建立质量监控机制，使主要教学过程处于有效监控状态，完善科学的学生学习过程监测、评估与反馈机制。教学过程信息得到采集、净化、分析和汇总，确保了专业建设要求落实到课程中，教师教学过程、学生学习行为按照“教学质量体系”得到数据量化和实时监测；教学结果按照“专业教学质量体系”形成专业教学的结果数据进行存储和展示、评估与分析。本系统使用人群为教学管理者、督导和全校师生。</w:t>
      </w:r>
      <w:r/>
    </w:p>
    <w:p>
      <w:pPr>
        <w:pStyle w:val="746"/>
        <w:ind w:left="0"/>
        <w:pageBreakBefore w:val="0"/>
        <w:spacing w:before="0" w:after="0" w:line="360" w:lineRule="auto"/>
        <w:rPr>
          <w:rFonts w:hint="eastAsia" w:ascii="宋体" w:hAnsi="宋体" w:eastAsia="宋体" w:cs="宋体"/>
          <w:sz w:val="24"/>
          <w:szCs w:val="24"/>
        </w:rPr>
      </w:pPr>
      <w:r/>
      <w:bookmarkStart w:id="78" w:name="_Toc21445"/>
      <w:r>
        <w:rPr>
          <w:rFonts w:hint="eastAsia" w:ascii="宋体" w:hAnsi="宋体" w:eastAsia="宋体" w:cs="宋体"/>
          <w:sz w:val="24"/>
          <w:szCs w:val="24"/>
        </w:rPr>
        <w:t xml:space="preserve">二、基本要求</w:t>
      </w:r>
      <w:bookmarkEnd w:id="78"/>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“信大优学”教学云平台要求采用公有云部署模式，满足大规模应用、高并发访问、数据保护和数据安全</w:t>
      </w:r>
      <w:r>
        <w:rPr>
          <w:rFonts w:hint="eastAsia" w:ascii="宋体" w:hAnsi="宋体" w:eastAsia="宋体" w:cs="宋体"/>
          <w:sz w:val="24"/>
          <w:szCs w:val="24"/>
          <w:lang w:eastAsia="zh-Hans"/>
        </w:rPr>
        <w:t xml:space="preserve">等需求</w:t>
      </w:r>
      <w:r>
        <w:rPr>
          <w:rFonts w:hint="eastAsia" w:ascii="宋体" w:hAnsi="宋体" w:eastAsia="宋体" w:cs="宋体"/>
          <w:sz w:val="24"/>
          <w:szCs w:val="24"/>
        </w:rPr>
        <w:t xml:space="preserve">。系统基于微服务架构，通过学校统一数据共享平台打通跟学校其他应用系统的关联。</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系统在结构设计上应充分考虑整体性、可用性、稳定性、成熟性、灵活性和开放性的要求，要体现出安全性、可扩展性、可管理性、用户界面友好性和高性能等特点。</w:t>
      </w:r>
      <w:r/>
    </w:p>
    <w:p>
      <w:pPr>
        <w:pStyle w:val="871"/>
        <w:ind w:left="0" w:firstLine="480"/>
        <w:pageBreakBefore w:val="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服务期满后，双方可进一步协商续约方案及费用；无论是否续约，</w:t>
      </w:r>
      <w:r>
        <w:rPr>
          <w:rFonts w:hint="eastAsia" w:cs="宋体"/>
          <w:sz w:val="24"/>
          <w:szCs w:val="24"/>
          <w:lang w:val="en-US" w:eastAsia="zh-CN"/>
        </w:rPr>
        <w:t xml:space="preserve">中标人</w:t>
      </w:r>
      <w:r>
        <w:rPr>
          <w:rFonts w:hint="eastAsia" w:ascii="宋体" w:hAnsi="宋体" w:eastAsia="宋体" w:cs="宋体"/>
          <w:sz w:val="24"/>
          <w:szCs w:val="24"/>
          <w:lang w:val="en-US"/>
        </w:rPr>
        <w:t xml:space="preserve">均须永久保留</w:t>
      </w:r>
      <w:r>
        <w:rPr>
          <w:rFonts w:hint="eastAsia" w:cs="宋体"/>
          <w:sz w:val="24"/>
          <w:szCs w:val="24"/>
          <w:lang w:val="en-US" w:eastAsia="zh-CN"/>
        </w:rPr>
        <w:t xml:space="preserve">采购人</w:t>
      </w:r>
      <w:r>
        <w:rPr>
          <w:rFonts w:hint="eastAsia" w:ascii="宋体" w:hAnsi="宋体" w:eastAsia="宋体" w:cs="宋体"/>
          <w:sz w:val="24"/>
          <w:szCs w:val="24"/>
          <w:lang w:val="en-US"/>
        </w:rPr>
        <w:t xml:space="preserve">在使用过程中产生的所有数据，并可允许</w:t>
      </w:r>
      <w:r>
        <w:rPr>
          <w:rFonts w:hint="eastAsia" w:cs="宋体"/>
          <w:sz w:val="24"/>
          <w:szCs w:val="24"/>
          <w:lang w:val="en-US" w:eastAsia="zh-CN"/>
        </w:rPr>
        <w:t xml:space="preserve">采购人</w:t>
      </w:r>
      <w:r>
        <w:rPr>
          <w:rFonts w:hint="eastAsia" w:ascii="宋体" w:hAnsi="宋体" w:eastAsia="宋体" w:cs="宋体"/>
          <w:sz w:val="24"/>
          <w:szCs w:val="24"/>
          <w:lang w:val="en-US"/>
        </w:rPr>
        <w:t xml:space="preserve">用户即时访问。</w:t>
      </w:r>
      <w:r/>
    </w:p>
    <w:p>
      <w:pPr>
        <w:pStyle w:val="747"/>
        <w:ind w:left="0"/>
        <w:pageBreakBefore w:val="0"/>
        <w:spacing w:before="0" w:after="0" w:line="360" w:lineRule="auto"/>
        <w:rPr>
          <w:rFonts w:hint="eastAsia" w:ascii="宋体" w:hAnsi="宋体" w:eastAsia="宋体" w:cs="宋体"/>
          <w:sz w:val="24"/>
          <w:szCs w:val="24"/>
        </w:rPr>
      </w:pPr>
      <w:r/>
      <w:bookmarkStart w:id="79" w:name="_Toc1158"/>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总体架构要求</w:t>
      </w:r>
      <w:bookmarkEnd w:id="79"/>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系统须采用B/S 架构（功能需求中部分功能模块另有约定的除外），开发与运行架构应采用 WEB 服务器/应用服务器/数据库服务器三层结构。平台应支持IE9及以上版本、谷歌（Chrome）浏览器、火狐（Firefox）浏览器、360浏览器兼容/极速模式等业界主流浏览器。移动端兼容IOS10</w:t>
      </w:r>
      <w:r>
        <w:rPr>
          <w:rFonts w:hint="eastAsia" w:ascii="宋体" w:hAnsi="宋体" w:eastAsia="宋体" w:cs="宋体"/>
          <w:sz w:val="24"/>
          <w:szCs w:val="24"/>
          <w:lang w:eastAsia="zh-Hans"/>
        </w:rPr>
        <w:t xml:space="preserve">.0</w:t>
      </w:r>
      <w:r>
        <w:rPr>
          <w:rFonts w:hint="eastAsia" w:ascii="宋体" w:hAnsi="宋体" w:eastAsia="宋体" w:cs="宋体"/>
          <w:sz w:val="24"/>
          <w:szCs w:val="24"/>
        </w:rPr>
        <w:t xml:space="preserve">、安卓5</w:t>
      </w:r>
      <w:r>
        <w:rPr>
          <w:rFonts w:hint="eastAsia" w:ascii="宋体" w:hAnsi="宋体" w:eastAsia="宋体" w:cs="宋体"/>
          <w:sz w:val="24"/>
          <w:szCs w:val="24"/>
          <w:lang w:eastAsia="zh-Hans"/>
        </w:rPr>
        <w:t xml:space="preserve">.0版本以上。</w:t>
      </w:r>
      <w:r/>
    </w:p>
    <w:p>
      <w:pPr>
        <w:pStyle w:val="747"/>
        <w:ind w:left="0"/>
        <w:pageBreakBefore w:val="0"/>
        <w:spacing w:before="0" w:after="0" w:line="360" w:lineRule="auto"/>
        <w:rPr>
          <w:rFonts w:hint="eastAsia" w:ascii="宋体" w:hAnsi="宋体" w:eastAsia="宋体" w:cs="宋体"/>
          <w:sz w:val="24"/>
          <w:szCs w:val="24"/>
        </w:rPr>
      </w:pPr>
      <w:r/>
      <w:bookmarkStart w:id="80" w:name="_Toc6291"/>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统一身份认证要求</w:t>
      </w:r>
      <w:bookmarkEnd w:id="80"/>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学校统一身份认证平台向平台开放必要的用户信息，平台应支持统一身份认证平台用户登录，与学校统一身份认证平台集成，符合平台接入规范，实现单点登录、单点登出</w:t>
      </w:r>
      <w:r>
        <w:rPr>
          <w:rFonts w:hint="eastAsia" w:ascii="宋体" w:hAnsi="宋体" w:eastAsia="宋体" w:cs="宋体"/>
          <w:sz w:val="24"/>
          <w:szCs w:val="24"/>
          <w:lang w:eastAsia="zh-Hans"/>
        </w:rPr>
        <w:t xml:space="preserve">并</w:t>
      </w:r>
      <w:r>
        <w:rPr>
          <w:rFonts w:hint="eastAsia" w:ascii="宋体" w:hAnsi="宋体" w:eastAsia="宋体" w:cs="宋体"/>
          <w:sz w:val="24"/>
          <w:szCs w:val="24"/>
        </w:rPr>
        <w:t xml:space="preserve">提供不少于最近</w:t>
      </w:r>
      <w:r>
        <w:rPr>
          <w:rFonts w:hint="eastAsia" w:ascii="宋体" w:hAnsi="宋体" w:eastAsia="宋体" w:cs="宋体"/>
          <w:sz w:val="24"/>
          <w:szCs w:val="24"/>
          <w:lang w:eastAsia="zh-Hans"/>
        </w:rPr>
        <w:t xml:space="preserve">一年</w:t>
      </w:r>
      <w:r>
        <w:rPr>
          <w:rFonts w:hint="eastAsia" w:ascii="宋体" w:hAnsi="宋体" w:eastAsia="宋体" w:cs="宋体"/>
          <w:sz w:val="24"/>
          <w:szCs w:val="24"/>
        </w:rPr>
        <w:t xml:space="preserve">的用户操作日志和系统访问记录的查看功能。</w:t>
      </w:r>
      <w:r/>
    </w:p>
    <w:p>
      <w:pPr>
        <w:pStyle w:val="747"/>
        <w:ind w:left="0"/>
        <w:pageBreakBefore w:val="0"/>
        <w:spacing w:before="0" w:after="0" w:line="360" w:lineRule="auto"/>
        <w:rPr>
          <w:rFonts w:hint="eastAsia" w:ascii="宋体" w:hAnsi="宋体" w:eastAsia="宋体" w:cs="宋体"/>
          <w:sz w:val="24"/>
          <w:szCs w:val="24"/>
        </w:rPr>
      </w:pPr>
      <w:r/>
      <w:bookmarkStart w:id="81" w:name="_Toc14636"/>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数据集成要求</w:t>
      </w:r>
      <w:bookmarkEnd w:id="81"/>
      <w:r/>
      <w:r/>
    </w:p>
    <w:p>
      <w:pPr>
        <w:ind w:left="0" w:firstLine="48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中标人</w:t>
      </w:r>
      <w:r>
        <w:rPr>
          <w:rFonts w:hint="eastAsia" w:ascii="宋体" w:hAnsi="宋体" w:eastAsia="宋体" w:cs="宋体"/>
          <w:sz w:val="24"/>
          <w:szCs w:val="24"/>
        </w:rPr>
        <w:t xml:space="preserve">须向学校提供数据回流，回流数据包括学校购买或使用产生的相关数据，包括但不限于：课程信息、课程统计信息、试卷信息、题库信息、作业信息、讨论信息、师生活动及统计信息等。</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平台通过与学校数据共享交换平台集成和对接实现数据共享和交换，提供基于数据库中间库或接口等不同方式进行双向对接，保证业务数据向数据共享交换平台提供的频率和质量达到学校管理的要求。</w:t>
      </w:r>
      <w:r/>
    </w:p>
    <w:p>
      <w:pPr>
        <w:pStyle w:val="752"/>
        <w:ind w:firstLine="480"/>
        <w:rPr>
          <w:rFonts w:hint="eastAsia"/>
        </w:rPr>
      </w:pPr>
      <w:r>
        <w:rPr>
          <w:rFonts w:hint="eastAsia"/>
          <w:lang w:val="en-US" w:eastAsia="zh-CN"/>
        </w:rPr>
        <w:t xml:space="preserve">中标人承担免费系统对接责任。</w:t>
      </w:r>
      <w:r/>
    </w:p>
    <w:p>
      <w:pPr>
        <w:pStyle w:val="747"/>
        <w:ind w:left="0"/>
        <w:pageBreakBefore w:val="0"/>
        <w:spacing w:before="0" w:after="0" w:line="360" w:lineRule="auto"/>
        <w:rPr>
          <w:rFonts w:hint="eastAsia" w:ascii="宋体" w:hAnsi="宋体" w:eastAsia="宋体" w:cs="宋体"/>
          <w:sz w:val="24"/>
          <w:szCs w:val="24"/>
        </w:rPr>
      </w:pPr>
      <w:r/>
      <w:bookmarkStart w:id="82" w:name="_Toc4627"/>
      <w:r>
        <w:rPr>
          <w:rFonts w:hint="eastAsia" w:ascii="宋体" w:hAnsi="宋体" w:eastAsia="宋体" w:cs="宋体"/>
          <w:sz w:val="24"/>
          <w:szCs w:val="24"/>
        </w:rPr>
        <w:t xml:space="preserve">4</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平台安全要求</w:t>
      </w:r>
      <w:bookmarkEnd w:id="82"/>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（1）本项目服务应严格按照国家《网络安全法》、网络安全等级保护2.0标准要求以及南京信息工程大学相关网络安全要求与规范建设实施。</w:t>
      </w:r>
      <w:r/>
    </w:p>
    <w:p>
      <w:pPr>
        <w:ind w:left="0" w:firstLine="420"/>
        <w:jc w:val="left"/>
        <w:pageBreakBefore w:val="0"/>
        <w:spacing w:line="360" w:lineRule="auto"/>
        <w:rPr>
          <w:rFonts w:hint="eastAsia"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现有投标产品应具有足够的安全性、可靠性，保障平台系统及其数据具有较高的安全级别，满足《信息安全技术网络安全等级保护基本要求》（GB/T22239-2019）</w:t>
      </w:r>
      <w:r>
        <w:rPr>
          <w:rFonts w:hint="eastAsia" w:ascii="宋体" w:hAnsi="宋体" w:eastAsia="宋体" w:cs="宋体"/>
          <w:sz w:val="24"/>
          <w:szCs w:val="24"/>
          <w:lang w:eastAsia="zh-Hans"/>
        </w:rPr>
        <w:t xml:space="preserve">的第三等级及以上要求。</w:t>
      </w:r>
      <w:r/>
    </w:p>
    <w:p>
      <w:pPr>
        <w:ind w:left="0" w:firstLine="420"/>
        <w:jc w:val="left"/>
        <w:pageBreakBefore w:val="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（3）供应商</w:t>
      </w:r>
      <w:r>
        <w:rPr>
          <w:rFonts w:hint="eastAsia" w:ascii="宋体" w:hAnsi="宋体" w:eastAsia="宋体" w:cs="宋体"/>
          <w:sz w:val="24"/>
          <w:szCs w:val="24"/>
          <w:highlight w:val="none"/>
        </w:rPr>
        <w:t xml:space="preserve">须提供公安部门颁发的信息系统安全等级三级及以上保护备案证明及一年有效期内的检测报告</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提供相关证明材料复印件加盖公章</w:t>
      </w:r>
      <w:r>
        <w:rPr>
          <w:rFonts w:hint="eastAsia" w:ascii="宋体" w:hAnsi="宋体" w:cs="宋体"/>
          <w:b/>
          <w:bCs/>
          <w:sz w:val="24"/>
          <w:szCs w:val="24"/>
          <w:highlight w:val="none"/>
          <w:lang w:eastAsia="zh-CN"/>
        </w:rPr>
        <w:t xml:space="preserve">）</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平台具有完善、有效的用户角色权限控制机制，根据学校管理需要，可设置校级、院级、专业级、课程级等级别的用户管理权限，确保资源和数据的权限授权和控制粒度符合业务需求。应用用户的权限最小化，控制用户对功能、文件、数据等的访问。</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（4）业务系统自有用户管理和登录功能，相关功能应满足网络安全要求，避免安全隐患，包括技术上保证密码强度、禁止弱口令、限制恶意爆破登录、限制机器登录、口令禁止明文保存和传输等。</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（5）资源、数据版权归属要求：</w:t>
      </w:r>
      <w:r>
        <w:rPr>
          <w:rFonts w:hint="eastAsia" w:ascii="宋体" w:hAnsi="宋体" w:eastAsia="宋体" w:cs="宋体"/>
          <w:sz w:val="24"/>
          <w:szCs w:val="24"/>
        </w:rPr>
        <w:t xml:space="preserve">平台在使用的过程中，会产生各种教学相关数据，包括学校自己的课程资源，师生信息，教学数据等，都归学校所有，未经学校授权，不得对外发布或使用。</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bookmarkStart w:id="83" w:name="_Hlk39047736"/>
      <w:r>
        <w:rPr>
          <w:rFonts w:hint="eastAsia" w:ascii="宋体" w:hAnsi="宋体" w:eastAsia="宋体" w:cs="宋体"/>
          <w:sz w:val="24"/>
          <w:szCs w:val="24"/>
        </w:rPr>
        <w:t xml:space="preserve">APP备案要求：平台配套的APP应在教育部APP管理系统备案（提供备案号），以及在国家数字教育资源公共服务体系http://app.eduyun.cn网站中APP备案查询的截图。</w:t>
      </w:r>
      <w:bookmarkEnd w:id="83"/>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（7）敏感信息采集要求：除使用者自行选择的通过手机短信密码和邮箱找回密码外，平台不得自行采集使用者身份证号、手机号、家庭住址等</w:t>
      </w:r>
      <w:r>
        <w:rPr>
          <w:rFonts w:hint="eastAsia" w:ascii="宋体" w:hAnsi="宋体" w:eastAsia="宋体" w:cs="宋体"/>
          <w:sz w:val="24"/>
          <w:szCs w:val="24"/>
          <w:lang w:eastAsia="zh-Hans"/>
        </w:rPr>
        <w:t xml:space="preserve">所有</w:t>
      </w:r>
      <w:r>
        <w:rPr>
          <w:rFonts w:hint="eastAsia" w:ascii="宋体" w:hAnsi="宋体" w:eastAsia="宋体" w:cs="宋体"/>
          <w:sz w:val="24"/>
          <w:szCs w:val="24"/>
        </w:rPr>
        <w:t xml:space="preserve">敏感信息。</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应用系统应在架构、设计、编码等各方面符合可信计算的规范和要求，确保系统不存在各类已知的安全漏洞隐患，包括但不限于：SQL注入、任意文件或未经校验文件上传、任意文件下载、越权访问、命令执行、应用程序错误信息或服务器信息泄露、httphost头攻击等常见漏洞；使用明文或在程序/脚本文件中写死密码；在网页源码中暴露应用处理逻辑等敏感信息；表单信息有效性缺少服务器端后台校验；系统留有“后门”，设计违反或者绕过安全规则的任何类型的入口和设计文档中未说明的任何模式的隐藏入口。</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（9）系统详细记录所有用户操作日志，确保每个用户每个行为可追溯。系统各类各级访问日志、操作日志符合《网络安全法》要求，至少保留</w:t>
      </w:r>
      <w:r>
        <w:rPr>
          <w:rFonts w:hint="eastAsia" w:ascii="宋体" w:hAnsi="宋体" w:eastAsia="宋体" w:cs="宋体"/>
          <w:sz w:val="24"/>
          <w:szCs w:val="24"/>
          <w:lang w:eastAsia="zh-Hans"/>
        </w:rPr>
        <w:t xml:space="preserve">一年</w:t>
      </w:r>
      <w:r>
        <w:rPr>
          <w:rFonts w:hint="eastAsia" w:ascii="宋体" w:hAnsi="宋体" w:eastAsia="宋体" w:cs="宋体"/>
          <w:sz w:val="24"/>
          <w:szCs w:val="24"/>
        </w:rPr>
        <w:t xml:space="preserve">以上。</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（10）提供基本的内容涉恐、涉黄、涉政审核服务，支持文字、图片等内容检测，可对用户互动功能，如论坛、聊天等进行审核。</w:t>
      </w:r>
      <w:r/>
    </w:p>
    <w:p>
      <w:pPr>
        <w:ind w:lef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（11）平台保证数据安全，对于用户密码等，采用密文存储，不得明文存储。</w:t>
      </w:r>
      <w:r/>
    </w:p>
    <w:p>
      <w:pPr>
        <w:pStyle w:val="752"/>
        <w:ind w:firstLine="480"/>
        <w:rPr>
          <w:rFonts w:hint="default" w:eastAsia="宋体"/>
          <w:lang w:val="en-US" w:eastAsia="zh-CN"/>
        </w:rPr>
      </w:pPr>
      <w:r>
        <w:rPr>
          <w:rFonts w:hint="eastAsia" w:ascii="宋体" w:eastAsia="宋体" w:cs="宋体"/>
          <w:sz w:val="24"/>
          <w:szCs w:val="24"/>
          <w:lang w:eastAsia="zh-CN"/>
        </w:rPr>
        <w:t xml:space="preserve">（</w:t>
      </w:r>
      <w:r>
        <w:rPr>
          <w:rFonts w:hint="eastAsia" w:ascii="宋体" w:eastAsia="宋体" w:cs="宋体"/>
          <w:sz w:val="24"/>
          <w:szCs w:val="24"/>
          <w:lang w:val="en-US" w:eastAsia="zh-CN"/>
        </w:rPr>
        <w:t xml:space="preserve">12</w:t>
      </w:r>
      <w:r>
        <w:rPr>
          <w:rFonts w:hint="eastAsia" w:ascii="宋体" w:eastAsia="宋体" w:cs="宋体"/>
          <w:sz w:val="24"/>
          <w:szCs w:val="24"/>
          <w:lang w:eastAsia="zh-CN"/>
        </w:rPr>
        <w:t xml:space="preserve">）</w:t>
      </w:r>
      <w:r>
        <w:rPr>
          <w:rFonts w:hint="eastAsia" w:ascii="宋体" w:eastAsia="宋体" w:cs="宋体"/>
          <w:sz w:val="24"/>
          <w:szCs w:val="24"/>
          <w:lang w:val="en-US" w:eastAsia="zh-CN"/>
        </w:rPr>
        <w:t xml:space="preserve">系统应通过采购人网络安全测试。</w:t>
      </w:r>
      <w:r/>
    </w:p>
    <w:p>
      <w:pPr>
        <w:pStyle w:val="747"/>
        <w:ind w:left="0"/>
        <w:pageBreakBefore w:val="0"/>
        <w:spacing w:before="0" w:after="0" w:line="360" w:lineRule="auto"/>
        <w:rPr>
          <w:rFonts w:hint="eastAsia" w:ascii="宋体" w:hAnsi="宋体" w:eastAsia="宋体" w:cs="宋体"/>
          <w:sz w:val="24"/>
          <w:szCs w:val="24"/>
        </w:rPr>
      </w:pPr>
      <w:r/>
      <w:bookmarkStart w:id="84" w:name="_Toc9339"/>
      <w:r>
        <w:rPr>
          <w:rFonts w:hint="eastAsia" w:ascii="宋体" w:hAnsi="宋体" w:eastAsia="宋体" w:cs="宋体"/>
          <w:sz w:val="24"/>
          <w:szCs w:val="24"/>
        </w:rPr>
        <w:t xml:space="preserve">5</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平台性能要求</w:t>
      </w:r>
      <w:bookmarkEnd w:id="84"/>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（1）平台应满足相应业务场景下并发访问和在线访问人数要求。</w:t>
      </w:r>
      <w:r/>
    </w:p>
    <w:p>
      <w:pPr>
        <w:ind w:lef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（2）采用云部属业务系统应满足全校50000生在线使用，可达到如下性能指标：</w:t>
      </w:r>
      <w:bookmarkStart w:id="85" w:name="_Toc494519692"/>
      <w:r>
        <w:rPr>
          <w:rFonts w:hint="eastAsia" w:ascii="宋体" w:hAnsi="宋体" w:eastAsia="宋体" w:cs="宋体"/>
          <w:sz w:val="24"/>
          <w:szCs w:val="24"/>
        </w:rPr>
        <w:t xml:space="preserve">7×24小时不间断运行</w:t>
      </w:r>
      <w:bookmarkEnd w:id="85"/>
      <w:r/>
      <w:bookmarkStart w:id="86" w:name="_Toc494519693"/>
      <w:r>
        <w:rPr>
          <w:rFonts w:hint="eastAsia" w:ascii="宋体" w:hAnsi="宋体" w:eastAsia="宋体" w:cs="宋体"/>
          <w:sz w:val="24"/>
          <w:szCs w:val="24"/>
        </w:rPr>
        <w:t xml:space="preserve">、页面响应不高于3秒</w:t>
      </w:r>
      <w:bookmarkEnd w:id="86"/>
      <w:r/>
      <w:bookmarkStart w:id="87" w:name="_Toc494519694"/>
      <w:r>
        <w:rPr>
          <w:rFonts w:hint="eastAsia" w:ascii="宋体" w:hAnsi="宋体" w:eastAsia="宋体" w:cs="宋体"/>
          <w:sz w:val="24"/>
          <w:szCs w:val="24"/>
        </w:rPr>
        <w:t xml:space="preserve">、检索响应不高于3秒</w:t>
      </w:r>
      <w:bookmarkEnd w:id="87"/>
      <w:r/>
      <w:bookmarkStart w:id="88" w:name="_Toc494519695"/>
      <w:r>
        <w:rPr>
          <w:rFonts w:hint="eastAsia" w:ascii="宋体" w:hAnsi="宋体" w:eastAsia="宋体" w:cs="宋体"/>
          <w:sz w:val="24"/>
          <w:szCs w:val="24"/>
        </w:rPr>
        <w:t xml:space="preserve">、视频点播响应不高于10秒</w:t>
      </w:r>
      <w:bookmarkEnd w:id="88"/>
      <w:r>
        <w:rPr>
          <w:rFonts w:hint="eastAsia" w:ascii="宋体" w:hAnsi="宋体" w:eastAsia="宋体" w:cs="宋体"/>
          <w:sz w:val="24"/>
          <w:szCs w:val="24"/>
        </w:rPr>
        <w:t xml:space="preserve">。</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（3）平台存储自动扩容：承诺为每位教师提供不少于150GB的存储空间，当使用存储达到一定比例后，可自动整体扩容，保证空间充足。</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（4）平台带宽弹性扩容：承诺提供5Gbps共享带宽，当并发量达到一定程度后，可弹性扩容，保证运行的流畅性。</w:t>
      </w:r>
      <w:r/>
    </w:p>
    <w:p>
      <w:pPr>
        <w:ind w:lef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（5）平台功能可扩展：支持可持续的优化升级，满足南京信息工程大学专业建设不断变化和增加的新需求。</w:t>
      </w:r>
      <w:r/>
    </w:p>
    <w:p>
      <w:pPr>
        <w:pStyle w:val="747"/>
        <w:ind w:left="0"/>
        <w:pageBreakBefore w:val="0"/>
        <w:spacing w:before="0" w:after="0" w:line="360" w:lineRule="auto"/>
        <w:rPr>
          <w:rFonts w:hint="eastAsia" w:ascii="宋体" w:hAnsi="宋体" w:eastAsia="宋体" w:cs="宋体"/>
          <w:sz w:val="24"/>
          <w:szCs w:val="24"/>
          <w:highlight w:val="none"/>
        </w:rPr>
      </w:pPr>
      <w:r/>
      <w:bookmarkStart w:id="89" w:name="_Toc28257"/>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.平</w:t>
      </w:r>
      <w:r>
        <w:rPr>
          <w:rFonts w:hint="eastAsia" w:ascii="宋体" w:hAnsi="宋体" w:eastAsia="宋体" w:cs="宋体"/>
          <w:sz w:val="24"/>
          <w:szCs w:val="24"/>
          <w:highlight w:val="none"/>
        </w:rPr>
        <w:t xml:space="preserve">台运维要求</w:t>
      </w:r>
      <w:bookmarkEnd w:id="89"/>
      <w:r>
        <w:rPr>
          <w:rFonts w:hint="eastAsia" w:ascii="宋体" w:hAnsi="宋体" w:eastAsia="宋体" w:cs="宋体"/>
          <w:sz w:val="24"/>
          <w:szCs w:val="24"/>
          <w:highlight w:val="none"/>
        </w:rPr>
        <w:t xml:space="preserve">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对平台产生的不同程度的问题，进行及时响应并解决问题，</w:t>
      </w:r>
      <w:r>
        <w:rPr>
          <w:rFonts w:hint="eastAsia" w:ascii="宋体" w:hAnsi="宋体" w:eastAsia="宋体" w:cs="宋体"/>
          <w:b/>
          <w:bCs/>
          <w:sz w:val="24"/>
          <w:szCs w:val="24"/>
          <w:highlight w:val="none"/>
        </w:rPr>
        <w:t xml:space="preserve">须提供具体的运维方案。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（1）一级问题：系统无法运作，而且没有任何暂时性的解决方案；或者虽有暂时性的解决方案，但影响到使用者正常使用；或系统可以运作，但存在信息安全问题或信息丢失。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须承诺的服务方案：1 小时内做出响应、2 小时内与客户讨论解决方案、3小时内提供现场技术支持、8 小时内解决问题。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（2）二级问题：系统可以运作，但功能已受到严重影响；系统性能受到严重影响或出现其它未知异常现象；大规模范围出现使用者使用速度明显偏慢。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须承诺的服务方案：4 小时内做出响应、12 小时内与客户讨论解决方案、24小时内提供现场技术支持、48 小时内解决问题。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（3）三级问题：系统可以运作，但出现小范围的功能问题或者性能问题，采取修改配置等措施后仍无法正常运转。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须承诺的服务方案：8 小时内做出响应、48 小时内提供现场技术支持、72小时内解决问题。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（4）四级问题：客户有问题询问或是功能方面的加强。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须承诺的服务方案：48 小时内做出响应、72 小时内解决问题、问题解决后知会有关部门。</w:t>
      </w:r>
      <w:r/>
    </w:p>
    <w:p>
      <w:pPr>
        <w:pStyle w:val="747"/>
        <w:ind w:left="0"/>
        <w:pageBreakBefore w:val="0"/>
        <w:spacing w:before="0" w:after="0" w:line="360" w:lineRule="auto"/>
        <w:rPr>
          <w:rFonts w:hint="eastAsia" w:ascii="宋体" w:hAnsi="宋体" w:eastAsia="宋体" w:cs="宋体"/>
          <w:sz w:val="24"/>
          <w:szCs w:val="24"/>
          <w:highlight w:val="none"/>
        </w:rPr>
      </w:pPr>
      <w:r/>
      <w:bookmarkStart w:id="90" w:name="_Toc17413"/>
      <w:r>
        <w:rPr>
          <w:rFonts w:hint="eastAsia" w:ascii="宋体" w:hAnsi="宋体" w:eastAsia="宋体" w:cs="宋体"/>
          <w:sz w:val="24"/>
          <w:szCs w:val="24"/>
          <w:highlight w:val="none"/>
        </w:rPr>
        <w:t xml:space="preserve">7</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培训答疑服务要求</w:t>
      </w:r>
      <w:bookmarkEnd w:id="90"/>
      <w:r>
        <w:rPr>
          <w:rFonts w:hint="eastAsia" w:ascii="宋体" w:hAnsi="宋体" w:eastAsia="宋体" w:cs="宋体"/>
          <w:sz w:val="24"/>
          <w:szCs w:val="24"/>
          <w:highlight w:val="none"/>
        </w:rPr>
        <w:t xml:space="preserve">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（1）提供不同角色使用者的使用手册，包含：管理员使用手册、教师使用手册、学生使用手册等。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（2）针对不同使用者录制使用帮助微视频，方便使用者学习使用。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（3）分别提供针对平台管理员、教师和学生等角色的专门培训服务，培训时间、时长及场次以招标人需要为准。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（4）需要提供现场答疑、电话答疑、在线客服、本地客服等形式的答疑服务。具体响应时间要求如下。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1）现场答疑：根据学校需求，提供 5*12 小时驻场服务，随时解答师生使用过程出现的问题。 </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2）上门答疑：教师提出需求后，在 1 小时内提供上门答疑，针对使用者的使用问题进行解答，不限时长，以全部问题解决为准。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3）电话答疑：提供服务人员的电话，使用者有问题时可拨打电话，随时进行沟通，工作日要求 8:00-22:00，非工作日要求 8:00-20:00。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4）在线客服：平台提供在线客服入口，提供 7*24 小时的在线咨询服务。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5）本地客服：投标人须提供 5 人的本地客服团队，专门维护学校的用户群，提供咨询服务。 </w:t>
      </w:r>
      <w:r/>
    </w:p>
    <w:p>
      <w:pPr>
        <w:pStyle w:val="747"/>
        <w:ind w:left="0"/>
        <w:pageBreakBefore w:val="0"/>
        <w:spacing w:before="0" w:after="0" w:line="360" w:lineRule="auto"/>
        <w:rPr>
          <w:rFonts w:hint="eastAsia" w:ascii="宋体" w:hAnsi="宋体" w:eastAsia="宋体" w:cs="宋体"/>
          <w:sz w:val="24"/>
          <w:szCs w:val="24"/>
          <w:highlight w:val="none"/>
        </w:rPr>
      </w:pPr>
      <w:r/>
      <w:bookmarkStart w:id="91" w:name="_Toc17670"/>
      <w:r>
        <w:rPr>
          <w:rFonts w:hint="eastAsia" w:ascii="宋体" w:hAnsi="宋体" w:eastAsia="宋体" w:cs="宋体"/>
          <w:sz w:val="24"/>
          <w:szCs w:val="24"/>
          <w:highlight w:val="none"/>
        </w:rPr>
        <w:t xml:space="preserve">8</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付款方式</w:t>
      </w:r>
      <w:bookmarkEnd w:id="91"/>
      <w:r>
        <w:rPr>
          <w:rFonts w:hint="eastAsia" w:ascii="宋体" w:hAnsi="宋体" w:eastAsia="宋体" w:cs="宋体"/>
          <w:sz w:val="24"/>
          <w:szCs w:val="24"/>
          <w:highlight w:val="none"/>
        </w:rPr>
        <w:t xml:space="preserve"> </w:t>
      </w:r>
      <w:r/>
    </w:p>
    <w:p>
      <w:pPr>
        <w:ind w:left="0" w:firstLine="480"/>
        <w:jc w:val="left"/>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本项目服务期两年。</w:t>
      </w:r>
      <w:r>
        <w:rPr>
          <w:rFonts w:hint="eastAsia" w:ascii="宋体" w:hAnsi="宋体" w:cs="宋体"/>
          <w:sz w:val="24"/>
          <w:szCs w:val="24"/>
          <w:highlight w:val="none"/>
          <w:u w:val="none"/>
        </w:rPr>
        <w:t xml:space="preserve">合同签订后采购人支付合同总价款的30%。项目上线运行并验收通过后，采购人向中标人支付合同总价款的</w:t>
      </w:r>
      <w:r>
        <w:rPr>
          <w:rFonts w:hint="eastAsia" w:ascii="宋体" w:hAnsi="宋体" w:cs="宋体"/>
          <w:sz w:val="24"/>
          <w:szCs w:val="24"/>
          <w:highlight w:val="none"/>
          <w:u w:val="none"/>
          <w:lang w:val="en-US" w:eastAsia="zh-CN"/>
        </w:rPr>
        <w:t xml:space="preserve">2</w:t>
      </w:r>
      <w:r>
        <w:rPr>
          <w:rFonts w:hint="eastAsia" w:ascii="宋体" w:hAnsi="宋体" w:cs="宋体"/>
          <w:sz w:val="24"/>
          <w:szCs w:val="24"/>
          <w:highlight w:val="none"/>
          <w:u w:val="none"/>
        </w:rPr>
        <w:t xml:space="preserve">0%。</w:t>
      </w:r>
      <w:r>
        <w:rPr>
          <w:rFonts w:hint="eastAsia" w:ascii="宋体" w:hAnsi="宋体" w:eastAsia="宋体" w:cs="宋体"/>
          <w:sz w:val="24"/>
          <w:szCs w:val="24"/>
          <w:highlight w:val="none"/>
          <w:u w:val="none"/>
        </w:rPr>
        <w:t xml:space="preserve">服务期满一年后采购人支付合同总价款的 </w:t>
      </w:r>
      <w:r>
        <w:rPr>
          <w:rFonts w:hint="eastAsia" w:ascii="宋体" w:hAnsi="宋体" w:eastAsia="宋体" w:cs="宋体"/>
          <w:sz w:val="24"/>
          <w:szCs w:val="24"/>
          <w:highlight w:val="none"/>
          <w:u w:val="none"/>
          <w:lang w:val="en-US" w:eastAsia="zh-CN"/>
        </w:rPr>
        <w:t xml:space="preserve">3</w:t>
      </w:r>
      <w:r>
        <w:rPr>
          <w:rFonts w:hint="eastAsia" w:ascii="宋体" w:hAnsi="宋体" w:eastAsia="宋体" w:cs="宋体"/>
          <w:sz w:val="24"/>
          <w:szCs w:val="24"/>
          <w:highlight w:val="none"/>
          <w:u w:val="none"/>
        </w:rPr>
        <w:t xml:space="preserve">0%，项目服务期满后采购人支付合同总价款的</w:t>
      </w:r>
      <w:r>
        <w:rPr>
          <w:rFonts w:hint="eastAsia" w:ascii="宋体" w:hAnsi="宋体" w:eastAsia="宋体" w:cs="宋体"/>
          <w:sz w:val="24"/>
          <w:szCs w:val="24"/>
          <w:highlight w:val="none"/>
          <w:u w:val="none"/>
          <w:lang w:val="en-US" w:eastAsia="zh-CN"/>
        </w:rPr>
        <w:t xml:space="preserve">2</w:t>
      </w:r>
      <w:r>
        <w:rPr>
          <w:rFonts w:hint="eastAsia" w:ascii="宋体" w:hAnsi="宋体" w:eastAsia="宋体" w:cs="宋体"/>
          <w:sz w:val="24"/>
          <w:szCs w:val="24"/>
          <w:highlight w:val="none"/>
          <w:u w:val="none"/>
        </w:rPr>
        <w:t xml:space="preserve">0%。合同签订后，中标人须向采购人</w:t>
      </w:r>
      <w:r>
        <w:rPr>
          <w:rFonts w:hint="eastAsia" w:ascii="宋体" w:hAnsi="宋体" w:eastAsia="宋体" w:cs="宋体"/>
          <w:sz w:val="24"/>
          <w:szCs w:val="24"/>
          <w:highlight w:val="none"/>
          <w:u w:val="none"/>
          <w:lang w:val="en-US" w:eastAsia="zh-CN"/>
        </w:rPr>
        <w:t xml:space="preserve">按服务年度提供该年度的</w:t>
      </w:r>
      <w:r>
        <w:rPr>
          <w:rFonts w:hint="eastAsia" w:ascii="宋体" w:hAnsi="宋体" w:eastAsia="宋体" w:cs="宋体"/>
          <w:sz w:val="24"/>
          <w:szCs w:val="24"/>
          <w:highlight w:val="none"/>
          <w:u w:val="none"/>
        </w:rPr>
        <w:t xml:space="preserve">全额发票。</w:t>
      </w:r>
      <w:r/>
    </w:p>
    <w:p>
      <w:pPr>
        <w:ind w:left="0" w:firstLine="480"/>
        <w:jc w:val="left"/>
        <w:pageBreakBefore w:val="0"/>
        <w:spacing w:line="360" w:lineRule="auto"/>
        <w:rPr>
          <w:rFonts w:hint="eastAsia" w:ascii="宋体" w:hAnsi="宋体" w:eastAsia="宋体" w:cs="宋体"/>
          <w:sz w:val="24"/>
          <w:szCs w:val="24"/>
          <w:highlight w:val="yellow"/>
          <w:u w:val="none"/>
        </w:rPr>
      </w:pPr>
      <w:r>
        <w:rPr>
          <w:rFonts w:hint="eastAsia" w:ascii="宋体" w:hAnsi="宋体" w:eastAsia="宋体" w:cs="宋体"/>
          <w:sz w:val="24"/>
          <w:szCs w:val="24"/>
          <w:highlight w:val="yellow"/>
          <w:u w:val="none"/>
        </w:rPr>
      </w:r>
      <w:r/>
    </w:p>
    <w:p>
      <w:pPr>
        <w:pStyle w:val="747"/>
        <w:ind w:left="0"/>
        <w:pageBreakBefore w:val="0"/>
        <w:spacing w:before="0" w:after="0" w:line="360" w:lineRule="auto"/>
        <w:rPr>
          <w:rFonts w:hint="eastAsia" w:ascii="宋体" w:hAnsi="宋体" w:eastAsia="宋体" w:cs="宋体"/>
          <w:sz w:val="24"/>
          <w:szCs w:val="24"/>
          <w:highlight w:val="none"/>
        </w:rPr>
      </w:pPr>
      <w:r/>
      <w:bookmarkStart w:id="92" w:name="_Toc10347"/>
      <w:r>
        <w:rPr>
          <w:rFonts w:hint="eastAsia" w:ascii="宋体" w:hAnsi="宋体" w:eastAsia="宋体" w:cs="宋体"/>
          <w:sz w:val="24"/>
          <w:szCs w:val="24"/>
          <w:highlight w:val="none"/>
        </w:rPr>
        <w:t xml:space="preserve">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服务要求</w:t>
      </w:r>
      <w:bookmarkEnd w:id="92"/>
      <w:r>
        <w:rPr>
          <w:rFonts w:hint="eastAsia" w:ascii="宋体" w:hAnsi="宋体" w:eastAsia="宋体" w:cs="宋体"/>
          <w:sz w:val="24"/>
          <w:szCs w:val="24"/>
          <w:highlight w:val="none"/>
        </w:rPr>
        <w:t xml:space="preserve">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服务时间：自项目合同签订之日起服务期 2 年。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服务地点：南京信息工程大学校内指定地点。 </w:t>
      </w:r>
      <w:r/>
    </w:p>
    <w:p>
      <w:p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服务期满后，双方可进一步协商续约方案，若双方没有达成续约共识，</w:t>
      </w:r>
      <w:r>
        <w:rPr>
          <w:rFonts w:hint="eastAsia" w:ascii="宋体" w:hAnsi="宋体" w:cs="宋体"/>
          <w:sz w:val="24"/>
          <w:szCs w:val="24"/>
          <w:highlight w:val="none"/>
          <w:lang w:val="en-US" w:eastAsia="zh-CN"/>
        </w:rPr>
        <w:t xml:space="preserve">中标人</w:t>
      </w:r>
      <w:r>
        <w:rPr>
          <w:rFonts w:hint="eastAsia" w:ascii="宋体" w:hAnsi="宋体" w:eastAsia="宋体" w:cs="宋体"/>
          <w:sz w:val="24"/>
          <w:szCs w:val="24"/>
          <w:highlight w:val="none"/>
        </w:rPr>
        <w:t xml:space="preserve">须保留</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在使用过程中产生的所有数据，并可允许</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用户即时访问。</w:t>
      </w:r>
      <w:r/>
    </w:p>
    <w:p>
      <w:pPr>
        <w:pStyle w:val="746"/>
        <w:ind w:left="0"/>
        <w:pageBreakBefore w:val="0"/>
        <w:spacing w:before="0" w:after="0" w:line="360" w:lineRule="auto"/>
        <w:rPr>
          <w:rFonts w:hint="eastAsia" w:ascii="宋体" w:hAnsi="宋体" w:eastAsia="宋体" w:cs="宋体"/>
          <w:sz w:val="24"/>
          <w:szCs w:val="24"/>
        </w:rPr>
      </w:pPr>
      <w:r/>
      <w:bookmarkStart w:id="93" w:name="_Toc18034"/>
      <w:r>
        <w:rPr>
          <w:rFonts w:hint="eastAsia" w:ascii="宋体" w:hAnsi="宋体" w:eastAsia="宋体" w:cs="宋体"/>
          <w:sz w:val="24"/>
          <w:szCs w:val="24"/>
        </w:rPr>
        <w:t xml:space="preserve">三、详细要求</w:t>
      </w:r>
      <w:bookmarkEnd w:id="93"/>
      <w:r/>
      <w:r/>
    </w:p>
    <w:p>
      <w:pPr>
        <w:pStyle w:val="747"/>
        <w:ind w:left="0"/>
        <w:pageBreakBefore w:val="0"/>
        <w:spacing w:before="0" w:after="0" w:line="360" w:lineRule="auto"/>
        <w:rPr>
          <w:rFonts w:hint="eastAsia" w:ascii="宋体" w:hAnsi="宋体" w:eastAsia="宋体" w:cs="宋体"/>
          <w:sz w:val="24"/>
          <w:szCs w:val="24"/>
        </w:rPr>
      </w:pPr>
      <w:r/>
      <w:bookmarkStart w:id="94" w:name="_Toc24933"/>
      <w:r>
        <w:rPr>
          <w:rFonts w:hint="eastAsia" w:ascii="宋体" w:hAnsi="宋体" w:eastAsia="宋体" w:cs="宋体"/>
          <w:sz w:val="24"/>
          <w:szCs w:val="24"/>
        </w:rPr>
        <w:t xml:space="preserve">1.智慧教学系统</w:t>
      </w:r>
      <w:bookmarkEnd w:id="94"/>
      <w:r/>
      <w:r/>
    </w:p>
    <w:tbl>
      <w:tblPr>
        <w:tblStyle w:val="782"/>
        <w:tblW w:w="10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1792"/>
        <w:gridCol w:w="6944"/>
      </w:tblGrid>
      <w:tr>
        <w:trPr>
          <w:trHeight w:val="681"/>
        </w:trPr>
        <w:tc>
          <w:tcPr>
            <w:tcW w:w="1291" w:type="dxa"/>
            <w:vAlign w:val="center"/>
            <w:textDirection w:val="lrTb"/>
            <w:noWrap w:val="false"/>
          </w:tcPr>
          <w:p>
            <w:pPr>
              <w:ind w:left="0"/>
              <w:jc w:val="center"/>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功能系统</w:t>
            </w:r>
            <w:r/>
          </w:p>
        </w:tc>
        <w:tc>
          <w:tcPr>
            <w:tcW w:w="1792" w:type="dxa"/>
            <w:vAlign w:val="center"/>
            <w:textDirection w:val="lrTb"/>
            <w:noWrap w:val="false"/>
          </w:tcPr>
          <w:p>
            <w:pPr>
              <w:ind w:left="0"/>
              <w:jc w:val="center"/>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模块</w:t>
            </w:r>
            <w:r/>
          </w:p>
        </w:tc>
        <w:tc>
          <w:tcPr>
            <w:tcW w:w="6944" w:type="dxa"/>
            <w:vAlign w:val="center"/>
            <w:textDirection w:val="lrTb"/>
            <w:noWrap w:val="false"/>
          </w:tcPr>
          <w:p>
            <w:pPr>
              <w:ind w:left="0"/>
              <w:jc w:val="center"/>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功能要求</w:t>
            </w:r>
            <w:r/>
          </w:p>
        </w:tc>
      </w:tr>
      <w:tr>
        <w:trPr/>
        <w:tc>
          <w:tcPr>
            <w:tcW w:w="1291" w:type="dxa"/>
            <w:vMerge w:val="restart"/>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智慧教学系统</w:t>
            </w:r>
            <w:r/>
          </w:p>
        </w:tc>
        <w:tc>
          <w:tcPr>
            <w:tcW w:w="1792" w:type="dxa"/>
            <w:textDirection w:val="lrTb"/>
            <w:noWrap w:val="false"/>
          </w:tcPr>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系统对接服务</w:t>
            </w:r>
            <w:r/>
          </w:p>
        </w:tc>
        <w:tc>
          <w:tcPr>
            <w:tcW w:w="6944" w:type="dxa"/>
            <w:textDirection w:val="lrTb"/>
            <w:noWrap w:val="false"/>
          </w:tcPr>
          <w:p>
            <w:pPr>
              <w:numPr>
                <w:ilvl w:val="0"/>
                <w:numId w:val="4"/>
              </w:num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须支持对接学校统一身份认证系统，实现用户信息统一管理。</w:t>
            </w:r>
            <w:r/>
          </w:p>
          <w:p>
            <w:pPr>
              <w:numPr>
                <w:ilvl w:val="0"/>
                <w:numId w:val="4"/>
              </w:num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须支持通过数据视图、接口等方式对接学校教务管理数据（学生、教师、课程、选课等数据），并进行定期维护和更新，实现教务数据的同步。</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3.须支持对接数据中台和常态化录播资源。</w:t>
            </w:r>
            <w:r/>
          </w:p>
          <w:p>
            <w:pPr>
              <w:ind w:left="0"/>
              <w:pageBreakBefore w:val="0"/>
              <w:spacing w:before="0" w:after="0" w:line="360" w:lineRule="auto"/>
              <w:rPr>
                <w:rFonts w:hint="eastAsia" w:ascii="宋体" w:hAnsi="宋体" w:eastAsia="宋体" w:cs="宋体"/>
                <w:b w:val="0"/>
                <w:sz w:val="24"/>
                <w:szCs w:val="24"/>
                <w:highlight w:val="none"/>
                <w:lang w:eastAsia="zh-CN"/>
              </w:rPr>
              <w:outlineLvl w:val="9"/>
            </w:pPr>
            <w:r/>
            <w:bookmarkStart w:id="95" w:name="_Toc2145"/>
            <w:r>
              <w:rPr>
                <w:rFonts w:hint="eastAsia" w:ascii="宋体" w:hAnsi="宋体" w:eastAsia="宋体" w:cs="宋体"/>
                <w:b w:val="0"/>
                <w:sz w:val="24"/>
                <w:szCs w:val="24"/>
                <w:highlight w:val="none"/>
              </w:rPr>
              <w:t xml:space="preserve">4.须按学校要求提供回流数据</w:t>
            </w:r>
            <w:bookmarkEnd w:id="95"/>
            <w:r>
              <w:rPr>
                <w:rFonts w:hint="eastAsia" w:ascii="宋体" w:hAnsi="宋体" w:cs="宋体"/>
                <w:b w:val="0"/>
                <w:sz w:val="24"/>
                <w:szCs w:val="24"/>
                <w:highlight w:val="none"/>
                <w:lang w:eastAsia="zh-CN"/>
              </w:rPr>
              <w:t xml:space="preserve">。</w:t>
            </w:r>
            <w:r/>
          </w:p>
          <w:p>
            <w:pPr>
              <w:pStyle w:val="752"/>
              <w:rPr>
                <w:rFonts w:hint="default" w:eastAsia="FangSong_GB2312"/>
                <w:lang w:val="en-US" w:eastAsia="zh-CN"/>
              </w:rPr>
            </w:pPr>
            <w:r>
              <w:rPr>
                <w:rFonts w:hint="default" w:eastAsia="FangSong_GB2312"/>
                <w:lang w:val="en-US" w:eastAsia="zh-CN"/>
              </w:rPr>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系统功能要求</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智慧教学系统是应用计算机技术、多媒体技术、网络通信技术、数字技术、虚拟现实技术等现代信息技术手段构建的一种新型教学模式，是融合现代教育理念、教学内容和现代信息技术的具有多种功能的开放式的教与学交互系统。</w:t>
            </w:r>
            <w:r/>
          </w:p>
        </w:tc>
      </w:tr>
      <w:tr>
        <w:trPr>
          <w:trHeight w:val="90"/>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系统技术要求</w:t>
            </w:r>
            <w:r/>
          </w:p>
        </w:tc>
        <w:tc>
          <w:tcPr>
            <w:tcW w:w="6944" w:type="dxa"/>
            <w:textDirection w:val="lrTb"/>
            <w:noWrap w:val="false"/>
          </w:tcPr>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1.支持整个课程创建、内容共享、学习过程跟踪和控制、在线测试和作业发布、交流互动、成绩评测和学习成果反馈教学流程，实现信息技术与教学过程的深度融合。</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2.成熟稳定的软件产品，</w:t>
            </w:r>
            <w:r>
              <w:rPr>
                <w:rFonts w:hint="eastAsia" w:ascii="宋体" w:hAnsi="宋体" w:eastAsia="宋体" w:cs="宋体"/>
                <w:b/>
                <w:bCs/>
                <w:sz w:val="24"/>
                <w:szCs w:val="24"/>
                <w:highlight w:val="none"/>
              </w:rPr>
              <w:t xml:space="preserve">具有国家软件著作权登记证书</w:t>
            </w:r>
            <w:r>
              <w:rPr>
                <w:rFonts w:hint="eastAsia" w:ascii="宋体" w:hAnsi="宋体" w:eastAsia="宋体" w:cs="宋体"/>
                <w:sz w:val="24"/>
                <w:szCs w:val="24"/>
              </w:rPr>
              <w:t xml:space="preserve">，已在至少2000所高校部署使用。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3.系统设计满足大规模用户使用、支持分布式部署，应满足万人在线学习的性能要求。</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4.采用B/S结构，基于J2EE架构，页面采用Web2.0 AJAX开发，不需要另行安装插件就可以支持IE9及以上版本、safari、Firefox、chrome等浏览器。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5.具有先进性、可移植性、开放性和兼容性，支持标准化多媒体课件。支持随用户使用量的增大而只需增加相应的硬件即可。</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7.不限注册课程数量和注册用户数，其中的网络课程可以实现按课程的导入、导出进行备份。</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8.全面支持学生的自主学习与合作学习，体现在教学活动中学生的主体地位和教师的主导地位，为学生构建自主学习、主动探索的环境，教师通过组织学习材料，实时和非实时的教学手段引导和帮助学生学习。</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9.平台支持辅助教学、混合式教学、纯网络教学、直播课堂等多种网络教学模式。</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10.平台具有视频、文档格式自动转换、码流自动转换的功能， 以适应不同的访问终端（Android，iOS）；所有文档资源自动转码成flash格式播放，视频类资源系统自动转码为mp4、flv等多种格式。</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11.具有强大的交流协作功能，提供同步、异步的交流讨论工具，使得学生之间、学生与教师之间方便地共享信息、交流、讨论、协商，从而提高网络学习的效果和质量。</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12.角色管理：可建立学生、教师、管理员、超级管理员等角色，各级管理员也可以根据自身的需求创建角色和为角色指定权限。</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13.权限管理：可为每个导航功能点分配访问、管理等不同的权限，管理员可以批量给用户分配、收回权限，具有权限整体移交功能。</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14.机构和用户管理：管理员可以批量增加、删除、修改组织机构树，可单个、批量增加、删除、修改、查找用户信息。</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15.提供强大的基于浏览器的数学、化学公式在线编辑器。提供精确的学习进度监控信息，实现学生再次登录平台时能从上次学习的结束点继续学习课程。可记录、查询用户登录及操作信息。</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提供专门的APP移动学习平台，需支持iOS和Android系统。与网络教学平台数据同步，进行在线课程的学习、通知、作业、考试、讨论、笔记、小组、成绩分析、学生管理，支持PPT上课、同步课堂、课堂签到、抢答、问卷、讨论、选人、资料、直播等功能。</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提供专门的教室端，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18.系统专属的管理端，方便管理者提随时查看教学运行情况、教学预警、办公应用、综合管理。</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支持管理员在后台对全校老师和学生用户的课程导航进行自定义配置，配置内容包含对已有默认栏目如班级活动、课件、教案、章节、资料、通知、讨论、作业、考试、题库、统计、管理、工具箱的隐藏、上移、下移、编辑操作，同时也支持新增自定义导航到课程导航内，添加自定义导航仅需添加导航名称、链接地址就可以配置到课程导航内，同时支持新增导航的提示、打开方式的配置。</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20.具备三级等保及以上的公安备案和年度年检测评报告。</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课程建设</w:t>
            </w:r>
            <w:r/>
          </w:p>
        </w:tc>
        <w:tc>
          <w:tcPr>
            <w:tcW w:w="6944" w:type="dxa"/>
            <w:textDirection w:val="lrTb"/>
            <w:noWrap w:val="false"/>
          </w:tcPr>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1．支持制作富媒体课程，选择不同的模板就可以建设慕课或精品课程的个性化课程网站。</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 提供多套精美网络课程建课模板，教师可依据个人资料的丰富程度及喜欢的风格进行个性化的设置，支持教师在建课程自动生成课程网站。</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 支持使用示范教学包建课，示范教学包需整合本科、中高职、基础教育等各层次院校，各学科、专业的资源，教师可以在建课时引用示范教学包中的课程资源、课堂活动示例、题库等内容，同时可以根据教师自己课程的需要进行重新组合使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 支持导入章节内容，支持从教师自己的其他课程章节中导入，也支持从平台提供的教学资源库中导入其他课程的章节；支持选择所需章节内容。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5.支持导出或者打印章节内容，导出支持PDF版或Word版。</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课程编辑页面操作简单、灵活方便、原位编辑、所见即所得。可以发布通告、课程资料、任务、教学资源链接、教师简介等信息。可以任意编写和设置课程的介绍、封面、教学要求、教师团队等，并支持模块的添加、删除和位置调整，支持设置模块中文标题或英文标题，支持模块内容富媒体编辑，支持是否公开显示的设置，可以上传课程片花，并支持选择是否自动播放。</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 课程负责人可指派其他教师，作为具有同等或者小于本身课程建设管理权限的课程建设者共建同一门课程，并且可以对共建教师的权限进行设置，比如，是否允许管理教师团队的课堂活动、允许管理“课件”模块、允许管理“教案”模块、章节详情页允许查看章节测验答案、允许克隆课程、允许映射课程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 课程负责人可为自己指定助教辅助自己进行课程建设和教学管理。并且可以对助教的权限进行设置，比如，允许使用允许使用“通知”模块、允许管理“讨论”模块、允许管理“作业”模块、使用作业库、允许新建及编辑作业、允许修改作业发布设置及删除作业、允许批阅作业、允许管理“考试”模块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 教师可通过平台上传课程所需要的教材、参考书、参考文献、视频等资源。课程的内容建设，参考资料，课程介绍等任何位置都可以使用平台提供的海量图书、图片、视频的资源一键式搜索插入，插入的资源可以直接点击在线播放查阅，也支持自己上传资料。</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10.支持课程教学流程管理，可在课程学习过程中任意位置添加随堂测验，可在单元学习完成后布置作业，可以在章节学习完成后安排考试。</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11.支持慕课制作和慕课教学模式，实现课程知识单元化，每个知识单元聚合丰富的富媒体教学资源，并在同一个页面中进行显示。每个课程单元还可以设置多个标签页。</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12.课程单元内容建设采用富媒体编辑器，编辑器包含视频、文档、图片、音频、图书、公式、符号、附件、网页、动画等常用组件。</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13.支持直接将从word中将内容复制粘贴到富媒体编辑器内，并完整保留里面的文字内容。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14.支持rmvb、3gp、mpg、mpeg、mov、wmv、avi、mkv、mp4、flv、vob等高清和网络格式视频上传，视频上传后自动转码，无需下载可以直接在线进行播放。</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15.支持多种文档格式的上传，包括DOC、PPT、PDF、TXT等，上传后自动转码，无需下载可以直接在线阅读。</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16.支持将资源先批量上传至个人云盘中，然后在课程中引用；支持超大文件（2G以上）使用客户端上传；</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支持视频中任意时间点插入互动测验：上传视频后，可以在任意时间点插入测试题，包含单选题、多选题和对错题；支持设置答错是否允许继续观看视频，如果答错，支持设置或看多少分钟，或者设置回看时间段；支持学生作答后查看答案。</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18.支持视频中插入图片、插入知识点、插入批注、插入测验、导入字幕。</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19.支持视频中任意时间点插入图片或PPT：可以在任意时间点插入图片或PPT，同时支持对插入的内容在时间轴上随意拖动。插入的PPT可以任意拖动位置，并可以跟视频窗口进行切换。支持观看视频时的弹幕功能。</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20.支持视频的虚拟剪辑，只需要拖动视频播放的起始点、终止点，就可以将视频文件按照课程的要求剪辑成适当长度，教师还可手动输入时间点，进行视频在线虚拟剪辑，不破坏教师原有视频，同一视频可以重复多次使用进行不同时间段虚拟剪辑。</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21.支持视频替换功能，替换学习视频后，不影响学生已产生的学习记录和成绩。</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22.提供可视化的公式编辑器，可以在线进行公式的录入与编辑。</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23.支持在线录音功能，录完的声音可以直接在线播放。</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24.知识点拓展阅读功能，可以根据一个关键词自动生成相关知识点的知识树，插入到课程单元中，并自动推送知识点相关的图书、期刊、论文等资料。</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25.支持课程管理，设置试读范围、设置学生导航栏目、克隆与映射课程等。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26.提供课程编辑的详细操作日志和学生退课日志，便于追溯问题、查找原因。</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27.支持将录制好的速课插入到课程章节内，并支持设置为任务点。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28.支持在线备课，在课前、课中、课后等环节进行备课，并插入教学活动。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29.可以在课程中插入直播作为任务点。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30.课程门户支持编辑课程封面相关信息、归属院系等。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31.支持设置学生端页面，包括导航功能、是否允许学生自测、显示章节视频水印、开启课程通知、开启学生学习监控。</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教学互动</w:t>
            </w:r>
            <w:r/>
          </w:p>
        </w:tc>
        <w:tc>
          <w:tcPr>
            <w:tcW w:w="6944" w:type="dxa"/>
            <w:textDirection w:val="lrTb"/>
            <w:noWrap w:val="false"/>
          </w:tcPr>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1．支持辅助教学、混合式教学、纯网络教学、直播课等多种教学模式。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2．教师端提供课程管理、班级管理、教师团队管理、助教管理、统计、考试及作业管理、课程通告管理等。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 提供当前学习过程实时监管。提供进度统计功能、成绩统计并支持报表导出。</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 学生端实现学生友好学习体验、根据教师设定的课程学习进度，完整地学习网络课程、记录笔记方便复习。</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5．支持师生、生生在线讨论交流、在线作业、在线考试。</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 提供功能强大的辅助教学活动的功能，比如：发布作业、在线考试、讨论、答疑、资料等。</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 可以上传教案ppt，并基于PPT的某一页内容添加课堂互动及资源进行展示。</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 可以进行备课教案的填写，在课前、课中、课后各环节进行备课并插入课堂活动。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9.可对课程中的视频、作业、考试、测验、章节学习次数、直播课观看时长、线下考试成绩等做权重设置。</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10.可以针对作业模块细化到每一份作业的权重设置，可以导入线下考试成绩，并细化到每一次线下考试权重设置</w:t>
            </w:r>
            <w:r>
              <w:rPr>
                <w:rFonts w:hint="eastAsia" w:ascii="宋体" w:hAnsi="宋体" w:eastAsia="宋体" w:cs="宋体"/>
                <w:sz w:val="24"/>
                <w:szCs w:val="24"/>
              </w:rPr>
              <w:br/>
            </w:r>
            <w:r>
              <w:rPr>
                <w:rFonts w:hint="eastAsia" w:ascii="宋体" w:hAnsi="宋体" w:eastAsia="宋体" w:cs="宋体"/>
                <w:sz w:val="24"/>
                <w:szCs w:val="24"/>
              </w:rPr>
              <w:t xml:space="preserve">11.通知</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教师可以在课程中发布课程通知。</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移动端能针对学校的组织机构、班级等不同的范围发放通知，并能及时统计到已读和未读人员名单。</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并且可与移动端打通，无缝对接。针对未读通知，支持短信提醒、电话提醒、微信提醒等提醒方式。</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12.讨论</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学生和教师可以在讨论区中发起讨论，讨论可以跟某一个章节进行关联。教师可针对精彩的讨论或有重要意义的讨论做加精或置顶的操作，也可对非法讨论进行删除。</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移动端可以建立各种讨论小组，进行权限设置，小组成员可以发帖、回帖、置顶、观看小组的动态等。</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13.笔记</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学生在学习某一个章节时，可以针对此章节做笔记。</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移动端可以记录笔记，笔记支持富媒体撰写，并可以分享给单位、好友，也可以私有，同时可以查看好友的笔记，关注好友笔记。并能实时统计阅读次数、回复笔记等。</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学习过程监控与管理</w:t>
            </w:r>
            <w:r/>
          </w:p>
        </w:tc>
        <w:tc>
          <w:tcPr>
            <w:tcW w:w="6944" w:type="dxa"/>
            <w:textDirection w:val="lrTb"/>
            <w:noWrap w:val="false"/>
          </w:tcPr>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1．人脸识别</w:t>
            </w:r>
            <w:r>
              <w:rPr>
                <w:rFonts w:hint="eastAsia" w:ascii="宋体" w:hAnsi="宋体" w:cs="宋体"/>
                <w:sz w:val="24"/>
                <w:szCs w:val="24"/>
                <w:lang w:eastAsia="zh-CN"/>
              </w:rPr>
              <w:t xml:space="preserve">：</w:t>
            </w:r>
            <w:r>
              <w:rPr>
                <w:rFonts w:hint="eastAsia" w:ascii="宋体" w:hAnsi="宋体" w:eastAsia="宋体" w:cs="宋体"/>
                <w:sz w:val="24"/>
                <w:szCs w:val="24"/>
              </w:rPr>
              <w:t xml:space="preserve">学生在平台进行课程学习过程时，需要进行人脸识别，通过认证才可以学习课程内容。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2．章节知识点学习推送控制</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针对每一个教学班对每个章节学习内容进行“开放、定时开放、闯关模式开放、隐藏模式、复习模式”等设置。“开放”，表示该章节可以学习。“定时开放”，表示该章节在设置的一个时间段内开放习。“闯关模式开放”，表示学生需要完成上一章节学习内容并通过相应的作业和测试后才能进行下一章节的学习内容。“隐藏模式”，该章节学生不可见，且学生已产生的学习数据将不计算成绩。“复习模式”学生可以对该章节学习，但学习任务点不计算进成绩。</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3．任务驱动式的进阶式学习</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教师可以将课程章节内视频、图书、作业等内容设置为任务点，要求学生必须完成，灵活控制学生学习的情况。学生端可以看到整个课程和每个章节需要完成的任务点情况，每完成一个任务，数量会自动减一。</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4．学习过程的监督和跟踪</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支持可以跟踪记录并统计基于每个学生的学习进度、课程登录详情、学习材料浏览和下载详情、作业和测试完成情况、在线时长、视频观看的详情、参加答疑讨论的情况等多项学习考核指标。</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5．视频播放控制</w:t>
            </w:r>
            <w:r>
              <w:rPr>
                <w:rFonts w:hint="eastAsia" w:ascii="宋体" w:hAnsi="宋体" w:cs="宋体"/>
                <w:sz w:val="24"/>
                <w:szCs w:val="24"/>
                <w:lang w:eastAsia="zh-CN"/>
              </w:rPr>
              <w:t xml:space="preserve">：</w:t>
            </w:r>
            <w:r>
              <w:rPr>
                <w:rFonts w:hint="eastAsia" w:ascii="宋体" w:hAnsi="宋体" w:eastAsia="宋体" w:cs="宋体"/>
                <w:sz w:val="24"/>
                <w:szCs w:val="24"/>
              </w:rPr>
              <w:t xml:space="preserve">课程的教学视频文件具有“防拖拽和防窗口切换”功能，即视频播放的时候无法进行快进播放，打开章节学习的时候不能再打开其它网页，否则视频播放停止。同时在章节视频中可以插入测验题，包含单选题、多选题和对错题，支持设置答错是否允许继续观看视频，如果答错，支持设置或看多少分钟，或者设置回看时间段；支持学生作答后查看答案。</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6．证书发放功能</w:t>
            </w:r>
            <w:r>
              <w:rPr>
                <w:rFonts w:hint="eastAsia" w:ascii="宋体" w:hAnsi="宋体" w:cs="宋体"/>
                <w:sz w:val="24"/>
                <w:szCs w:val="24"/>
                <w:lang w:eastAsia="zh-CN"/>
              </w:rPr>
              <w:t xml:space="preserve">：</w:t>
            </w:r>
            <w:r>
              <w:rPr>
                <w:rFonts w:hint="eastAsia" w:ascii="宋体" w:hAnsi="宋体" w:eastAsia="宋体" w:cs="宋体"/>
                <w:sz w:val="24"/>
                <w:szCs w:val="24"/>
              </w:rPr>
              <w:t xml:space="preserve">证书支持多种模板选择，且支持自定义在线编辑证书内容。系统支持自动发放证书和选人发放，其中自动发放证书包括按综合成绩发放证书和按任务点完成率发放证书。自动发放证书支持定时发放，学生可以将证书下载并打印。</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7．课程复习模式</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教师在开课时可以设定课程的开课时间和结课时间，并且在课程结束后，可以自动开启复习模式，在复习模式中，学生可以复习，但学习记录不记入总成绩。</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8．学习监控</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支持章节视频任务点、作业、考试异常行为监控。</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学生进入课程、观看视频时进行人脸识别和抓拍。观看视频抓拍需要支持视频起始、视频播放、视频暂停再播放、视频结束抓拍设置，也支持播放中的定时抓拍,如10分钟抓拍一次和随机抓拍。识别失败支持记录并继续学习和不允许学习的配置。</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支持教师查看学生学习监控数据，若有异常学习行为，可清除其学习记录。</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教学资源管理</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学资源管理包括上传课程资源，支持课程资源共享给指定教师或指定教学班，同时资源可在不同板块中反复调用，随时随地下载。教师可从本地、云盘、在线图书、网址、教学资源库等添加资源到课程资料模块。</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1．教学资料</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对自己所负责的课程的资料进行管理，建立课程文件的目录层级，同时教师可以根据课程需要，赋予一人或多人一定权限，共同参于课程资源建设，即委派角色。支持选择文件夹中内容共享给哪些老师和班级。教师可以直接从备课资源库检索、添加相关在线资源。</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 支持对资料进行转发分享，支持多种转发渠道，可转发至个人笔记、通知、群聊等，支持通过资料二维码、链接地址等形式进行资料共享。</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 教材教参</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教师可以从备课资源库中查找并添加课程相关的教学参考书，推荐给学生直接进行在线阅读。</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 教学资源库</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教师可以从教学资源库中查找并添加课程相关的课件、音视频、图片、文档，推荐给学生直接进行在线观看。</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 题库管理</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题库建设支持模板导入及智能导入。智能导入需能智能识别题目类型、题干、答案、拼音标点解析等，并能实现原位编辑。</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创建课程试题库，对试题库进行管理，包括添加、修改、删除、查询、浏览等功能。题型包括单选、多选、判断、简答、填空、连线题、共用选项题、测评题、钟表题、选词填空、选做题等，题的属性除难度系数外，可自定以题目标签，最多支持六级标签。</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题库导入支持excel及word格式的模板方式导入。</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创建文件夹对试题进行分类管理，支持多文件夹目录层级。文件夹支持设置共享范围：私有（仅自己可见，文件夹中只能添加自己创建的题目）、共享给指定教学团队成员（仅指定成员可见，文件夹中只能添加自己创建的题目）、公开（所有教学团队成员可见，文件夹中可添加其他成员创建的题目）、是否允许学生自测（是否允许学生从此文件夹中抽题自测）。</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支持文件夹及题目复制功能。</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允许设置文件夹锁定功能。锁定后，题目将放入“已锁定题目”文件夹，已锁定题目将不会出现在题库选题和随机组卷中。</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支持智能导入，直接将word试题文档快速导入，支持线上修改题目内容。</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支持教师对系统题型重命名，支持新建题型，满足更多题型要求。支持试题批量导出，支持多种导出格式，包括word、pdf、excel格式。</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支持对单个试题进行排序、编辑、移动、锁定、修改题型、修改难易度、关联知识点、关联课程目标、一键推送云盘功能。</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题库支持统计试题使用次数、学生答题正确率、题目创建日期等。</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5.作业管理</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教师可以创建作业，形成课程作业库，也可以从教学资源库引入作业，导入作业。</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教师可以对平台导出的作业进行二次导入。</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教师可以对已发布的作业进行分数和答案的校正。</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6.试卷管理</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具有从题库或以前的测验中随机生成新的试卷的功能，教师可以对试卷中的试题进行添加、修改、删除、任意排序、预览等功能，还可以对试题设定分值。</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试卷可多次重复使用。教师可以按照模板导入编辑好的试卷。</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教师可以对创建好的试卷进行封存，设置封存密码对试卷进行保护。</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教师可以选择随机组卷和手动组卷两种组卷方式。</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试卷结构分析：试卷分析功能分为题型统计分析、难易度统计分析、题目详情。题型统计和难易度统计分析支持按照题量和题目分数分布进行统计。题目详情支持按照题型、难易度、知识点进行查看题目的题号、题干、题型、难易度、知识点、正确率（该题在多次考试中使用的正确率）、题目分数。</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作业与考试</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1.作业</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作业可以是来源于题库、作业库自定义或模板导入，每次布置作业，自定义的题目需具有保存到题库的功能。作业从题库选题时不限于使用本门课程的题库，可跨课程使用教师本人其他课程的题库。</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教师可以随时查看学生作业的完成情况并对作业进行线上批阅打分，学生在线提交作业后，对于客观题系统能自动判分。线下作业教师可以将成绩登记到线上，以备定期统计，了解学生的学习情况。</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作业需具备生生互评的功能，设为互评的作业，支持设置教师批阅得分、学生批阅得分、互评参与情况之间占比。支持设置学生批语字数限制以及学生主观题评分范围。</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作业支持文档、附件、视频、音频等形式，同时音视频支持在线播放功能。</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支持填空题是否为客观题的设定，当设填空题为客观题，系统可自动对其批阅，同时，支持设置是否允许学生补考、及格分数的设定，并可设置是否允许学生重考。</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随时设定作业答案是否公开、作业分数是否公开，可设定学生答案的字数范围及是否防止粘贴的功能。可以对作业进行设置，设置发布作业的时间、是否允许补交、是否允许重做、是否允许学生查看分数、允许学生查看题型分数、允许学生粘贴答案、学生重做时显示对错、题目乱序、督促设置、作答要求、评分设置、排序题按空给分。</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对于同一套作业，可以设置题目乱序和选项乱序，防止学生作弊。</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对于未提交作业的学生，可以进行督促，发放督促通知。</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作业需具备指定发送给某个人的功能，实现有针对性的教学管理。</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作业支持智能导入，一键识别加入作业库。</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教师可以按人、按题目批阅，也可以打回重做。</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rPr>
              <w:t xml:space="preserve">可以导出成绩、导出作业附件。</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rPr>
              <w:t xml:space="preserve">可以查看作业的每道题的正确率情况和答题详情并支持导出。</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支持进行作业查重，对于简答题、论述题等主观题，可进行班级内两两学生间比对查重。</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rPr>
              <w:t xml:space="preserve">题库试题创建支持在线录音，录完的声音可以直接在线播放。提供强大的基于浏览器的数学、化学公式在线编辑器。</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eastAsia="zh-CN"/>
              </w:rPr>
              <w:t xml:space="preserve">）</w:t>
            </w:r>
            <w:r>
              <w:rPr>
                <w:rFonts w:hint="eastAsia" w:ascii="宋体" w:hAnsi="宋体" w:eastAsia="宋体" w:cs="宋体"/>
                <w:sz w:val="24"/>
                <w:szCs w:val="24"/>
              </w:rPr>
              <w:t xml:space="preserve">能够设置任务学习完成的情况作为是否能完成作业的条件。</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支持将学生答案拍照上传，同时支持主观题答案与教师设定的标准答案之间进行相似度智能分析，并根据分析结果给出推荐得分，辅助老师进行主观题批阅。</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2.测验与考试</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能为学生提供限时，能按照设定的日期和时间自动开放或关闭测验和考试。</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支持设置考试限时、限时提交规则、限时进入。考试限时支持设置单题限时，包括所有题型统一限时、按题型限时。</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需具备随机组卷功能，可以随机组若干套试卷发放给学生。</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支持设置任务学习完成的情况作为是否能参加考试的条件；支持设置综合成绩达标情况作为是否能参加考试的条件。</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支持设置学生端作答时上传的附件类型，包括拍照/录像、录音、上传附件。</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对于同一套试卷，可以设置选项和考题乱序，防止学生作弊。</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需对考试进行是否允许查看答案及分数的设定，避免学生因答题时间不同而产生作弊现象。</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需具备设定随机验证码的功能，学生进入考试前需输入验证码，从而实现对学生的身份认证。</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支持考试客户端功能，支持客户端独立进行考试。</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考试过程抓拍：开启后在考生的整个答题过程进行抓拍。</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考试过程切屏监控：在考生考试过程中将全程监控考生的答题界面。</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eastAsia="zh-CN"/>
              </w:rPr>
              <w:t xml:space="preserve">）</w:t>
            </w:r>
            <w:r>
              <w:rPr>
                <w:rFonts w:hint="eastAsia" w:ascii="宋体" w:hAnsi="宋体" w:eastAsia="宋体" w:cs="宋体"/>
                <w:sz w:val="24"/>
                <w:szCs w:val="24"/>
              </w:rPr>
              <w:t xml:space="preserve">考试码：考试码在教师端显示，学生需输入考试码后才能参加考试。</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eastAsia="zh-CN"/>
              </w:rPr>
              <w:t xml:space="preserve">）</w:t>
            </w:r>
            <w:r>
              <w:rPr>
                <w:rFonts w:hint="eastAsia" w:ascii="宋体" w:hAnsi="宋体" w:eastAsia="宋体" w:cs="宋体"/>
                <w:sz w:val="24"/>
                <w:szCs w:val="24"/>
              </w:rPr>
              <w:t xml:space="preserve">人脸识别：开启后考生在考试前需进行人脸核对，保证本人参考。</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支持设置考前多长时间可以进行考前准备。</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支持发布考试须知，可自定义编辑。</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eastAsia="zh-CN"/>
              </w:rPr>
              <w:t xml:space="preserve">）</w:t>
            </w:r>
            <w:r>
              <w:rPr>
                <w:rFonts w:hint="eastAsia" w:ascii="宋体" w:hAnsi="宋体" w:eastAsia="宋体" w:cs="宋体"/>
                <w:sz w:val="24"/>
                <w:szCs w:val="24"/>
              </w:rPr>
              <w:t xml:space="preserve">可以设置题目乱序、选项乱序；支持设置指定IP参加考试、可以单题限时作答。</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支持自动随机组卷，组多套试卷时，可设置试卷试题重复率为0、不高于20%、不高于50%、不高于80%等。</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18</w:t>
            </w:r>
            <w:r>
              <w:rPr>
                <w:rFonts w:hint="eastAsia" w:ascii="宋体" w:hAnsi="宋体" w:cs="宋体"/>
                <w:sz w:val="24"/>
                <w:szCs w:val="24"/>
                <w:lang w:eastAsia="zh-CN"/>
              </w:rPr>
              <w:t xml:space="preserve">）</w:t>
            </w:r>
            <w:r>
              <w:rPr>
                <w:rFonts w:hint="eastAsia" w:ascii="宋体" w:hAnsi="宋体" w:eastAsia="宋体" w:cs="宋体"/>
                <w:sz w:val="24"/>
                <w:szCs w:val="24"/>
              </w:rPr>
              <w:t xml:space="preserve">允许学生考后查看试卷、允许学生查看题目对错、允许学生查看分数、允许学生查看题型分数、允许学生查看考试等级、允许学生查看排名、允许自定义设置学生考试完成后展示的提示信息。</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19</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支持生成试卷分析报告，报告中需至少包含试卷难度、区分度统计，成绩正态分布，成绩标准差、方差、试卷信度等分析数据项。</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20</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支持在线阅卷，阅卷教师可在线打分、写评语、如答案为图片，支持在图片上进行批注；可切换批阅方式，支持按人批阅或按题目批阅。</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21</w:t>
            </w:r>
            <w:r>
              <w:rPr>
                <w:rFonts w:hint="eastAsia" w:ascii="宋体" w:hAnsi="宋体" w:cs="宋体"/>
                <w:sz w:val="24"/>
                <w:szCs w:val="24"/>
                <w:lang w:eastAsia="zh-CN"/>
              </w:rPr>
              <w:t xml:space="preserve">）</w:t>
            </w:r>
            <w:r>
              <w:rPr>
                <w:rFonts w:hint="eastAsia" w:ascii="宋体" w:hAnsi="宋体" w:eastAsia="宋体" w:cs="宋体"/>
                <w:sz w:val="24"/>
                <w:szCs w:val="24"/>
              </w:rPr>
              <w:t xml:space="preserve">在线监考：支持监考教师实时查看每位考生是否进入考试、进入时间、当前状态、IP地址、所在地区、考试方式、人脸识别情况、切屏次数、考试过程中抓拍照片识别次数、考试过程中抓拍照片识别异常次数、屏幕抓拍识别异常次数、是否被标记等。</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22</w:t>
            </w:r>
            <w:r>
              <w:rPr>
                <w:rFonts w:hint="eastAsia" w:ascii="宋体" w:hAnsi="宋体" w:cs="宋体"/>
                <w:sz w:val="24"/>
                <w:szCs w:val="24"/>
                <w:lang w:eastAsia="zh-CN"/>
              </w:rPr>
              <w:t xml:space="preserve">）</w:t>
            </w:r>
            <w:r>
              <w:rPr>
                <w:rFonts w:hint="eastAsia" w:ascii="宋体" w:hAnsi="宋体" w:eastAsia="宋体" w:cs="宋体"/>
                <w:sz w:val="24"/>
                <w:szCs w:val="24"/>
              </w:rPr>
              <w:t xml:space="preserve">查看考生详情：监考老师可随时查看每位考生的考试行为记录，详情以时间轴形式呈现，包括考生进入考试人脸识别结果、考试切屏记录、考试抓拍记录、屏幕抓拍识别记录、考生答题记录、直播监考记录、监考教师操作记录等。</w:t>
            </w:r>
            <w:r/>
          </w:p>
          <w:p>
            <w:pPr>
              <w:ind w:left="0"/>
              <w:pageBreakBefore w:val="0"/>
              <w:spacing w:line="360" w:lineRule="auto"/>
              <w:rPr>
                <w:rFonts w:hint="eastAsia" w:ascii="宋体" w:hAnsi="宋体" w:eastAsia="宋体" w:cs="宋体"/>
                <w:sz w:val="24"/>
                <w:szCs w:val="24"/>
              </w:rPr>
              <w:outlineLvl w:val="9"/>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w:t>
            </w:r>
            <w:r>
              <w:rPr>
                <w:rFonts w:hint="eastAsia" w:ascii="宋体" w:hAnsi="宋体" w:eastAsia="宋体" w:cs="宋体"/>
                <w:sz w:val="24"/>
                <w:szCs w:val="24"/>
              </w:rPr>
              <w:t xml:space="preserve">平台支持试卷导出功能，至少支持A3、A4、B4等版式。</w:t>
            </w:r>
            <w:r/>
          </w:p>
          <w:p>
            <w:pPr>
              <w:pStyle w:val="761"/>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（24）支持自定义设置导出试卷模板，包括密封线位置，显示的课程信息，学生信息，考试承诺书等多项内容。</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统计督学</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1.基础数据</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可以对课程学生人数、班级个数、作业次数、课堂活动数、课程章节个数、视频、文档等资源个数、课程资料数、题库题数、考试次数、讨论数进行统计；</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2.课堂报告</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以班级和教师筛选展示整个课程的课堂活动发放情况、签到情况、课堂回顾。可以按日筛选查看不同日期课堂报告，可以导出课堂报告。</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3.学情分析</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展示课程当中学生的学习情况，从多个维度展示学情，包括学习动态监测、章节学习次数、章节任务点、签到、课程积分、作业、章节测验、考试、讨论、教学预警、互动测验、分组任务等学习情况，可以导出学生详细学习情况。</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4.学生成绩</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（1）可查看课程下每个班级综合成绩平均分、查看每个学生综合成绩、各分项成绩及权重占比，支持教师手动修改成绩。可查看学生各分项考核模块学习进度情况，可查看每个学生学习情况。</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（2）可对课程中的视频、作业、测验、在线时长等做权重设置，可以针对作业模块做细化到每一份作业的权重设置。</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教师可以设置是否允许学生查看成绩，如果允许，学生端可以查看自己的各项成绩及综合排名，同时其他同学的成绩可设为保秘状态；同时，可以导入线下成绩，导入课堂互动的成绩如签到、课堂互动、阅读、直播等课堂成绩，保证学生的成绩更加全面。</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5.教学预警</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可以按照条件进行预设设置，包括低于任务点平均完成度、低于章节测验平均完成度、低于章节测验平均分、低于作业平均分、低于访问平均分、低于考试平均分、低于综合成绩平均分 。按照条件筛选，并可执行提醒，可查看督学记录。</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学习空间</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学习、互动、考试等都通过空间完成，教师空间包含所教的课，学生空间包含所学的课。</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学习空间至少包含以下APP：</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1.收件箱</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可以查收&amp;回复收到的站内信函。信函编辑支持署名设置，支持设定内容模版，可通过选择指定模版进行信函快速编辑。</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2.云盘</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可以将文件上传至云盘中，随时随地进行下载，并可以在课程建设时引用云盘的资源。支持共享云盘。</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3.小组</w:t>
            </w:r>
            <w:r/>
          </w:p>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小组是就某一类话题或兴趣点（例如计算机、电影、电子产品等）跟别人交流的场所。用户可以自己创建小组，可以设定小组名称、介绍、加入的权限，权限包括公开加入、邀请加入、审批加入等。用户可以浏览和发现小组。进入小组后，可以参与小组的讨论，查看小组成员。</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网络教学门户网站</w:t>
            </w:r>
            <w:r/>
          </w:p>
        </w:tc>
        <w:tc>
          <w:tcPr>
            <w:tcW w:w="6944"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帮助学校建设个性化门户网站，展示学校精品课程，发布新闻公告，活跃班级信息、名师风采展示等，个性化导航栏可以自定义配置。</w:t>
            </w:r>
            <w:r/>
          </w:p>
          <w:p>
            <w:pPr>
              <w:numPr>
                <w:ilvl w:val="0"/>
                <w:numId w:val="5"/>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PC门户配置功能：页面支持用户自定义模块布局，支持拖拽式调整同一模块内不同栏目的位置，支持用户自定义对页面背景、音乐、主题色及简体或繁体字的转换设置。每一个模块内的数据来源均支持人工培植；可以是外部数据接入，直接复用已有接口，也可以直接从数据中心抽调；</w:t>
            </w:r>
            <w:r/>
          </w:p>
          <w:p>
            <w:pPr>
              <w:numPr>
                <w:ilvl w:val="0"/>
                <w:numId w:val="5"/>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移动端门户配置：支持系统对移动端APP的门户进行配置，配置操作需要简单明了。模拟手机界面采用可视化拖拽的形式添加如图片、检索、推荐、功能等。并能根据我校不同身份的用户配置不同的移动端APP门户界面。</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教室端</w:t>
            </w:r>
            <w:r/>
          </w:p>
        </w:tc>
        <w:tc>
          <w:tcPr>
            <w:tcW w:w="6944" w:type="dxa"/>
            <w:textDirection w:val="lrTb"/>
            <w:noWrap w:val="false"/>
          </w:tcPr>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不借助任何第三方投屏软件进行投屏。不仅包括自有的PPT、课程章节、笔记、专题、图片、文档、课堂活动等，也支持在线搜索平台提供的资料，包括期刊、学术视频、专题等，均可利用手机端一键投屏到教室大屏。投屏PPT、专题时，可以直接在手机终端使用上下翻页，激光笔、聚光灯等功能。</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课程录制：同步课堂授课时，教师的教学过程包括不限于：板书、课件、同步的讲课声音等，课程结束后自动保存到教学平台，供学生复习使用。</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教师轻松通过投屏进行签到、选人、抢答等教学环节，并能直接在投屏上展示结果数据。</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支持强大PPT演示功能，PPT投屏演示保留动画效果，播放流畅。PPT文件来源多种渠道，可以通过电脑端把文件直接发送至移动端，提高资源展示的便捷性。</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投屏过程中，教师使用主题讨论，系统根据所有学生的回答自动分析生产数个关键词语。</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教师备课：教师可以在移动端中的活动库中，设置移动教案。按照教学计划，教师可提前在上组织教学内容，有序安排资料推送、签到、问答、抢答、投票等教学活动，方便课堂发放并易于复用。</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页面会有“扫码进班”，尚未加入班级的同学，可以通过扫面班级二维码进入班级。</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支持通过手机端投屏功能把课程相关图片、视频资源直接在投屏上展示。</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PPT 演示提供激光笔、聚光灯、画笔功能。</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支持同步课堂，教师可发布同步课堂活动，通过web链接的方式，学生可在不同地点进行课堂同步，并进行上述的课程互动。</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支持计时器、白板、学生反馈功能。</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支持找资料功能，课堂上可随时检索添加系统自带的专题、学术视频、期刊等资源，并进行投屏展示。</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支持通过电脑端直接发放签到、选人、抢答、投票、讨论等课堂互动，电脑端也可直接调用课程章节、资料、云盘的教学资源。</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投屏支持分屏操作，支持PPT与活动内容分屏展示。</w:t>
            </w:r>
            <w:r/>
          </w:p>
          <w:p>
            <w:pPr>
              <w:numPr>
                <w:ilvl w:val="0"/>
                <w:numId w:val="6"/>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课堂互动功能即可在电脑上编辑ppt下的活动及发起课堂互动，也可以在手机端发起，两端同步互联。</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移动端</w:t>
            </w:r>
            <w:r/>
          </w:p>
        </w:tc>
        <w:tc>
          <w:tcPr>
            <w:tcW w:w="6944" w:type="dxa"/>
            <w:textDirection w:val="lrTb"/>
            <w:noWrap w:val="false"/>
          </w:tcPr>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1.具有移动客户端，支持iOS和Android操作系统，用于手机、Pad等智能移动终端中，实现在线移动学习。</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2.PC端与移动端的学习进度保持同步，学生在任何终端上，都可以实现学习记录的持续性，系统也可对任何终端的学习行为进行监控。</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3.按照教学计划，可在移动端组织教学内容，有序安排资料推送、签到、问答、抢答、投票等教学活动，可实现互动内容课堂发放并复用。</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4.教师可以发布课堂签到，学生直接用手机通过扫描二维码、或输入教师分享的邀请码等方式进行签到，显示距离发起者的签到距离。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5.教师可以在课堂上发布问题，通过抢答进行提问，学生同时在手机收到抢答请求进行抢答。</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6.教师可通过随机选人功能选择学生回答问题，并可以将选择结果投屏显示。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7.教师可以在课堂上实时发布课程微评，学生能进行评价。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8.课堂结束后，可以将所有课堂上发布的控件进行记录，生成课堂历史记录。能实时查看任一活动的详细参与情况。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9.可基于课程形成师生互动交流群，实时进行即时通讯，进行讨论与交流。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10.教师可以编辑问答题并可将题目发布到学生端，学生可以回答问题并提交，教师可以实时查看学生提交结果。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11.教师和学生可以开展话题讨论，利用发帖形式进行小组话题交流。                   </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12.教师在课前对资料进行云盘存储，课堂上可以利用云盘功能选择和自己课程相关的资料进行资料推送，推送完成后参与教学的学生和教师都可以查看资料的详细内容。</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13.学生在移动端进行视频学习时，系统自动记录所有学习行为，完成视频学习任务点后系统自动同步学习记录与PC端相同。同时将视频学习成绩计算后加入综合成绩中。</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学生通过移动端作业功能可以查看作业列表，作业列表支持标示待做作业和已完成、已过期作业展示。学生可以通过本功能支持待做作业在移动端完成。支持产看已完成作业的批阅状态和最后得分，支持查看作业答案。</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15.教师可以通过手机在课程中发布考试试卷和查看考试分项统计结果，学生同样可以通过移动端进行在线考试和查看考试信息。</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16.学生的课堂签到情况、课堂表现等都以积分形式形成评价，可转换为平时成绩；在线课程的学习同时记录作业成绩、考试成绩、按照老师设计的成绩权重给出综合评价。</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17.可以阅读本校师生制作的专题等资源，可以订阅到自己的空间，并进行分类管理；可以对所有精彩的内容进行分享。</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18.可以按照组织架构建立通讯录，可查看组织内所有人的联系方式。</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19.可以在移动客户端选择给指定的人发送通知，并统计已读和未读名单。并与pc端无缝对接。针对未读通知，支持短信提醒、电话提醒、微信提醒等提醒方式。</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20.支持手机端、电脑端发起视频直播，学生可以通过手机观看直播并留言。</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21.投屏教学：用户只需要打开网页，输入指定网页，就可以直接利用手机进行投屏课堂教学，投屏教学包含签到、抢答、问卷、讨论、选人、测验等教学活动投屏，并能直接在投屏上展示结果数据。</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支持强大PPT演示功能，PPT投屏演示保留动画效果，播放流畅。支持PPT投屏及课堂互动功能，PPT投屏演示保留动画效果，播放流畅，在投屏演示时随时可发起签到、投票、测验、抢答、选人、讨论、测验、问卷等多种课堂活动，活动内容可大屏显示。PPT文件来源多种渠道，可以通过电脑端把文件直接发送至移动端，提高资源展示的便捷性。</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23.PPT投屏功能需要支持激光笔功能和聚光灯功能，激光笔功能支持在手机上提供激光笔功能，并通过该功能对投屏PPT进行激光指引。聚光灯功能支持对投屏PPT进行聚光展示。</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24.课堂结束后，即生成课堂报告，包括课堂互动的所有详情记录及学生的课堂表现积分情况。</w:t>
            </w:r>
            <w:r/>
          </w:p>
          <w:p>
            <w:pPr>
              <w:numPr>
                <w:ilvl w:val="255"/>
                <w:numId w:val="0"/>
              </w:num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25.可以创建班级空间，支持学生扫码加入，同时在班级空间内发起课堂互动，关联课程内容。</w:t>
            </w:r>
            <w:r/>
          </w:p>
        </w:tc>
      </w:tr>
      <w:tr>
        <w:trPr/>
        <w:tc>
          <w:tcPr>
            <w:tcW w:w="1291" w:type="dxa"/>
            <w:vMerge w:val="continue"/>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92" w:type="dxa"/>
            <w:textDirection w:val="lrTb"/>
            <w:noWrap w:val="false"/>
          </w:tcPr>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教学大数据</w:t>
            </w:r>
            <w:r/>
          </w:p>
        </w:tc>
        <w:tc>
          <w:tcPr>
            <w:tcW w:w="6944" w:type="dxa"/>
            <w:textDirection w:val="lrTb"/>
            <w:noWrap w:val="false"/>
          </w:tcPr>
          <w:p>
            <w:pPr>
              <w:ind w:left="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1.教学大数据分析平台——PC端可视化分析系统</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(1)综合数据：包括整体数据概况、活跃课程、今日动态、行为分析、学生到课情况、资源建设情况、院系运行情况等。</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a.访问量教师榜、访问量学生榜、访问量课程榜。</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b.分析平台支持过滤教学平台隐藏的院系，即教学平台设置隐藏"课程数据统计"的院系。</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(2)师生活跃</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A.数据概览：总活动数、教师活动数、学生活动数。</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B.活动数变化趋势：展示教师活动数变化趋势、学生活动数变化趋势。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C.活动类型分布：展示教师、学生的活动类型分布情况。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D.各院系师生活动数排名：展示各院系师生活动数排名对比。</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E.平台终端使用情况：展示平台各类型终端访问次数及占比情况、各类型终端的访问次数变化趋势。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F.活动数TOP100教师榜、活动数TOP100学生榜。</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G.师生活动日志：支持以时间维度、角色维度、活动类型维度、院系维度筛选，展示师生活动时间趋势以及详细活动数据（操作时间、活动类型、操作IP、IP地址、使用设备）。</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(3)课程数据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A.数据概览</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新建课程门数、活跃课程门数、运行班次。</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B.各院系课程数量排行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新建课程门数、自建课程运行、活跃课程门数可视化分析，以柱形图形式展示各院系课程数量及排名对比情况。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C.课程趋势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新建课程门数、自建课程运行、活跃课程门数可视化分析，以趋势图形式展示课程运行的变化趋势。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D.课程建设情况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统计所选院系的课程建设总体情况，包括创建试卷数、创建作业数、创建题目数、创建章节总数；以院系维度展示各院系课程建设情况排行；以课程维度展示各课程建设情况排名，可按总数、创建章节总数、创建题目数、创建作业数、创建试卷数进行排名。</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E.活跃课程TOP100</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展示课程活跃度前100名，可查看、导出活跃课程详情数据。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F..在线督导</w:t>
            </w:r>
            <w:r/>
          </w:p>
          <w:p>
            <w:pPr>
              <w:pStyle w:val="761"/>
              <w:numPr>
                <w:ilvl w:val="255"/>
                <w:numId w:val="0"/>
              </w:num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线上考察某一课程的教师教学和学生学习情况，筛选今日在线课程、今日直播课程、点击进入该课程的旁听，查看该课程的基础信息、发布的班级任务、该课程具体的学员学习情况、该课程的操作日志、方便管理者随时进入旁听，掌握该课程的进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(4)教学运行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在教师教学数据当中分为五个板块：任务点/章节测验、作业/考试、课堂活动、互动讨论、教师教学数据。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比如：教师教学数据：可按教师、按课程两种维度，按学期、按日、按周、按月四种时间维度查看教学数据。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A.数据概览</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上线教师人数、资源上传量、在线总时长。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B.教学数据具体包括</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访问量、在线时长、上传图片等资源建设数据、发签到等活动数据，以及新增积分。</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C.积分设置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可自定义查看项及积分规则。</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(5)学情分析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(5.1)任务点分析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A.任务点完成情况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以趋势图的形式展示任务点完成数的变化趋势；按院系维度，以柱状图形式展示各院系的任务点完成数及排行情况；按课程维度，以柱状图形式展示各课程的任务点完成数及排行情况。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B.任务点完成数TOP100学生、任务点完成数TOP100课程。</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(5.2)章节测验分析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A.数据概览</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章节测验已完成人次、章节测验平均分、章节测验及格率、章节测验优良率。</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B.章节测验完成情况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以趋势图的形式展示章节测验完成数的变化趋势；按院系维度，以柱状图形式展示各院系的章节测验完成数及排行情况；按课程维度，以柱状图形式展示各课程的章节测验完成数及排行情况。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D.章节测验成绩情况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以柱形图的形式展示各分数区间学生人数分布情况；按院系维度，以柱形图形式展示各院系的章节测验平均分及排行情况；按课程维度，以柱形图形式展示各课程的章节测验平均分及排行情况任务点完成数章</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E.节测验完成TOP100学生、章节测验成绩TOP100。</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(5.3)课堂活动分析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A.课堂活动参与情况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以饼状图形式展示各类型课堂活动的数量；以趋势图的形式展示课堂活动参与数的变化趋势。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B.课堂活动参与排行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按院系维度，以柱状图形式展示各院系各类型课堂活动发布数及排行情况。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C.课堂活动TOP100课程、课堂活动TOP100班级。</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(5.4)作业分析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作业已完成人次、作业应完成人次、作业平均分、作业及格率、作业优良率。</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B.作业完成情况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以趋势图形式展示作业完成人次的变化趋势；按院系维度，以柱状图形式展示各院系的作业完成人次及排行情况；按课程维度，以柱状图形式展示各课程的作业完成人次及排行情况。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C.作业成绩情况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以柱形图的形式展示各分数区间学生人数分布情况；按院系维度，以柱形图形式展示各院系的作业平均分及排行情况；按课程维度，以柱形图形式展示各课程的作业平均分及排行情况。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D.作业完成TOP100学生、作业成绩TOP100学生。</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(5.5)考试分析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A.数据概况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考试已完成人次、考试应完成人次、考试平均分、考试及格率、考试优良率。</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B.考试完成情况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以趋势图形式展示考试完成人次的变化趋势；按院系维度，以柱状图形式展示各院系的考试完成人次及排行情况；按课程维度，以柱状图形式展示各课程的考试完成人次及排行情况。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C.考试成绩情况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以柱形图的形式展示各分数区间学生人数分布情况；按院系维度，以柱形图形式展示各院系的考试平均分及排行情况；按课程维度，以柱形图形式展示各课程的考试平均分及排行情况。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D.考试完成TOP100学生、考试成绩TOP100学生。</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(5.6)互动讨论分析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A.互动讨论趋势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以趋势图形式展示互动讨论数的变化趋势。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B.互动讨论排行情况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按院系维度，以柱状图的形式展示各院系的发帖数、回帖数及排行情况；按教学班维度，以柱状图的形式展示各教学班的发帖数、回帖数及排行情况。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C.学生发帖数TOP100、学生回帖数TOP100。</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(5.7)过程考核分析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以柱状图的形式展示各分数区间学生人数分布情况；按院系维度，以柱形图形式展示各院系的过程考核平均分及排行情况；按课程维度，以柱形图形式展示各课程的过程考核平均分及排行情况。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(5.8)基础数据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按院系、课程、学生、教师四个维度查看学生的任务点已完成人次、章节测验已完成人次、参与课堂活动数、作业应完成人次、作业已完成人次、考试应完成人次、考试已完成人次等学生参与课程学习数据。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(6)出勤分析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展示全校平均到课率 学生应签到总数、完成签到人次、学生整体出勤情况、今日上课班级出勤率、各院系学生出勤率排行、院系学生签到异常监测等。</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(7)资源建设</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展示上传资源总量、创建题目数、创建作业数、创建试卷数、资源上传趋势图、各类型资源上传量、各类型题目创建量等。</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(8)用户画像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(8.1)全校画像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以教师、学生、课程三个维度，展示全校整体数据，把标准抽象的画像用图表和标签展示，把数据具体化，把各个数据量清晰的展示出来，进而反映出全校的整体情况。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(8.2)院系画像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A.根据管理者的管理范围，可看到对应院系画像。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B.院系画像由教师、学生、课程三个维度显示，展示院系维度的教师、学生、课程情况。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(8.3)教师画像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A.展示全校教师情况，画像上方有不同学期和累计数据的切换选择，还可进入具体的学生列表当中。</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全校教师画像的头部通过标签、雷达图等展示整体教师的情况。画像底部，以教师活动类型top5、上线教师人数趋势图、课堂互动发布排行、各类型资源上传量、综合成绩、在线总时长分布、教师综合得分top100来展示整体课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C.点击“查看个人画像”，展示整个教师的列表，以教师活动数和综合指标为指标进行展示，点击“查看”可进入到该教师的教师画像。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教师个人画像头部分为三部分，第一部分是教师的标签与个人信息，第二部分是平台教师评比等级、第三部分是教师雷达图分为六个维度（发布任务、资源建设、在线时长、学生成绩、平台活跃度、课堂活动）展示教师的综合情况。画像底部分为四个板块展示，所教课程、基础数据、教学分析、教学轨迹。</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(8.4)学生画像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A.学生画像展示整体学生情况，画像上方有不同学期和累计数据的切换选择，还可进入具体的学生列表当中。</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全校学生画像的头部通过标签、雷达图等展示整体学生的情况。画像底部，以学生活动类型top5、上线学生人数趋势图、签到率、学习完成率、课堂活动参与排行、全校学生综合成绩、学生综合表现top100来展示整体课程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C.“查看个人画像”，展示整个学生的列表，以学生活动数和综合表现为指标进行展示，点击“查看”可进入到该学生的学生画像。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学生个人画像头部分为三部分展示，第一部分是学生的标签与个人信息，第二部分是平台学生表现等级、第三部分是学生雷达图分为六个维度（自主学习、到课率、学习完成率、学习成绩、平台活跃度、学生成绩）展示课程的综合情况。画像中间部分展示学生成绩趋势图。画像底部分为四个板块展示，所学课程、基础数据、学习分析、学生轨迹。</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(8.5)课程画像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A.课程画像展示整体课程情况，画像上方有不同学期和累计数据的切换选择，还可进入具体的课程列表当中。</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全校课程画像的头部通过标签、雷达图等展示整体课程的情况。画像底部，以教学课堂活动统计、课程建设情况、课程活跃度趋势图、综合成绩、资源与题库建设、学习完成率、课程质量排名TOP100展示整体课程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C.“查看课程详情”展示课程画像列表，以课程质量排名和课程pv值为指标进行展示，“查看”可进入到该课程的课程画像。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课程画像头部分为三部分展示，第一部分是课程的标签与信息，可跳转到课程门户和线上巡课页面，第二部分是课程质量排名，第三部分是课程雷达图分为六个维度（课程活跃度、课堂活动、课程资源、课程讨论、学习完成度、学生成绩）展示课程的综合情况。画像底部分为五个板块展示，基础数据、课堂报告、学情分析、学生成绩、课程日志。</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(9)教学报告</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(9.1)日常报告</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平台每日、每周、每月会自动生成运行报告，支持生成自定义报告（时间跨度在30天内），以课程、教师、学生、资源、活动数五个维度，统计运行情况。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(9.2)学期报告</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平台每学期会自动生成学期报告（平台支持学期设置），以院系、教师、学生、课程、资源、活动数、签到七个维度，统计运行情况。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(10)教学报告</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线上考察某一课程的教师教学和学生学习情况，筛选今日在线课程、今日直播课程、进入该课程的旁听，查看该课程的基础信息、发布的班级任务、该课程具体的学员学习情况、该课程的操作日志、方便管理者随时进入旁听，掌握该课程的进行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(11)教学预警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A.课程预警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设置筛选项对课程进行筛选，展示满足筛选条件的课程门数及院系分布情况；展示满足筛选条件课程的基本信息，支持导出满足条件的课程数据，支持对达到预警标准的课程发送预警通知。</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B.教师预警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设置筛选项对教师进行筛选，展示满足筛选条件的教师人数及院系分布情况；展示满足筛选条件教师的基本信息，支持导出满足条件的教师数据，支持对达到预警标准的教师发送预警通知。</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C.学生预警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设置筛选项对学生进行筛选，展示满足筛选条件的学生人数及院系分布情况；展示满足筛选条件学生的基本信息，支持导出满足条件的学生数据，支持对达到预警标准的学生发送预警通知。</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D.班级预警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设置筛选项对班级进行筛选，展示满足筛选条件的班级人数及院系分布情况；展示满足筛选条件班级的基本信息，支持导出满足条件的班级数据，支持对达到预警标准的班级发送预警通知。</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E.预警分析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以柱状图形式展示各院系教师、学生被预警次数；以环形图形式展示各被预警次数区间的课程门数及占比，并支持查看课程预警记录；以环形图形式展示各被预警次数区间的教师人数及占比，并支持查看教师预警记录；以环形图形式展示各被预警次数区间的学生人数及占比，并支持查看学生预警记录；以环形图形式展示各预警项使用情况。</w:t>
            </w:r>
            <w:r/>
          </w:p>
          <w:p>
            <w:pPr>
              <w:numPr>
                <w:ilvl w:val="0"/>
                <w:numId w:val="7"/>
              </w:numPr>
              <w:ind w:left="0"/>
              <w:pageBreakBefore w:val="0"/>
              <w:spacing w:before="0" w:after="0" w:line="360" w:lineRule="auto"/>
              <w:rPr>
                <w:rFonts w:hint="eastAsia" w:ascii="宋体" w:hAnsi="宋体" w:eastAsia="宋体" w:cs="宋体"/>
                <w:b w:val="0"/>
                <w:sz w:val="24"/>
                <w:szCs w:val="24"/>
                <w:highlight w:val="none"/>
              </w:rPr>
              <w:outlineLvl w:val="9"/>
            </w:pPr>
            <w:r/>
            <w:bookmarkStart w:id="96" w:name="_Toc26398"/>
            <w:r>
              <w:rPr>
                <w:rFonts w:hint="eastAsia" w:ascii="宋体" w:hAnsi="宋体" w:eastAsia="宋体" w:cs="宋体"/>
                <w:b w:val="0"/>
                <w:sz w:val="24"/>
                <w:szCs w:val="24"/>
                <w:highlight w:val="none"/>
              </w:rPr>
              <w:t xml:space="preserve">教务大屏数据显示和教务课程建课统计</w:t>
            </w:r>
            <w:bookmarkEnd w:id="96"/>
            <w:r/>
            <w:r/>
          </w:p>
          <w:p>
            <w:pPr>
              <w:ind w:left="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按学校要求以大屏形式展示每天的教务课程在教学平台上的运行情况。统计教务课程的建课情况、资源建设情况，按学院提供报表。统计</w:t>
            </w:r>
            <w:r>
              <w:rPr>
                <w:rFonts w:hint="eastAsia" w:ascii="宋体" w:hAnsi="宋体" w:cs="宋体"/>
                <w:sz w:val="24"/>
                <w:szCs w:val="24"/>
                <w:highlight w:val="none"/>
                <w:lang w:val="en-US" w:eastAsia="zh-CN"/>
              </w:rPr>
              <w:t xml:space="preserve">未建课的</w:t>
            </w:r>
            <w:r>
              <w:rPr>
                <w:rFonts w:hint="eastAsia" w:ascii="宋体" w:hAnsi="宋体" w:eastAsia="宋体" w:cs="宋体"/>
                <w:sz w:val="24"/>
                <w:szCs w:val="24"/>
                <w:highlight w:val="none"/>
              </w:rPr>
              <w:t xml:space="preserve">教务课程</w:t>
            </w:r>
            <w:r>
              <w:rPr>
                <w:rFonts w:hint="eastAsia" w:ascii="宋体" w:hAnsi="宋体" w:cs="宋体"/>
                <w:sz w:val="24"/>
                <w:szCs w:val="24"/>
                <w:highlight w:val="none"/>
                <w:lang w:val="en-US" w:eastAsia="zh-CN"/>
              </w:rPr>
              <w:t xml:space="preserve">信息。</w:t>
            </w:r>
            <w:r/>
          </w:p>
          <w:p>
            <w:pPr>
              <w:ind w:left="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2.教学大数据监控平台——大数据展示屏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(1)今日动态</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呈现今日的实时动态，包括今日教师资源上传量、今日学生签到率、今日上线师生人数、今日运行课程数、今日运行班级数、今日师生活动数、今日师生活动类型分布、今日活跃院系、今日活跃课，以及及师生实时动态。</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(2)整体概况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A.以课程维度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展示平台本学期累计活跃课程数、近7日运行课程院系排行、近7日课程访问量变化趋势。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B.以教师维度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展示平台本学期累计使用教师数、教师发布任务点数、发布课堂活动数、发布测验作业数、发布考试数、线上发起讨论数，以及本学期教师累计访问时长。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C.以学生维度</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展示平台本学期累计使用学生数、学生参与任务点数、参与课堂活动数、参与测验作业数、参与考试数、线上参与讨论数、本学期学生累计访问时长。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(3)签到监测</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A.统计展示今日全校整体签到率、签到人次、签到班级数。</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B.统计展示近7日教师发布签到数排行、班级签到率排行。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C.统计展示近30日整体签到趋势、课程签到率排行、院系签到率排行。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(4)课堂活动</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统计展示近30日师生课堂活动总数、发起课堂活动教师数、参与课堂活动学生数、课堂活动完成率、院系课堂活动数排行，以及评分、问卷、分组任务、投票、主题讨论、抢答、选人这七种课堂活动类型的教师发布情况、学生完成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B.展示近7日师生课堂活动数变化趋势、课堂活动数最多的5门课程。</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C.点击院系排行、课堂活动榜、师生活跃榜跳转到分析平台对应的的院系画像、课程画像、教师画像、学生画像实现快速查看对于详情。</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(5)活跃师生</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A.统计展示近7日师生活动数、活跃师生数、活跃课程数及班级数。</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B.统计展示近7日活跃院系排行、活跃课程排行、活跃师生榜。</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C.统计展示近7日师生活跃趋势、近24小时师生活跃趋势。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(6)资源建设</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A.统计展平台累计全校题库量、资源总量、资源类型分布、院系资源建设排行、题库题型情况、院系题库建设占比、教师资源上传排行。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B.统计展示近30日资源新增趋势。</w:t>
            </w:r>
            <w:r/>
          </w:p>
          <w:p>
            <w:pPr>
              <w:ind w:left="0"/>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3.教学大数据分析平台——移动端监控平台</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移动端分析系统提供多个监控入口，包括教学日报、签到监控、教学监控、学情分析、资源监控、日常监控等。解决教务管理者使用移动端即可对教学运行状况进行实时监控的需求。</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(1)教学日报</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A.对本日的教学运行情况进行统计汇报，以课程、教师、学生三个维度展示具体数据。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B.课程维度统计今日自建课程运行数、新建课程数量、运行班级、资源上传数、运行班次、课堂活动数、师生讨论数，反馈今日学校的开课情况。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C.教师维度统计今日教师活动数、发布课堂活动数、发起讨论数、发布作业数、批阅作业数，反映今日教师的教学情况。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D.学生维度统计今日学生活动数、完成任务点数、参与课堂活动数、学生讨论数、完成作业数，反映今日学生的上课情况。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E.支持查看今日师生在线/访问趋势、互动/讨论趋势、资源上传趋势以及各院系使用数据、今日最活跃的5位教师、5位学生。</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(2)签到监控</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A.展示全校今日学生签到情况，包括今日已发签到班级数、签到人次、整体签到率，展示学生签到实时动态、今日班级签到情况，以及学生签到榜TOP5。</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B.以院系课程、学生维度展示签到率变化趋势，展示最近一月/一周学生的出勤情况。</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 教学监控</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过采集平台使用数据，实时展示全校教师数、今日活跃教师、建课教师数、近日动态、活跃教师排行top10，并通过图表展示今日及历史平均单日的课程活动发放情况、课堂作业布置情况、课堂作业评阅情况、师生互动情况，通过趋势图展示本周师生访问量变化趋势、今日教师、学生讨论数对比。</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(4)学情分析</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过采集平台使用数据，实时展示今日完成任务量、完成视频数、完成其他任务点数及学生实时动态，并通过图表展示学习终端占比、学生参与课堂活动详情、完成作业考试详情，通过趋势图展示近24小时访问量变化趋势。</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(5)资源监控</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通过采集平台使用数据，实时展示今日上传资源量、资源总量、上传最多资源类型实时动态，并通过图表展示各类型资源资源分布、上传资源量趋势、课程资源排名、学院资源排名、上传资源数教师排名。</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(6)学生画像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A.通过学生的数据采集和分析，生成学生画像。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B.学生画像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包括其个人标签、平台学习表现、包含课堂表现考核维度、自主学习考核维度、学习完成率考核维度、到课率考核维度、学习成绩考核维度、平台活跃度考核维度等。</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C.学生数据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展示学生的所学课程、基础数据、学习分析、学习轨迹等具体学习数据。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(7)教师画像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A.通过教师的数据采集和分析，生成教师画像。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B.教师画像</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包括个人标签、平台教师评比、包含课堂互动考核维度、日常评测考核维度、在线时长考核维度、资源建设考核维度、学生成绩考核维度、活跃度考核维度等。</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C.教学数据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展示所教课程、基础数据、教学分析、教学轨迹等教学数据。</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(8)在线督导</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A.展示网络课程数、课程活动数、课程资源数。支持查看活跃课程，包含课堂报告、学情统计、成绩统计。支持查看课程建设，包含教师团队、网络课程的班级情况、课程资源建设情况、课堂运行情况、活跃学生排行、综合成绩排行。</w:t>
            </w:r>
            <w:r/>
          </w:p>
          <w:p>
            <w:pPr>
              <w:ind w:left="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B.后台进行数据的分析汇总支持多终端展示，移动端大数据展示实时展示日常监控、教学监控、学情分析、签到监控、资源监控，打破时间、地域限制，最终实现实时监控、移动监控</w:t>
            </w:r>
            <w:r/>
          </w:p>
        </w:tc>
      </w:tr>
    </w:tbl>
    <w:p>
      <w:pPr>
        <w:ind w:lef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747"/>
        <w:ind w:left="0"/>
        <w:pageBreakBefore w:val="0"/>
        <w:spacing w:before="0" w:after="0" w:line="360" w:lineRule="auto"/>
        <w:rPr>
          <w:rFonts w:hint="eastAsia" w:ascii="宋体" w:hAnsi="宋体" w:eastAsia="宋体" w:cs="宋体"/>
          <w:sz w:val="24"/>
          <w:szCs w:val="24"/>
        </w:rPr>
      </w:pPr>
      <w:r/>
      <w:bookmarkStart w:id="97" w:name="_Toc24134"/>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教学评价系统</w:t>
      </w:r>
      <w:bookmarkEnd w:id="97"/>
      <w:r/>
      <w:r/>
    </w:p>
    <w:tbl>
      <w:tblPr>
        <w:tblStyle w:val="751"/>
        <w:tblpPr w:horzAnchor="page" w:tblpX="1154" w:vertAnchor="text" w:tblpY="301" w:leftFromText="180" w:topFromText="0" w:rightFromText="180" w:bottomFromText="0"/>
        <w:tblW w:w="10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2"/>
        <w:gridCol w:w="1728"/>
        <w:gridCol w:w="6520"/>
      </w:tblGrid>
      <w:tr>
        <w:trPr/>
        <w:tc>
          <w:tcPr>
            <w:shd w:val="clear" w:color="auto" w:fill="auto"/>
            <w:tcW w:w="1752" w:type="dxa"/>
            <w:vAlign w:val="center"/>
            <w:textDirection w:val="lrTb"/>
            <w:noWrap w:val="false"/>
          </w:tcPr>
          <w:p>
            <w:pPr>
              <w:ind w:left="0"/>
              <w:jc w:val="center"/>
              <w:pageBreakBefore w:val="0"/>
              <w:spacing w:line="360" w:lineRule="auto"/>
              <w:rPr>
                <w:rFonts w:hint="eastAsia" w:ascii="宋体" w:hAnsi="宋体" w:eastAsia="宋体" w:cs="宋体"/>
                <w:b/>
                <w:bCs/>
                <w:sz w:val="24"/>
                <w:szCs w:val="24"/>
              </w:rPr>
              <w:outlineLvl w:val="9"/>
            </w:pPr>
            <w:r>
              <w:rPr>
                <w:rFonts w:hint="eastAsia" w:ascii="宋体" w:hAnsi="宋体" w:eastAsia="宋体" w:cs="宋体"/>
                <w:b/>
                <w:bCs/>
                <w:sz w:val="24"/>
                <w:szCs w:val="24"/>
              </w:rPr>
              <w:t xml:space="preserve">功能系统</w:t>
            </w:r>
            <w:r/>
          </w:p>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vAlign w:val="center"/>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b/>
                <w:bCs/>
                <w:sz w:val="24"/>
                <w:szCs w:val="24"/>
              </w:rPr>
              <w:t xml:space="preserve">模块</w:t>
            </w:r>
            <w:r/>
          </w:p>
        </w:tc>
        <w:tc>
          <w:tcPr>
            <w:shd w:val="clear" w:color="auto" w:fill="auto"/>
            <w:tcW w:w="6520" w:type="dxa"/>
            <w:vAlign w:val="center"/>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b/>
                <w:bCs/>
                <w:sz w:val="24"/>
                <w:szCs w:val="24"/>
              </w:rPr>
              <w:t xml:space="preserve">功能要求</w:t>
            </w:r>
            <w:r/>
          </w:p>
        </w:tc>
      </w:tr>
      <w:tr>
        <w:trPr/>
        <w:tc>
          <w:tcPr>
            <w:shd w:val="clear" w:color="auto" w:fill="auto"/>
            <w:tcW w:w="1752" w:type="dxa"/>
            <w:vMerge w:val="restart"/>
            <w:textDirection w:val="lrTb"/>
            <w:noWrap w:val="false"/>
          </w:tcPr>
          <w:p>
            <w:pPr>
              <w:ind w:left="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教学评价系统</w:t>
            </w:r>
            <w:r/>
          </w:p>
        </w:tc>
        <w:tc>
          <w:tcPr>
            <w:shd w:val="clear" w:color="auto" w:fill="auto"/>
            <w:tcW w:w="1728"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基础技术要求</w:t>
            </w:r>
            <w:r/>
          </w:p>
        </w:tc>
        <w:tc>
          <w:tcPr>
            <w:shd w:val="clear" w:color="auto" w:fill="auto"/>
            <w:tcW w:w="6520" w:type="dxa"/>
            <w:textDirection w:val="lrTb"/>
            <w:noWrap w:val="false"/>
          </w:tcPr>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1.支持多维度问卷发放模式，至少包括为：调查问卷、评价教师、评价学生、评价课程、评价课堂、听评课问卷、评课班问卷、督导评价等。实现信息技术与评价过程的深度融合。</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2.系统设计满足大规模用户使用、支持分布式部署，应满足万人在线学习的性能要求。</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3.采用B/S结构，基于J2EE架构，页面采用Web2.0 AJAX开发，不需要另行安装插件就可以支持IE9及以上版本、safari、Firefox、chrome等浏览器。</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4.具有先进性、可移植性、开放性和兼容性，支持标准化多媒体课件。支持随用户使用量的增大而只需增加相应的硬件即可。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支持Web服务器集群。具有安全策略和备份机制，可根据不同的业务要求采用不同的安全措施，保证发生故障时不影响整个系统的正常运行。提供各级数据备份机制能够每天非工作时段定时备份数据库。具有相关策略对知识产权进行保护。</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6.不限注册用户数量，其用户信息、以及排选课信息可与教务系统通过对接方式同步到平台当中，学校信息化课程教学数据也需要对接到平台当中。</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7.角色管理：可建立学生、教师、管理员、督导、校领导、超级管理员等角色，各级管理员也可以根据自身的需求创建角色和为角色指定权限。</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8.权限管理：可为每个导航功能点分配访问、管理等不同的权限，管理员可以批量给用户分配、收回权限，具有权限整体移交功能。</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9.机构和用户管理：管理员可以批量增加、删除、修改组织机构树，可单个、批量增加、删除、修改、查找用户信息。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10.督导管理：可对督导人员进行管理，构建一、二级督导分类，以此来对督导进行分组，可设置组长，管理督导人员；可设置督导任务，督导的听评次数；可设置督导的管理院系范围，方便督导在听课评课时，只获取对应院系范围下的数据；支持下发督导通知，支持添加督促任务。</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11.指标管理：可进行指标库管理，包括指标的增删改查，可单独添加也可批量导入，学校可自主搭建符合学校自身“属性”的指标体系。</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12.听评课报告：支持管理员在后台生成听评课校级报告，对督导领导的听课数据进行汇总分析，生在报告后支持在线编辑，同时支持导出word，报告包括：评价完成情况、教师覆盖情况分析、课程覆盖情况分析、教师教学质量分析、课程质量分析等。</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13.系统建设需与学校教务系统、统一身份认证平台进行对接，方便学校管理及师生使用。</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评价系统基础设置</w:t>
            </w:r>
            <w:r/>
          </w:p>
        </w:tc>
        <w:tc>
          <w:tcPr>
            <w:shd w:val="clear" w:color="auto" w:fill="auto"/>
            <w:tcW w:w="6520" w:type="dxa"/>
            <w:textDirection w:val="lrTb"/>
            <w:noWrap w:val="false"/>
          </w:tcPr>
          <w:p>
            <w:pPr>
              <w:ind w:left="0"/>
              <w:pageBreakBefore w:val="0"/>
              <w:spacing w:line="360" w:lineRule="auto"/>
              <w:rPr>
                <w:rFonts w:hint="eastAsia" w:ascii="宋体" w:hAnsi="宋体" w:eastAsia="宋体" w:cs="宋体"/>
                <w:sz w:val="24"/>
                <w:szCs w:val="24"/>
              </w:rPr>
              <w:outlineLvl w:val="9"/>
            </w:pPr>
            <w:r/>
            <w:bookmarkStart w:id="98" w:name="_Toc10873"/>
            <w:r/>
            <w:bookmarkStart w:id="99" w:name="_Toc1698866074"/>
            <w:r/>
            <w:bookmarkStart w:id="100" w:name="_Toc173148845"/>
            <w:r/>
            <w:bookmarkStart w:id="101" w:name="_Toc3875"/>
            <w:r>
              <w:rPr>
                <w:rFonts w:hint="eastAsia" w:ascii="宋体" w:hAnsi="宋体" w:eastAsia="宋体" w:cs="宋体"/>
                <w:sz w:val="24"/>
                <w:szCs w:val="24"/>
              </w:rPr>
              <w:t xml:space="preserve">1.后台管理模块</w:t>
            </w:r>
            <w:bookmarkEnd w:id="98"/>
            <w:r/>
            <w:bookmarkEnd w:id="99"/>
            <w:r/>
            <w:bookmarkEnd w:id="100"/>
            <w:r/>
            <w:bookmarkEnd w:id="101"/>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管理员登陆后台后，可以进入个人空间或停留在后台处理业务。</w:t>
            </w:r>
            <w:r/>
          </w:p>
          <w:p>
            <w:pPr>
              <w:ind w:left="0"/>
              <w:pageBreakBefore w:val="0"/>
              <w:spacing w:line="360" w:lineRule="auto"/>
              <w:rPr>
                <w:rFonts w:hint="eastAsia" w:ascii="宋体" w:hAnsi="宋体" w:eastAsia="宋体" w:cs="宋体"/>
                <w:sz w:val="24"/>
                <w:szCs w:val="24"/>
              </w:rPr>
              <w:outlineLvl w:val="9"/>
            </w:pPr>
            <w:r/>
            <w:bookmarkStart w:id="102" w:name="_Toc2047018853"/>
            <w:r/>
            <w:bookmarkStart w:id="103" w:name="_Toc6254"/>
            <w:r/>
            <w:bookmarkStart w:id="104" w:name="_Toc27205"/>
            <w:r/>
            <w:bookmarkStart w:id="105" w:name="_Toc173148846"/>
            <w:r>
              <w:rPr>
                <w:rFonts w:hint="eastAsia" w:ascii="宋体" w:hAnsi="宋体" w:eastAsia="宋体" w:cs="宋体"/>
                <w:sz w:val="24"/>
                <w:szCs w:val="24"/>
              </w:rPr>
              <w:t xml:space="preserve">2</w:t>
            </w:r>
            <w:bookmarkEnd w:id="102"/>
            <w:r/>
            <w:bookmarkEnd w:id="103"/>
            <w:r>
              <w:rPr>
                <w:rFonts w:hint="eastAsia" w:ascii="宋体" w:hAnsi="宋体" w:eastAsia="宋体" w:cs="宋体"/>
                <w:sz w:val="24"/>
                <w:szCs w:val="24"/>
              </w:rPr>
              <w:t xml:space="preserve">.系统管理</w:t>
            </w:r>
            <w:bookmarkEnd w:id="104"/>
            <w:r/>
            <w:bookmarkEnd w:id="105"/>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（1）组织机构管理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1）管理员可以新建学校单位下的院系组织机构。</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2）新建部门时需要填写包括部门的名称、部门简介、部门描述的填写，其中部门名称、部门简介是必填内容，部门描述可以由管理员选填。</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3）每个院系部门还可以进行子级的添加，最多可以添加包括一级部门在内的5级子栏目。</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4）包括一级部门机构在内的各级部门栏目都可以进行二次的编辑、删除等工作。</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5）一级部门可以进行顺序的上下移动。</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（2）功能模块管理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管理员可在此模块进行系统功能设置，包括各功能模块增加、编辑、删除、上下排序移动等功能。</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（3）角色权限管理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1）可添加角色名称并为每个角色赋予相关的角色权限设置</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2）可设置每个角色下的人员名单，并为角色下的人员设置管理范围，范围可以是单个院系也可以是多个院系。</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（4）管理员账号管理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1）可添加系统管理员账号，通过添加账号、姓名、所属学院、手机等进行添加。</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2）可以配置管理员的管理范围，包括院系、教研室、问卷等。</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3）可对已有的账号进行编辑，删除等操作。</w:t>
            </w:r>
            <w:r/>
          </w:p>
          <w:p>
            <w:pPr>
              <w:ind w:left="0"/>
              <w:pageBreakBefore w:val="0"/>
              <w:spacing w:line="360" w:lineRule="auto"/>
              <w:rPr>
                <w:rFonts w:hint="eastAsia" w:ascii="宋体" w:hAnsi="宋体" w:eastAsia="宋体" w:cs="宋体"/>
                <w:sz w:val="24"/>
                <w:szCs w:val="24"/>
              </w:rPr>
              <w:outlineLvl w:val="9"/>
            </w:pPr>
            <w:r/>
            <w:bookmarkStart w:id="106" w:name="_Toc173148847"/>
            <w:r/>
            <w:bookmarkStart w:id="107" w:name="_Toc15915"/>
            <w:r/>
            <w:bookmarkStart w:id="108" w:name="_Toc1557837431"/>
            <w:r/>
            <w:bookmarkStart w:id="109" w:name="_Toc8164"/>
            <w:r>
              <w:rPr>
                <w:rFonts w:hint="eastAsia" w:ascii="宋体" w:hAnsi="宋体" w:eastAsia="宋体" w:cs="宋体"/>
                <w:sz w:val="24"/>
                <w:szCs w:val="24"/>
              </w:rPr>
              <w:t xml:space="preserve">3.基础数据管理</w:t>
            </w:r>
            <w:bookmarkEnd w:id="106"/>
            <w:r/>
            <w:bookmarkEnd w:id="107"/>
            <w:r/>
            <w:bookmarkEnd w:id="108"/>
            <w:r/>
            <w:bookmarkEnd w:id="109"/>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（1）课程管理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1）可添加评价工作所需课程信息，添加字段包括课程名称、课程代码、课程类型、所属院系、简介。</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2）可对已添加的课程信息进行编辑以及删除操作。</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3）可批量导入课程，通过系统自带模板批量导入课程信息。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（2）教师管理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1）可添加系统所需教师账号信息。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2）可对已添加教师信息进行编辑、删除操作。</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color w:val="000000" w:themeColor="text1"/>
                <w:sz w:val="24"/>
                <w:szCs w:val="24"/>
                <w14:textFill>
                  <w14:solidFill>
                    <w14:schemeClr w14:val="tx1"/>
                  </w14:solidFill>
                </w14:textFill>
              </w:rPr>
              <w:t xml:space="preserve">3）可一键同步系统对应的网络教学平台上的教师</w:t>
            </w:r>
            <w:r>
              <w:rPr>
                <w:rFonts w:hint="eastAsia" w:ascii="宋体" w:hAnsi="宋体" w:eastAsia="宋体" w:cs="宋体"/>
                <w:sz w:val="24"/>
                <w:szCs w:val="24"/>
              </w:rPr>
              <w:t xml:space="preserve">数据。</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4）可对教师类型进行管理，可添加教师类型，对添加完成的教师类型进行编辑与删除。</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5）可批量导入教师数据，通过系统自带模板批量导入教师信息。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（3）学生管理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1）可添加系统所需学生账号信息。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2）可对已添加学生信息进行编辑、删除。</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3）可一键同步系统对应的网络教学平台上的学生数据。</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4）可批量导入学生数据，通过系统自带模板批量导入学生信息。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（4）学期管理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可添加对应学期，进行系统分类管理，可设置学期开始时间，结束时间以及可设置任一学期为系统当前学期。</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（5）年级管理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可添加对应年级，进行系统分类管理，可设置年级名称，入学时间以及对应学期。</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（6）教师排课表管理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可对接学校教务系统，并对接教师的排课表，可一键查询教师排课信息，方便督导员进行听评课选择。</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（7）学生选课表管理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支持批量导出学生选课信息，也支持根据学生名单和教师排课表，自动生成学生选课表。</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（8）督导管理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1）可对督导人员进行管理，构建一二级督导分类，以此来对督导进行分组，可设置组长；管理二级分类下的督导名单，可选择添加已有账号为督导，包括：“管理员、教师、学生”等多个数据来源。</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设置督导的管理院系范围，方便督导在听课评课时，只获取对应院系范围下的数据，管理范围可分为三种维度设置：教师所属院系，课程所属院系，课程名称；可设置督导的听课次数，方便督导在评课时查看自己本学期的听课安排，以及进行各院系、及督导个人听课完成率的统计。</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（3）班主任/辅导员管理</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可以单个或批量指定班级的班主任或辅导员，班主任或辅导员可查看负责班级的评价进度，从而督促本班学生参与评价。</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10" w:name="_Toc13865"/>
            <w:r/>
            <w:bookmarkStart w:id="111" w:name="_Toc21350"/>
            <w:r/>
            <w:bookmarkStart w:id="112" w:name="_Toc1739"/>
            <w:r/>
            <w:bookmarkStart w:id="113" w:name="_Toc173148848"/>
            <w:r>
              <w:rPr>
                <w:rFonts w:hint="eastAsia" w:ascii="宋体" w:hAnsi="宋体" w:eastAsia="宋体" w:cs="宋体"/>
                <w:b w:val="0"/>
                <w:sz w:val="24"/>
                <w:szCs w:val="24"/>
              </w:rPr>
              <w:t xml:space="preserve">听评课管理</w:t>
            </w:r>
            <w:bookmarkEnd w:id="110"/>
            <w:r/>
            <w:bookmarkEnd w:id="111"/>
            <w:r/>
            <w:bookmarkEnd w:id="112"/>
            <w:r/>
            <w:bookmarkEnd w:id="113"/>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pageBreakBefore w:val="0"/>
              <w:spacing w:line="360" w:lineRule="auto"/>
              <w:rPr>
                <w:rFonts w:hint="eastAsia" w:ascii="宋体" w:hAnsi="宋体" w:eastAsia="宋体" w:cs="宋体"/>
                <w:sz w:val="24"/>
                <w:szCs w:val="24"/>
                <w:highlight w:val="none"/>
              </w:rPr>
              <w:outlineLvl w:val="9"/>
            </w:pPr>
            <w:r/>
            <w:bookmarkStart w:id="114" w:name="_Toc173148849"/>
            <w:r/>
            <w:bookmarkStart w:id="115" w:name="_Toc9572"/>
            <w:r>
              <w:rPr>
                <w:rFonts w:hint="eastAsia" w:ascii="宋体" w:hAnsi="宋体" w:eastAsia="宋体" w:cs="宋体"/>
                <w:sz w:val="24"/>
                <w:szCs w:val="24"/>
                <w:highlight w:val="none"/>
              </w:rPr>
              <w:t xml:space="preserve">1.全局设置</w:t>
            </w:r>
            <w:bookmarkEnd w:id="114"/>
            <w:r/>
            <w:bookmarkEnd w:id="115"/>
            <w:r/>
            <w:r/>
          </w:p>
          <w:p>
            <w:pPr>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（1）支持管理员在后台设置教师被听评次数上限，以“教师+课程”为单位设置被听评次数上限，管理员可自主设定上限值，“大于等于”上限值后用户将无法对其进行评价。</w:t>
            </w:r>
            <w:r/>
          </w:p>
          <w:p>
            <w:pPr>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（2）支持设置督导巡课观看课堂视频时长，在观看规定时长以后才可以对课堂进行问卷评。</w:t>
            </w:r>
            <w:r/>
          </w:p>
          <w:p>
            <w:pPr>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（3）支持设置评价人查看被评人课程的评价次数只统计到同学院的评价。</w:t>
            </w:r>
            <w:r/>
          </w:p>
          <w:p>
            <w:pPr>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（4）支持设置被评次数与校验评价人身份，开启后评价人在选择课程页面查看被评对象的被评次数时只计入评价人身份为督导的评价。</w:t>
            </w:r>
            <w:r/>
          </w:p>
          <w:p>
            <w:pPr>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（5）支持设置导出的评价记录携是否携带水印。</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（6）支持设置新教工课程，根据教师的入职时间，系统自行核算，判断在职时长"小于"X年的为新教师，此时该教师的课程将被标记为新教工课程。</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（7）支持区分角色，开启此设置项后，评价人每次进入评课应用都需要先选择角色，选择角色后将展示对应角色的待评数据及评课问卷。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（8）支持允许督导撤回评价，根据设置的天数，允许督导撤回X天内的评价记录。</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（9）支持设置教师是否收到被评通知，开启此设置项后，教师被听评记录均会在系统收件箱收到通知。</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（10）支持设置是否开启“直播课堂”，开启此设置向后可在督导听评课应用内跳转直播课堂页面。</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（11）支持设置教师资源上传的规定时间，不在时间范围内无法上传。</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（12）支持设置问卷简答题是否只允许拍照上传图片，不允许从手机相册上传图片。</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（13）支持为评价人设置在被评课开课前，提前为评价人发送提醒通知的时间。</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（14）支持设置被评教师邀请评价教师听课的维度，开启后评价人在邀请我听页面按照已勾选的维度查看指派和邀请。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（15）支持设置巡课的课程数据展示字段，可根据情况勾选，勾选设置项后，评价人在选择课程页面仅展示已勾选的字段信息及筛选项。</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（16）支持设置巡课界面是否显示水印。</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（17）支持为评价人设置是否允许查看课程回放，开启此设置项后，支持评价人查看课程回放，关闭则不允许查看课程回放。</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（18）支持设置移动端是否允许查看，开启此设置项后，移动端允许查看直播/录播，关闭则不允许查看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移动端</w:t>
            </w:r>
            <w:r>
              <w:rPr>
                <w:rFonts w:hint="eastAsia" w:ascii="宋体" w:hAnsi="宋体" w:eastAsia="宋体" w:cs="宋体"/>
                <w:sz w:val="24"/>
                <w:szCs w:val="24"/>
                <w:highlight w:val="none"/>
                <w:lang w:val="en-US" w:eastAsia="zh-CN"/>
              </w:rPr>
              <w:t xml:space="preserve">根据学校要求</w:t>
            </w:r>
            <w:r>
              <w:rPr>
                <w:rFonts w:hint="eastAsia" w:ascii="宋体" w:hAnsi="宋体" w:eastAsia="宋体" w:cs="宋体"/>
                <w:sz w:val="24"/>
                <w:szCs w:val="24"/>
                <w:highlight w:val="none"/>
              </w:rPr>
              <w:t xml:space="preserve">限制校内查看。</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（19）支持设置评价人在移动端查看课程时，是否能查看到教师上传的课程资源。</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（20）支持设置为评价人在个人空间选择课程页面是否可以看到“校区”。</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（21）支持设置评价人评课页面是否显示职称字段。</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（22）支持设置评价人在个人空间选择课程页面是否展示“查看线上课”字段。</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（23）支持设置评价人在听评课列表页面是否看查看“查看教学大纲”字段。</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（24）支持设置对评价人在作答主观题时输入内容是否存在敏感词的校验，开启后评价人在作答主观题时输入包含敏感词限制的词汇内容时会提示“输入内容违规，请重新输入”。</w:t>
            </w:r>
            <w:r/>
          </w:p>
          <w:p>
            <w:pPr>
              <w:ind w:left="0"/>
              <w:pageBreakBefore w:val="0"/>
              <w:spacing w:line="360" w:lineRule="auto"/>
              <w:rPr>
                <w:rFonts w:hint="eastAsia" w:ascii="宋体" w:hAnsi="宋体" w:eastAsia="宋体" w:cs="宋体"/>
                <w:sz w:val="24"/>
                <w:szCs w:val="24"/>
                <w:highlight w:val="none"/>
              </w:rPr>
              <w:outlineLvl w:val="9"/>
            </w:pPr>
            <w:r/>
            <w:bookmarkStart w:id="116" w:name="_Toc20447"/>
            <w:r/>
            <w:bookmarkStart w:id="117" w:name="_Toc173148850"/>
            <w:r>
              <w:rPr>
                <w:rFonts w:hint="eastAsia" w:ascii="宋体" w:hAnsi="宋体" w:eastAsia="宋体" w:cs="宋体"/>
                <w:sz w:val="24"/>
                <w:szCs w:val="24"/>
                <w:highlight w:val="none"/>
              </w:rPr>
              <w:t xml:space="preserve">2.重点课程</w:t>
            </w:r>
            <w:bookmarkEnd w:id="116"/>
            <w:r/>
            <w:bookmarkEnd w:id="117"/>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支持管理员在后台设置重点课程名单，设置完成后督导评课页面，对应的课程将被标记为重点课程。</w:t>
            </w:r>
            <w:r/>
          </w:p>
          <w:p>
            <w:pPr>
              <w:ind w:left="0"/>
              <w:pageBreakBefore w:val="0"/>
              <w:spacing w:line="360" w:lineRule="auto"/>
              <w:rPr>
                <w:rFonts w:hint="eastAsia" w:ascii="宋体" w:hAnsi="宋体" w:eastAsia="宋体" w:cs="宋体"/>
                <w:sz w:val="24"/>
                <w:szCs w:val="24"/>
                <w:highlight w:val="none"/>
              </w:rPr>
              <w:outlineLvl w:val="9"/>
            </w:pPr>
            <w:r/>
            <w:bookmarkStart w:id="118" w:name="_Toc173148851"/>
            <w:r/>
            <w:bookmarkStart w:id="119" w:name="_Toc11912"/>
            <w:r>
              <w:rPr>
                <w:rFonts w:hint="eastAsia" w:ascii="宋体" w:hAnsi="宋体" w:eastAsia="宋体" w:cs="宋体"/>
                <w:sz w:val="24"/>
                <w:szCs w:val="24"/>
                <w:highlight w:val="none"/>
              </w:rPr>
              <w:t xml:space="preserve">3.提交反馈</w:t>
            </w:r>
            <w:bookmarkEnd w:id="118"/>
            <w:r/>
            <w:bookmarkEnd w:id="119"/>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支持教师在查看个人被评记录后提交反馈，管理员可在后台查看反馈记录。</w:t>
            </w:r>
            <w:r/>
          </w:p>
          <w:p>
            <w:pPr>
              <w:ind w:left="0"/>
              <w:pageBreakBefore w:val="0"/>
              <w:spacing w:line="360" w:lineRule="auto"/>
              <w:rPr>
                <w:rFonts w:hint="eastAsia" w:ascii="宋体" w:hAnsi="宋体" w:eastAsia="宋体" w:cs="宋体"/>
                <w:sz w:val="24"/>
                <w:szCs w:val="24"/>
                <w:highlight w:val="none"/>
              </w:rPr>
              <w:outlineLvl w:val="9"/>
            </w:pPr>
            <w:r/>
            <w:bookmarkStart w:id="120" w:name="_Toc173148852"/>
            <w:r/>
            <w:bookmarkStart w:id="121" w:name="_Toc25968"/>
            <w:r>
              <w:rPr>
                <w:rFonts w:hint="eastAsia" w:ascii="宋体" w:hAnsi="宋体" w:eastAsia="宋体" w:cs="宋体"/>
                <w:sz w:val="24"/>
                <w:szCs w:val="24"/>
                <w:highlight w:val="none"/>
              </w:rPr>
              <w:t xml:space="preserve">4.听评课问卷填写详情</w:t>
            </w:r>
            <w:bookmarkEnd w:id="120"/>
            <w:r/>
            <w:bookmarkEnd w:id="121"/>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支持在同一页面查看本学期全部听评课问卷的作答记录。支持设置管理范围的查看维度，包括督导所属院系、课程所属院系以及教师所属院系。支持隐藏督导个人信息。支持向被评教师下发整改任务。</w:t>
            </w:r>
            <w:r/>
          </w:p>
          <w:p>
            <w:pPr>
              <w:ind w:left="0"/>
              <w:pageBreakBefore w:val="0"/>
              <w:spacing w:line="360" w:lineRule="auto"/>
              <w:rPr>
                <w:rFonts w:hint="eastAsia" w:ascii="宋体" w:hAnsi="宋体" w:eastAsia="宋体" w:cs="宋体"/>
                <w:sz w:val="24"/>
                <w:szCs w:val="24"/>
                <w:highlight w:val="none"/>
              </w:rPr>
              <w:outlineLvl w:val="9"/>
            </w:pPr>
            <w:r/>
            <w:bookmarkStart w:id="122" w:name="_Toc16511"/>
            <w:r/>
            <w:bookmarkStart w:id="123" w:name="_Toc173148853"/>
            <w:r>
              <w:rPr>
                <w:rFonts w:hint="eastAsia" w:ascii="宋体" w:hAnsi="宋体" w:eastAsia="宋体" w:cs="宋体"/>
                <w:sz w:val="24"/>
                <w:szCs w:val="24"/>
                <w:highlight w:val="none"/>
              </w:rPr>
              <w:t xml:space="preserve">5.听评课反馈</w:t>
            </w:r>
            <w:bookmarkEnd w:id="122"/>
            <w:r/>
            <w:bookmarkEnd w:id="123"/>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支持设置是否允许被评对象向管理员反馈评价意见；开启后被评对象可在被评记录页面提交反馈，管理员可在后台查看反馈详情。</w:t>
            </w:r>
            <w:r/>
          </w:p>
          <w:p>
            <w:pPr>
              <w:ind w:left="0"/>
              <w:pageBreakBefore w:val="0"/>
              <w:spacing w:line="360" w:lineRule="auto"/>
              <w:rPr>
                <w:rFonts w:hint="eastAsia" w:ascii="宋体" w:hAnsi="宋体" w:eastAsia="宋体" w:cs="宋体"/>
                <w:sz w:val="24"/>
                <w:szCs w:val="24"/>
                <w:highlight w:val="none"/>
              </w:rPr>
              <w:outlineLvl w:val="9"/>
            </w:pPr>
            <w:r/>
            <w:bookmarkStart w:id="124" w:name="_Toc1711"/>
            <w:r/>
            <w:bookmarkStart w:id="125" w:name="_Toc173148854"/>
            <w:r>
              <w:rPr>
                <w:rFonts w:hint="eastAsia" w:ascii="宋体" w:hAnsi="宋体" w:eastAsia="宋体" w:cs="宋体"/>
                <w:sz w:val="24"/>
                <w:szCs w:val="24"/>
                <w:highlight w:val="none"/>
              </w:rPr>
              <w:t xml:space="preserve">6.整改任务详情</w:t>
            </w:r>
            <w:bookmarkEnd w:id="124"/>
            <w:r/>
            <w:bookmarkEnd w:id="125"/>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支持查看教师提交的整改任务材料；支持查看教师的整改任务进行状态。</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7.学评课</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（1）支持设置评价人是否可以撤销评价，开启此设置项后，评价人可以撤销进行中且已作答的问卷，关闭此设置项，则评价人不能撤销问卷，同时系统默认为开启状态。</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（2）支持评价人问卷列表的待评问卷是否随机排列。</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（3）支持为评价人设置在完成评教后是否自动进入到新的未评教记录中进行评教。</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8.分数区间设置</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支持设置不同等级和分数对评价得分的区间划分。</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9.理想评分分布状态设置</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支持设置以正态分布形式展示督导评分的理想状态，管理员可自主设定相关参数，此参数对应的正态分布将作为督导评分数据的对比参照。</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10.签名记录</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支持设置评价人在问卷作答页面是否上传的手写签名，开启此设置项后，评价人在问卷作答页面上传的手写签名会保存至该评价人下次作答时页面。</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26" w:name="_Toc23274"/>
            <w:r/>
            <w:bookmarkStart w:id="127" w:name="_Toc453078593"/>
            <w:r/>
            <w:bookmarkStart w:id="128" w:name="_Toc23051"/>
            <w:r/>
            <w:bookmarkStart w:id="129" w:name="_Toc26159"/>
            <w:r/>
            <w:bookmarkStart w:id="130" w:name="_Toc173148855"/>
            <w:r/>
            <w:bookmarkStart w:id="131" w:name="_Toc27124"/>
            <w:r>
              <w:rPr>
                <w:rFonts w:hint="eastAsia" w:ascii="宋体" w:hAnsi="宋体" w:eastAsia="宋体" w:cs="宋体"/>
                <w:b w:val="0"/>
                <w:sz w:val="24"/>
                <w:szCs w:val="24"/>
              </w:rPr>
              <w:t xml:space="preserve">评价</w:t>
            </w:r>
            <w:bookmarkEnd w:id="126"/>
            <w:r/>
            <w:bookmarkEnd w:id="127"/>
            <w:r>
              <w:rPr>
                <w:rFonts w:hint="eastAsia" w:ascii="宋体" w:hAnsi="宋体" w:eastAsia="宋体" w:cs="宋体"/>
                <w:b w:val="0"/>
                <w:sz w:val="24"/>
                <w:szCs w:val="24"/>
              </w:rPr>
              <w:t xml:space="preserve">问卷建设与发放</w:t>
            </w:r>
            <w:bookmarkEnd w:id="128"/>
            <w:r/>
            <w:bookmarkEnd w:id="129"/>
            <w:r/>
            <w:bookmarkEnd w:id="130"/>
            <w:r/>
            <w:bookmarkEnd w:id="131"/>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pageBreakBefore w:val="0"/>
              <w:spacing w:line="360" w:lineRule="auto"/>
              <w:rPr>
                <w:rFonts w:hint="eastAsia" w:ascii="宋体" w:hAnsi="宋体" w:eastAsia="宋体" w:cs="宋体"/>
                <w:sz w:val="24"/>
                <w:szCs w:val="24"/>
                <w:highlight w:val="none"/>
              </w:rPr>
              <w:outlineLvl w:val="9"/>
            </w:pPr>
            <w:r/>
            <w:bookmarkStart w:id="132" w:name="_Toc173148856"/>
            <w:r/>
            <w:bookmarkStart w:id="133" w:name="_Toc10965"/>
            <w:r>
              <w:rPr>
                <w:rFonts w:hint="eastAsia" w:ascii="宋体" w:hAnsi="宋体" w:eastAsia="宋体" w:cs="宋体"/>
                <w:sz w:val="24"/>
                <w:szCs w:val="24"/>
                <w:highlight w:val="none"/>
              </w:rPr>
              <w:t xml:space="preserve">1.指标管理</w:t>
            </w:r>
            <w:bookmarkEnd w:id="132"/>
            <w:r/>
            <w:bookmarkEnd w:id="133"/>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可以新建评价指标，支持单个添加或批量导入，可以对指标进行分类。指标题型包括单选、多选、填空、简答、打分题、星级评定题、量表题、滑动题等题型，其中单选题多选题支持添加其他选项，作答人可自行填写选项答案。可以根据指标内容选择题型，并添加指标标题和具体内容，每个指标内不同选项可对应不同分值。</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（2）支持对已建指标进行编辑、删除、查找等操作。</w:t>
            </w:r>
            <w:r/>
          </w:p>
          <w:p>
            <w:pPr>
              <w:ind w:left="0"/>
              <w:pageBreakBefore w:val="0"/>
              <w:spacing w:line="360" w:lineRule="auto"/>
              <w:rPr>
                <w:rFonts w:hint="eastAsia" w:ascii="宋体" w:hAnsi="宋体" w:eastAsia="宋体" w:cs="宋体"/>
                <w:sz w:val="24"/>
                <w:szCs w:val="24"/>
                <w:highlight w:val="none"/>
              </w:rPr>
              <w:outlineLvl w:val="9"/>
            </w:pPr>
            <w:r/>
            <w:bookmarkStart w:id="134" w:name="_Toc173148857"/>
            <w:r/>
            <w:bookmarkStart w:id="135" w:name="_Toc17300"/>
            <w:r>
              <w:rPr>
                <w:rFonts w:hint="eastAsia" w:ascii="宋体" w:hAnsi="宋体" w:eastAsia="宋体" w:cs="宋体"/>
                <w:sz w:val="24"/>
                <w:szCs w:val="24"/>
                <w:highlight w:val="none"/>
              </w:rPr>
              <w:t xml:space="preserve">2.问卷管理</w:t>
            </w:r>
            <w:bookmarkEnd w:id="134"/>
            <w:r/>
            <w:bookmarkEnd w:id="135"/>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（1）学校可自主搭建不同的指标体系。支持新建问卷，支持输入标题、分类、说明信息，添加指标模块名称，比如：教师师德、教学效果等，可以在每个指标模块下直接录入子指标，或直接从指标库添加指标。</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（2）系统提供预设指标库，支持直接从预设指标库中选择指标组合问卷。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（3）支持对已有问卷进行编辑、预览、删除以及复制等操作。</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（4）可对问卷类型进行定义，例如：评教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评学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活动反馈等等。</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（5）可对问卷中指标设置指标权重，达到不同指标在问卷中权重不同的效果。</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（6）可对问卷设置使用权限，开启后院级管理员也可以使用该问卷。</w:t>
            </w:r>
            <w:r/>
          </w:p>
          <w:p>
            <w:pPr>
              <w:ind w:left="0"/>
              <w:pageBreakBefore w:val="0"/>
              <w:spacing w:line="360" w:lineRule="auto"/>
              <w:rPr>
                <w:rFonts w:hint="eastAsia" w:ascii="宋体" w:hAnsi="宋体" w:eastAsia="宋体" w:cs="宋体"/>
                <w:sz w:val="24"/>
                <w:szCs w:val="24"/>
                <w:highlight w:val="none"/>
              </w:rPr>
              <w:outlineLvl w:val="9"/>
            </w:pPr>
            <w:r/>
            <w:bookmarkStart w:id="136" w:name="_Toc21735"/>
            <w:r/>
            <w:bookmarkStart w:id="137" w:name="_Toc173148858"/>
            <w:r>
              <w:rPr>
                <w:rFonts w:hint="eastAsia" w:ascii="宋体" w:hAnsi="宋体" w:eastAsia="宋体" w:cs="宋体"/>
                <w:sz w:val="24"/>
                <w:szCs w:val="24"/>
                <w:highlight w:val="none"/>
              </w:rPr>
              <w:t xml:space="preserve">3，评价问卷发放管理</w:t>
            </w:r>
            <w:bookmarkEnd w:id="136"/>
            <w:r/>
            <w:bookmarkEnd w:id="137"/>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（1）问卷发放方式</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问卷发放支持多种方式及业务，至少包括为：公开问卷、评价教师、评价学生、评价课程、评价课堂、听评课问卷、评课班问卷；发放督导评教问卷时可选择某个或者某几个督导分类进行定向投放，也可以选择具体的几位督导进行投放。</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1）发放调查问卷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问卷发放成功后，自动生成的二维码及链接，支持发到微信群聊或者朋友圈，所有的人都可以提交评价。支持设置单一设备的作答次数上限；支持查看问卷的被评价情况，包括问卷的平均分、已评人数、以及问卷各指标选项的被提交占比。支持导出EXCEL和WORD两种格式的结果文档。</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2）评价教师</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支持教师自评、同行互评、学生评价、管理员评价等多种场景，管理员可自定义选择评价人和被评价人，也可以根据学生选表数据生成评价关系。同行评价支持教师随机互评，可自定义设置每人被评次数。</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3）评价学生</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支持按人评价和按班级评价，评价方式支持学生自评、学生随机互评、教师评价、管理员评价。管理员可自定义选择评价人和被评价人，也可以根据学生选表数据生成评价关系。</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4）评价课程</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支持选课学生评价课程、自选学生评价课程、教师评价课程和管理员评价课程等几种方式；可以绑定“课程—教师”关系，以“课程—教师”为被评对象进行学生评价、教师评价和管理员评价。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5）评价课堂</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支持学生随堂评价教师，根据课程表上课时间，在每堂课结束后自动发放问卷；支持学生按照课程周期评价教师，管理员可自定义课程时间阶段设置问卷发放， 比如设置当课程学时完成20%和40%时，系统自动发放评价问卷；支持课程开始后随机发放问卷，可根据选课表上的时间，设置随机发放次数。以上方式都能够查询添和批量添加被评教师，设置每份问卷作答的有效期，或设置问卷当天有效，有效日期截止到当天的24:00。</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6）督导评价</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支持督导、领导、同行教师对教师的课堂进行听评课。可搜索添加某个督导或直接添加某个分类下的督导人员；同行听评课权限可设置同院系、跨院系、全部院系。</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7）评价课班</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支持选课学生评价教学班。</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（2）问卷发放设置</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1）问卷发放时间：可自定义设置问卷的发放时间及截止时间。</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2）问卷过滤设置：支持去掉评价的最高分及最低分，可自定义设置去掉的占比。</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问卷隐私设置：支持设置是否允许被评对象查看评价结果，是否允许评价成员查看评价统计。支持评价成员匿名评价，仅问卷创建者可以查看评价人信息，被评对象和评价人、其他类型人员查看评价结果时匿名。</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4）问卷提交设置：移动端提交评价时支持定位评价人；支持限定评价人在某一分数区间的作答比例；支持限定评价人提交的A选项最大个数。</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5）教师预警：教师综合得分低于某个分值时，系统可自动给教师发放预警通知； </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支持针对单个指标设置预警标准。</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（3）已发放问卷设置更改</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1）支持发放时间更改。支持对已发放问卷重新设定时间，管理员可随时自主延长或缩短问卷的“截止时间”，问卷的状态也会随时间而变化（进行中、已结束等）。</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2）支持评价设置更改：管理员可对已发放问卷的设置进行重新设定。</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3）通知设置：支持对问卷中的被评对象、全部评价人或未评评价人发放自定义通知。</w:t>
            </w:r>
            <w:r/>
          </w:p>
        </w:tc>
      </w:tr>
      <w:tr>
        <w:trPr>
          <w:trHeight w:val="4610"/>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38" w:name="_Toc2062383936"/>
            <w:r/>
            <w:bookmarkStart w:id="139" w:name="_Toc21663"/>
            <w:r/>
            <w:bookmarkStart w:id="140" w:name="_Toc4490"/>
            <w:r/>
            <w:bookmarkStart w:id="141" w:name="_Toc22432"/>
            <w:r/>
            <w:bookmarkStart w:id="142" w:name="_Toc173148859"/>
            <w:r/>
            <w:bookmarkStart w:id="143" w:name="_Toc1323"/>
            <w:r>
              <w:rPr>
                <w:rFonts w:hint="eastAsia" w:ascii="宋体" w:hAnsi="宋体" w:eastAsia="宋体" w:cs="宋体"/>
                <w:b w:val="0"/>
                <w:sz w:val="24"/>
                <w:szCs w:val="24"/>
              </w:rPr>
              <w:t xml:space="preserve">师生</w:t>
            </w:r>
            <w:bookmarkEnd w:id="138"/>
            <w:r/>
            <w:bookmarkEnd w:id="139"/>
            <w:r>
              <w:rPr>
                <w:rFonts w:hint="eastAsia" w:ascii="宋体" w:hAnsi="宋体" w:eastAsia="宋体" w:cs="宋体"/>
                <w:b w:val="0"/>
                <w:sz w:val="24"/>
                <w:szCs w:val="24"/>
              </w:rPr>
              <w:t xml:space="preserve">评价</w:t>
            </w:r>
            <w:bookmarkEnd w:id="140"/>
            <w:r/>
            <w:bookmarkEnd w:id="141"/>
            <w:r/>
            <w:bookmarkEnd w:id="142"/>
            <w:r/>
            <w:bookmarkEnd w:id="143"/>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pageBreakBefore w:val="0"/>
              <w:spacing w:line="360" w:lineRule="auto"/>
              <w:rPr>
                <w:rFonts w:hint="eastAsia" w:ascii="宋体" w:hAnsi="宋体" w:eastAsia="宋体" w:cs="宋体"/>
                <w:sz w:val="24"/>
                <w:szCs w:val="24"/>
              </w:rPr>
              <w:outlineLvl w:val="9"/>
            </w:pPr>
            <w:r/>
            <w:bookmarkStart w:id="144" w:name="_Toc8919"/>
            <w:r/>
            <w:bookmarkStart w:id="145" w:name="_Toc173148860"/>
            <w:r>
              <w:rPr>
                <w:rFonts w:hint="eastAsia" w:ascii="宋体" w:hAnsi="宋体" w:eastAsia="宋体" w:cs="宋体"/>
                <w:sz w:val="24"/>
                <w:szCs w:val="24"/>
              </w:rPr>
              <w:t xml:space="preserve">1.评价问卷填写</w:t>
            </w:r>
            <w:bookmarkEnd w:id="144"/>
            <w:r/>
            <w:bookmarkEnd w:id="145"/>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（1）教师和学生在个人空间中，可看到个人相关的评价任务信息，可通过评价类型、评价任务状态、评价开始时间、结束时间、评价任务的标题等关键词进行搜索查看对应的评价任务。</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（2）评价问卷填写时，可以暂时保存评价内容或直接提交。</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完成评价后，用户可查看对应评价问卷的结果，评价结果包括用户个人的评价平均分、整张评价问卷的平均分以及已经参评的对象的信息，可查看问卷中每道题的个人回答情况以及全部评价对象的回答情况，如果是选择题可看到每道题的选择情况，打分题可以看到每道题的平均分信息。</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（4）教师和学生可查看自己的被评记录，包括被评问卷的详情，每道题评价情况以及评价结果统计。</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（5）评价终端支持移动端和</w:t>
            </w:r>
            <w:r>
              <w:rPr>
                <w:rFonts w:hint="eastAsia" w:ascii="宋体" w:hAnsi="宋体" w:cs="宋体"/>
                <w:sz w:val="24"/>
                <w:szCs w:val="24"/>
                <w:lang w:val="en-US" w:eastAsia="zh-CN"/>
              </w:rPr>
              <w:t xml:space="preserve">PC</w:t>
            </w:r>
            <w:r>
              <w:rPr>
                <w:rFonts w:hint="eastAsia" w:ascii="宋体" w:hAnsi="宋体" w:eastAsia="宋体" w:cs="宋体"/>
                <w:sz w:val="24"/>
                <w:szCs w:val="24"/>
              </w:rPr>
              <w:t xml:space="preserve">端，且数据互通。</w:t>
            </w:r>
            <w:r/>
          </w:p>
          <w:p>
            <w:pPr>
              <w:ind w:left="0"/>
              <w:pageBreakBefore w:val="0"/>
              <w:spacing w:line="360" w:lineRule="auto"/>
              <w:rPr>
                <w:rFonts w:hint="eastAsia" w:ascii="宋体" w:hAnsi="宋体" w:eastAsia="宋体" w:cs="宋体"/>
                <w:sz w:val="24"/>
                <w:szCs w:val="24"/>
              </w:rPr>
              <w:outlineLvl w:val="9"/>
            </w:pPr>
            <w:r/>
            <w:bookmarkStart w:id="146" w:name="_Toc27864"/>
            <w:r/>
            <w:bookmarkStart w:id="147" w:name="_Toc173148861"/>
            <w:r>
              <w:rPr>
                <w:rFonts w:hint="eastAsia" w:ascii="宋体" w:hAnsi="宋体" w:eastAsia="宋体" w:cs="宋体"/>
                <w:sz w:val="24"/>
                <w:szCs w:val="24"/>
              </w:rPr>
              <w:t xml:space="preserve">2.教师被评报告</w:t>
            </w:r>
            <w:bookmarkEnd w:id="146"/>
            <w:r/>
            <w:bookmarkEnd w:id="147"/>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教师可在PC端个人空间及移动端查看被评报告，包括教师个人得分、全校教师平均分、院系排名、全校排名、课堂得分对比、课程得分对比、指标得分对比、教师优良率统计、多学期指标得分对比等</w:t>
            </w:r>
            <w:r/>
          </w:p>
          <w:p>
            <w:pPr>
              <w:ind w:left="0"/>
              <w:pageBreakBefore w:val="0"/>
              <w:spacing w:line="360" w:lineRule="auto"/>
              <w:rPr>
                <w:rFonts w:hint="eastAsia" w:ascii="宋体" w:hAnsi="宋体" w:eastAsia="宋体" w:cs="宋体"/>
                <w:sz w:val="24"/>
                <w:szCs w:val="24"/>
              </w:rPr>
              <w:outlineLvl w:val="9"/>
            </w:pPr>
            <w:r/>
            <w:bookmarkStart w:id="148" w:name="_Toc173148862"/>
            <w:r/>
            <w:bookmarkStart w:id="149" w:name="_Toc23158"/>
            <w:r>
              <w:rPr>
                <w:rFonts w:hint="eastAsia" w:ascii="宋体" w:hAnsi="宋体" w:eastAsia="宋体" w:cs="宋体"/>
                <w:sz w:val="24"/>
                <w:szCs w:val="24"/>
              </w:rPr>
              <w:t xml:space="preserve">3.评价过程监控</w:t>
            </w:r>
            <w:bookmarkEnd w:id="148"/>
            <w:r/>
            <w:bookmarkEnd w:id="149"/>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支持在系统上直接查看评价进程，可按照评价人、班级、院系不同维度查询，包括应答问卷次数、已答问卷次数、已答率，支持一键导出。</w:t>
            </w:r>
            <w:r/>
          </w:p>
          <w:p>
            <w:pPr>
              <w:ind w:left="0"/>
              <w:pageBreakBefore w:val="0"/>
              <w:spacing w:line="360" w:lineRule="auto"/>
              <w:rPr>
                <w:rFonts w:hint="eastAsia" w:ascii="宋体" w:hAnsi="宋体" w:eastAsia="宋体" w:cs="宋体"/>
                <w:sz w:val="24"/>
                <w:szCs w:val="24"/>
              </w:rPr>
              <w:outlineLvl w:val="9"/>
            </w:pPr>
            <w:r/>
            <w:bookmarkStart w:id="150" w:name="_Toc173148863"/>
            <w:r/>
            <w:bookmarkStart w:id="151" w:name="_Toc20653"/>
            <w:r>
              <w:rPr>
                <w:rFonts w:hint="eastAsia" w:ascii="宋体" w:hAnsi="宋体" w:eastAsia="宋体" w:cs="宋体"/>
                <w:sz w:val="24"/>
                <w:szCs w:val="24"/>
              </w:rPr>
              <w:t xml:space="preserve">4.教师个人发问卷</w:t>
            </w:r>
            <w:bookmarkEnd w:id="150"/>
            <w:r/>
            <w:bookmarkEnd w:id="151"/>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支持教师个人组建问卷，可选择自主添加指标或选择管理员预置指标，组建完成后可发给个人的授课班级，查看学生作答详情；同时后台可记录所有教师的发放次数及发放记录。</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52" w:name="_Toc2822"/>
            <w:r/>
            <w:bookmarkStart w:id="153" w:name="_Toc30152"/>
            <w:r/>
            <w:bookmarkStart w:id="154" w:name="_Toc173148864"/>
            <w:r/>
            <w:bookmarkStart w:id="155" w:name="_Toc23590"/>
            <w:r>
              <w:rPr>
                <w:rFonts w:hint="eastAsia" w:ascii="宋体" w:hAnsi="宋体" w:eastAsia="宋体" w:cs="宋体"/>
                <w:b w:val="0"/>
                <w:sz w:val="24"/>
                <w:szCs w:val="24"/>
              </w:rPr>
              <w:t xml:space="preserve">教学听评课</w:t>
            </w:r>
            <w:bookmarkEnd w:id="152"/>
            <w:r/>
            <w:bookmarkEnd w:id="153"/>
            <w:r/>
            <w:bookmarkEnd w:id="154"/>
            <w:r/>
            <w:bookmarkEnd w:id="155"/>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pageBreakBefore w:val="0"/>
              <w:spacing w:line="360" w:lineRule="auto"/>
              <w:rPr>
                <w:rFonts w:hint="eastAsia" w:ascii="宋体" w:hAnsi="宋体" w:eastAsia="宋体" w:cs="宋体"/>
                <w:sz w:val="24"/>
                <w:szCs w:val="24"/>
                <w:highlight w:val="none"/>
              </w:rPr>
              <w:outlineLvl w:val="9"/>
            </w:pPr>
            <w:r/>
            <w:bookmarkStart w:id="156" w:name="_Toc13936"/>
            <w:r/>
            <w:bookmarkStart w:id="157" w:name="_Toc173148865"/>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移动听评课</w:t>
            </w:r>
            <w:bookmarkEnd w:id="156"/>
            <w:r/>
            <w:bookmarkEnd w:id="157"/>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作为移动评课的工具，通过现场观听，普通教师、学校管理者、督导员、学生就可以在手机上完成对上课教师某一方面、多方面或全方面的评价，并留存数据。</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选择听课：督导登录移动端，进入评课页面，可查看其督导范围下的排课安排，默认展示当天的数据，可通过开课院系、课程名称、教师姓名（工号）、学生所在学院、学生班级、年级、地点等筛选条件，定位到要听评的对象，点击进入评课页面，评课页面管理员可限制仅允许拍照上传图片。</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填写评课：不显示在教务系统中的排课，可输入节次信息，包括“开课学院（下拉选择）、课程名称（下拉选择）、教师姓名（下拉选择）、教学班级（下拉选择）、上课地点（下拉选择）、上课节次（下拉选择）”等信息，填写后可进行评课。</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（3）评课计划：督导可提前将想听评对象加入评课计划，到达指定时间后，无需再次查找听评对象，直接进入评课计划区域，填写问卷，提交评价。</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（4）管理员指派任务：管理员指派督导听课任务后，督导可进入“邀请我听”区域，查看管理员指派的记录，选择接受或者忽略。</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教师邀请听课：教师可邀请督导听课，可进行课程邀请及节次邀请两种方式，邀请时可选择某一督导分类下的所有督导，也可选择单个督导进行邀请，输入邀请说明，完成邀请。督导可查看教师邀请的具体信息，包括课程名称、教师、班级、时间、地点等，选择接受或者忽略。</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（6）查看已评记录：督导可查看自己的已评记录详情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置于</w:t>
            </w:r>
            <w:r>
              <w:rPr>
                <w:rFonts w:hint="eastAsia" w:ascii="宋体" w:hAnsi="宋体" w:eastAsia="宋体" w:cs="宋体"/>
                <w:sz w:val="24"/>
                <w:szCs w:val="24"/>
                <w:highlight w:val="none"/>
              </w:rPr>
              <w:t xml:space="preserve">醒目位置）。</w:t>
            </w:r>
            <w:r/>
          </w:p>
          <w:p>
            <w:pPr>
              <w:ind w:left="0"/>
              <w:jc w:val="left"/>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（7）督导查看评课报告：督导在进行评课后，将基于督导个人的评课记录生成统计报告；可在PC个人空间及移动端查看内容，包括督导应评次数、已评次数、完成率、各学院听评次数统计等。</w:t>
            </w:r>
            <w:r/>
          </w:p>
          <w:p>
            <w:pPr>
              <w:ind w:left="0"/>
              <w:pageBreakBefore w:val="0"/>
              <w:spacing w:line="360" w:lineRule="auto"/>
              <w:rPr>
                <w:rFonts w:hint="eastAsia" w:ascii="宋体" w:hAnsi="宋体" w:eastAsia="宋体" w:cs="宋体"/>
                <w:sz w:val="24"/>
                <w:szCs w:val="24"/>
                <w:highlight w:val="none"/>
              </w:rPr>
              <w:outlineLvl w:val="9"/>
            </w:pPr>
            <w:r/>
            <w:bookmarkStart w:id="158" w:name="_Toc20607"/>
            <w:r/>
            <w:bookmarkStart w:id="159" w:name="_Toc173148866"/>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pc端听评课</w:t>
            </w:r>
            <w:bookmarkEnd w:id="158"/>
            <w:r/>
            <w:bookmarkEnd w:id="159"/>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pc端除了支持选择听课、评课计划、完成指派评课任务、完成邀请听课、查看已评记录外，还支持查看教师网络课程建设情况，包括课程的基础数据、课程门户（进入课程门户）、班级任务、学情分析、课程日志信息等内容。</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60" w:name="_Toc173148870"/>
            <w:r/>
            <w:bookmarkStart w:id="161" w:name="_Toc23817"/>
            <w:r/>
            <w:bookmarkStart w:id="162" w:name="_Toc8656"/>
            <w:r/>
            <w:bookmarkStart w:id="163" w:name="_Toc27641"/>
            <w:r>
              <w:rPr>
                <w:rFonts w:hint="eastAsia" w:ascii="宋体" w:hAnsi="宋体" w:eastAsia="宋体" w:cs="宋体"/>
                <w:b w:val="0"/>
                <w:sz w:val="24"/>
                <w:szCs w:val="24"/>
              </w:rPr>
              <w:t xml:space="preserve">问卷数据回收</w:t>
            </w:r>
            <w:bookmarkEnd w:id="160"/>
            <w:r/>
            <w:bookmarkEnd w:id="161"/>
            <w:r/>
            <w:bookmarkEnd w:id="162"/>
            <w:r/>
            <w:bookmarkEnd w:id="163"/>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1.问卷详情查看</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可以查看已发放问卷的详细信息和评价结果，可以看到各个评价人员列表，以及一些基本信息，包括被评对象、教师的账号、所属院系、评价人信息、问卷平均分、综合分数等。可以直接查看问卷内每一道题的得分情况和每个选项的占比。支持对已发放问卷结果数据设置打折系数。</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2.问卷结果导出</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支持导出问卷详情，可通过邮箱的形式导出问卷的统计详情，也可通过word或excel表格的形式进行导出。导出的内容包括评价结果（被评对象信息、最终平均分）和评价记录详情（被评对象信息、评价人员信息、课程信息、时间、每个评价的指标和结果）。</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3.支持针对已发放问卷补发被评对象及评价人。</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64" w:name="_Toc12383"/>
            <w:r/>
            <w:bookmarkStart w:id="165" w:name="_Toc25791"/>
            <w:r/>
            <w:bookmarkStart w:id="166" w:name="_Toc173148871"/>
            <w:r/>
            <w:bookmarkStart w:id="167" w:name="_Toc4740"/>
            <w:r>
              <w:rPr>
                <w:rFonts w:hint="eastAsia" w:ascii="宋体" w:hAnsi="宋体" w:eastAsia="宋体" w:cs="宋体"/>
                <w:b w:val="0"/>
                <w:sz w:val="24"/>
                <w:szCs w:val="24"/>
              </w:rPr>
              <w:t xml:space="preserve">统计分析</w:t>
            </w:r>
            <w:bookmarkEnd w:id="164"/>
            <w:r/>
            <w:bookmarkEnd w:id="165"/>
            <w:r/>
            <w:bookmarkEnd w:id="166"/>
            <w:r/>
            <w:bookmarkEnd w:id="167"/>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1.统计分析维度包括评价教师分析、评价课程分析、随堂评教分析、听评课分析、评价班级分析、评价教师综合分析、教师画像、数据大屏。</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2.可按照评价任务为单位查看每一次评价任务的评价情况，包括评价任务的完成情况、评价问卷的提交情况、被评对象的评分排序、被评对象的分数分布图、院系平均分。各项统计均以饼状图、柱状图等图形或展示方式直观统计展示。</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选择某份评价教师问卷，可查看被评教师人数、参与评价人数、教师平均分、最高分、最低分、参评率、授课教师人数分布等，可查看当前问卷各院系平均得分及各分数区间人数占比、及院系各指标平均得分分布图、以及可查看教师的得分排行并支持导出；可以置标准参评率，设置后只分析大于标准参评率的评价结果。针对评价教师分析，可选择多份问卷设置不同权重，得出教师的综合得分，并可按照院系、姓名、分数等级进行筛选查看。</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4.支持按照问卷、指标、时间段、时间点、学院、课程进行筛选，查看随堂评教问卷下，各院系的得分和折线图对比情况。支持查看某个班级对某个课程每节课的评价分数和参评率，可以以折线图的形式展现每节课对比情况。支持查看本学期随堂评教情况排名。</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5.支持管理员查看督导听评课任务完成情况、各院系听评课完成率对比、已评价课程/教师情况，也可以查看被听评教师按院系、按指标、按学院教师的得分情况以及总体分析。</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rPr>
              <w:t xml:space="preserve">6.支持管理员查看评价班级分析，包括被评班级总数、参与评价人数</w:t>
            </w:r>
            <w:r>
              <w:rPr>
                <w:rFonts w:hint="eastAsia" w:ascii="宋体" w:hAnsi="宋体" w:eastAsia="宋体" w:cs="宋体"/>
                <w:sz w:val="24"/>
                <w:szCs w:val="24"/>
                <w:highlight w:val="none"/>
              </w:rPr>
              <w:t xml:space="preserve">、班级平均分、参评率、各院系被评班级分布、各院系班级平均分及区间分布、各院系班级平均分排名、班级平均分排名等。</w:t>
            </w:r>
            <w:r/>
          </w:p>
          <w:p>
            <w:pPr>
              <w:ind w:left="0"/>
              <w:jc w:val="left"/>
              <w:pageBreakBefore w:val="0"/>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7.支持统计督导的工作量，可查看每位督导已完成听评次数（</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仅显示对学院的次数，</w:t>
            </w:r>
            <w:r>
              <w:rPr>
                <w:rFonts w:hint="eastAsia" w:ascii="宋体" w:hAnsi="宋体" w:eastAsia="宋体" w:cs="宋体"/>
                <w:sz w:val="24"/>
                <w:szCs w:val="24"/>
                <w:highlight w:val="none"/>
                <w:lang w:val="en-US" w:eastAsia="zh-CN"/>
              </w:rPr>
              <w:t xml:space="preserve">还</w:t>
            </w:r>
            <w:r>
              <w:rPr>
                <w:rFonts w:hint="eastAsia" w:ascii="宋体" w:hAnsi="宋体" w:eastAsia="宋体" w:cs="宋体"/>
                <w:sz w:val="24"/>
                <w:szCs w:val="24"/>
                <w:highlight w:val="none"/>
              </w:rPr>
              <w:t xml:space="preserve">需要</w:t>
            </w:r>
            <w:r>
              <w:rPr>
                <w:rFonts w:hint="eastAsia" w:ascii="宋体" w:hAnsi="宋体" w:eastAsia="宋体" w:cs="宋体"/>
                <w:sz w:val="24"/>
                <w:szCs w:val="24"/>
                <w:highlight w:val="none"/>
                <w:lang w:val="en-US" w:eastAsia="zh-CN"/>
              </w:rPr>
              <w:t xml:space="preserve">显示</w:t>
            </w:r>
            <w:r>
              <w:rPr>
                <w:rFonts w:hint="eastAsia" w:ascii="宋体" w:hAnsi="宋体" w:eastAsia="宋体" w:cs="宋体"/>
                <w:sz w:val="24"/>
                <w:szCs w:val="24"/>
                <w:highlight w:val="none"/>
              </w:rPr>
              <w:t xml:space="preserve">个人听评总数）、督导任务听评次数、未完成次数、完成率等。也可以二级院系维度呈现督导情况，包括各个二级院系的参评人数、人次、被听课人数、授课教师数、评课覆盖率等。</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highlight w:val="none"/>
              </w:rPr>
              <w:t xml:space="preserve">8.管理员可查看评价教师的</w:t>
            </w:r>
            <w:r>
              <w:rPr>
                <w:rFonts w:hint="eastAsia" w:ascii="宋体" w:hAnsi="宋体" w:eastAsia="宋体" w:cs="宋体"/>
                <w:sz w:val="24"/>
                <w:szCs w:val="24"/>
              </w:rPr>
              <w:t xml:space="preserve">综合数据，通过选择学期和评价问卷，可查看本学期教师的综合评价统计数据、“授课教师人数分布”、“指标平均分”、“院系平均分及区间分布”、“各维度优良率统计”。</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9.支持后台自动生成教师个人画像，对督导领导的听课数据、学生的评教数据进行汇总分析。画像内容包括开设课程门数、被评次数、个人平均分与院系、全校平均分对比情况、个人历年平均得分趋势等。</w:t>
            </w:r>
            <w:r/>
          </w:p>
          <w:p>
            <w:pPr>
              <w:ind w:left="0"/>
              <w:jc w:val="left"/>
              <w:pageBreakBefore w:val="0"/>
              <w:spacing w:line="36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10.支持根据本学期听评课数据与学评教数据汇总，以数据大屏的形式直观展示。包括院系教师排名、课程质量排名、被评教师数等统计数据。</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68" w:name="_Toc13801"/>
            <w:r>
              <w:rPr>
                <w:rFonts w:hint="eastAsia" w:ascii="宋体" w:hAnsi="宋体" w:eastAsia="宋体" w:cs="宋体"/>
                <w:b w:val="0"/>
                <w:sz w:val="24"/>
                <w:szCs w:val="24"/>
              </w:rPr>
              <w:t xml:space="preserve">听评课报告</w:t>
            </w:r>
            <w:bookmarkEnd w:id="168"/>
            <w:r/>
            <w:r/>
          </w:p>
        </w:tc>
        <w:tc>
          <w:tcPr>
            <w:shd w:val="clear" w:color="auto" w:fill="auto"/>
            <w:tcW w:w="6520"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管理员在后台生成听评课校级报告，对督导领导的听课数据进行汇总分析，生在报告后支持在线编辑，同时支持导出word，报告包括：评价完成情况、教师覆盖情况分析、课程覆盖情况分析、教师教学质量分析、课程质量分析等。</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69" w:name="_Toc24481"/>
            <w:r/>
            <w:bookmarkStart w:id="170" w:name="_Toc173148873"/>
            <w:r/>
            <w:bookmarkStart w:id="171" w:name="_Toc5656"/>
            <w:r/>
            <w:bookmarkStart w:id="172" w:name="_Toc5298"/>
            <w:r>
              <w:rPr>
                <w:rFonts w:hint="eastAsia" w:ascii="宋体" w:hAnsi="宋体" w:eastAsia="宋体" w:cs="宋体"/>
                <w:b w:val="0"/>
                <w:sz w:val="24"/>
                <w:szCs w:val="24"/>
              </w:rPr>
              <w:t xml:space="preserve">学评教报告</w:t>
            </w:r>
            <w:bookmarkEnd w:id="169"/>
            <w:r/>
            <w:bookmarkEnd w:id="170"/>
            <w:r/>
            <w:bookmarkEnd w:id="171"/>
            <w:r/>
            <w:bookmarkEnd w:id="172"/>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管理员在后台生成学评教校级/院级报告，对学生的评教数据进行汇总分析，生在报告后支持在线编辑，同时支持导出word，报告包括：评价完成情况、教师覆盖情况分析、课程覆盖情况分析、教师教学质量分析、课程质量分析等。</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73" w:name="_Toc8104"/>
            <w:r/>
            <w:bookmarkStart w:id="174" w:name="_Toc20216"/>
            <w:r/>
            <w:bookmarkStart w:id="175" w:name="_Toc173148874"/>
            <w:r/>
            <w:bookmarkStart w:id="176" w:name="_Toc21973"/>
            <w:r>
              <w:rPr>
                <w:rFonts w:hint="eastAsia" w:ascii="宋体" w:hAnsi="宋体" w:eastAsia="宋体" w:cs="宋体"/>
                <w:b w:val="0"/>
                <w:sz w:val="24"/>
                <w:szCs w:val="24"/>
              </w:rPr>
              <w:t xml:space="preserve">综合质量报告</w:t>
            </w:r>
            <w:bookmarkEnd w:id="173"/>
            <w:r/>
            <w:bookmarkEnd w:id="174"/>
            <w:r/>
            <w:bookmarkEnd w:id="175"/>
            <w:r/>
            <w:bookmarkEnd w:id="176"/>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管理员在后台生成综合质量报告，对督导领导的听课数据、学生的评教数据进行汇总分析，生在报告后支持在线编辑，同时支持导出word，报告包括：评价完成情况、教师覆盖情况分析、课程覆盖情况分析、教师教学质量分析、课程质量分析等。</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77" w:name="_Toc7602"/>
            <w:r/>
            <w:bookmarkStart w:id="178" w:name="_Toc173148875"/>
            <w:r/>
            <w:bookmarkStart w:id="179" w:name="_Toc18362"/>
            <w:r/>
            <w:bookmarkStart w:id="180" w:name="_Toc10637"/>
            <w:r>
              <w:rPr>
                <w:rFonts w:hint="eastAsia" w:ascii="宋体" w:hAnsi="宋体" w:eastAsia="宋体" w:cs="宋体"/>
                <w:b w:val="0"/>
                <w:sz w:val="24"/>
                <w:szCs w:val="24"/>
              </w:rPr>
              <w:t xml:space="preserve">教师个人报告</w:t>
            </w:r>
            <w:bookmarkEnd w:id="177"/>
            <w:r/>
            <w:bookmarkEnd w:id="178"/>
            <w:r/>
            <w:bookmarkEnd w:id="179"/>
            <w:r/>
            <w:bookmarkEnd w:id="180"/>
            <w:r/>
            <w:r/>
          </w:p>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6520"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支持管理员在后台生成教师个人报告，对督导领导的听课数据、学生的评教数据进行汇总分析，生在报告后支持在线编辑，同时支持导出word，报告包括：选中问卷指标平均得分等。</w:t>
            </w:r>
            <w:r/>
          </w:p>
        </w:tc>
      </w:tr>
      <w:tr>
        <w:trPr/>
        <w:tc>
          <w:tcPr>
            <w:shd w:val="clear" w:color="auto" w:fill="auto"/>
            <w:tcW w:w="1752" w:type="dxa"/>
            <w:vMerge w:val="continue"/>
            <w:textDirection w:val="lrTb"/>
            <w:noWrap w:val="false"/>
          </w:tcPr>
          <w:p>
            <w:pPr>
              <w:ind w:left="0"/>
              <w:jc w:val="center"/>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728" w:type="dxa"/>
            <w:textDirection w:val="lrTb"/>
            <w:noWrap w:val="false"/>
          </w:tcPr>
          <w:p>
            <w:pPr>
              <w:ind w:left="0"/>
              <w:jc w:val="left"/>
              <w:pageBreakBefore w:val="0"/>
              <w:spacing w:before="0" w:after="0" w:line="360" w:lineRule="auto"/>
              <w:rPr>
                <w:rFonts w:hint="eastAsia" w:ascii="宋体" w:hAnsi="宋体" w:eastAsia="宋体" w:cs="宋体"/>
                <w:b w:val="0"/>
                <w:sz w:val="24"/>
                <w:szCs w:val="24"/>
              </w:rPr>
              <w:outlineLvl w:val="9"/>
            </w:pPr>
            <w:r/>
            <w:bookmarkStart w:id="181" w:name="_Toc30991"/>
            <w:r>
              <w:rPr>
                <w:rFonts w:hint="eastAsia" w:ascii="宋体" w:hAnsi="宋体" w:eastAsia="宋体" w:cs="宋体"/>
                <w:b w:val="0"/>
                <w:sz w:val="24"/>
                <w:szCs w:val="24"/>
              </w:rPr>
              <w:t xml:space="preserve">教师个人画像</w:t>
            </w:r>
            <w:bookmarkEnd w:id="181"/>
            <w:r/>
            <w:r/>
          </w:p>
        </w:tc>
        <w:tc>
          <w:tcPr>
            <w:shd w:val="clear" w:color="auto" w:fill="auto"/>
            <w:tcW w:w="6520" w:type="dxa"/>
            <w:textDirection w:val="lrTb"/>
            <w:noWrap w:val="false"/>
          </w:tcPr>
          <w:p>
            <w:pPr>
              <w:ind w:left="0"/>
              <w:jc w:val="left"/>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支持后台自动生成教师个人画像，对督导领导的听课数据、学生的评教数据进行汇总分析。画像内容包括开设课程门数、被评次数、个人平均分与院系、全校平均分对比情况、个人历年平均得分趋势等。</w:t>
            </w:r>
            <w:r/>
          </w:p>
        </w:tc>
      </w:tr>
    </w:tbl>
    <w:p>
      <w:r/>
      <w:r/>
    </w:p>
    <w:p>
      <w:pPr>
        <w:pStyle w:val="761"/>
      </w:pPr>
      <w:r/>
      <w:r/>
    </w:p>
    <w:p>
      <w:pPr>
        <w:ind w:left="0" w:firstLine="562"/>
        <w:pageBreakBefore w:val="0"/>
        <w:spacing w:line="360" w:lineRule="auto"/>
        <w:rPr>
          <w:rStyle w:val="798"/>
          <w:rFonts w:ascii="宋体" w:hAnsi="宋体" w:cs="宋体"/>
          <w:color w:val="auto"/>
          <w:sz w:val="28"/>
          <w:szCs w:val="28"/>
          <w:highlight w:val="none"/>
        </w:rPr>
      </w:pPr>
      <w:r>
        <w:rPr>
          <w:rFonts w:ascii="宋体" w:hAnsi="宋体" w:cs="宋体"/>
          <w:color w:val="auto"/>
          <w:sz w:val="28"/>
          <w:szCs w:val="28"/>
          <w:highlight w:val="none"/>
        </w:rPr>
      </w:r>
      <w:r/>
    </w:p>
    <w:p>
      <w:pPr>
        <w:rPr>
          <w:rStyle w:val="798"/>
          <w:rFonts w:hint="eastAsia" w:ascii="宋体" w:hAnsi="宋体" w:cs="宋体"/>
          <w:b/>
          <w:bCs/>
          <w:color w:val="auto"/>
          <w:sz w:val="28"/>
          <w:szCs w:val="28"/>
          <w:highlight w:val="none"/>
        </w:rPr>
      </w:pPr>
      <w:r>
        <w:rPr>
          <w:rStyle w:val="798"/>
          <w:rFonts w:hint="eastAsia" w:ascii="宋体" w:hAnsi="宋体" w:cs="宋体"/>
          <w:b/>
          <w:bCs/>
          <w:color w:val="auto"/>
          <w:sz w:val="28"/>
          <w:szCs w:val="28"/>
          <w:highlight w:val="none"/>
        </w:rPr>
        <w:br w:type="page" w:clear="all"/>
      </w:r>
      <w:r/>
    </w:p>
    <w:p>
      <w:pPr>
        <w:pStyle w:val="745"/>
        <w:jc w:val="center"/>
        <w:spacing w:before="0"/>
        <w:rPr>
          <w:rFonts w:ascii="宋体" w:hAnsi="宋体" w:cs="宋体"/>
          <w:color w:val="auto"/>
          <w:sz w:val="28"/>
          <w:szCs w:val="28"/>
          <w:highlight w:val="none"/>
          <w:lang w:val="zh-CN"/>
        </w:rPr>
      </w:pPr>
      <w:r/>
      <w:bookmarkStart w:id="182" w:name="_Toc13709"/>
      <w:r>
        <w:rPr>
          <w:rStyle w:val="798"/>
          <w:rFonts w:hint="eastAsia" w:ascii="宋体" w:hAnsi="宋体" w:cs="宋体"/>
          <w:b/>
          <w:bCs/>
          <w:color w:val="auto"/>
          <w:sz w:val="28"/>
          <w:szCs w:val="28"/>
          <w:highlight w:val="none"/>
        </w:rPr>
        <w:t xml:space="preserve">第</w:t>
      </w:r>
      <w:r>
        <w:rPr>
          <w:rStyle w:val="798"/>
          <w:rFonts w:hint="eastAsia" w:ascii="宋体" w:hAnsi="宋体" w:cs="宋体"/>
          <w:b/>
          <w:bCs/>
          <w:color w:val="auto"/>
          <w:sz w:val="28"/>
          <w:szCs w:val="28"/>
          <w:highlight w:val="none"/>
          <w:lang w:val="zh-CN"/>
        </w:rPr>
        <w:t xml:space="preserve">五</w:t>
      </w:r>
      <w:r>
        <w:rPr>
          <w:rStyle w:val="798"/>
          <w:rFonts w:hint="eastAsia" w:ascii="宋体" w:hAnsi="宋体" w:cs="宋体"/>
          <w:b/>
          <w:bCs/>
          <w:color w:val="auto"/>
          <w:sz w:val="28"/>
          <w:szCs w:val="28"/>
          <w:highlight w:val="none"/>
        </w:rPr>
        <w:t xml:space="preserve">章 响应文件格式</w:t>
      </w:r>
      <w:bookmarkEnd w:id="77"/>
      <w:r/>
      <w:bookmarkEnd w:id="182"/>
      <w:r/>
      <w:r/>
    </w:p>
    <w:p>
      <w:pPr>
        <w:jc w:val="left"/>
        <w:rPr>
          <w:rFonts w:ascii="宋体" w:hAnsi="宋体" w:cs="宋体"/>
          <w:b/>
          <w:color w:val="auto"/>
          <w:sz w:val="28"/>
          <w:szCs w:val="11"/>
          <w:highlight w:val="none"/>
        </w:rPr>
      </w:pPr>
      <w:r>
        <w:rPr>
          <w:rFonts w:hint="eastAsia" w:ascii="宋体" w:hAnsi="宋体" w:cs="宋体"/>
          <w:b/>
          <w:color w:val="auto"/>
          <w:sz w:val="28"/>
          <w:szCs w:val="11"/>
          <w:highlight w:val="none"/>
        </w:rPr>
        <w:t xml:space="preserve">密封封面</w:t>
      </w:r>
      <w:r/>
    </w:p>
    <w:p>
      <w:pPr>
        <w:jc w:val="right"/>
        <w:spacing w:line="360" w:lineRule="auto"/>
        <w:rPr>
          <w:rFonts w:ascii="宋体" w:hAnsi="宋体" w:cs="宋体"/>
          <w:b/>
          <w:bCs/>
          <w:color w:val="auto"/>
          <w:sz w:val="72"/>
          <w:highlight w:val="none"/>
        </w:rPr>
      </w:pPr>
      <w:r>
        <w:rPr>
          <w:rFonts w:hint="eastAsia" w:ascii="宋体" w:hAnsi="宋体" w:cs="宋体"/>
          <w:b/>
          <w:bCs/>
          <w:color w:val="auto"/>
          <w:sz w:val="24"/>
          <w:highlight w:val="none"/>
          <w:lang w:val="zh-CN"/>
        </w:rPr>
        <w:t xml:space="preserve">（请在此位置标明“正本”或“副本”</w:t>
      </w:r>
      <w:r>
        <w:rPr>
          <w:rFonts w:hint="eastAsia" w:ascii="宋体" w:hAnsi="宋体" w:cs="宋体"/>
          <w:b/>
          <w:bCs/>
          <w:color w:val="auto"/>
          <w:sz w:val="24"/>
          <w:highlight w:val="none"/>
        </w:rPr>
        <w:t xml:space="preserve">或“电子版”</w:t>
      </w:r>
      <w:r>
        <w:rPr>
          <w:rFonts w:hint="eastAsia" w:ascii="宋体" w:hAnsi="宋体" w:cs="宋体"/>
          <w:b/>
          <w:bCs/>
          <w:color w:val="auto"/>
          <w:sz w:val="24"/>
          <w:highlight w:val="none"/>
          <w:lang w:val="zh-CN"/>
        </w:rPr>
        <w:t xml:space="preserve">字样）</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spacing w:line="360" w:lineRule="auto"/>
        <w:rPr>
          <w:rFonts w:ascii="宋体" w:hAnsi="宋体" w:cs="宋体"/>
          <w:b/>
          <w:bCs/>
          <w:color w:val="auto"/>
          <w:sz w:val="24"/>
          <w:highlight w:val="none"/>
          <w:u w:val="single"/>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u w:val="single"/>
        </w:rPr>
        <w:t xml:space="preserve">                                  </w:t>
      </w:r>
      <w:r/>
    </w:p>
    <w:p>
      <w:pPr>
        <w:rPr>
          <w:rFonts w:ascii="宋体" w:hAnsi="宋体" w:cs="宋体"/>
          <w:b/>
          <w:color w:val="auto"/>
          <w:sz w:val="28"/>
          <w:szCs w:val="11"/>
          <w:highlight w:val="none"/>
          <w:u w:val="single"/>
        </w:rPr>
      </w:pPr>
      <w:r>
        <w:rPr>
          <w:rFonts w:hint="eastAsia" w:ascii="宋体" w:hAnsi="宋体" w:cs="宋体"/>
          <w:b/>
          <w:color w:val="auto"/>
          <w:sz w:val="28"/>
          <w:szCs w:val="11"/>
          <w:highlight w:val="none"/>
        </w:rPr>
        <w:t xml:space="preserve">项目编号：</w:t>
      </w:r>
      <w:r>
        <w:rPr>
          <w:rFonts w:hint="eastAsia" w:ascii="宋体" w:hAnsi="宋体" w:cs="宋体"/>
          <w:b/>
          <w:color w:val="auto"/>
          <w:sz w:val="28"/>
          <w:szCs w:val="11"/>
          <w:highlight w:val="none"/>
          <w:u w:val="single"/>
        </w:rPr>
        <w:t xml:space="preserve">                    </w:t>
      </w:r>
      <w:r/>
    </w:p>
    <w:p>
      <w:pPr>
        <w:rPr>
          <w:rFonts w:ascii="宋体" w:hAnsi="宋体" w:cs="宋体"/>
          <w:b/>
          <w:color w:val="auto"/>
          <w:sz w:val="28"/>
          <w:szCs w:val="11"/>
          <w:highlight w:val="none"/>
          <w:u w:val="single"/>
        </w:rPr>
      </w:pPr>
      <w:r>
        <w:rPr>
          <w:rFonts w:hint="eastAsia" w:ascii="宋体" w:hAnsi="宋体" w:cs="宋体"/>
          <w:b/>
          <w:color w:val="auto"/>
          <w:sz w:val="28"/>
          <w:szCs w:val="11"/>
          <w:highlight w:val="none"/>
          <w:u w:val="single"/>
        </w:rPr>
        <w:t xml:space="preserve">              </w:t>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pStyle w:val="763"/>
        <w:ind w:firstLine="400"/>
        <w:rPr>
          <w:color w:val="auto"/>
          <w:highlight w:val="none"/>
        </w:rPr>
      </w:pPr>
      <w:r>
        <w:rPr>
          <w:color w:val="auto"/>
          <w:highlight w:val="none"/>
        </w:rPr>
      </w: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响  应  文  件</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在</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时</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分前不得开启</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（盖单位章）</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spacing w:line="540" w:lineRule="exact"/>
        <w:rPr>
          <w:rFonts w:ascii="宋体" w:hAnsi="宋体" w:cs="宋体"/>
          <w:color w:val="auto"/>
          <w:sz w:val="24"/>
          <w:highlight w:val="none"/>
        </w:rPr>
      </w:pPr>
      <w:r>
        <w:rPr>
          <w:rFonts w:ascii="宋体" w:hAnsi="宋体" w:cs="宋体"/>
          <w:color w:val="auto"/>
          <w:sz w:val="24"/>
          <w:highlight w:val="none"/>
        </w:rPr>
      </w:r>
      <w:r/>
    </w:p>
    <w:p>
      <w:pPr>
        <w:ind w:firstLine="480"/>
        <w:jc w:val="cente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left"/>
        <w:rPr>
          <w:rFonts w:ascii="宋体" w:hAnsi="宋体" w:cs="宋体"/>
          <w:b/>
          <w:color w:val="auto"/>
          <w:sz w:val="28"/>
          <w:szCs w:val="11"/>
          <w:highlight w:val="none"/>
        </w:rPr>
      </w:pPr>
      <w:r>
        <w:rPr>
          <w:rFonts w:hint="eastAsia" w:ascii="宋体" w:hAnsi="宋体" w:cs="宋体"/>
          <w:b/>
          <w:color w:val="auto"/>
          <w:sz w:val="28"/>
          <w:szCs w:val="11"/>
          <w:highlight w:val="none"/>
        </w:rPr>
        <w:t xml:space="preserve">响应文件封面</w:t>
      </w:r>
      <w:r/>
    </w:p>
    <w:p>
      <w:pPr>
        <w:jc w:val="right"/>
        <w:spacing w:line="360" w:lineRule="auto"/>
        <w:rPr>
          <w:rFonts w:ascii="宋体" w:hAnsi="宋体" w:cs="宋体"/>
          <w:b/>
          <w:bCs/>
          <w:color w:val="auto"/>
          <w:sz w:val="72"/>
          <w:highlight w:val="none"/>
        </w:rPr>
      </w:pPr>
      <w:r>
        <w:rPr>
          <w:rFonts w:hint="eastAsia" w:ascii="宋体" w:hAnsi="宋体" w:cs="宋体"/>
          <w:b/>
          <w:bCs/>
          <w:color w:val="auto"/>
          <w:sz w:val="24"/>
          <w:highlight w:val="none"/>
          <w:lang w:val="zh-CN"/>
        </w:rPr>
        <w:t xml:space="preserve">（请在此位置标明“正本”或“副本</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字样）</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spacing w:line="360" w:lineRule="auto"/>
        <w:rPr>
          <w:rFonts w:ascii="宋体" w:hAnsi="宋体" w:cs="宋体"/>
          <w:b/>
          <w:bCs/>
          <w:color w:val="auto"/>
          <w:sz w:val="24"/>
          <w:highlight w:val="none"/>
          <w:u w:val="single"/>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u w:val="single"/>
        </w:rPr>
        <w:t xml:space="preserve">                                  </w:t>
      </w:r>
      <w:r/>
    </w:p>
    <w:p>
      <w:pPr>
        <w:rPr>
          <w:rFonts w:ascii="宋体" w:hAnsi="宋体" w:cs="宋体"/>
          <w:b/>
          <w:color w:val="auto"/>
          <w:sz w:val="28"/>
          <w:szCs w:val="11"/>
          <w:highlight w:val="none"/>
          <w:u w:val="single"/>
        </w:rPr>
      </w:pPr>
      <w:r>
        <w:rPr>
          <w:rFonts w:hint="eastAsia" w:ascii="宋体" w:hAnsi="宋体" w:cs="宋体"/>
          <w:b/>
          <w:color w:val="auto"/>
          <w:sz w:val="28"/>
          <w:szCs w:val="11"/>
          <w:highlight w:val="none"/>
        </w:rPr>
        <w:t xml:space="preserve">项目编号：</w:t>
      </w:r>
      <w:r>
        <w:rPr>
          <w:rFonts w:hint="eastAsia" w:ascii="宋体" w:hAnsi="宋体" w:cs="宋体"/>
          <w:b/>
          <w:color w:val="auto"/>
          <w:sz w:val="28"/>
          <w:szCs w:val="11"/>
          <w:highlight w:val="none"/>
          <w:u w:val="single"/>
        </w:rPr>
        <w:t xml:space="preserve">                    </w:t>
      </w:r>
      <w:r/>
    </w:p>
    <w:p>
      <w:pPr>
        <w:rPr>
          <w:rFonts w:ascii="宋体" w:hAnsi="宋体" w:cs="宋体"/>
          <w:b/>
          <w:color w:val="auto"/>
          <w:sz w:val="28"/>
          <w:szCs w:val="11"/>
          <w:highlight w:val="none"/>
          <w:u w:val="single"/>
        </w:rPr>
      </w:pPr>
      <w:r>
        <w:rPr>
          <w:rFonts w:hint="eastAsia" w:ascii="宋体" w:hAnsi="宋体" w:cs="宋体"/>
          <w:b/>
          <w:color w:val="auto"/>
          <w:sz w:val="28"/>
          <w:szCs w:val="11"/>
          <w:highlight w:val="none"/>
          <w:u w:val="single"/>
        </w:rPr>
        <w:t xml:space="preserve">              </w:t>
      </w:r>
      <w:r/>
    </w:p>
    <w:p>
      <w:pPr>
        <w:spacing w:line="440" w:lineRule="exact"/>
        <w:rPr>
          <w:rFonts w:ascii="宋体" w:hAnsi="宋体" w:cs="宋体"/>
          <w:color w:val="auto"/>
          <w:sz w:val="20"/>
          <w:szCs w:val="20"/>
          <w:highlight w:val="none"/>
        </w:rPr>
      </w:pPr>
      <w:r>
        <w:rPr>
          <w:rFonts w:ascii="宋体" w:hAnsi="宋体" w:cs="宋体"/>
          <w:color w:val="auto"/>
          <w:sz w:val="20"/>
          <w:szCs w:val="20"/>
          <w:highlight w:val="none"/>
        </w:rPr>
      </w:r>
      <w:r/>
    </w:p>
    <w:p>
      <w:pPr>
        <w:pStyle w:val="763"/>
        <w:ind w:firstLine="400"/>
        <w:rPr>
          <w:color w:val="auto"/>
          <w:highlight w:val="none"/>
        </w:rPr>
      </w:pPr>
      <w:r>
        <w:rPr>
          <w:color w:val="auto"/>
          <w:highlight w:val="none"/>
        </w:rPr>
      </w: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响  应  文  件</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（盖单位章）</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（签字）</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一、投标函</w:t>
      </w:r>
      <w:r/>
    </w:p>
    <w:p>
      <w:pPr>
        <w:contextualSpacing/>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致：（采购人）</w:t>
      </w:r>
      <w:r/>
    </w:p>
    <w:p>
      <w:pPr>
        <w:contextualSpacing/>
        <w:ind w:firstLine="480"/>
        <w:spacing w:line="312"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根据贵方</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（项目名称）</w:t>
      </w:r>
      <w:r>
        <w:rPr>
          <w:rFonts w:hint="eastAsia" w:ascii="宋体" w:hAnsi="宋体" w:cs="宋体"/>
          <w:b/>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（项目编号）谈判邀请，正式授权下述签字人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(姓名和职务)代表</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（供应商名称），提交响应文件并参加谈判。</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据此函，签字人兹宣布同意如下：</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1、</w:t>
      </w:r>
      <w:r>
        <w:rPr>
          <w:rFonts w:hint="eastAsia" w:ascii="宋体" w:hAnsi="宋体" w:cs="宋体"/>
          <w:b/>
          <w:color w:val="auto"/>
          <w:sz w:val="24"/>
          <w:szCs w:val="24"/>
          <w:highlight w:val="none"/>
          <w:lang w:val="zh-CN"/>
        </w:rPr>
        <w:t xml:space="preserve">我们的资格条件完全符合政府采购法和本次采购要求</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32"/>
          <w:highlight w:val="none"/>
        </w:rPr>
        <w:t xml:space="preserve">我们</w:t>
      </w:r>
      <w:r>
        <w:rPr>
          <w:rFonts w:hint="eastAsia" w:ascii="宋体" w:hAnsi="宋体" w:cs="宋体"/>
          <w:color w:val="auto"/>
          <w:sz w:val="24"/>
          <w:szCs w:val="24"/>
          <w:highlight w:val="none"/>
          <w:lang w:val="zh-CN"/>
        </w:rPr>
        <w:t xml:space="preserve">同意并向贵方提供了与本次采购活动有关的所有证据和资料</w:t>
      </w:r>
      <w:r>
        <w:rPr>
          <w:rFonts w:hint="eastAsia" w:ascii="宋体" w:hAnsi="宋体" w:cs="宋体"/>
          <w:color w:val="auto"/>
          <w:sz w:val="24"/>
          <w:szCs w:val="32"/>
          <w:highlight w:val="none"/>
        </w:rPr>
        <w:t xml:space="preserve">。</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2、</w:t>
      </w:r>
      <w:r>
        <w:rPr>
          <w:rFonts w:hint="eastAsia" w:ascii="宋体" w:hAnsi="宋体" w:cs="宋体"/>
          <w:color w:val="auto"/>
          <w:sz w:val="24"/>
          <w:szCs w:val="24"/>
          <w:highlight w:val="none"/>
          <w:lang w:val="zh-CN"/>
        </w:rPr>
        <w:t xml:space="preserve">按单一来源采购文件要求，我们的</w:t>
      </w:r>
      <w:r>
        <w:rPr>
          <w:rFonts w:hint="eastAsia" w:ascii="宋体" w:hAnsi="宋体" w:cs="宋体"/>
          <w:color w:val="auto"/>
          <w:sz w:val="24"/>
          <w:szCs w:val="32"/>
          <w:highlight w:val="none"/>
        </w:rPr>
        <w:t xml:space="preserve">项目总报价</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元人民币（大写：</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lang w:val="en-US" w:eastAsia="zh-CN"/>
        </w:rPr>
        <w:t xml:space="preserve">其中</w:t>
      </w:r>
      <w:r>
        <w:rPr>
          <w:rFonts w:hint="eastAsia" w:ascii="宋体" w:hAnsi="宋体" w:cs="宋体"/>
          <w:color w:val="auto"/>
          <w:sz w:val="24"/>
          <w:szCs w:val="32"/>
          <w:highlight w:val="none"/>
          <w:u w:val="single"/>
          <w:lang w:val="en-US" w:eastAsia="zh-CN"/>
        </w:rPr>
        <w:t xml:space="preserve">      元/年</w:t>
      </w:r>
      <w:r>
        <w:rPr>
          <w:rFonts w:hint="eastAsia" w:ascii="宋体" w:hAnsi="宋体" w:cs="宋体"/>
          <w:color w:val="auto"/>
          <w:sz w:val="24"/>
          <w:szCs w:val="32"/>
          <w:highlight w:val="none"/>
        </w:rPr>
        <w:t xml:space="preserve">。</w:t>
      </w:r>
      <w:r/>
    </w:p>
    <w:p>
      <w:pPr>
        <w:contextualSpacing/>
        <w:ind w:firstLine="480"/>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32"/>
          <w:highlight w:val="none"/>
        </w:rPr>
        <w:t xml:space="preserve">3、服务期：</w:t>
      </w:r>
      <w:r>
        <w:rPr>
          <w:rFonts w:hint="eastAsia" w:ascii="宋体" w:hAnsi="宋体" w:eastAsia="宋体" w:cs="宋体"/>
          <w:sz w:val="24"/>
          <w:szCs w:val="24"/>
          <w:highlight w:val="none"/>
        </w:rPr>
        <w:t xml:space="preserve">自项目合同签订之日起服务期 2 年</w:t>
      </w:r>
      <w:r>
        <w:rPr>
          <w:rFonts w:hint="eastAsia" w:ascii="宋体" w:hAnsi="宋体" w:cs="宋体"/>
          <w:color w:val="auto"/>
          <w:sz w:val="24"/>
          <w:szCs w:val="32"/>
          <w:highlight w:val="none"/>
          <w:lang w:val="en-US" w:eastAsia="zh-CN"/>
        </w:rPr>
        <w:t xml:space="preserve"> </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4、</w:t>
      </w:r>
      <w:r>
        <w:rPr>
          <w:rFonts w:hint="eastAsia" w:ascii="宋体" w:hAnsi="宋体" w:cs="宋体"/>
          <w:color w:val="auto"/>
          <w:sz w:val="24"/>
          <w:szCs w:val="24"/>
          <w:highlight w:val="none"/>
          <w:lang w:val="zh-CN"/>
        </w:rPr>
        <w:t xml:space="preserve">我们已详细审核全部单一来源采购文件及其有效补充文件，我们放弃对单一来源采购文件任何误解的权利，提交响应文件后，</w:t>
      </w:r>
      <w:r>
        <w:rPr>
          <w:rFonts w:hint="eastAsia" w:ascii="宋体" w:hAnsi="宋体" w:cs="宋体"/>
          <w:b/>
          <w:color w:val="auto"/>
          <w:sz w:val="24"/>
          <w:szCs w:val="24"/>
          <w:highlight w:val="none"/>
          <w:lang w:val="zh-CN"/>
        </w:rPr>
        <w:t xml:space="preserve">不对单一来源采购文件本身提出质疑</w:t>
      </w:r>
      <w:r>
        <w:rPr>
          <w:rFonts w:hint="eastAsia" w:ascii="宋体" w:hAnsi="宋体" w:cs="宋体"/>
          <w:color w:val="auto"/>
          <w:sz w:val="24"/>
          <w:szCs w:val="24"/>
          <w:highlight w:val="none"/>
          <w:lang w:val="zh-CN"/>
        </w:rPr>
        <w:t xml:space="preserve">。否则，属于不诚信和故意扰乱政府采购活动行为，我们将无条件接受处罚。</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5、一旦我方成交，我方将根据</w:t>
      </w:r>
      <w:r>
        <w:rPr>
          <w:rFonts w:hint="eastAsia" w:ascii="宋体" w:hAnsi="宋体" w:cs="宋体"/>
          <w:color w:val="auto"/>
          <w:sz w:val="24"/>
          <w:szCs w:val="24"/>
          <w:highlight w:val="none"/>
          <w:lang w:val="zh-CN"/>
        </w:rPr>
        <w:t xml:space="preserve">单一来源采购文件</w:t>
      </w:r>
      <w:r>
        <w:rPr>
          <w:rFonts w:hint="eastAsia" w:ascii="宋体" w:hAnsi="宋体" w:cs="宋体"/>
          <w:color w:val="auto"/>
          <w:sz w:val="24"/>
          <w:szCs w:val="32"/>
          <w:highlight w:val="none"/>
        </w:rPr>
        <w:t xml:space="preserve">的规定，严格履行合同，保证于承诺的时间内完成本项目规定的所有内容。</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6、</w:t>
      </w:r>
      <w:r>
        <w:rPr>
          <w:rFonts w:hint="eastAsia" w:ascii="宋体" w:hAnsi="宋体" w:cs="宋体"/>
          <w:color w:val="auto"/>
          <w:sz w:val="24"/>
          <w:szCs w:val="24"/>
          <w:highlight w:val="none"/>
          <w:lang w:val="zh-CN"/>
        </w:rPr>
        <w:t xml:space="preserve">报价有效期：报价截止之日起90日历日。</w:t>
      </w:r>
      <w:r/>
    </w:p>
    <w:p>
      <w:pPr>
        <w:contextualSpacing/>
        <w:ind w:firstLine="480"/>
        <w:spacing w:line="312" w:lineRule="auto"/>
        <w:rPr>
          <w:rFonts w:ascii="宋体" w:hAnsi="宋体" w:cs="宋体"/>
          <w:color w:val="auto"/>
          <w:sz w:val="24"/>
          <w:szCs w:val="24"/>
          <w:highlight w:val="none"/>
        </w:rPr>
      </w:pPr>
      <w:r>
        <w:rPr>
          <w:rFonts w:hint="eastAsia" w:ascii="宋体" w:hAnsi="宋体" w:cs="宋体"/>
          <w:color w:val="auto"/>
          <w:sz w:val="24"/>
          <w:szCs w:val="32"/>
          <w:highlight w:val="none"/>
        </w:rPr>
        <w:t xml:space="preserve">7、我方决不</w:t>
      </w:r>
      <w:r>
        <w:rPr>
          <w:rFonts w:hint="eastAsia" w:ascii="宋体" w:hAnsi="宋体" w:cs="宋体"/>
          <w:color w:val="auto"/>
          <w:sz w:val="24"/>
          <w:szCs w:val="24"/>
          <w:highlight w:val="none"/>
        </w:rPr>
        <w:t xml:space="preserve">提供虚假材料谋取成交、</w:t>
      </w:r>
      <w:r>
        <w:rPr>
          <w:rFonts w:hint="eastAsia" w:ascii="宋体" w:hAnsi="宋体" w:cs="宋体"/>
          <w:color w:val="auto"/>
          <w:sz w:val="24"/>
          <w:szCs w:val="32"/>
          <w:highlight w:val="none"/>
        </w:rPr>
        <w:t xml:space="preserve">决不</w:t>
      </w:r>
      <w:r>
        <w:rPr>
          <w:rFonts w:hint="eastAsia" w:ascii="宋体" w:hAnsi="宋体" w:cs="宋体"/>
          <w:color w:val="auto"/>
          <w:sz w:val="24"/>
          <w:szCs w:val="24"/>
          <w:highlight w:val="none"/>
        </w:rPr>
        <w:t xml:space="preserve">采取不正当手段诋毁、排挤其他供应商、</w:t>
      </w:r>
      <w:r>
        <w:rPr>
          <w:rFonts w:hint="eastAsia" w:ascii="宋体" w:hAnsi="宋体" w:cs="宋体"/>
          <w:color w:val="auto"/>
          <w:sz w:val="24"/>
          <w:szCs w:val="32"/>
          <w:highlight w:val="none"/>
        </w:rPr>
        <w:t xml:space="preserve">决不</w:t>
      </w:r>
      <w:r>
        <w:rPr>
          <w:rFonts w:hint="eastAsia" w:ascii="宋体" w:hAnsi="宋体" w:cs="宋体"/>
          <w:color w:val="auto"/>
          <w:sz w:val="24"/>
          <w:szCs w:val="24"/>
          <w:highlight w:val="none"/>
        </w:rPr>
        <w:t xml:space="preserve">与采购人、其它供应商或者采购代理恶意串通、</w:t>
      </w:r>
      <w:r>
        <w:rPr>
          <w:rFonts w:hint="eastAsia" w:ascii="宋体" w:hAnsi="宋体" w:cs="宋体"/>
          <w:color w:val="auto"/>
          <w:sz w:val="24"/>
          <w:szCs w:val="32"/>
          <w:highlight w:val="none"/>
        </w:rPr>
        <w:t xml:space="preserve">决不</w:t>
      </w:r>
      <w:r>
        <w:rPr>
          <w:rFonts w:hint="eastAsia" w:ascii="宋体" w:hAnsi="宋体" w:cs="宋体"/>
          <w:color w:val="auto"/>
          <w:sz w:val="24"/>
          <w:szCs w:val="24"/>
          <w:highlight w:val="none"/>
        </w:rPr>
        <w:t xml:space="preserve">向</w:t>
      </w:r>
      <w:r>
        <w:rPr>
          <w:rFonts w:hint="eastAsia" w:ascii="宋体" w:hAnsi="宋体" w:cs="宋体"/>
          <w:color w:val="auto"/>
          <w:sz w:val="24"/>
          <w:szCs w:val="32"/>
          <w:highlight w:val="none"/>
        </w:rPr>
        <w:t xml:space="preserve">采购人、采购代理工作人员和谈判小组进行商业贿赂</w:t>
      </w:r>
      <w:r>
        <w:rPr>
          <w:rFonts w:hint="eastAsia" w:ascii="宋体" w:hAnsi="宋体" w:cs="宋体"/>
          <w:color w:val="auto"/>
          <w:sz w:val="24"/>
          <w:szCs w:val="24"/>
          <w:highlight w:val="none"/>
        </w:rPr>
        <w:t xml:space="preserve">、决不拒绝有关部门监督检查或提供虚假情况，如有违反，</w:t>
      </w:r>
      <w:r>
        <w:rPr>
          <w:rFonts w:hint="eastAsia" w:ascii="宋体" w:hAnsi="宋体" w:cs="宋体"/>
          <w:color w:val="auto"/>
          <w:sz w:val="24"/>
          <w:szCs w:val="32"/>
          <w:highlight w:val="none"/>
        </w:rPr>
        <w:t xml:space="preserve">无条件接受贵方及相关管理部门的处罚。</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8、我方</w:t>
      </w:r>
      <w:r>
        <w:rPr>
          <w:rFonts w:hint="eastAsia" w:ascii="宋体" w:hAnsi="宋体" w:cs="宋体"/>
          <w:color w:val="auto"/>
          <w:sz w:val="24"/>
          <w:szCs w:val="24"/>
          <w:highlight w:val="none"/>
        </w:rPr>
        <w:t xml:space="preserve">增值税发票信息</w:t>
      </w:r>
      <w:r>
        <w:rPr>
          <w:rFonts w:hint="eastAsia" w:ascii="宋体" w:hAnsi="宋体" w:cs="宋体"/>
          <w:color w:val="auto"/>
          <w:sz w:val="24"/>
          <w:szCs w:val="32"/>
          <w:highlight w:val="none"/>
        </w:rPr>
        <w:t xml:space="preserve">：</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纳税人识别号或统一社会信用代码: </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24"/>
          <w:highlight w:val="none"/>
        </w:rPr>
        <w:t xml:space="preserve">地    址：</w:t>
      </w:r>
      <w:r>
        <w:rPr>
          <w:rFonts w:hint="eastAsia" w:ascii="宋体" w:hAnsi="宋体" w:cs="宋体"/>
          <w:color w:val="auto"/>
          <w:sz w:val="24"/>
          <w:szCs w:val="32"/>
          <w:highlight w:val="none"/>
        </w:rPr>
        <w:t xml:space="preserve">  </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24"/>
          <w:highlight w:val="none"/>
        </w:rPr>
        <w:t xml:space="preserve">电话号码：</w:t>
      </w:r>
      <w:r>
        <w:rPr>
          <w:rFonts w:hint="eastAsia" w:ascii="宋体" w:hAnsi="宋体" w:cs="宋体"/>
          <w:color w:val="auto"/>
          <w:sz w:val="24"/>
          <w:szCs w:val="32"/>
          <w:highlight w:val="none"/>
        </w:rPr>
        <w:t xml:space="preserve">  </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开户银行：</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帐    号：</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7、我方正式通讯方式为：</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地   址：</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电   话：</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传   真：</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u w:val="single"/>
        </w:rPr>
      </w:pPr>
      <w:r>
        <w:rPr>
          <w:rFonts w:hint="eastAsia" w:ascii="宋体" w:hAnsi="宋体" w:cs="宋体"/>
          <w:color w:val="auto"/>
          <w:sz w:val="24"/>
          <w:szCs w:val="32"/>
          <w:highlight w:val="none"/>
        </w:rPr>
        <w:t xml:space="preserve">供应商授权代表姓名（签字）：</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供应商名称（公章）：</w:t>
      </w:r>
      <w:r>
        <w:rPr>
          <w:rFonts w:hint="eastAsia" w:ascii="宋体" w:hAnsi="宋体" w:cs="宋体"/>
          <w:color w:val="auto"/>
          <w:sz w:val="24"/>
          <w:szCs w:val="32"/>
          <w:highlight w:val="none"/>
          <w:u w:val="single"/>
        </w:rPr>
        <w:t xml:space="preserve">                 </w:t>
      </w:r>
      <w:r/>
    </w:p>
    <w:p>
      <w:pPr>
        <w:contextualSpacing/>
        <w:ind w:firstLine="480"/>
        <w:spacing w:line="312" w:lineRule="auto"/>
        <w:rPr>
          <w:rFonts w:ascii="宋体" w:hAnsi="宋体" w:cs="宋体"/>
          <w:color w:val="auto"/>
          <w:sz w:val="24"/>
          <w:szCs w:val="32"/>
          <w:highlight w:val="none"/>
        </w:rPr>
      </w:pPr>
      <w:r>
        <w:rPr>
          <w:rFonts w:hint="eastAsia" w:ascii="宋体" w:hAnsi="宋体" w:cs="宋体"/>
          <w:color w:val="auto"/>
          <w:sz w:val="24"/>
          <w:szCs w:val="32"/>
          <w:highlight w:val="none"/>
        </w:rPr>
        <w:t xml:space="preserve">日    期：</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年</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月</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 xml:space="preserve">日</w:t>
      </w:r>
      <w:r/>
    </w:p>
    <w:p>
      <w:pPr>
        <w:jc w:val="center"/>
        <w:spacing w:line="360" w:lineRule="auto"/>
        <w:rPr>
          <w:b/>
          <w:color w:val="auto"/>
          <w:sz w:val="28"/>
          <w:highlight w:val="none"/>
        </w:rPr>
      </w:pPr>
      <w:r/>
      <w:bookmarkStart w:id="183" w:name="_Toc9661"/>
      <w:r/>
      <w:bookmarkStart w:id="184" w:name="_Toc21385"/>
      <w:r>
        <w:rPr>
          <w:rFonts w:hint="eastAsia" w:ascii="宋体" w:hAnsi="宋体" w:cs="宋体"/>
          <w:color w:val="auto"/>
          <w:sz w:val="28"/>
          <w:szCs w:val="28"/>
          <w:highlight w:val="none"/>
        </w:rPr>
        <w:t xml:space="preserve">二、</w:t>
      </w:r>
      <w:r>
        <w:rPr>
          <w:b/>
          <w:color w:val="auto"/>
          <w:sz w:val="28"/>
          <w:szCs w:val="28"/>
          <w:highlight w:val="none"/>
        </w:rPr>
        <w:t xml:space="preserve">分项报价表</w:t>
      </w:r>
      <w:bookmarkEnd w:id="183"/>
      <w:r/>
      <w:bookmarkEnd w:id="184"/>
      <w:r/>
      <w:r/>
    </w:p>
    <w:p>
      <w:pPr>
        <w:jc w:val="center"/>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（如果有，格式自拟）</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spacing w:line="360" w:lineRule="auto"/>
        <w:rPr>
          <w:rFonts w:ascii="宋体" w:hAnsi="宋体" w:cs="宋体"/>
          <w:b/>
          <w:bCs/>
          <w:color w:val="auto"/>
          <w:sz w:val="28"/>
          <w:szCs w:val="28"/>
          <w:highlight w:val="none"/>
          <w:lang w:val="zh-CN" w:bidi="zh-CN"/>
        </w:rPr>
      </w:pPr>
      <w:r/>
      <w:bookmarkStart w:id="185" w:name="_Toc13305"/>
      <w:r/>
      <w:bookmarkStart w:id="186" w:name="_Toc8085"/>
      <w:r>
        <w:rPr>
          <w:rFonts w:hint="eastAsia" w:ascii="宋体" w:hAnsi="宋体" w:cs="宋体"/>
          <w:b/>
          <w:bCs/>
          <w:color w:val="auto"/>
          <w:sz w:val="28"/>
          <w:szCs w:val="28"/>
          <w:highlight w:val="none"/>
          <w:lang w:bidi="zh-CN"/>
        </w:rPr>
        <w:t xml:space="preserve">三</w:t>
      </w:r>
      <w:r>
        <w:rPr>
          <w:rFonts w:hint="eastAsia" w:ascii="宋体" w:hAnsi="宋体" w:cs="宋体"/>
          <w:b/>
          <w:bCs/>
          <w:color w:val="auto"/>
          <w:sz w:val="28"/>
          <w:szCs w:val="28"/>
          <w:highlight w:val="none"/>
          <w:lang w:val="zh-CN" w:bidi="zh-CN"/>
        </w:rPr>
        <w:t xml:space="preserve">、</w:t>
      </w:r>
      <w:r>
        <w:rPr>
          <w:rFonts w:ascii="宋体" w:hAnsi="宋体"/>
          <w:b/>
          <w:color w:val="auto"/>
          <w:sz w:val="28"/>
          <w:highlight w:val="none"/>
        </w:rPr>
        <w:t xml:space="preserve">法定代表人身份证明</w:t>
      </w:r>
      <w:bookmarkEnd w:id="185"/>
      <w:r/>
      <w:bookmarkEnd w:id="186"/>
      <w:r/>
      <w:r/>
    </w:p>
    <w:p>
      <w:pPr>
        <w:pStyle w:val="790"/>
        <w:ind w:firstLine="420"/>
        <w:rPr>
          <w:color w:val="auto"/>
          <w:highlight w:val="none"/>
          <w:lang w:bidi="zh-CN"/>
        </w:rPr>
      </w:pPr>
      <w:r>
        <w:rPr>
          <w:color w:val="auto"/>
          <w:highlight w:val="none"/>
          <w:lang w:bidi="zh-CN"/>
        </w:rPr>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黑体" w:hAnsi="黑体" w:eastAsia="黑体"/>
          <w:color w:val="auto"/>
          <w:sz w:val="24"/>
          <w:highlight w:val="none"/>
          <w:u w:val="single"/>
        </w:rPr>
        <w:t xml:space="preserve">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姓名：</w:t>
      </w:r>
      <w:r>
        <w:rPr>
          <w:rFonts w:hint="eastAsia" w:ascii="黑体" w:hAnsi="黑体" w:eastAsia="黑体"/>
          <w:color w:val="auto"/>
          <w:sz w:val="24"/>
          <w:highlight w:val="none"/>
          <w:u w:val="single"/>
        </w:rPr>
        <w:t xml:space="preserve">          </w:t>
      </w:r>
      <w:r>
        <w:rPr>
          <w:rFonts w:hint="eastAsia" w:ascii="宋体" w:hAnsi="宋体"/>
          <w:color w:val="auto"/>
          <w:sz w:val="24"/>
          <w:highlight w:val="none"/>
        </w:rPr>
        <w:t xml:space="preserve">性别：</w:t>
      </w:r>
      <w:r>
        <w:rPr>
          <w:rFonts w:hint="eastAsia" w:ascii="黑体" w:hAnsi="黑体" w:eastAsia="黑体"/>
          <w:color w:val="auto"/>
          <w:sz w:val="24"/>
          <w:highlight w:val="none"/>
          <w:u w:val="single"/>
        </w:rPr>
        <w:t xml:space="preserve">          </w:t>
      </w:r>
      <w:r>
        <w:rPr>
          <w:rFonts w:hint="eastAsia" w:ascii="宋体" w:hAnsi="宋体"/>
          <w:color w:val="auto"/>
          <w:sz w:val="24"/>
          <w:highlight w:val="none"/>
        </w:rPr>
        <w:t xml:space="preserve">年龄：</w:t>
      </w:r>
      <w:r>
        <w:rPr>
          <w:rFonts w:hint="eastAsia" w:ascii="黑体" w:hAnsi="黑体" w:eastAsia="黑体"/>
          <w:color w:val="auto"/>
          <w:sz w:val="24"/>
          <w:highlight w:val="none"/>
          <w:u w:val="single"/>
        </w:rPr>
        <w:t xml:space="preserve">          </w:t>
      </w:r>
      <w:r>
        <w:rPr>
          <w:rFonts w:hint="eastAsia" w:ascii="宋体" w:hAnsi="宋体"/>
          <w:color w:val="auto"/>
          <w:sz w:val="24"/>
          <w:highlight w:val="none"/>
        </w:rPr>
        <w:t xml:space="preserve">职务：</w:t>
      </w:r>
      <w:r>
        <w:rPr>
          <w:rFonts w:hint="eastAsia" w:ascii="黑体" w:hAnsi="黑体" w:eastAsia="黑体"/>
          <w:color w:val="auto"/>
          <w:sz w:val="24"/>
          <w:highlight w:val="none"/>
          <w:u w:val="single"/>
        </w:rPr>
        <w:t xml:space="preserve">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系</w:t>
      </w:r>
      <w:r>
        <w:rPr>
          <w:rFonts w:hint="eastAsia" w:ascii="黑体" w:hAnsi="黑体" w:eastAsia="黑体"/>
          <w:color w:val="auto"/>
          <w:sz w:val="24"/>
          <w:highlight w:val="none"/>
          <w:u w:val="single"/>
        </w:rPr>
        <w:t xml:space="preserve">                        </w:t>
      </w:r>
      <w:r>
        <w:rPr>
          <w:rFonts w:hint="eastAsia" w:ascii="宋体" w:hAnsi="宋体"/>
          <w:color w:val="auto"/>
          <w:sz w:val="24"/>
          <w:highlight w:val="none"/>
        </w:rPr>
        <w:t xml:space="preserve">（供应商名称）的法定代表人。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特此证明。</w:t>
      </w:r>
      <w:r/>
    </w:p>
    <w:p>
      <w:pPr>
        <w:jc w:val="left"/>
        <w:spacing w:line="360" w:lineRule="auto"/>
        <w:rPr>
          <w:rFonts w:ascii="宋体" w:hAnsi="宋体" w:cs="宋体"/>
          <w:color w:val="auto"/>
          <w:sz w:val="24"/>
          <w:highlight w:val="none"/>
          <w:lang w:val="zh-CN" w:bidi="zh-CN"/>
        </w:rPr>
      </w:pPr>
      <w:r>
        <w:rPr>
          <w:rFonts w:ascii="宋体" w:hAnsi="宋体" w:cs="宋体"/>
          <w:color w:val="auto"/>
          <w:sz w:val="24"/>
          <w:highlight w:val="none"/>
          <w:lang w:val="zh-CN" w:bidi="zh-CN"/>
        </w:rPr>
      </w:r>
      <w:r/>
    </w:p>
    <w:p>
      <w:pPr>
        <w:jc w:val="left"/>
        <w:spacing w:before="2" w:line="360" w:lineRule="auto"/>
        <w:rPr>
          <w:rFonts w:ascii="宋体" w:hAnsi="宋体" w:cs="宋体"/>
          <w:color w:val="auto"/>
          <w:sz w:val="24"/>
          <w:highlight w:val="none"/>
          <w:lang w:val="zh-CN" w:bidi="zh-CN"/>
        </w:rPr>
      </w:pPr>
      <w:r>
        <w:rPr>
          <w:rFonts w:ascii="宋体" w:hAnsi="宋体" w:cs="宋体"/>
          <w:color w:val="auto"/>
          <w:sz w:val="24"/>
          <w:highlight w:val="none"/>
          <w:lang w:val="zh-CN" w:bidi="zh-CN"/>
        </w:rPr>
      </w:r>
      <w:r/>
    </w:p>
    <w:p>
      <w:pPr>
        <w:ind w:left="1097"/>
        <w:jc w:val="left"/>
        <w:spacing w:before="71" w:line="360" w:lineRule="auto"/>
        <w:rPr>
          <w:rFonts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                             </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名称：（盖章）</w:t>
      </w:r>
      <w:r/>
    </w:p>
    <w:p>
      <w:pPr>
        <w:ind w:left="4599"/>
        <w:jc w:val="left"/>
        <w:spacing w:before="135" w:line="360" w:lineRule="auto"/>
        <w:tabs>
          <w:tab w:val="left" w:pos="5100" w:leader="none"/>
          <w:tab w:val="left" w:pos="6099" w:leader="none"/>
          <w:tab w:val="left" w:pos="6800" w:leader="none"/>
          <w:tab w:val="left" w:pos="7400" w:leader="none"/>
        </w:tabs>
        <w:rPr>
          <w:rFonts w:ascii="宋体" w:hAnsi="宋体" w:cs="宋体"/>
          <w:color w:val="auto"/>
          <w:sz w:val="24"/>
          <w:highlight w:val="none"/>
          <w:lang w:val="zh-CN" w:bidi="zh-CN"/>
        </w:rPr>
      </w:pPr>
      <w:r>
        <w:rPr>
          <w:rFonts w:ascii="宋体" w:hAnsi="宋体" w:cs="宋体"/>
          <w:color w:val="auto"/>
          <w:sz w:val="24"/>
          <w:highlight w:val="none"/>
          <w:lang w:val="zh-CN" w:bidi="zh-CN"/>
        </w:rPr>
        <w:t xml:space="preserve">日</w:t>
      </w:r>
      <w:r>
        <w:rPr>
          <w:rFonts w:ascii="宋体" w:hAnsi="宋体" w:cs="宋体"/>
          <w:color w:val="auto"/>
          <w:sz w:val="24"/>
          <w:highlight w:val="none"/>
          <w:lang w:val="zh-CN" w:bidi="zh-CN"/>
        </w:rPr>
        <w:tab/>
      </w:r>
      <w:r>
        <w:rPr>
          <w:rFonts w:ascii="宋体" w:hAnsi="宋体" w:cs="宋体"/>
          <w:color w:val="auto"/>
          <w:sz w:val="24"/>
          <w:highlight w:val="none"/>
          <w:lang w:val="zh-CN" w:bidi="zh-CN"/>
        </w:rPr>
        <w:t xml:space="preserve">期：</w:t>
      </w:r>
      <w:r>
        <w:rPr>
          <w:rFonts w:ascii="宋体" w:hAnsi="宋体" w:cs="宋体"/>
          <w:color w:val="auto"/>
          <w:sz w:val="24"/>
          <w:highlight w:val="none"/>
          <w:lang w:val="zh-CN" w:bidi="zh-CN"/>
        </w:rPr>
        <w:tab/>
      </w:r>
      <w:r>
        <w:rPr>
          <w:rFonts w:ascii="宋体" w:hAnsi="宋体" w:cs="宋体"/>
          <w:color w:val="auto"/>
          <w:sz w:val="24"/>
          <w:highlight w:val="none"/>
          <w:lang w:val="zh-CN" w:bidi="zh-CN"/>
        </w:rPr>
        <w:t xml:space="preserve">年</w:t>
      </w:r>
      <w:r>
        <w:rPr>
          <w:rFonts w:ascii="宋体" w:hAnsi="宋体" w:cs="宋体"/>
          <w:color w:val="auto"/>
          <w:sz w:val="24"/>
          <w:highlight w:val="none"/>
          <w:lang w:val="zh-CN" w:bidi="zh-CN"/>
        </w:rPr>
        <w:tab/>
      </w:r>
      <w:r>
        <w:rPr>
          <w:rFonts w:ascii="宋体" w:hAnsi="宋体" w:cs="宋体"/>
          <w:color w:val="auto"/>
          <w:sz w:val="24"/>
          <w:highlight w:val="none"/>
          <w:lang w:val="zh-CN" w:bidi="zh-CN"/>
        </w:rPr>
        <w:t xml:space="preserve">月</w:t>
      </w:r>
      <w:r>
        <w:rPr>
          <w:rFonts w:ascii="宋体" w:hAnsi="宋体" w:cs="宋体"/>
          <w:color w:val="auto"/>
          <w:sz w:val="24"/>
          <w:highlight w:val="none"/>
          <w:lang w:val="zh-CN" w:bidi="zh-CN"/>
        </w:rPr>
        <w:tab/>
      </w:r>
      <w:r>
        <w:rPr>
          <w:rFonts w:ascii="宋体" w:hAnsi="宋体" w:cs="宋体"/>
          <w:color w:val="auto"/>
          <w:sz w:val="24"/>
          <w:highlight w:val="none"/>
          <w:lang w:val="zh-CN" w:bidi="zh-CN"/>
        </w:rPr>
        <w:t xml:space="preserve">日</w:t>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p>
      <w:pPr>
        <w:pStyle w:val="790"/>
        <w:rPr>
          <w:rFonts w:ascii="宋体" w:hAnsi="宋体" w:cs="宋体"/>
          <w:color w:val="auto"/>
          <w:sz w:val="24"/>
          <w:szCs w:val="24"/>
          <w:highlight w:val="none"/>
          <w:lang w:bidi="zh-CN"/>
        </w:rPr>
      </w:pPr>
      <w:r>
        <w:rPr>
          <w:rFonts w:ascii="宋体" w:hAnsi="宋体" w:cs="宋体"/>
          <w:color w:val="auto"/>
          <w:sz w:val="24"/>
          <w:szCs w:val="24"/>
          <w:highlight w:val="none"/>
          <w:lang w:bidi="zh-CN"/>
        </w:rPr>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00"/>
      </w:tblGrid>
      <w:tr>
        <w:trPr>
          <w:trHeight w:val="2599"/>
        </w:trPr>
        <w:tc>
          <w:tcPr>
            <w:tcW w:w="8400" w:type="dxa"/>
            <w:textDirection w:val="lrTb"/>
            <w:noWrap w:val="false"/>
          </w:tcPr>
          <w:p>
            <w:pPr>
              <w:ind w:firstLine="1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粘贴法定代表人（身份证复印件）</w:t>
            </w:r>
            <w:r/>
          </w:p>
        </w:tc>
      </w:tr>
    </w:tbl>
    <w:p>
      <w:pPr>
        <w:jc w:val="center"/>
        <w:rPr>
          <w:rFonts w:ascii="宋体" w:hAnsi="宋体" w:cs="宋体"/>
          <w:b/>
          <w:bCs/>
          <w:color w:val="auto"/>
          <w:sz w:val="28"/>
          <w:szCs w:val="28"/>
          <w:highlight w:val="none"/>
        </w:rPr>
      </w:pPr>
      <w:r>
        <w:rPr>
          <w:rFonts w:ascii="宋体" w:hAnsi="宋体" w:cs="宋体"/>
          <w:color w:val="auto"/>
          <w:sz w:val="24"/>
          <w:highlight w:val="none"/>
          <w:lang w:val="zh-CN" w:bidi="zh-CN"/>
        </w:rPr>
        <w:br w:type="page" w:clear="all"/>
      </w:r>
      <w:r>
        <w:rPr>
          <w:rFonts w:hint="eastAsia" w:ascii="宋体" w:hAnsi="宋体" w:cs="宋体"/>
          <w:b/>
          <w:bCs/>
          <w:color w:val="auto"/>
          <w:sz w:val="28"/>
          <w:szCs w:val="28"/>
          <w:highlight w:val="none"/>
        </w:rPr>
        <w:t xml:space="preserve">四、法定代表人授权书</w:t>
      </w:r>
      <w:r/>
    </w:p>
    <w:p>
      <w:pPr>
        <w:spacing w:line="360" w:lineRule="auto"/>
        <w:rPr>
          <w:rFonts w:ascii="宋体" w:hAnsi="宋体" w:cs="宋体"/>
          <w:color w:val="auto"/>
          <w:sz w:val="24"/>
          <w:szCs w:val="24"/>
          <w:highlight w:val="none"/>
          <w:lang w:val="zh-CN"/>
        </w:rPr>
      </w:pPr>
      <w:r>
        <w:rPr>
          <w:rFonts w:hint="eastAsia" w:ascii="宋体" w:hAnsi="宋体" w:cs="宋体"/>
          <w:bCs/>
          <w:color w:val="auto"/>
          <w:sz w:val="24"/>
          <w:szCs w:val="24"/>
          <w:highlight w:val="none"/>
        </w:rPr>
        <w:t xml:space="preserve">致</w:t>
      </w:r>
      <w:r>
        <w:rPr>
          <w:rFonts w:hint="eastAsia" w:ascii="宋体" w:hAnsi="宋体" w:cs="宋体"/>
          <w:bCs/>
          <w:color w:val="auto"/>
          <w:sz w:val="24"/>
          <w:szCs w:val="24"/>
          <w:highlight w:val="none"/>
          <w:u w:val="single"/>
        </w:rPr>
        <w:t xml:space="preserve">    （采购人）        </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本授权书声明：注册于</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（供应商住址）的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（供应商名称）法定代表人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（法定代表人姓名 ）代表本公司授权在下面签字的</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（供应商代表姓名 ）为本公司的合法代理人，就贵方组织的</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（项目名称）</w:t>
      </w:r>
      <w:r>
        <w:rPr>
          <w:rFonts w:hint="eastAsia" w:ascii="宋体" w:hAnsi="宋体" w:cs="宋体"/>
          <w:b/>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（项目编号），以本公司名义处理一切与之有关的事务。</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法定代表人签字或盖章：</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被授权人签字：</w:t>
      </w:r>
      <w:r/>
    </w:p>
    <w:p>
      <w:pPr>
        <w:ind w:firstLine="420"/>
        <w:spacing w:line="360" w:lineRule="auto"/>
        <w:tabs>
          <w:tab w:val="left" w:pos="14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    月    日</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textDirection w:val="lrTb"/>
            <w:noWrap w:val="false"/>
          </w:tcPr>
          <w:p>
            <w:pPr>
              <w:ind w:firstLine="24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粘贴法定代表人（身份证复印件）</w:t>
            </w:r>
            <w:r/>
          </w:p>
        </w:tc>
      </w:tr>
    </w:tbl>
    <w:p>
      <w:pPr>
        <w:pStyle w:val="778"/>
        <w:spacing w:before="0" w:beforeAutospacing="0" w:after="0" w:afterAutospacing="0" w:line="520" w:lineRule="exact"/>
        <w:rPr>
          <w:color w:val="auto"/>
          <w:highlight w:val="none"/>
        </w:rPr>
      </w:pPr>
      <w:r>
        <w:rPr>
          <w:color w:val="auto"/>
          <w:highlight w:val="none"/>
        </w:rPr>
      </w:r>
      <w:r/>
    </w:p>
    <w:tbl>
      <w:tblPr>
        <w:tblStyle w:val="751"/>
        <w:tblW w:w="0" w:type="auto"/>
        <w:tblCellSpacing w:w="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20"/>
      </w:tblGrid>
      <w:tr>
        <w:trPr>
          <w:tblCellSpacing w:w="20" w:type="dxa"/>
          <w:trHeight w:val="2729"/>
        </w:trPr>
        <w:tc>
          <w:tcPr>
            <w:tcW w:w="5040" w:type="dxa"/>
            <w:textDirection w:val="lrTb"/>
            <w:noWrap w:val="false"/>
          </w:tcPr>
          <w:p>
            <w:pPr>
              <w:ind w:firstLine="240"/>
              <w:jc w:val="left"/>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粘贴被授权人（身份证复印件）</w:t>
            </w:r>
            <w:r/>
          </w:p>
          <w:p>
            <w:pPr>
              <w:ind w:firstLine="24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240"/>
              <w:jc w:val="left"/>
              <w:spacing w:line="44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注：如果是法定代表人直接参与投标的可以不提供授权书</w:t>
      </w:r>
      <w:r/>
    </w:p>
    <w:p>
      <w:pPr>
        <w:pStyle w:val="778"/>
        <w:rPr>
          <w:color w:val="auto"/>
          <w:highlight w:val="none"/>
        </w:rPr>
      </w:pPr>
      <w:r>
        <w:rPr>
          <w:color w:val="auto"/>
          <w:highlight w:val="none"/>
        </w:rPr>
      </w:r>
      <w:r/>
    </w:p>
    <w:p>
      <w:pPr>
        <w:rPr>
          <w:rFonts w:ascii="宋体" w:hAnsi="宋体" w:cs="宋体"/>
          <w:color w:val="auto"/>
          <w:sz w:val="28"/>
          <w:szCs w:val="28"/>
          <w:highlight w:val="none"/>
        </w:rPr>
      </w:pPr>
      <w:r>
        <w:rPr>
          <w:rFonts w:hint="eastAsia" w:ascii="宋体" w:hAnsi="宋体" w:cs="宋体"/>
          <w:color w:val="auto"/>
          <w:highlight w:val="none"/>
        </w:rPr>
        <w:br w:type="page" w:clear="all"/>
      </w:r>
      <w:bookmarkStart w:id="187" w:name="_Toc529893219"/>
      <w:r/>
      <w:bookmarkEnd w:id="187"/>
      <w:r/>
    </w:p>
    <w:p>
      <w:pPr>
        <w:jc w:val="center"/>
        <w:spacing w:line="360" w:lineRule="auto"/>
        <w:rPr>
          <w:rFonts w:ascii="宋体" w:hAnsi="宋体" w:cs="宋体"/>
          <w:b/>
          <w:bCs/>
          <w:color w:val="auto"/>
          <w:sz w:val="28"/>
          <w:szCs w:val="28"/>
          <w:highlight w:val="none"/>
        </w:rPr>
      </w:pPr>
      <w:r/>
      <w:bookmarkStart w:id="188" w:name="_Toc27096"/>
      <w:r/>
      <w:bookmarkStart w:id="189" w:name="_Toc20772"/>
      <w:r>
        <w:rPr>
          <w:rFonts w:hint="eastAsia" w:ascii="宋体" w:hAnsi="宋体" w:cs="宋体"/>
          <w:b/>
          <w:bCs/>
          <w:color w:val="auto"/>
          <w:sz w:val="28"/>
          <w:szCs w:val="28"/>
          <w:highlight w:val="none"/>
        </w:rPr>
        <w:t xml:space="preserve">五、资格审查资料</w:t>
      </w:r>
      <w:bookmarkEnd w:id="188"/>
      <w:r/>
      <w:bookmarkEnd w:id="189"/>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28"/>
          <w:szCs w:val="28"/>
          <w:highlight w:val="none"/>
        </w:rPr>
        <w:t xml:space="preserve">资格审查响应对照表</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99"/>
        <w:gridCol w:w="1912"/>
        <w:gridCol w:w="855"/>
      </w:tblGrid>
      <w:tr>
        <w:trPr>
          <w:trHeight w:val="882"/>
        </w:trPr>
        <w:tc>
          <w:tcPr>
            <w:tcW w:w="646" w:type="dxa"/>
            <w:vAlign w:val="center"/>
            <w:textDirection w:val="lrTb"/>
            <w:noWrap w:val="false"/>
          </w:tcPr>
          <w:p>
            <w:pPr>
              <w:jc w:val="cente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5699" w:type="dxa"/>
            <w:vAlign w:val="center"/>
            <w:textDirection w:val="lrTb"/>
            <w:noWrap w:val="false"/>
          </w:tcPr>
          <w:p>
            <w:pPr>
              <w:jc w:val="cente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资格审查响应内容</w:t>
            </w:r>
            <w:r/>
          </w:p>
        </w:tc>
        <w:tc>
          <w:tcPr>
            <w:tcW w:w="1912" w:type="dxa"/>
            <w:vAlign w:val="center"/>
            <w:textDirection w:val="lrTb"/>
            <w:noWrap w:val="false"/>
          </w:tcPr>
          <w:p>
            <w:pPr>
              <w:jc w:val="cente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是否响应</w:t>
            </w:r>
            <w:r/>
          </w:p>
          <w:p>
            <w:pPr>
              <w:jc w:val="cente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（填是或者否）</w:t>
            </w:r>
            <w:r/>
          </w:p>
        </w:tc>
        <w:tc>
          <w:tcPr>
            <w:tcW w:w="855" w:type="dxa"/>
            <w:vAlign w:val="center"/>
            <w:textDirection w:val="lrTb"/>
            <w:noWrap w:val="false"/>
          </w:tcPr>
          <w:p>
            <w:pPr>
              <w:jc w:val="center"/>
              <w:spacing w:line="336" w:lineRule="auto"/>
              <w:rPr>
                <w:rFonts w:ascii="宋体" w:hAnsi="宋体" w:cs="宋体"/>
                <w:b/>
                <w:color w:val="auto"/>
                <w:sz w:val="24"/>
                <w:highlight w:val="none"/>
              </w:rPr>
            </w:pPr>
            <w:r>
              <w:rPr>
                <w:rFonts w:hint="eastAsia" w:ascii="宋体" w:hAnsi="宋体" w:cs="宋体"/>
                <w:b/>
                <w:color w:val="auto"/>
                <w:sz w:val="24"/>
                <w:highlight w:val="none"/>
              </w:rPr>
              <w:t xml:space="preserve">对应页码</w:t>
            </w:r>
            <w:r/>
          </w:p>
        </w:tc>
      </w:tr>
      <w:tr>
        <w:trPr>
          <w:trHeight w:val="585"/>
        </w:trPr>
        <w:tc>
          <w:tcPr>
            <w:tcW w:w="646" w:type="dxa"/>
            <w:vAlign w:val="center"/>
            <w:textDirection w:val="lrTb"/>
            <w:noWrap w:val="false"/>
          </w:tcPr>
          <w:p>
            <w:pPr>
              <w:jc w:val="center"/>
              <w:spacing w:line="336" w:lineRule="auto"/>
              <w:rPr>
                <w:rFonts w:ascii="宋体" w:hAnsi="宋体" w:cs="宋体"/>
                <w:b/>
                <w:color w:val="auto"/>
                <w:sz w:val="24"/>
                <w:highlight w:val="none"/>
              </w:rPr>
            </w:pPr>
            <w:r>
              <w:rPr>
                <w:rFonts w:hint="eastAsia" w:ascii="宋体" w:hAnsi="宋体" w:cs="宋体"/>
                <w:bCs/>
                <w:color w:val="auto"/>
                <w:sz w:val="24"/>
                <w:highlight w:val="none"/>
              </w:rPr>
              <w:t xml:space="preserve">1</w:t>
            </w:r>
            <w:r/>
          </w:p>
        </w:tc>
        <w:tc>
          <w:tcPr>
            <w:tcW w:w="5699" w:type="dxa"/>
            <w:vAlign w:val="center"/>
            <w:textDirection w:val="lrTb"/>
            <w:noWrap w:val="false"/>
          </w:tcPr>
          <w:p>
            <w:pPr>
              <w:spacing w:line="360" w:lineRule="auto"/>
              <w:rPr>
                <w:rFonts w:ascii="宋体" w:hAnsi="宋体" w:cs="宋体"/>
                <w:iCs/>
                <w:color w:val="auto"/>
                <w:sz w:val="24"/>
                <w:highlight w:val="none"/>
              </w:rPr>
            </w:pPr>
            <w:r>
              <w:rPr>
                <w:rFonts w:hint="eastAsia" w:ascii="宋体" w:hAnsi="宋体" w:cs="宋体"/>
                <w:color w:val="auto"/>
                <w:sz w:val="24"/>
                <w:szCs w:val="24"/>
                <w:highlight w:val="none"/>
              </w:rPr>
              <w:t xml:space="preserve">具有独立承担民事责任的能力，依法注册登记、具有独立法人资格，提供法人或其他组织的营业执照等证明文件，复印件加盖公章。 </w:t>
            </w:r>
            <w:r/>
          </w:p>
        </w:tc>
        <w:tc>
          <w:tcPr>
            <w:tcW w:w="1912" w:type="dxa"/>
            <w:vAlign w:val="center"/>
            <w:textDirection w:val="lrTb"/>
            <w:noWrap w:val="false"/>
          </w:tcPr>
          <w:p>
            <w:pPr>
              <w:spacing w:line="336" w:lineRule="auto"/>
              <w:rPr>
                <w:rFonts w:ascii="宋体" w:hAnsi="宋体" w:cs="宋体"/>
                <w:b/>
                <w:color w:val="auto"/>
                <w:sz w:val="24"/>
                <w:highlight w:val="none"/>
              </w:rPr>
            </w:pPr>
            <w:r>
              <w:rPr>
                <w:rFonts w:ascii="宋体" w:hAnsi="宋体" w:cs="宋体"/>
                <w:b/>
                <w:color w:val="auto"/>
                <w:sz w:val="24"/>
                <w:highlight w:val="none"/>
              </w:rPr>
            </w:r>
            <w:r/>
          </w:p>
        </w:tc>
        <w:tc>
          <w:tcPr>
            <w:tcW w:w="855" w:type="dxa"/>
            <w:vAlign w:val="center"/>
            <w:textDirection w:val="lrTb"/>
            <w:noWrap w:val="false"/>
          </w:tcPr>
          <w:p>
            <w:pPr>
              <w:spacing w:line="336" w:lineRule="auto"/>
              <w:rPr>
                <w:rFonts w:ascii="宋体" w:hAnsi="宋体" w:cs="宋体"/>
                <w:b/>
                <w:color w:val="auto"/>
                <w:sz w:val="24"/>
                <w:highlight w:val="none"/>
              </w:rPr>
            </w:pPr>
            <w:r>
              <w:rPr>
                <w:rFonts w:ascii="宋体" w:hAnsi="宋体" w:cs="宋体"/>
                <w:b/>
                <w:color w:val="auto"/>
                <w:sz w:val="24"/>
                <w:highlight w:val="none"/>
              </w:rPr>
            </w:r>
            <w:r/>
          </w:p>
        </w:tc>
      </w:tr>
      <w:tr>
        <w:trPr>
          <w:trHeight w:val="585"/>
        </w:trPr>
        <w:tc>
          <w:tcPr>
            <w:tcW w:w="646" w:type="dxa"/>
            <w:vAlign w:val="center"/>
            <w:textDirection w:val="lrTb"/>
            <w:noWrap w:val="false"/>
          </w:tcPr>
          <w:p>
            <w:pPr>
              <w:jc w:val="center"/>
              <w:spacing w:line="336"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5699" w:type="dxa"/>
            <w:vAlign w:val="center"/>
            <w:textDirection w:val="lrTb"/>
            <w:noWrap w:val="false"/>
          </w:tcPr>
          <w:p>
            <w:pPr>
              <w:spacing w:line="360" w:lineRule="auto"/>
              <w:rPr>
                <w:rFonts w:ascii="宋体" w:hAnsi="宋体" w:cs="宋体"/>
                <w:iCs/>
                <w:color w:val="auto"/>
                <w:sz w:val="24"/>
                <w:highlight w:val="none"/>
              </w:rPr>
            </w:pPr>
            <w:r>
              <w:rPr>
                <w:rFonts w:hint="eastAsia" w:ascii="宋体" w:hAnsi="宋体" w:cs="宋体"/>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 </w:t>
            </w:r>
            <w:r/>
          </w:p>
        </w:tc>
        <w:tc>
          <w:tcPr>
            <w:tcW w:w="1912"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c>
          <w:tcPr>
            <w:tcW w:w="855"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r>
      <w:tr>
        <w:trPr>
          <w:trHeight w:val="585"/>
        </w:trPr>
        <w:tc>
          <w:tcPr>
            <w:tcW w:w="646" w:type="dxa"/>
            <w:vAlign w:val="center"/>
            <w:textDirection w:val="lrTb"/>
            <w:noWrap w:val="false"/>
          </w:tcPr>
          <w:p>
            <w:pPr>
              <w:jc w:val="center"/>
              <w:spacing w:line="336"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5699" w:type="dxa"/>
            <w:vAlign w:val="center"/>
            <w:textDirection w:val="lrTb"/>
            <w:noWrap w:val="false"/>
          </w:tcPr>
          <w:p>
            <w:pPr>
              <w:spacing w:line="360" w:lineRule="auto"/>
              <w:rPr>
                <w:rFonts w:ascii="宋体" w:hAnsi="宋体" w:cs="宋体"/>
                <w:iCs/>
                <w:color w:val="auto"/>
                <w:sz w:val="24"/>
                <w:highlight w:val="none"/>
              </w:rPr>
            </w:pPr>
            <w:r>
              <w:rPr>
                <w:rFonts w:hint="eastAsia" w:ascii="宋体" w:hAnsi="宋体" w:cs="宋体"/>
                <w:color w:val="auto"/>
                <w:sz w:val="24"/>
                <w:szCs w:val="24"/>
                <w:highlight w:val="none"/>
              </w:rPr>
              <w:t xml:space="preserve">具有履行合同所必需的设备和专业技术能力（根据项目需求提供履行合同所必需的设备和专业技术能力的书面声明。） </w:t>
            </w:r>
            <w:r/>
          </w:p>
        </w:tc>
        <w:tc>
          <w:tcPr>
            <w:tcW w:w="1912"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c>
          <w:tcPr>
            <w:tcW w:w="855"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r>
      <w:tr>
        <w:trPr>
          <w:trHeight w:val="585"/>
        </w:trPr>
        <w:tc>
          <w:tcPr>
            <w:tcW w:w="646" w:type="dxa"/>
            <w:vAlign w:val="center"/>
            <w:textDirection w:val="lrTb"/>
            <w:noWrap w:val="false"/>
          </w:tcPr>
          <w:p>
            <w:pPr>
              <w:jc w:val="center"/>
              <w:spacing w:line="336"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5699" w:type="dxa"/>
            <w:vAlign w:val="center"/>
            <w:textDirection w:val="lrTb"/>
            <w:noWrap w:val="false"/>
          </w:tcPr>
          <w:p>
            <w:pPr>
              <w:spacing w:line="360" w:lineRule="auto"/>
              <w:rPr>
                <w:rFonts w:ascii="宋体" w:hAnsi="宋体" w:cs="宋体"/>
                <w:iCs/>
                <w:color w:val="auto"/>
                <w:sz w:val="24"/>
                <w:highlight w:val="none"/>
              </w:rPr>
            </w:pPr>
            <w:r>
              <w:rPr>
                <w:rFonts w:hint="eastAsia" w:ascii="宋体" w:hAnsi="宋体" w:cs="宋体"/>
                <w:color w:val="auto"/>
                <w:sz w:val="24"/>
                <w:szCs w:val="24"/>
                <w:highlight w:val="none"/>
              </w:rPr>
              <w:t xml:space="preserve">承诺在近三年经营活动中没有违法记录：需提供参加本次投标活动前3年内在经营活动中没有重大违法记录的书面声明。 </w:t>
            </w:r>
            <w:r/>
          </w:p>
        </w:tc>
        <w:tc>
          <w:tcPr>
            <w:tcW w:w="1912"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c>
          <w:tcPr>
            <w:tcW w:w="855"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r>
      <w:tr>
        <w:trPr>
          <w:trHeight w:val="780"/>
        </w:trPr>
        <w:tc>
          <w:tcPr>
            <w:tcW w:w="646" w:type="dxa"/>
            <w:vAlign w:val="center"/>
            <w:textDirection w:val="lrTb"/>
            <w:noWrap w:val="false"/>
          </w:tcPr>
          <w:p>
            <w:pPr>
              <w:jc w:val="center"/>
              <w:spacing w:line="336"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5699" w:type="dxa"/>
            <w:vAlign w:val="center"/>
            <w:textDirection w:val="lrTb"/>
            <w:noWrap w:val="false"/>
          </w:tcPr>
          <w:p>
            <w:pPr>
              <w:spacing w:line="360" w:lineRule="auto"/>
              <w:rPr>
                <w:rFonts w:hint="eastAsia" w:ascii="宋体" w:hAnsi="宋体" w:eastAsia="宋体" w:cs="宋体"/>
                <w:iCs/>
                <w:color w:val="auto"/>
                <w:sz w:val="24"/>
                <w:highlight w:val="none"/>
                <w:lang w:eastAsia="zh-CN"/>
              </w:rPr>
            </w:pPr>
            <w:r>
              <w:rPr>
                <w:rFonts w:hint="eastAsia" w:ascii="宋体" w:hAnsi="宋体" w:cs="宋体"/>
                <w:color w:val="auto"/>
                <w:sz w:val="24"/>
                <w:szCs w:val="24"/>
                <w:highlight w:val="none"/>
              </w:rPr>
              <w:t xml:space="preserve">有依法缴纳税收的良好记录，提供距开标时间六个月内任意一月份的纳税凭据复印件加盖公章（依法免税的应提供相应文件说明）</w:t>
            </w:r>
            <w:r>
              <w:rPr>
                <w:rFonts w:hint="eastAsia" w:ascii="宋体" w:hAnsi="宋体" w:cs="宋体"/>
                <w:color w:val="auto"/>
                <w:sz w:val="24"/>
                <w:szCs w:val="24"/>
                <w:highlight w:val="none"/>
                <w:lang w:eastAsia="zh-CN"/>
              </w:rPr>
              <w:t xml:space="preserve">。</w:t>
            </w:r>
            <w:r/>
          </w:p>
        </w:tc>
        <w:tc>
          <w:tcPr>
            <w:tcW w:w="1912"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c>
          <w:tcPr>
            <w:tcW w:w="855"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r>
      <w:tr>
        <w:trPr>
          <w:trHeight w:val="780"/>
        </w:trPr>
        <w:tc>
          <w:tcPr>
            <w:tcW w:w="646" w:type="dxa"/>
            <w:vAlign w:val="center"/>
            <w:textDirection w:val="lrTb"/>
            <w:noWrap w:val="false"/>
          </w:tcPr>
          <w:p>
            <w:pPr>
              <w:jc w:val="center"/>
              <w:spacing w:line="336"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5699" w:type="dxa"/>
            <w:vAlign w:val="center"/>
            <w:textDirection w:val="lrTb"/>
            <w:noWrap w:val="false"/>
          </w:tcPr>
          <w:p>
            <w:pPr>
              <w:spacing w:line="360" w:lineRule="auto"/>
              <w:rPr>
                <w:rFonts w:ascii="宋体" w:hAnsi="宋体" w:cs="宋体"/>
                <w:iCs/>
                <w:color w:val="auto"/>
                <w:sz w:val="24"/>
                <w:highlight w:val="none"/>
              </w:rPr>
            </w:pPr>
            <w:r>
              <w:rPr>
                <w:rFonts w:hint="eastAsia" w:ascii="宋体" w:hAnsi="宋体" w:cs="宋体"/>
                <w:color w:val="auto"/>
                <w:sz w:val="24"/>
                <w:szCs w:val="24"/>
                <w:highlight w:val="none"/>
              </w:rPr>
              <w:t xml:space="preserve">有依法缴纳社会保障资金的良好记录，提供距开标时间六个月内任意一月份的依法缴纳社会保障资金的凭据复印件加盖公章。</w:t>
            </w:r>
            <w:r/>
          </w:p>
        </w:tc>
        <w:tc>
          <w:tcPr>
            <w:tcW w:w="1912"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c>
          <w:tcPr>
            <w:tcW w:w="855" w:type="dxa"/>
            <w:vAlign w:val="center"/>
            <w:textDirection w:val="lrTb"/>
            <w:noWrap w:val="false"/>
          </w:tcPr>
          <w:p>
            <w:pPr>
              <w:spacing w:line="336"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szCs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lang w:val="en-US" w:eastAsia="zh-CN"/>
        </w:rPr>
        <w:t xml:space="preserve">1.</w:t>
      </w:r>
      <w:r>
        <w:rPr>
          <w:rFonts w:hint="eastAsia" w:ascii="宋体" w:hAnsi="宋体" w:cs="宋体"/>
          <w:color w:val="auto"/>
          <w:sz w:val="24"/>
          <w:szCs w:val="24"/>
          <w:highlight w:val="none"/>
        </w:rPr>
        <w:t xml:space="preserve">具有独立承担民事责任的能力，依法注册登记、具有独立法人资格，提供法人或其他组织的营业执照等证明文件，复印件加盖公章。 </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具有履行合同所必需的设备和专业技术能力（根据项目需求提供履行合同所必需的设备和专业技术能力的书面声明。） </w:t>
      </w:r>
      <w:r/>
    </w:p>
    <w:p>
      <w:pPr>
        <w:spacing w:line="44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Cs/>
          <w:color w:val="auto"/>
          <w:sz w:val="30"/>
          <w:szCs w:val="30"/>
          <w:highlight w:val="none"/>
        </w:rPr>
      </w:pPr>
      <w:r>
        <w:rPr>
          <w:rFonts w:hint="eastAsia" w:ascii="宋体" w:hAnsi="宋体" w:cs="宋体"/>
          <w:bCs/>
          <w:color w:val="auto"/>
          <w:sz w:val="28"/>
          <w:szCs w:val="28"/>
          <w:highlight w:val="none"/>
        </w:rPr>
        <w:t xml:space="preserve">具备履行合同所必需的设备和专业技术能力的书面声明</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color w:val="auto"/>
          <w:highlight w:val="none"/>
        </w:rPr>
        <w:t xml:space="preserve">( 若有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color w:val="auto"/>
          <w:highlight w:val="none"/>
        </w:rPr>
        <w:t xml:space="preserve">( 若有 )</w:t>
      </w:r>
      <w:r/>
    </w:p>
    <w:p>
      <w:pPr>
        <w:ind w:firstLine="48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560"/>
        <w:spacing w:line="440" w:lineRule="exact"/>
        <w:rPr>
          <w:rFonts w:ascii="宋体" w:hAnsi="宋体" w:cs="宋体"/>
          <w:color w:val="auto"/>
          <w:sz w:val="24"/>
          <w:highlight w:val="none"/>
        </w:rPr>
      </w:pPr>
      <w:r>
        <w:rPr>
          <w:rFonts w:hint="eastAsia" w:ascii="宋体" w:hAnsi="宋体" w:cs="宋体"/>
          <w:color w:val="auto"/>
          <w:sz w:val="24"/>
          <w:highlight w:val="none"/>
        </w:rPr>
        <w:t xml:space="preserve">声明人：（盖章）</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日  期：      年    月    日</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承诺在近三年经营活动中没有违法记录：需提供参加本次投标活动前3年内在经营活动中没有重大违法记录的书面声明。 </w:t>
      </w:r>
      <w:r/>
    </w:p>
    <w:p>
      <w:pPr>
        <w:spacing w:line="44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32"/>
          <w:szCs w:val="32"/>
          <w:highlight w:val="none"/>
          <w:lang w:val="zh-CN"/>
        </w:rPr>
      </w:pPr>
      <w:r>
        <w:rPr>
          <w:rFonts w:hint="eastAsia" w:ascii="宋体" w:hAnsi="宋体" w:cs="宋体"/>
          <w:color w:val="auto"/>
          <w:sz w:val="28"/>
          <w:szCs w:val="28"/>
          <w:highlight w:val="none"/>
          <w:lang w:val="zh-CN"/>
        </w:rPr>
        <w:t xml:space="preserve">无重大违法记录声明函</w:t>
      </w:r>
      <w:r/>
    </w:p>
    <w:p>
      <w:pPr>
        <w:pStyle w:val="790"/>
        <w:ind w:firstLine="420"/>
        <w:rPr>
          <w:rFonts w:cs="宋体"/>
          <w:color w:val="auto"/>
          <w:highlight w:val="none"/>
        </w:rPr>
      </w:pPr>
      <w:r>
        <w:rPr>
          <w:rFonts w:cs="宋体"/>
          <w:color w:val="auto"/>
          <w:highlight w:val="none"/>
        </w:rPr>
      </w:r>
      <w:r/>
    </w:p>
    <w:p>
      <w:pPr>
        <w:jc w:val="left"/>
        <w:spacing w:before="1" w:line="360" w:lineRule="auto"/>
        <w:rPr>
          <w:rFonts w:ascii="宋体" w:hAnsi="宋体" w:cs="宋体"/>
          <w:color w:val="auto"/>
          <w:sz w:val="24"/>
          <w:highlight w:val="none"/>
          <w:u w:val="single"/>
          <w:lang w:val="zh-CN" w:bidi="zh-CN"/>
        </w:rPr>
      </w:pPr>
      <w:r>
        <w:rPr>
          <w:rFonts w:hint="eastAsia" w:ascii="宋体" w:hAnsi="宋体" w:cs="宋体"/>
          <w:color w:val="auto"/>
          <w:sz w:val="24"/>
          <w:highlight w:val="none"/>
          <w:u w:val="single"/>
          <w:lang w:val="zh-CN" w:bidi="zh-CN"/>
        </w:rPr>
        <w:t xml:space="preserve">（</w:t>
      </w:r>
      <w:r>
        <w:rPr>
          <w:rFonts w:hint="eastAsia" w:ascii="宋体" w:hAnsi="宋体" w:cs="宋体"/>
          <w:color w:val="auto"/>
          <w:sz w:val="24"/>
          <w:highlight w:val="none"/>
          <w:u w:val="single"/>
          <w:lang w:bidi="zh-CN"/>
        </w:rPr>
        <w:t xml:space="preserve">采购</w:t>
      </w:r>
      <w:r>
        <w:rPr>
          <w:rFonts w:hint="eastAsia" w:ascii="宋体" w:hAnsi="宋体" w:cs="宋体"/>
          <w:color w:val="auto"/>
          <w:sz w:val="24"/>
          <w:highlight w:val="none"/>
          <w:u w:val="single"/>
          <w:lang w:val="zh-CN" w:bidi="zh-CN"/>
        </w:rPr>
        <w:t xml:space="preserve">人） ：</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供应商</w:t>
      </w:r>
      <w:r>
        <w:rPr>
          <w:rFonts w:hint="eastAsia" w:ascii="宋体" w:hAnsi="宋体" w:cs="宋体"/>
          <w:color w:val="auto"/>
          <w:sz w:val="24"/>
          <w:highlight w:val="none"/>
        </w:rPr>
        <w:t xml:space="preserve">名称）郑重声明：</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参加本次投标活动前3年内在经营活动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6000"/>
        <w:spacing w:line="360" w:lineRule="auto"/>
        <w:rPr>
          <w:rFonts w:ascii="宋体" w:hAnsi="宋体" w:cs="宋体"/>
          <w:color w:val="auto"/>
          <w:sz w:val="24"/>
          <w:highlight w:val="none"/>
        </w:rPr>
      </w:pPr>
      <w:r>
        <w:rPr>
          <w:rFonts w:hint="eastAsia" w:ascii="宋体" w:hAnsi="宋体" w:cs="宋体"/>
          <w:color w:val="auto"/>
          <w:sz w:val="24"/>
          <w:highlight w:val="none"/>
        </w:rPr>
        <w:t xml:space="preserve">声明人（盖章）： </w:t>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  期：    年    月   日</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br w:type="page" w:clear="all"/>
      </w:r>
      <w:r>
        <w:rPr>
          <w:rFonts w:hint="eastAsia" w:ascii="宋体" w:hAnsi="宋体" w:cs="宋体"/>
          <w:color w:val="auto"/>
          <w:sz w:val="24"/>
          <w:highlight w:val="none"/>
          <w:lang w:val="en-US" w:eastAsia="zh-CN"/>
        </w:rPr>
        <w:t xml:space="preserve">5.</w:t>
      </w:r>
      <w:r>
        <w:rPr>
          <w:rFonts w:hint="eastAsia" w:ascii="宋体" w:hAnsi="宋体" w:cs="宋体"/>
          <w:color w:val="auto"/>
          <w:sz w:val="24"/>
          <w:szCs w:val="24"/>
          <w:highlight w:val="none"/>
        </w:rPr>
        <w:t xml:space="preserve">有依法缴纳税收的良好记录，提供距开标时间六个月内任意一月份的纳税凭据复印件加盖公章（依法免税的应提供相应文件说明）</w:t>
      </w:r>
      <w:r>
        <w:rPr>
          <w:rFonts w:hint="eastAsia" w:ascii="宋体" w:hAnsi="宋体" w:cs="宋体"/>
          <w:color w:val="auto"/>
          <w:sz w:val="24"/>
          <w:szCs w:val="24"/>
          <w:highlight w:val="none"/>
          <w:lang w:eastAsia="zh-CN"/>
        </w:rPr>
        <w:t xml:space="preserve">。</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有依法缴纳社会保障资金的良好记录，提供距开标时间六个月内任意一月份的依法缴纳社会保障资金的凭据复印件加盖公章。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highlight w:val="none"/>
        </w:rPr>
        <w:br w:type="page" w:clear="all"/>
      </w:r>
      <w:r/>
    </w:p>
    <w:p>
      <w:pPr>
        <w:jc w:val="center"/>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b/>
          <w:color w:val="auto"/>
          <w:sz w:val="28"/>
          <w:highlight w:val="none"/>
          <w:lang w:bidi="ar"/>
        </w:rPr>
      </w:pPr>
      <w:r/>
      <w:bookmarkStart w:id="190" w:name="_Toc29614"/>
      <w:r/>
      <w:bookmarkStart w:id="191" w:name="_Toc7708"/>
      <w:r>
        <w:rPr>
          <w:rFonts w:hint="eastAsia" w:ascii="宋体" w:hAnsi="宋体" w:cs="宋体"/>
          <w:b/>
          <w:color w:val="auto"/>
          <w:sz w:val="28"/>
          <w:szCs w:val="28"/>
          <w:highlight w:val="none"/>
        </w:rPr>
        <w:t xml:space="preserve">六、</w:t>
      </w:r>
      <w:bookmarkEnd w:id="190"/>
      <w:r>
        <w:rPr>
          <w:rFonts w:hint="eastAsia" w:ascii="宋体" w:cs="宋体"/>
          <w:b/>
          <w:color w:val="auto"/>
          <w:sz w:val="28"/>
          <w:highlight w:val="none"/>
          <w:lang w:bidi="ar"/>
        </w:rPr>
        <w:t xml:space="preserve">技术/商务偏离表</w:t>
      </w:r>
      <w:bookmarkEnd w:id="191"/>
      <w:r/>
      <w:r/>
    </w:p>
    <w:p>
      <w:pPr>
        <w:ind w:firstLine="281"/>
        <w:jc w:val="center"/>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b/>
          <w:color w:val="auto"/>
          <w:sz w:val="28"/>
          <w:highlight w:val="none"/>
        </w:rPr>
      </w:pPr>
      <w:r>
        <w:rPr>
          <w:rFonts w:ascii="宋体" w:cs="宋体"/>
          <w:b/>
          <w:color w:val="auto"/>
          <w:sz w:val="28"/>
          <w:highlight w:val="none"/>
        </w:rPr>
      </w:r>
      <w:r/>
    </w:p>
    <w:tbl>
      <w:tblPr>
        <w:tblStyle w:val="751"/>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21"/>
        <w:gridCol w:w="1700"/>
        <w:gridCol w:w="2579"/>
        <w:gridCol w:w="2042"/>
        <w:gridCol w:w="2287"/>
      </w:tblGrid>
      <w:tr>
        <w:trPr>
          <w:cantSplit/>
          <w:jc w:val="center"/>
          <w:trHeight w:val="738"/>
        </w:trPr>
        <w:tc>
          <w:tcPr>
            <w:tcW w:w="1021" w:type="dxa"/>
            <w:vAlign w:val="center"/>
            <w:textDirection w:val="lrTb"/>
            <w:noWrap w:val="false"/>
          </w:tcPr>
          <w:p>
            <w:pPr>
              <w:pStyle w:val="752"/>
              <w:jc w:val="center"/>
              <w:spacing w:line="360" w:lineRule="auto"/>
              <w:rPr>
                <w:rFonts w:ascii="宋体" w:cs="宋体"/>
                <w:color w:val="auto"/>
                <w:highlight w:val="none"/>
                <w:lang w:bidi="ar"/>
              </w:rPr>
            </w:pPr>
            <w:r>
              <w:rPr>
                <w:rFonts w:ascii="宋体" w:cs="宋体"/>
                <w:color w:val="auto"/>
                <w:highlight w:val="none"/>
                <w:lang w:bidi="ar"/>
              </w:rPr>
              <w:t xml:space="preserve">序号</w:t>
            </w:r>
            <w:r/>
          </w:p>
        </w:tc>
        <w:tc>
          <w:tcPr>
            <w:tcW w:w="1700" w:type="dxa"/>
            <w:vAlign w:val="center"/>
            <w:textDirection w:val="lrTb"/>
            <w:noWrap w:val="false"/>
          </w:tcPr>
          <w:p>
            <w:pPr>
              <w:pStyle w:val="752"/>
              <w:jc w:val="center"/>
              <w:spacing w:line="360" w:lineRule="auto"/>
              <w:rPr>
                <w:rFonts w:ascii="宋体" w:cs="宋体"/>
                <w:color w:val="auto"/>
                <w:highlight w:val="none"/>
                <w:lang w:bidi="ar"/>
              </w:rPr>
            </w:pPr>
            <w:r>
              <w:rPr>
                <w:rFonts w:ascii="宋体" w:cs="宋体"/>
                <w:color w:val="auto"/>
                <w:highlight w:val="none"/>
                <w:lang w:bidi="ar"/>
              </w:rPr>
              <w:t xml:space="preserve">条款条目</w:t>
            </w:r>
            <w:r/>
          </w:p>
        </w:tc>
        <w:tc>
          <w:tcPr>
            <w:tcW w:w="2579" w:type="dxa"/>
            <w:vAlign w:val="center"/>
            <w:textDirection w:val="lrTb"/>
            <w:noWrap w:val="false"/>
          </w:tcPr>
          <w:p>
            <w:pPr>
              <w:pStyle w:val="752"/>
              <w:jc w:val="center"/>
              <w:spacing w:line="360" w:lineRule="auto"/>
              <w:rPr>
                <w:rFonts w:ascii="宋体" w:cs="宋体"/>
                <w:color w:val="auto"/>
                <w:highlight w:val="none"/>
                <w:lang w:bidi="ar"/>
              </w:rPr>
            </w:pPr>
            <w:r>
              <w:rPr>
                <w:rFonts w:hint="eastAsia" w:ascii="宋体" w:cs="宋体"/>
                <w:color w:val="auto"/>
                <w:highlight w:val="none"/>
                <w:lang w:bidi="ar"/>
              </w:rPr>
              <w:t xml:space="preserve">《采购文件》内容</w:t>
            </w:r>
            <w:r/>
          </w:p>
        </w:tc>
        <w:tc>
          <w:tcPr>
            <w:tcW w:w="2042" w:type="dxa"/>
            <w:vAlign w:val="center"/>
            <w:textDirection w:val="lrTb"/>
            <w:noWrap w:val="false"/>
          </w:tcPr>
          <w:p>
            <w:pPr>
              <w:pStyle w:val="752"/>
              <w:jc w:val="center"/>
              <w:spacing w:line="360" w:lineRule="auto"/>
              <w:rPr>
                <w:rFonts w:ascii="宋体" w:cs="宋体"/>
                <w:color w:val="auto"/>
                <w:highlight w:val="none"/>
                <w:lang w:bidi="ar"/>
              </w:rPr>
            </w:pPr>
            <w:r>
              <w:rPr>
                <w:rFonts w:hint="eastAsia" w:ascii="宋体" w:cs="宋体"/>
                <w:color w:val="auto"/>
                <w:highlight w:val="none"/>
                <w:lang w:bidi="ar"/>
              </w:rPr>
              <w:t xml:space="preserve">谈判响应</w:t>
            </w:r>
            <w:r>
              <w:rPr>
                <w:rFonts w:ascii="宋体" w:cs="宋体"/>
                <w:color w:val="auto"/>
                <w:highlight w:val="none"/>
                <w:lang w:bidi="ar"/>
              </w:rPr>
              <w:t xml:space="preserve">文件响应</w:t>
            </w:r>
            <w:r/>
          </w:p>
        </w:tc>
        <w:tc>
          <w:tcPr>
            <w:tcW w:w="2287" w:type="dxa"/>
            <w:vAlign w:val="center"/>
            <w:textDirection w:val="lrTb"/>
            <w:noWrap w:val="false"/>
          </w:tcPr>
          <w:p>
            <w:pPr>
              <w:pStyle w:val="752"/>
              <w:jc w:val="center"/>
              <w:spacing w:line="360" w:lineRule="auto"/>
              <w:rPr>
                <w:rFonts w:ascii="宋体" w:cs="宋体"/>
                <w:color w:val="auto"/>
                <w:highlight w:val="none"/>
                <w:lang w:bidi="ar"/>
              </w:rPr>
            </w:pPr>
            <w:r>
              <w:rPr>
                <w:rFonts w:ascii="宋体" w:cs="宋体"/>
                <w:color w:val="auto"/>
                <w:highlight w:val="none"/>
                <w:lang w:bidi="ar"/>
              </w:rPr>
              <w:t xml:space="preserve">偏离描述</w:t>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olor w:val="auto"/>
                <w:szCs w:val="21"/>
                <w:highlight w:val="none"/>
                <w:lang w:bidi="ar"/>
              </w:rPr>
            </w:pPr>
            <w:r>
              <w:rPr>
                <w:rFonts w:ascii="宋体"/>
                <w:color w:val="auto"/>
                <w:szCs w:val="21"/>
                <w:highlight w:val="none"/>
                <w:lang w:bidi="ar"/>
              </w:rPr>
            </w:r>
            <w:r/>
          </w:p>
        </w:tc>
        <w:tc>
          <w:tcPr>
            <w:tcW w:w="2579" w:type="dxa"/>
            <w:textDirection w:val="lrTb"/>
            <w:noWrap w:val="false"/>
          </w:tcPr>
          <w:p>
            <w:pPr>
              <w:pStyle w:val="752"/>
              <w:spacing w:line="360" w:lineRule="auto"/>
              <w:rPr>
                <w:rFonts w:ascii="宋体"/>
                <w:color w:val="auto"/>
                <w:szCs w:val="21"/>
                <w:highlight w:val="none"/>
                <w:lang w:bidi="ar"/>
              </w:rPr>
            </w:pPr>
            <w:r>
              <w:rPr>
                <w:rFonts w:ascii="宋体"/>
                <w:color w:val="auto"/>
                <w:szCs w:val="21"/>
                <w:highlight w:val="none"/>
                <w:lang w:bidi="ar"/>
              </w:rPr>
            </w:r>
            <w:r/>
          </w:p>
        </w:tc>
        <w:tc>
          <w:tcPr>
            <w:tcW w:w="2042" w:type="dxa"/>
            <w:textDirection w:val="lrTb"/>
            <w:noWrap w:val="false"/>
          </w:tcPr>
          <w:p>
            <w:pPr>
              <w:pStyle w:val="752"/>
              <w:spacing w:line="360" w:lineRule="auto"/>
              <w:rPr>
                <w:rFonts w:ascii="宋体"/>
                <w:color w:val="auto"/>
                <w:szCs w:val="21"/>
                <w:highlight w:val="none"/>
                <w:lang w:bidi="ar"/>
              </w:rPr>
            </w:pPr>
            <w:r>
              <w:rPr>
                <w:rFonts w:ascii="宋体"/>
                <w:color w:val="auto"/>
                <w:szCs w:val="21"/>
                <w:highlight w:val="none"/>
                <w:lang w:bidi="ar"/>
              </w:rPr>
            </w:r>
            <w:r/>
          </w:p>
        </w:tc>
        <w:tc>
          <w:tcPr>
            <w:tcW w:w="2287" w:type="dxa"/>
            <w:textDirection w:val="lrTb"/>
            <w:noWrap w:val="false"/>
          </w:tcPr>
          <w:p>
            <w:pPr>
              <w:pStyle w:val="752"/>
              <w:spacing w:line="360" w:lineRule="auto"/>
              <w:rPr>
                <w:rFonts w:ascii="宋体"/>
                <w:color w:val="auto"/>
                <w:szCs w:val="21"/>
                <w:highlight w:val="none"/>
                <w:lang w:bidi="ar"/>
              </w:rPr>
            </w:pPr>
            <w:r>
              <w:rPr>
                <w:rFonts w:ascii="宋体"/>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r>
        <w:trPr>
          <w:cantSplit/>
          <w:jc w:val="center"/>
        </w:trPr>
        <w:tc>
          <w:tcPr>
            <w:tcW w:w="1021"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1700"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579"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042"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c>
          <w:tcPr>
            <w:tcW w:w="2287" w:type="dxa"/>
            <w:textDirection w:val="lrTb"/>
            <w:noWrap w:val="false"/>
          </w:tcPr>
          <w:p>
            <w:pPr>
              <w:pStyle w:val="752"/>
              <w:spacing w:line="360" w:lineRule="auto"/>
              <w:rPr>
                <w:rFonts w:ascii="宋体" w:cs="Arial"/>
                <w:color w:val="auto"/>
                <w:szCs w:val="21"/>
                <w:highlight w:val="none"/>
                <w:lang w:bidi="ar"/>
              </w:rPr>
            </w:pPr>
            <w:r>
              <w:rPr>
                <w:rFonts w:ascii="宋体" w:cs="Arial"/>
                <w:color w:val="auto"/>
                <w:szCs w:val="21"/>
                <w:highlight w:val="none"/>
                <w:lang w:bidi="ar"/>
              </w:rPr>
            </w:r>
            <w:r/>
          </w:p>
        </w:tc>
      </w:tr>
    </w:tbl>
    <w:p>
      <w:pPr>
        <w:ind w:firstLine="24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color w:val="auto"/>
          <w:sz w:val="24"/>
          <w:highlight w:val="none"/>
        </w:rPr>
      </w:pPr>
      <w:r>
        <w:rPr>
          <w:rFonts w:ascii="宋体" w:cs="宋体"/>
          <w:color w:val="auto"/>
          <w:sz w:val="24"/>
          <w:highlight w:val="none"/>
        </w:rPr>
      </w:r>
      <w:r/>
    </w:p>
    <w:p>
      <w:pPr>
        <w:ind w:firstLine="24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color w:val="auto"/>
          <w:sz w:val="24"/>
          <w:highlight w:val="none"/>
        </w:rPr>
      </w:pPr>
      <w:r>
        <w:rPr>
          <w:rFonts w:hint="eastAsia" w:ascii="宋体" w:cs="宋体"/>
          <w:color w:val="auto"/>
          <w:sz w:val="24"/>
          <w:highlight w:val="none"/>
          <w:lang w:bidi="ar"/>
        </w:rPr>
        <w:t xml:space="preserve">说明：1.如与单一来源采购文件的要求存在偏差，请填写上表；</w:t>
      </w:r>
      <w:r/>
    </w:p>
    <w:p>
      <w:pPr>
        <w:ind w:firstLine="24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color w:val="auto"/>
          <w:sz w:val="24"/>
          <w:highlight w:val="none"/>
        </w:rPr>
      </w:pPr>
      <w:r>
        <w:rPr>
          <w:rFonts w:hint="eastAsia" w:ascii="宋体" w:cs="宋体"/>
          <w:color w:val="auto"/>
          <w:sz w:val="24"/>
          <w:highlight w:val="none"/>
          <w:lang w:bidi="ar"/>
        </w:rPr>
        <w:t xml:space="preserve">      2.如与单一来源采购文件的要求无偏差，请填写“无”。</w:t>
      </w:r>
      <w:r/>
    </w:p>
    <w:p>
      <w:pPr>
        <w:ind w:firstLine="240"/>
        <w:spacing w:line="480" w:lineRule="exact"/>
        <w:tabs>
          <w:tab w:val="left" w:pos="0" w:leader="none"/>
          <w:tab w:val="left" w:pos="720" w:leader="none"/>
          <w:tab w:val="left" w:pos="1440" w:leader="none"/>
          <w:tab w:val="left" w:pos="2160" w:leader="none"/>
          <w:tab w:val="left" w:pos="2880" w:leader="none"/>
          <w:tab w:val="left" w:pos="3600" w:leader="none"/>
          <w:tab w:val="left" w:pos="4320" w:leader="none"/>
        </w:tabs>
        <w:rPr>
          <w:rFonts w:ascii="宋体" w:cs="宋体"/>
          <w:color w:val="auto"/>
          <w:sz w:val="24"/>
          <w:highlight w:val="none"/>
          <w:lang w:bidi="ar"/>
        </w:rPr>
      </w:pPr>
      <w:r>
        <w:rPr>
          <w:rFonts w:ascii="宋体" w:cs="宋体"/>
          <w:color w:val="auto"/>
          <w:sz w:val="24"/>
          <w:highlight w:val="none"/>
          <w:lang w:bidi="ar"/>
        </w:rPr>
      </w:r>
      <w:r/>
    </w:p>
    <w:p>
      <w:pPr>
        <w:ind w:right="-58" w:firstLine="420"/>
        <w:spacing w:line="360" w:lineRule="auto"/>
        <w:tabs>
          <w:tab w:val="left" w:pos="0" w:leader="none"/>
        </w:tabs>
        <w:rPr>
          <w:color w:val="auto"/>
          <w:sz w:val="24"/>
          <w:highlight w:val="none"/>
        </w:rPr>
      </w:pPr>
      <w:r>
        <w:rPr>
          <w:rFonts w:hint="eastAsia"/>
          <w:color w:val="auto"/>
          <w:sz w:val="24"/>
          <w:highlight w:val="none"/>
        </w:rPr>
        <w:t xml:space="preserve">                        供应商</w:t>
      </w:r>
      <w:r>
        <w:rPr>
          <w:color w:val="auto"/>
          <w:sz w:val="24"/>
          <w:highlight w:val="none"/>
        </w:rPr>
        <w:t xml:space="preserve">（公章）</w:t>
      </w:r>
      <w:r>
        <w:rPr>
          <w:rFonts w:hint="eastAsia"/>
          <w:color w:val="auto"/>
          <w:sz w:val="24"/>
          <w:highlight w:val="none"/>
        </w:rPr>
        <w:t xml:space="preserve">：</w:t>
      </w:r>
      <w:r/>
    </w:p>
    <w:p>
      <w:pPr>
        <w:pStyle w:val="866"/>
        <w:ind w:left="1202" w:firstLine="480"/>
        <w:jc w:val="both"/>
        <w:spacing w:line="360" w:lineRule="auto"/>
        <w:tabs>
          <w:tab w:val="left" w:pos="4540" w:leader="none"/>
        </w:tabs>
        <w:rPr>
          <w:rFonts w:ascii="Calibri" w:hAnsi="Calibri" w:cs="Times New Roman"/>
          <w:color w:val="auto"/>
          <w:szCs w:val="24"/>
          <w:highlight w:val="none"/>
        </w:rPr>
      </w:pPr>
      <w:r>
        <w:rPr>
          <w:rFonts w:hint="eastAsia" w:ascii="Calibri" w:hAnsi="Calibri" w:cs="Times New Roman"/>
          <w:color w:val="auto"/>
          <w:szCs w:val="24"/>
          <w:highlight w:val="none"/>
        </w:rPr>
        <w:t xml:space="preserve">       法定代表人（或授权代理人）</w:t>
      </w:r>
      <w:r>
        <w:rPr>
          <w:rFonts w:ascii="Calibri" w:hAnsi="Calibri" w:cs="Times New Roman"/>
          <w:color w:val="auto"/>
          <w:szCs w:val="24"/>
          <w:highlight w:val="none"/>
        </w:rPr>
        <w:t xml:space="preserve">签字：</w:t>
      </w:r>
      <w:r/>
    </w:p>
    <w:p>
      <w:pPr>
        <w:pStyle w:val="866"/>
        <w:ind w:left="1202" w:firstLine="480"/>
        <w:jc w:val="both"/>
        <w:spacing w:line="360" w:lineRule="auto"/>
        <w:tabs>
          <w:tab w:val="left" w:pos="4540" w:leader="none"/>
        </w:tabs>
        <w:rPr>
          <w:rFonts w:ascii="Calibri" w:hAnsi="Calibri" w:cs="Times New Roman"/>
          <w:color w:val="auto"/>
          <w:szCs w:val="24"/>
          <w:highlight w:val="none"/>
        </w:rPr>
      </w:pPr>
      <w:r>
        <w:rPr>
          <w:rFonts w:hint="eastAsia" w:ascii="Calibri" w:hAnsi="Calibri" w:cs="Times New Roman"/>
          <w:color w:val="auto"/>
          <w:szCs w:val="24"/>
          <w:highlight w:val="none"/>
        </w:rPr>
        <w:t xml:space="preserve">              </w:t>
      </w:r>
      <w:r>
        <w:rPr>
          <w:rFonts w:ascii="Calibri" w:hAnsi="Calibri" w:cs="Times New Roman"/>
          <w:color w:val="auto"/>
          <w:szCs w:val="24"/>
          <w:highlight w:val="none"/>
        </w:rPr>
        <w:t xml:space="preserve">日     期：</w:t>
      </w:r>
      <w:r/>
    </w:p>
    <w:p>
      <w:pPr>
        <w:spacing w:line="440" w:lineRule="exact"/>
        <w:rPr>
          <w:color w:val="auto"/>
          <w:sz w:val="24"/>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titlePg/>
        </w:sectPr>
      </w:pPr>
      <w:r>
        <w:rPr>
          <w:color w:val="auto"/>
          <w:sz w:val="24"/>
          <w:highlight w:val="none"/>
        </w:rPr>
      </w:r>
      <w:r/>
    </w:p>
    <w:p>
      <w:pPr>
        <w:spacing w:line="520" w:lineRule="exact"/>
        <w:rPr>
          <w:rFonts w:hint="default" w:ascii="宋体" w:hAnsi="宋体" w:eastAsia="宋体" w:cs="宋体"/>
          <w:b/>
          <w:bCs/>
          <w:color w:val="auto"/>
          <w:sz w:val="28"/>
          <w:szCs w:val="44"/>
          <w:highlight w:val="none"/>
          <w:lang w:val="en-US" w:eastAsia="zh-CN"/>
        </w:rPr>
      </w:pPr>
      <w:r/>
      <w:bookmarkStart w:id="192" w:name="_Toc22745"/>
      <w:r/>
      <w:bookmarkStart w:id="193" w:name="_Toc30483"/>
      <w:r>
        <w:rPr>
          <w:rFonts w:hint="eastAsia" w:ascii="宋体" w:hAnsi="宋体" w:cs="宋体"/>
          <w:b/>
          <w:bCs/>
          <w:color w:val="auto"/>
          <w:sz w:val="28"/>
          <w:szCs w:val="44"/>
          <w:highlight w:val="none"/>
        </w:rPr>
        <w:t xml:space="preserve">七、</w:t>
      </w:r>
      <w:bookmarkEnd w:id="192"/>
      <w:r/>
      <w:bookmarkEnd w:id="193"/>
      <w:r>
        <w:rPr>
          <w:rFonts w:hint="eastAsia" w:ascii="宋体" w:hAnsi="宋体" w:cs="宋体"/>
          <w:b/>
          <w:bCs/>
          <w:color w:val="auto"/>
          <w:sz w:val="28"/>
          <w:szCs w:val="44"/>
          <w:highlight w:val="none"/>
        </w:rPr>
        <w:t xml:space="preserve">技术方案、服务承诺、培训承诺</w:t>
      </w:r>
      <w:r>
        <w:rPr>
          <w:rFonts w:hint="eastAsia" w:ascii="宋体" w:hAnsi="宋体" w:cs="宋体"/>
          <w:b/>
          <w:bCs/>
          <w:color w:val="auto"/>
          <w:sz w:val="28"/>
          <w:szCs w:val="44"/>
          <w:highlight w:val="none"/>
          <w:lang w:eastAsia="zh-CN"/>
        </w:rPr>
        <w:t xml:space="preserve">、</w:t>
      </w:r>
      <w:r>
        <w:rPr>
          <w:rFonts w:hint="eastAsia" w:ascii="宋体" w:hAnsi="宋体" w:cs="宋体"/>
          <w:b/>
          <w:bCs/>
          <w:color w:val="auto"/>
          <w:sz w:val="28"/>
          <w:szCs w:val="44"/>
          <w:highlight w:val="none"/>
          <w:lang w:val="en-US" w:eastAsia="zh-CN"/>
        </w:rPr>
        <w:t xml:space="preserve">运维方案</w:t>
      </w:r>
      <w:r/>
    </w:p>
    <w:p>
      <w:pPr>
        <w:spacing w:line="520" w:lineRule="exact"/>
        <w:rPr>
          <w:rFonts w:ascii="宋体" w:hAnsi="宋体" w:cs="宋体"/>
          <w:color w:val="auto"/>
          <w:sz w:val="24"/>
          <w:highlight w:val="none"/>
        </w:rPr>
      </w:pPr>
      <w:r>
        <w:rPr>
          <w:rFonts w:hint="eastAsia" w:ascii="宋体" w:hAnsi="宋体"/>
          <w:color w:val="auto"/>
          <w:sz w:val="24"/>
          <w:highlight w:val="none"/>
        </w:rPr>
        <w:t xml:space="preserve">（由供应商自行拟定）</w:t>
      </w:r>
      <w:r/>
    </w:p>
    <w:p>
      <w:pPr>
        <w:rPr>
          <w:rFonts w:ascii="宋体" w:hAnsi="宋体" w:cs="宋体"/>
          <w:color w:val="auto"/>
          <w:highlight w:val="none"/>
        </w:rPr>
      </w:pPr>
      <w:r>
        <w:rPr>
          <w:rFonts w:ascii="宋体" w:hAnsi="宋体" w:cs="宋体"/>
          <w:color w:val="auto"/>
          <w:highlight w:val="none"/>
        </w:rPr>
      </w:r>
      <w:r/>
    </w:p>
    <w:sectPr>
      <w:footerReference w:type="default" r:id="rId14"/>
      <w:footnotePr/>
      <w:endnotePr/>
      <w:type w:val="nextPage"/>
      <w:pgSz w:w="11906" w:h="16838" w:orient="portrait"/>
      <w:pgMar w:top="1440" w:right="1797" w:bottom="1276" w:left="1797" w:header="102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Verdana">
    <w:panose1 w:val="020B0604030504040204"/>
  </w:font>
  <w:font w:name="黑体">
    <w:panose1 w:val="02010609060101010101"/>
  </w:font>
  <w:font w:name="幼圆">
    <w:panose1 w:val="02010509060101010101"/>
  </w:font>
  <w:font w:name="Symbol">
    <w:panose1 w:val="05050102010706020507"/>
  </w:font>
  <w:font w:name="FangSong_GB2312">
    <w:panose1 w:val="02010609060101010101"/>
  </w:font>
  <w:font w:name="Calibri">
    <w:panose1 w:val="020F0502020204030204"/>
  </w:font>
  <w:font w:name="Cambria">
    <w:panose1 w:val="02040503050406030204"/>
  </w:font>
  <w:font w:name="长城仿宋">
    <w:panose1 w:val="020B0503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240" w:lineRule="exac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24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wps:spPr>
                    <wps:txbx>
                      <w:txbxContent>
                        <w:p>
                          <w:pPr>
                            <w:pStyle w:val="771"/>
                          </w:pPr>
                          <w:r>
                            <w:fldChar w:fldCharType="begin"/>
                          </w:r>
                          <w:r>
                            <w:instrText xml:space="preserve"> PAGE  \* MERGEFORMAT </w:instrText>
                          </w:r>
                          <w:r>
                            <w:fldChar w:fldCharType="separate"/>
                          </w:r>
                          <w:r>
                            <w:t xml:space="preserve">12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47955"/>
                      </a:xfrm>
                      <a:prstGeom prst="rect">
                        <a:avLst/>
                      </a:prstGeom>
                      <a:noFill/>
                      <a:ln>
                        <a:noFill/>
                      </a:ln>
                    </wps:spPr>
                    <wps:txbx>
                      <w:txbxContent>
                        <w:p>
                          <w:pPr>
                            <w:pStyle w:val="771"/>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spacing w:line="24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7955"/>
              <wp:effectExtent l="0" t="0" r="0" b="0"/>
              <wp:wrapNone/>
              <wp:docPr id="3" name="Text Box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47955"/>
                      </a:xfrm>
                      <a:prstGeom prst="rect">
                        <a:avLst/>
                      </a:prstGeom>
                      <a:noFill/>
                      <a:ln>
                        <a:noFill/>
                      </a:ln>
                    </wps:spPr>
                    <wps:txbx>
                      <w:txbxContent>
                        <w:p>
                          <w:pPr>
                            <w:pStyle w:val="771"/>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text-anchor:top;visibility:visible;" filled="f" stroked="f">
              <v:textbox inset="0,0,0,0">
                <w:txbxContent>
                  <w:p>
                    <w:pPr>
                      <w:pStyle w:val="77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84"/>
      <w:jc w:val="both"/>
      <w:tabs>
        <w:tab w:val="clear" w:pos="8306" w:leader="none"/>
      </w:tabs>
      <w:rPr>
        <w:rFonts w:ascii="楷体" w:hAnsi="楷体" w:eastAsia="楷体" w:cs="楷体"/>
      </w:rPr>
      <w:pBdr>
        <w:bottom w:val="none" w:color="auto" w:sz="0" w:space="1"/>
      </w:pBdr>
    </w:pPr>
    <w:r>
      <w:rPr>
        <w:rFonts w:hint="eastAsia" w:ascii="楷体" w:hAnsi="楷体" w:eastAsia="楷体" w:cs="楷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836"/>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2">
    <w:multiLevelType w:val="hybridMultilevel"/>
    <w:lvl w:ilvl="0">
      <w:start w:val="1"/>
      <w:numFmt w:val="none"/>
      <w:pStyle w:val="859"/>
      <w:isLgl w:val="false"/>
      <w:suff w:val="tab"/>
      <w:lvlText w:val=""/>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56"/>
      <w:isLgl w:val="false"/>
      <w:suff w:val="tab"/>
      <w:lvlText w:val="%1."/>
      <w:lvlJc w:val="left"/>
      <w:pPr>
        <w:tabs>
          <w:tab w:val="left" w:pos="360" w:leader="none"/>
        </w:tabs>
      </w:pPr>
      <w:rPr>
        <w:rFonts w:hint="eastAsia"/>
      </w:rPr>
    </w:lvl>
    <w:lvl w:ilvl="1">
      <w:start w:val="1"/>
      <w:numFmt w:val="decimal"/>
      <w:pStyle w:val="837"/>
      <w:isLgl w:val="false"/>
      <w:suff w:val="tab"/>
      <w:lvlText w:val="%1.%2"/>
      <w:lvlJc w:val="left"/>
      <w:pPr>
        <w:tabs>
          <w:tab w:val="left" w:pos="720" w:leader="none"/>
        </w:tabs>
      </w:pPr>
      <w:rPr>
        <w:rFonts w:hint="eastAsia"/>
        <w:b w:val="0"/>
        <w:bCs w:val="0"/>
        <w:i w:val="0"/>
        <w:iCs w:val="0"/>
      </w:rPr>
    </w:lvl>
    <w:lvl w:ilvl="2">
      <w:start w:val="1"/>
      <w:numFmt w:val="decimal"/>
      <w:pStyle w:val="847"/>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5"/>
    <w:uiPriority w:val="9"/>
    <w:rPr>
      <w:rFonts w:ascii="Arial" w:hAnsi="Arial" w:eastAsia="Arial" w:cs="Arial"/>
      <w:sz w:val="40"/>
      <w:szCs w:val="40"/>
    </w:rPr>
  </w:style>
  <w:style w:type="character" w:styleId="15">
    <w:name w:val="Heading 2 Char"/>
    <w:basedOn w:val="750"/>
    <w:link w:val="746"/>
    <w:uiPriority w:val="9"/>
    <w:rPr>
      <w:rFonts w:ascii="Arial" w:hAnsi="Arial" w:eastAsia="Arial" w:cs="Arial"/>
      <w:sz w:val="34"/>
    </w:rPr>
  </w:style>
  <w:style w:type="character" w:styleId="17">
    <w:name w:val="Heading 3 Char"/>
    <w:basedOn w:val="750"/>
    <w:link w:val="747"/>
    <w:uiPriority w:val="9"/>
    <w:rPr>
      <w:rFonts w:ascii="Arial" w:hAnsi="Arial" w:eastAsia="Arial" w:cs="Arial"/>
      <w:sz w:val="30"/>
      <w:szCs w:val="30"/>
    </w:rPr>
  </w:style>
  <w:style w:type="character" w:styleId="19">
    <w:name w:val="Heading 4 Char"/>
    <w:basedOn w:val="750"/>
    <w:link w:val="748"/>
    <w:uiPriority w:val="9"/>
    <w:rPr>
      <w:rFonts w:ascii="Arial" w:hAnsi="Arial" w:eastAsia="Arial" w:cs="Arial"/>
      <w:b/>
      <w:bCs/>
      <w:sz w:val="26"/>
      <w:szCs w:val="26"/>
    </w:rPr>
  </w:style>
  <w:style w:type="character" w:styleId="21">
    <w:name w:val="Heading 5 Char"/>
    <w:basedOn w:val="750"/>
    <w:link w:val="749"/>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0"/>
    <w:link w:val="779"/>
    <w:uiPriority w:val="10"/>
    <w:rPr>
      <w:sz w:val="48"/>
      <w:szCs w:val="48"/>
    </w:rPr>
  </w:style>
  <w:style w:type="character" w:styleId="36">
    <w:name w:val="Subtitle Char"/>
    <w:basedOn w:val="750"/>
    <w:link w:val="774"/>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0"/>
    <w:link w:val="772"/>
    <w:uiPriority w:val="99"/>
  </w:style>
  <w:style w:type="character" w:styleId="44">
    <w:name w:val="Footer Char"/>
    <w:basedOn w:val="750"/>
    <w:link w:val="771"/>
    <w:uiPriority w:val="99"/>
  </w:style>
  <w:style w:type="character" w:styleId="46">
    <w:name w:val="Caption Char"/>
    <w:basedOn w:val="755"/>
    <w:link w:val="771"/>
    <w:uiPriority w:val="99"/>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0"/>
    <w:uiPriority w:val="99"/>
    <w:semiHidden/>
    <w:unhideWhenUsed/>
    <w:rPr>
      <w:vertAlign w:val="superscript"/>
    </w:r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2"/>
    <w:uiPriority w:val="0"/>
    <w:qFormat/>
    <w:pPr>
      <w:jc w:val="both"/>
      <w:widowControl w:val="off"/>
    </w:pPr>
    <w:rPr>
      <w:rFonts w:ascii="Times New Roman" w:hAnsi="Times New Roman" w:eastAsia="宋体" w:cs="Times New Roman"/>
      <w:sz w:val="21"/>
      <w:szCs w:val="22"/>
      <w:lang w:val="en-US" w:eastAsia="zh-CN" w:bidi="ar-SA"/>
    </w:rPr>
  </w:style>
  <w:style w:type="paragraph" w:styleId="745">
    <w:name w:val="Heading 1"/>
    <w:basedOn w:val="744"/>
    <w:next w:val="744"/>
    <w:link w:val="798"/>
    <w:uiPriority w:val="0"/>
    <w:qFormat/>
    <w:pPr>
      <w:keepLines/>
      <w:keepNext/>
      <w:spacing w:before="340" w:after="330" w:line="578" w:lineRule="auto"/>
      <w:outlineLvl w:val="0"/>
    </w:pPr>
    <w:rPr>
      <w:b/>
      <w:bCs/>
      <w:sz w:val="44"/>
      <w:szCs w:val="44"/>
    </w:rPr>
  </w:style>
  <w:style w:type="paragraph" w:styleId="746">
    <w:name w:val="Heading 2"/>
    <w:basedOn w:val="744"/>
    <w:next w:val="744"/>
    <w:link w:val="807"/>
    <w:uiPriority w:val="0"/>
    <w:qFormat/>
    <w:pPr>
      <w:keepLines/>
      <w:keepNext/>
      <w:spacing w:before="260" w:after="260" w:line="416" w:lineRule="auto"/>
      <w:outlineLvl w:val="1"/>
    </w:pPr>
    <w:rPr>
      <w:rFonts w:ascii="Cambria" w:hAnsi="Cambria" w:cs="Cambria"/>
      <w:b/>
      <w:sz w:val="32"/>
      <w:szCs w:val="32"/>
    </w:rPr>
  </w:style>
  <w:style w:type="paragraph" w:styleId="747">
    <w:name w:val="Heading 3"/>
    <w:basedOn w:val="744"/>
    <w:next w:val="754"/>
    <w:link w:val="817"/>
    <w:uiPriority w:val="0"/>
    <w:qFormat/>
    <w:pPr>
      <w:keepLines/>
      <w:keepNext/>
      <w:spacing w:before="260" w:after="260" w:line="416" w:lineRule="auto"/>
      <w:outlineLvl w:val="2"/>
    </w:pPr>
    <w:rPr>
      <w:rFonts w:ascii="Calibri" w:hAnsi="Calibri"/>
      <w:b/>
      <w:bCs/>
      <w:sz w:val="32"/>
      <w:szCs w:val="32"/>
    </w:rPr>
  </w:style>
  <w:style w:type="paragraph" w:styleId="748">
    <w:name w:val="Heading 4"/>
    <w:basedOn w:val="744"/>
    <w:next w:val="744"/>
    <w:link w:val="805"/>
    <w:uiPriority w:val="0"/>
    <w:qFormat/>
    <w:pPr>
      <w:keepLines/>
      <w:keepNext/>
      <w:spacing w:before="280" w:after="290" w:line="376" w:lineRule="auto"/>
      <w:outlineLvl w:val="3"/>
    </w:pPr>
    <w:rPr>
      <w:rFonts w:ascii="Cambria" w:hAnsi="Cambria"/>
      <w:b/>
      <w:bCs/>
      <w:sz w:val="28"/>
      <w:szCs w:val="28"/>
    </w:rPr>
  </w:style>
  <w:style w:type="paragraph" w:styleId="749">
    <w:name w:val="Heading 5"/>
    <w:basedOn w:val="744"/>
    <w:next w:val="744"/>
    <w:link w:val="830"/>
    <w:uiPriority w:val="0"/>
    <w:qFormat/>
    <w:pPr>
      <w:keepLines/>
      <w:keepNext/>
      <w:spacing w:before="280" w:after="290" w:line="376" w:lineRule="auto"/>
      <w:outlineLvl w:val="4"/>
    </w:pPr>
    <w:rPr>
      <w:rFonts w:ascii="Calibri" w:hAnsi="Calibri"/>
      <w:b/>
      <w:bCs/>
      <w:sz w:val="28"/>
      <w:szCs w:val="28"/>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Body Text"/>
    <w:basedOn w:val="744"/>
    <w:next w:val="753"/>
    <w:link w:val="793"/>
    <w:uiPriority w:val="0"/>
    <w:qFormat/>
    <w:rPr>
      <w:rFonts w:ascii="FangSong_GB2312" w:hAnsi="宋体" w:eastAsia="FangSong_GB2312"/>
      <w:sz w:val="24"/>
      <w:szCs w:val="24"/>
    </w:rPr>
  </w:style>
  <w:style w:type="paragraph" w:styleId="75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4">
    <w:name w:val="Normal Indent"/>
    <w:basedOn w:val="744"/>
    <w:link w:val="822"/>
    <w:uiPriority w:val="0"/>
    <w:qFormat/>
    <w:pPr>
      <w:ind w:firstLine="420"/>
      <w:jc w:val="left"/>
      <w:spacing w:line="360" w:lineRule="atLeast"/>
    </w:pPr>
    <w:rPr>
      <w:szCs w:val="21"/>
    </w:rPr>
  </w:style>
  <w:style w:type="paragraph" w:styleId="755">
    <w:name w:val="Caption"/>
    <w:basedOn w:val="744"/>
    <w:next w:val="744"/>
    <w:uiPriority w:val="0"/>
    <w:qFormat/>
    <w:rPr>
      <w:rFonts w:ascii="Cambria" w:hAnsi="Cambria" w:eastAsia="黑体"/>
      <w:sz w:val="20"/>
      <w:szCs w:val="20"/>
    </w:rPr>
  </w:style>
  <w:style w:type="paragraph" w:styleId="756">
    <w:name w:val="Document Map"/>
    <w:basedOn w:val="744"/>
    <w:link w:val="799"/>
    <w:uiPriority w:val="0"/>
    <w:qFormat/>
    <w:rPr>
      <w:rFonts w:ascii="宋体"/>
      <w:sz w:val="18"/>
      <w:szCs w:val="18"/>
    </w:rPr>
  </w:style>
  <w:style w:type="paragraph" w:styleId="757">
    <w:name w:val="annotation text"/>
    <w:basedOn w:val="744"/>
    <w:link w:val="797"/>
    <w:uiPriority w:val="0"/>
    <w:qFormat/>
    <w:pPr>
      <w:jc w:val="left"/>
    </w:pPr>
    <w:rPr>
      <w:sz w:val="20"/>
      <w:szCs w:val="21"/>
    </w:rPr>
  </w:style>
  <w:style w:type="paragraph" w:styleId="758">
    <w:name w:val="Body Text Indent"/>
    <w:basedOn w:val="744"/>
    <w:link w:val="818"/>
    <w:uiPriority w:val="0"/>
    <w:qFormat/>
    <w:pPr>
      <w:ind w:firstLine="403"/>
      <w:spacing w:line="440" w:lineRule="exact"/>
    </w:pPr>
    <w:rPr>
      <w:rFonts w:ascii="宋体" w:hAnsi="宋体"/>
      <w:sz w:val="20"/>
      <w:szCs w:val="21"/>
    </w:rPr>
  </w:style>
  <w:style w:type="paragraph" w:styleId="759">
    <w:name w:val="Block Text"/>
    <w:basedOn w:val="744"/>
    <w:uiPriority w:val="99"/>
    <w:qFormat/>
    <w:pPr>
      <w:ind w:left="1440" w:right="1440"/>
      <w:spacing w:after="120"/>
    </w:pPr>
  </w:style>
  <w:style w:type="paragraph" w:styleId="760">
    <w:name w:val="toc 3"/>
    <w:basedOn w:val="744"/>
    <w:next w:val="744"/>
    <w:uiPriority w:val="39"/>
    <w:qFormat/>
    <w:pPr>
      <w:ind w:left="840"/>
    </w:pPr>
    <w:rPr>
      <w:rFonts w:ascii="Calibri" w:hAnsi="Calibri"/>
    </w:rPr>
  </w:style>
  <w:style w:type="paragraph" w:styleId="761">
    <w:name w:val="Plain Text"/>
    <w:basedOn w:val="744"/>
    <w:link w:val="832"/>
    <w:uiPriority w:val="0"/>
    <w:qFormat/>
    <w:rPr>
      <w:rFonts w:ascii="宋体" w:hAnsi="Courier New"/>
      <w:sz w:val="28"/>
      <w:szCs w:val="28"/>
    </w:rPr>
  </w:style>
  <w:style w:type="paragraph" w:styleId="762">
    <w:name w:val="Date"/>
    <w:basedOn w:val="744"/>
    <w:next w:val="744"/>
    <w:link w:val="809"/>
    <w:uiPriority w:val="0"/>
    <w:qFormat/>
    <w:pPr>
      <w:ind w:left="100"/>
    </w:pPr>
    <w:rPr>
      <w:sz w:val="20"/>
      <w:szCs w:val="21"/>
    </w:rPr>
  </w:style>
  <w:style w:type="paragraph" w:styleId="763">
    <w:name w:val="Body Text Indent 2"/>
    <w:basedOn w:val="744"/>
    <w:next w:val="764"/>
    <w:link w:val="834"/>
    <w:uiPriority w:val="0"/>
    <w:qFormat/>
    <w:pPr>
      <w:ind w:firstLine="420"/>
      <w:spacing w:line="440" w:lineRule="exact"/>
    </w:pPr>
    <w:rPr>
      <w:rFonts w:ascii="宋体" w:hAnsi="宋体"/>
      <w:sz w:val="20"/>
      <w:szCs w:val="21"/>
    </w:rPr>
  </w:style>
  <w:style w:type="paragraph" w:styleId="764" w:customStyle="1">
    <w:name w:val="xl75"/>
    <w:basedOn w:val="744"/>
    <w:next w:val="765"/>
    <w:uiPriority w:val="0"/>
    <w:qFormat/>
    <w:pPr>
      <w:ind w:left="200" w:firstLine="5320"/>
      <w:jc w:val="center"/>
      <w:spacing w:before="280" w:after="280"/>
      <w:widowControl/>
    </w:pPr>
    <w:rPr>
      <w:rFonts w:ascii="宋体"/>
    </w:rPr>
  </w:style>
  <w:style w:type="paragraph" w:styleId="765" w:customStyle="1">
    <w:name w:val="Test2"/>
    <w:basedOn w:val="746"/>
    <w:next w:val="766"/>
    <w:uiPriority w:val="0"/>
    <w:qFormat/>
    <w:pPr>
      <w:ind w:left="200" w:firstLine="14"/>
      <w:jc w:val="center"/>
      <w:spacing w:before="156" w:after="156" w:line="480" w:lineRule="exact"/>
      <w:widowControl/>
    </w:pPr>
  </w:style>
  <w:style w:type="paragraph" w:styleId="766" w:customStyle="1">
    <w:name w:val="xl59"/>
    <w:basedOn w:val="744"/>
    <w:next w:val="767"/>
    <w:uiPriority w:val="0"/>
    <w:qFormat/>
    <w:pPr>
      <w:ind w:left="200" w:firstLine="5320"/>
      <w:jc w:val="center"/>
      <w:spacing w:before="280" w:after="280"/>
      <w:widowControl/>
    </w:pPr>
    <w:rPr>
      <w:rFonts w:ascii="Calibri"/>
    </w:rPr>
  </w:style>
  <w:style w:type="paragraph" w:styleId="767" w:customStyle="1">
    <w:name w:val="方案正文"/>
    <w:basedOn w:val="744"/>
    <w:next w:val="768"/>
    <w:uiPriority w:val="0"/>
    <w:qFormat/>
    <w:pPr>
      <w:ind w:left="359" w:firstLine="3687"/>
      <w:spacing w:before="156" w:line="360" w:lineRule="auto"/>
    </w:pPr>
  </w:style>
  <w:style w:type="paragraph" w:styleId="768" w:customStyle="1">
    <w:name w:val="小四 段落 宋体 Char Char Char Char"/>
    <w:basedOn w:val="744"/>
    <w:next w:val="769"/>
    <w:uiPriority w:val="0"/>
    <w:qFormat/>
    <w:pPr>
      <w:ind w:left="480" w:right="-33" w:firstLine="3808"/>
      <w:spacing w:line="360" w:lineRule="auto"/>
    </w:pPr>
  </w:style>
  <w:style w:type="paragraph" w:styleId="769" w:customStyle="1">
    <w:name w:val="flType"/>
    <w:next w:val="744"/>
    <w:uiPriority w:val="0"/>
    <w:qFormat/>
    <w:pPr>
      <w:ind w:firstLine="4608"/>
      <w:jc w:val="center"/>
      <w:spacing w:after="284" w:line="113" w:lineRule="atLeast"/>
      <w:widowControl w:val="off"/>
    </w:pPr>
    <w:rPr>
      <w:rFonts w:ascii="Calibri" w:hAnsi="Times New Roman" w:eastAsia="宋体" w:cs="Times New Roman"/>
      <w:lang w:val="en-US" w:eastAsia="zh-CN" w:bidi="ar-SA"/>
    </w:rPr>
  </w:style>
  <w:style w:type="paragraph" w:styleId="770">
    <w:name w:val="Balloon Text"/>
    <w:basedOn w:val="744"/>
    <w:link w:val="835"/>
    <w:uiPriority w:val="0"/>
    <w:qFormat/>
    <w:rPr>
      <w:sz w:val="18"/>
      <w:szCs w:val="18"/>
    </w:rPr>
  </w:style>
  <w:style w:type="paragraph" w:styleId="771">
    <w:name w:val="Footer"/>
    <w:basedOn w:val="744"/>
    <w:link w:val="801"/>
    <w:uiPriority w:val="0"/>
    <w:qFormat/>
    <w:pPr>
      <w:jc w:val="left"/>
      <w:tabs>
        <w:tab w:val="center" w:pos="4153" w:leader="none"/>
        <w:tab w:val="right" w:pos="8306" w:leader="none"/>
      </w:tabs>
    </w:pPr>
    <w:rPr>
      <w:rFonts w:ascii="宋体"/>
      <w:sz w:val="18"/>
      <w:szCs w:val="18"/>
    </w:rPr>
  </w:style>
  <w:style w:type="paragraph" w:styleId="772">
    <w:name w:val="Header"/>
    <w:basedOn w:val="744"/>
    <w:link w:val="819"/>
    <w:uiPriority w:val="0"/>
    <w:qFormat/>
    <w:pPr>
      <w:jc w:val="center"/>
      <w:tabs>
        <w:tab w:val="center" w:pos="4153" w:leader="none"/>
        <w:tab w:val="right" w:pos="8306" w:leader="none"/>
      </w:tabs>
      <w:pBdr>
        <w:bottom w:val="single" w:color="auto" w:sz="6" w:space="1"/>
      </w:pBdr>
    </w:pPr>
    <w:rPr>
      <w:rFonts w:ascii="宋体"/>
      <w:sz w:val="18"/>
      <w:szCs w:val="18"/>
    </w:rPr>
  </w:style>
  <w:style w:type="paragraph" w:styleId="773">
    <w:name w:val="toc 1"/>
    <w:basedOn w:val="744"/>
    <w:next w:val="744"/>
    <w:uiPriority w:val="39"/>
    <w:qFormat/>
    <w:rPr>
      <w:rFonts w:ascii="Calibri" w:hAnsi="Calibri"/>
    </w:rPr>
  </w:style>
  <w:style w:type="paragraph" w:styleId="774">
    <w:name w:val="Subtitle"/>
    <w:basedOn w:val="744"/>
    <w:next w:val="744"/>
    <w:link w:val="821"/>
    <w:uiPriority w:val="0"/>
    <w:qFormat/>
    <w:pPr>
      <w:jc w:val="center"/>
      <w:spacing w:before="240" w:after="60" w:line="312" w:lineRule="auto"/>
      <w:outlineLvl w:val="1"/>
    </w:pPr>
    <w:rPr>
      <w:rFonts w:ascii="Cambria" w:hAnsi="Cambria"/>
      <w:b/>
      <w:bCs/>
      <w:sz w:val="32"/>
      <w:szCs w:val="32"/>
    </w:rPr>
  </w:style>
  <w:style w:type="paragraph" w:styleId="775">
    <w:name w:val="Body Text Indent 3"/>
    <w:basedOn w:val="744"/>
    <w:uiPriority w:val="0"/>
    <w:qFormat/>
    <w:pPr>
      <w:ind w:left="2" w:firstLine="703"/>
    </w:pPr>
    <w:rPr>
      <w:rFonts w:eastAsia="幼圆"/>
      <w:sz w:val="28"/>
      <w:szCs w:val="28"/>
    </w:rPr>
  </w:style>
  <w:style w:type="paragraph" w:styleId="776">
    <w:name w:val="toc 2"/>
    <w:basedOn w:val="744"/>
    <w:next w:val="744"/>
    <w:uiPriority w:val="39"/>
    <w:qFormat/>
    <w:pPr>
      <w:ind w:left="420"/>
    </w:pPr>
    <w:rPr>
      <w:rFonts w:ascii="Calibri" w:hAnsi="Calibri"/>
    </w:rPr>
  </w:style>
  <w:style w:type="paragraph" w:styleId="777">
    <w:name w:val="HTML Preformatted"/>
    <w:basedOn w:val="74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78">
    <w:name w:val="Normal (Web)"/>
    <w:basedOn w:val="744"/>
    <w:uiPriority w:val="0"/>
    <w:qFormat/>
    <w:pPr>
      <w:jc w:val="left"/>
      <w:spacing w:before="100" w:beforeAutospacing="1" w:after="100" w:afterAutospacing="1"/>
      <w:widowControl/>
    </w:pPr>
    <w:rPr>
      <w:rFonts w:ascii="宋体" w:hAnsi="宋体" w:cs="宋体"/>
      <w:sz w:val="24"/>
      <w:szCs w:val="24"/>
    </w:rPr>
  </w:style>
  <w:style w:type="paragraph" w:styleId="779">
    <w:name w:val="Title"/>
    <w:basedOn w:val="744"/>
    <w:next w:val="744"/>
    <w:link w:val="833"/>
    <w:uiPriority w:val="0"/>
    <w:qFormat/>
    <w:pPr>
      <w:jc w:val="center"/>
      <w:spacing w:before="240" w:after="60"/>
      <w:outlineLvl w:val="0"/>
    </w:pPr>
    <w:rPr>
      <w:rFonts w:ascii="Cambria" w:hAnsi="Cambria"/>
      <w:b/>
      <w:bCs/>
      <w:sz w:val="32"/>
      <w:szCs w:val="32"/>
    </w:rPr>
  </w:style>
  <w:style w:type="paragraph" w:styleId="780">
    <w:name w:val="annotation subject"/>
    <w:basedOn w:val="757"/>
    <w:next w:val="757"/>
    <w:link w:val="804"/>
    <w:uiPriority w:val="0"/>
    <w:qFormat/>
    <w:rPr>
      <w:b/>
      <w:bCs/>
      <w:sz w:val="21"/>
      <w:szCs w:val="22"/>
    </w:rPr>
  </w:style>
  <w:style w:type="paragraph" w:styleId="781">
    <w:name w:val="Body Text First Indent"/>
    <w:basedOn w:val="752"/>
    <w:link w:val="826"/>
    <w:uiPriority w:val="0"/>
    <w:qFormat/>
    <w:pPr>
      <w:ind w:firstLine="420"/>
      <w:spacing w:after="120"/>
    </w:pPr>
    <w:rPr>
      <w:rFonts w:ascii="Calibri" w:hAnsi="Calibri" w:eastAsia="宋体"/>
      <w:sz w:val="20"/>
      <w:szCs w:val="20"/>
    </w:rPr>
  </w:style>
  <w:style w:type="table" w:styleId="782">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uiPriority w:val="0"/>
    <w:qFormat/>
    <w:rPr>
      <w:rFonts w:ascii="Times New Roman" w:hAnsi="Times New Roman" w:eastAsia="宋体" w:cs="Times New Roman"/>
      <w:b/>
      <w:bCs/>
    </w:rPr>
  </w:style>
  <w:style w:type="character" w:styleId="784">
    <w:name w:val="page number"/>
    <w:uiPriority w:val="0"/>
    <w:qFormat/>
    <w:rPr>
      <w:rFonts w:ascii="Times New Roman" w:hAnsi="Times New Roman" w:eastAsia="宋体" w:cs="Times New Roman"/>
    </w:rPr>
  </w:style>
  <w:style w:type="character" w:styleId="785">
    <w:name w:val="FollowedHyperlink"/>
    <w:uiPriority w:val="0"/>
    <w:qFormat/>
    <w:rPr>
      <w:rFonts w:ascii="Times New Roman" w:hAnsi="Times New Roman" w:eastAsia="宋体" w:cs="Times New Roman"/>
      <w:color w:val="800080"/>
      <w:u w:val="single"/>
    </w:rPr>
  </w:style>
  <w:style w:type="character" w:styleId="786">
    <w:name w:val="Emphasis"/>
    <w:uiPriority w:val="0"/>
    <w:qFormat/>
    <w:rPr>
      <w:rFonts w:ascii="Times New Roman" w:hAnsi="Times New Roman" w:eastAsia="宋体" w:cs="Times New Roman"/>
      <w:i/>
      <w:iCs/>
    </w:rPr>
  </w:style>
  <w:style w:type="character" w:styleId="787">
    <w:name w:val="Hyperlink"/>
    <w:uiPriority w:val="0"/>
    <w:qFormat/>
    <w:rPr>
      <w:rFonts w:ascii="Times New Roman" w:hAnsi="Times New Roman" w:eastAsia="宋体" w:cs="Times New Roman"/>
      <w:color w:val="0000ff"/>
      <w:u w:val="single"/>
    </w:rPr>
  </w:style>
  <w:style w:type="character" w:styleId="788">
    <w:name w:val="annotation reference"/>
    <w:uiPriority w:val="0"/>
    <w:qFormat/>
    <w:rPr>
      <w:rFonts w:ascii="Times New Roman" w:hAnsi="Times New Roman" w:eastAsia="宋体" w:cs="Times New Roman"/>
      <w:sz w:val="21"/>
      <w:szCs w:val="21"/>
    </w:rPr>
  </w:style>
  <w:style w:type="paragraph" w:styleId="789" w:customStyle="1">
    <w:name w:val="章正文"/>
    <w:basedOn w:val="744"/>
    <w:uiPriority w:val="0"/>
    <w:qFormat/>
    <w:pPr>
      <w:ind w:firstLine="480"/>
      <w:spacing w:after="120" w:line="300" w:lineRule="auto"/>
    </w:pPr>
    <w:rPr>
      <w:rFonts w:ascii="Helvetica" w:hAnsi="Helvetica"/>
    </w:rPr>
  </w:style>
  <w:style w:type="paragraph" w:styleId="790" w:customStyle="1">
    <w:name w:val="首行缩进"/>
    <w:basedOn w:val="744"/>
    <w:uiPriority w:val="0"/>
    <w:qFormat/>
    <w:pPr>
      <w:ind w:firstLine="480"/>
    </w:pPr>
    <w:rPr>
      <w:szCs w:val="20"/>
      <w:lang w:val="zh-CN"/>
    </w:rPr>
  </w:style>
  <w:style w:type="character" w:styleId="791" w:customStyle="1">
    <w:name w:val="qxdate"/>
    <w:uiPriority w:val="0"/>
    <w:qFormat/>
    <w:rPr>
      <w:rFonts w:ascii="Times New Roman" w:hAnsi="Times New Roman" w:eastAsia="宋体" w:cs="Times New Roman"/>
      <w:color w:val="333333"/>
      <w:sz w:val="18"/>
      <w:szCs w:val="18"/>
    </w:rPr>
  </w:style>
  <w:style w:type="character" w:styleId="792" w:customStyle="1">
    <w:name w:val="纯文本 Char1"/>
    <w:uiPriority w:val="0"/>
    <w:qFormat/>
    <w:rPr>
      <w:rFonts w:ascii="宋体" w:hAnsi="Courier New" w:eastAsia="宋体" w:cs="Courier New"/>
      <w:szCs w:val="21"/>
    </w:rPr>
  </w:style>
  <w:style w:type="character" w:styleId="793" w:customStyle="1">
    <w:name w:val="正文文本 字符"/>
    <w:link w:val="752"/>
    <w:uiPriority w:val="0"/>
    <w:qFormat/>
    <w:rPr>
      <w:rFonts w:ascii="FangSong_GB2312" w:hAnsi="宋体" w:eastAsia="FangSong_GB2312" w:cs="FangSong_GB2312"/>
      <w:sz w:val="24"/>
      <w:szCs w:val="24"/>
    </w:rPr>
  </w:style>
  <w:style w:type="character" w:styleId="794" w:customStyle="1">
    <w:name w:val="cfdate"/>
    <w:uiPriority w:val="0"/>
    <w:qFormat/>
    <w:rPr>
      <w:rFonts w:ascii="Times New Roman" w:hAnsi="Times New Roman" w:eastAsia="宋体" w:cs="Times New Roman"/>
      <w:color w:val="333333"/>
      <w:sz w:val="18"/>
      <w:szCs w:val="18"/>
    </w:rPr>
  </w:style>
  <w:style w:type="character" w:styleId="795" w:customStyle="1">
    <w:name w:val="正文首行缩进 Char1"/>
    <w:uiPriority w:val="0"/>
    <w:qFormat/>
    <w:rPr>
      <w:rFonts w:ascii="Times New Roman" w:hAnsi="Times New Roman" w:eastAsia="宋体" w:cs="Times New Roman"/>
      <w:sz w:val="24"/>
      <w:szCs w:val="24"/>
    </w:rPr>
  </w:style>
  <w:style w:type="character" w:styleId="796" w:customStyle="1">
    <w:name w:val="redfilenumber"/>
    <w:uiPriority w:val="0"/>
    <w:qFormat/>
    <w:rPr>
      <w:rFonts w:ascii="Times New Roman" w:hAnsi="Times New Roman" w:eastAsia="宋体" w:cs="Times New Roman"/>
      <w:color w:val="ba2636"/>
      <w:sz w:val="18"/>
      <w:szCs w:val="18"/>
    </w:rPr>
  </w:style>
  <w:style w:type="character" w:styleId="797" w:customStyle="1">
    <w:name w:val="批注文字 字符"/>
    <w:link w:val="757"/>
    <w:uiPriority w:val="0"/>
    <w:qFormat/>
    <w:rPr>
      <w:rFonts w:ascii="Times New Roman" w:hAnsi="Times New Roman" w:eastAsia="宋体" w:cs="Times New Roman"/>
      <w:szCs w:val="21"/>
    </w:rPr>
  </w:style>
  <w:style w:type="character" w:styleId="798" w:customStyle="1">
    <w:name w:val="标题 1 字符"/>
    <w:link w:val="745"/>
    <w:uiPriority w:val="0"/>
    <w:qFormat/>
    <w:rPr>
      <w:rFonts w:ascii="Times New Roman" w:hAnsi="Times New Roman" w:eastAsia="宋体" w:cs="Times New Roman"/>
      <w:b/>
      <w:bCs/>
      <w:sz w:val="44"/>
      <w:szCs w:val="44"/>
    </w:rPr>
  </w:style>
  <w:style w:type="character" w:styleId="799" w:customStyle="1">
    <w:name w:val="文档结构图 字符"/>
    <w:link w:val="756"/>
    <w:uiPriority w:val="0"/>
    <w:qFormat/>
    <w:rPr>
      <w:rFonts w:ascii="宋体" w:hAnsi="Times New Roman" w:eastAsia="宋体" w:cs="Times New Roman"/>
      <w:sz w:val="18"/>
      <w:szCs w:val="18"/>
    </w:rPr>
  </w:style>
  <w:style w:type="character" w:styleId="800" w:customStyle="1">
    <w:name w:val="font51"/>
    <w:uiPriority w:val="0"/>
    <w:qFormat/>
    <w:rPr>
      <w:rFonts w:hint="default" w:ascii="Tahoma" w:hAnsi="Tahoma" w:eastAsia="Tahoma" w:cs="Tahoma"/>
      <w:color w:val="000000"/>
      <w:sz w:val="22"/>
      <w:szCs w:val="22"/>
      <w:u w:val="none"/>
    </w:rPr>
  </w:style>
  <w:style w:type="character" w:styleId="801" w:customStyle="1">
    <w:name w:val="页脚 字符"/>
    <w:link w:val="771"/>
    <w:uiPriority w:val="0"/>
    <w:qFormat/>
    <w:rPr>
      <w:rFonts w:ascii="宋体" w:hAnsi="Times New Roman" w:eastAsia="宋体" w:cs="Times New Roman"/>
      <w:sz w:val="18"/>
      <w:szCs w:val="18"/>
    </w:rPr>
  </w:style>
  <w:style w:type="character" w:styleId="802" w:customStyle="1">
    <w:name w:val="z-窗体底端 Char"/>
    <w:link w:val="803"/>
    <w:uiPriority w:val="0"/>
    <w:qFormat/>
    <w:rPr>
      <w:rFonts w:ascii="Arial" w:hAnsi="Arial" w:eastAsia="宋体" w:cs="Arial"/>
      <w:vanish/>
      <w:sz w:val="16"/>
      <w:szCs w:val="16"/>
    </w:rPr>
  </w:style>
  <w:style w:type="paragraph" w:styleId="803" w:customStyle="1">
    <w:name w:val="HTML Bottom of Form_96f35790-887a-414f-b31a-7e4669d65aca"/>
    <w:basedOn w:val="744"/>
    <w:next w:val="744"/>
    <w:link w:val="802"/>
    <w:uiPriority w:val="0"/>
    <w:qFormat/>
    <w:pPr>
      <w:jc w:val="center"/>
      <w:widowControl/>
      <w:pBdr>
        <w:top w:val="single" w:color="auto" w:sz="6" w:space="1"/>
      </w:pBdr>
    </w:pPr>
    <w:rPr>
      <w:rFonts w:ascii="Arial" w:hAnsi="Arial"/>
      <w:vanish/>
      <w:sz w:val="16"/>
      <w:szCs w:val="16"/>
    </w:rPr>
  </w:style>
  <w:style w:type="character" w:styleId="804" w:customStyle="1">
    <w:name w:val="批注主题 字符"/>
    <w:link w:val="780"/>
    <w:uiPriority w:val="0"/>
    <w:qFormat/>
    <w:rPr>
      <w:rFonts w:ascii="Times New Roman" w:hAnsi="Times New Roman" w:eastAsia="宋体" w:cs="Times New Roman"/>
      <w:b/>
      <w:bCs/>
      <w:sz w:val="21"/>
      <w:szCs w:val="22"/>
    </w:rPr>
  </w:style>
  <w:style w:type="character" w:styleId="805" w:customStyle="1">
    <w:name w:val="标题 4 字符"/>
    <w:link w:val="748"/>
    <w:uiPriority w:val="0"/>
    <w:qFormat/>
    <w:rPr>
      <w:rFonts w:ascii="Cambria" w:hAnsi="Cambria" w:eastAsia="宋体" w:cs="Times New Roman"/>
      <w:b/>
      <w:bCs/>
      <w:sz w:val="28"/>
      <w:szCs w:val="28"/>
    </w:rPr>
  </w:style>
  <w:style w:type="character" w:styleId="806" w:customStyle="1">
    <w:name w:val="font21"/>
    <w:uiPriority w:val="0"/>
    <w:qFormat/>
    <w:rPr>
      <w:rFonts w:hint="eastAsia" w:ascii="宋体" w:hAnsi="宋体" w:eastAsia="宋体" w:cs="宋体"/>
      <w:color w:val="000000"/>
      <w:sz w:val="24"/>
      <w:szCs w:val="24"/>
      <w:u w:val="none"/>
    </w:rPr>
  </w:style>
  <w:style w:type="character" w:styleId="807" w:customStyle="1">
    <w:name w:val="标题 2 字符"/>
    <w:link w:val="746"/>
    <w:uiPriority w:val="0"/>
    <w:qFormat/>
    <w:rPr>
      <w:rFonts w:hint="default" w:ascii="Cambria" w:hAnsi="Cambria" w:eastAsia="宋体" w:cs="Cambria"/>
      <w:b/>
      <w:sz w:val="32"/>
      <w:szCs w:val="32"/>
      <w:lang w:bidi="ar-SA"/>
    </w:rPr>
  </w:style>
  <w:style w:type="character" w:styleId="808" w:customStyle="1">
    <w:name w:val="纯文本 Char2"/>
    <w:uiPriority w:val="0"/>
    <w:qFormat/>
    <w:rPr>
      <w:rFonts w:ascii="宋体" w:hAnsi="Courier New" w:eastAsia="宋体" w:cs="Times New Roman"/>
      <w:sz w:val="21"/>
      <w:lang w:val="en-US" w:eastAsia="zh-CN" w:bidi="ar-SA"/>
    </w:rPr>
  </w:style>
  <w:style w:type="character" w:styleId="809" w:customStyle="1">
    <w:name w:val="日期 字符"/>
    <w:link w:val="762"/>
    <w:uiPriority w:val="0"/>
    <w:qFormat/>
    <w:rPr>
      <w:rFonts w:ascii="Times New Roman" w:hAnsi="Times New Roman" w:eastAsia="宋体" w:cs="Times New Roman"/>
      <w:szCs w:val="21"/>
    </w:rPr>
  </w:style>
  <w:style w:type="character" w:styleId="810" w:customStyle="1">
    <w:name w:val="标题 2 Char"/>
    <w:uiPriority w:val="0"/>
    <w:qFormat/>
    <w:rPr>
      <w:rFonts w:ascii="Cambria" w:hAnsi="Cambria" w:eastAsia="宋体" w:cs="Times New Roman"/>
      <w:b/>
      <w:bCs/>
      <w:sz w:val="32"/>
      <w:szCs w:val="32"/>
    </w:rPr>
  </w:style>
  <w:style w:type="character" w:styleId="811" w:customStyle="1">
    <w:name w:val="font11"/>
    <w:uiPriority w:val="0"/>
    <w:qFormat/>
    <w:rPr>
      <w:rFonts w:hint="eastAsia" w:ascii="宋体" w:hAnsi="宋体" w:eastAsia="宋体" w:cs="宋体"/>
      <w:color w:val="000000"/>
      <w:sz w:val="22"/>
      <w:szCs w:val="22"/>
      <w:u w:val="none"/>
    </w:rPr>
  </w:style>
  <w:style w:type="character" w:styleId="812" w:customStyle="1">
    <w:name w:val="gjfg"/>
    <w:basedOn w:val="750"/>
    <w:uiPriority w:val="0"/>
    <w:qFormat/>
    <w:rPr>
      <w:rFonts w:ascii="Times New Roman" w:hAnsi="Times New Roman" w:eastAsia="宋体" w:cs="Times New Roman"/>
    </w:rPr>
  </w:style>
  <w:style w:type="character" w:styleId="813" w:customStyle="1">
    <w:name w:val="z-窗体顶端 Char"/>
    <w:link w:val="814"/>
    <w:uiPriority w:val="0"/>
    <w:qFormat/>
    <w:rPr>
      <w:rFonts w:ascii="Arial" w:hAnsi="Arial" w:eastAsia="宋体" w:cs="Arial"/>
      <w:vanish/>
      <w:sz w:val="16"/>
      <w:szCs w:val="16"/>
    </w:rPr>
  </w:style>
  <w:style w:type="paragraph" w:styleId="814" w:customStyle="1">
    <w:name w:val="HTML Top of Form_28607e88-dbbc-478f-ad69-604d008db421"/>
    <w:basedOn w:val="744"/>
    <w:next w:val="744"/>
    <w:link w:val="813"/>
    <w:uiPriority w:val="0"/>
    <w:qFormat/>
    <w:pPr>
      <w:jc w:val="center"/>
      <w:widowControl/>
      <w:pBdr>
        <w:bottom w:val="single" w:color="auto" w:sz="6" w:space="1"/>
      </w:pBdr>
    </w:pPr>
    <w:rPr>
      <w:rFonts w:ascii="Arial" w:hAnsi="Arial"/>
      <w:vanish/>
      <w:sz w:val="16"/>
      <w:szCs w:val="16"/>
    </w:rPr>
  </w:style>
  <w:style w:type="character" w:styleId="815" w:customStyle="1">
    <w:name w:val="正文首行缩进 Char2"/>
    <w:uiPriority w:val="0"/>
    <w:qFormat/>
    <w:rPr>
      <w:rFonts w:ascii="FangSong_GB2312" w:hAnsi="宋体" w:eastAsia="FangSong_GB2312" w:cs="FangSong_GB2312"/>
      <w:sz w:val="21"/>
      <w:szCs w:val="22"/>
    </w:rPr>
  </w:style>
  <w:style w:type="character" w:styleId="816" w:customStyle="1">
    <w:name w:val="font31"/>
    <w:basedOn w:val="750"/>
    <w:uiPriority w:val="0"/>
    <w:qFormat/>
    <w:rPr>
      <w:rFonts w:hint="eastAsia" w:ascii="宋体" w:hAnsi="宋体" w:eastAsia="宋体" w:cs="宋体"/>
      <w:color w:val="000000"/>
      <w:sz w:val="20"/>
      <w:szCs w:val="20"/>
      <w:u w:val="none"/>
    </w:rPr>
  </w:style>
  <w:style w:type="character" w:styleId="817" w:customStyle="1">
    <w:name w:val="标题 3 字符"/>
    <w:link w:val="747"/>
    <w:uiPriority w:val="0"/>
    <w:qFormat/>
    <w:rPr>
      <w:rFonts w:ascii="Calibri" w:hAnsi="Calibri" w:eastAsia="宋体" w:cs="Times New Roman"/>
      <w:b/>
      <w:bCs/>
      <w:sz w:val="32"/>
      <w:szCs w:val="32"/>
    </w:rPr>
  </w:style>
  <w:style w:type="character" w:styleId="818" w:customStyle="1">
    <w:name w:val="正文文本缩进 字符"/>
    <w:link w:val="758"/>
    <w:uiPriority w:val="0"/>
    <w:qFormat/>
    <w:rPr>
      <w:rFonts w:ascii="宋体" w:hAnsi="宋体" w:eastAsia="宋体" w:cs="宋体"/>
      <w:szCs w:val="21"/>
    </w:rPr>
  </w:style>
  <w:style w:type="character" w:styleId="819" w:customStyle="1">
    <w:name w:val="页眉 字符"/>
    <w:link w:val="772"/>
    <w:uiPriority w:val="0"/>
    <w:qFormat/>
    <w:rPr>
      <w:rFonts w:ascii="宋体" w:hAnsi="Times New Roman" w:eastAsia="宋体" w:cs="Times New Roman"/>
      <w:sz w:val="18"/>
      <w:szCs w:val="18"/>
    </w:rPr>
  </w:style>
  <w:style w:type="character" w:styleId="820" w:customStyle="1">
    <w:name w:val="redfilefwwh"/>
    <w:uiPriority w:val="0"/>
    <w:qFormat/>
    <w:rPr>
      <w:rFonts w:ascii="Times New Roman" w:hAnsi="Times New Roman" w:eastAsia="宋体" w:cs="Times New Roman"/>
      <w:color w:val="ba2636"/>
      <w:sz w:val="18"/>
      <w:szCs w:val="18"/>
    </w:rPr>
  </w:style>
  <w:style w:type="character" w:styleId="821" w:customStyle="1">
    <w:name w:val="副标题 字符"/>
    <w:link w:val="774"/>
    <w:uiPriority w:val="0"/>
    <w:qFormat/>
    <w:rPr>
      <w:rFonts w:ascii="Cambria" w:hAnsi="Cambria" w:eastAsia="宋体" w:cs="Times New Roman"/>
      <w:b/>
      <w:bCs/>
      <w:sz w:val="32"/>
      <w:szCs w:val="32"/>
    </w:rPr>
  </w:style>
  <w:style w:type="character" w:styleId="822" w:customStyle="1">
    <w:name w:val="正文缩进 字符"/>
    <w:link w:val="754"/>
    <w:uiPriority w:val="0"/>
    <w:qFormat/>
    <w:rPr>
      <w:rFonts w:ascii="Times New Roman" w:hAnsi="Times New Roman" w:eastAsia="宋体" w:cs="Times New Roman"/>
      <w:sz w:val="21"/>
      <w:szCs w:val="21"/>
    </w:rPr>
  </w:style>
  <w:style w:type="character" w:styleId="823" w:customStyle="1">
    <w:name w:val="font71"/>
    <w:uiPriority w:val="0"/>
    <w:qFormat/>
    <w:rPr>
      <w:rFonts w:hint="default" w:ascii="方正小标宋简体" w:hAnsi="方正小标宋简体" w:eastAsia="方正小标宋简体" w:cs="方正小标宋简体"/>
      <w:b/>
      <w:color w:val="000000"/>
      <w:sz w:val="20"/>
      <w:szCs w:val="20"/>
      <w:u w:val="none"/>
    </w:rPr>
  </w:style>
  <w:style w:type="character" w:styleId="824" w:customStyle="1">
    <w:name w:val="1page sec3 Char"/>
    <w:uiPriority w:val="0"/>
    <w:qFormat/>
    <w:rPr>
      <w:rFonts w:ascii="Times New Roman" w:hAnsi="Times New Roman" w:eastAsia="宋体" w:cs="Times New Roman"/>
      <w:sz w:val="18"/>
      <w:szCs w:val="18"/>
      <w:lang w:val="en-US" w:eastAsia="zh-CN" w:bidi="ar-SA"/>
    </w:rPr>
  </w:style>
  <w:style w:type="character" w:styleId="825" w:customStyle="1">
    <w:name w:val="正文文字 Char Char"/>
    <w:uiPriority w:val="0"/>
    <w:qFormat/>
    <w:rPr>
      <w:rFonts w:ascii="FangSong_GB2312" w:hAnsi="宋体" w:eastAsia="FangSong_GB2312" w:cs="FangSong_GB2312"/>
      <w:sz w:val="24"/>
      <w:szCs w:val="24"/>
    </w:rPr>
  </w:style>
  <w:style w:type="character" w:styleId="826" w:customStyle="1">
    <w:name w:val="正文文本首行缩进 字符"/>
    <w:link w:val="781"/>
    <w:uiPriority w:val="0"/>
    <w:qFormat/>
    <w:rPr>
      <w:rFonts w:ascii="Calibri" w:hAnsi="Calibri" w:eastAsia="宋体" w:cs="Times New Roman"/>
    </w:rPr>
  </w:style>
  <w:style w:type="character" w:styleId="827" w:customStyle="1">
    <w:name w:val="中等深浅列表 1 - 强调文字颜色 61"/>
    <w:uiPriority w:val="0"/>
    <w:qFormat/>
    <w:rPr>
      <w:rFonts w:ascii="Times New Roman" w:hAnsi="Times New Roman" w:eastAsia="宋体" w:cs="Times New Roman"/>
      <w:i/>
      <w:iCs/>
      <w:color w:val="808080"/>
    </w:rPr>
  </w:style>
  <w:style w:type="character" w:styleId="828" w:customStyle="1">
    <w:name w:val="Char Char13"/>
    <w:uiPriority w:val="0"/>
    <w:qFormat/>
    <w:rPr>
      <w:rFonts w:ascii="Times New Roman" w:hAnsi="Times New Roman" w:eastAsia="宋体" w:cs="Times New Roman"/>
      <w:b/>
      <w:bCs/>
      <w:sz w:val="44"/>
      <w:szCs w:val="44"/>
    </w:rPr>
  </w:style>
  <w:style w:type="character" w:styleId="829" w:customStyle="1">
    <w:name w:val="displayarti"/>
    <w:uiPriority w:val="0"/>
    <w:qFormat/>
    <w:rPr>
      <w:rFonts w:ascii="Times New Roman" w:hAnsi="Times New Roman" w:eastAsia="宋体" w:cs="Times New Roman"/>
      <w:color w:val="ffffff"/>
      <w:shd w:val="clear" w:color="auto" w:fill="a00000"/>
    </w:rPr>
  </w:style>
  <w:style w:type="character" w:styleId="830" w:customStyle="1">
    <w:name w:val="标题 5 字符"/>
    <w:link w:val="749"/>
    <w:uiPriority w:val="0"/>
    <w:qFormat/>
    <w:rPr>
      <w:rFonts w:ascii="Calibri" w:hAnsi="Calibri" w:eastAsia="宋体" w:cs="Times New Roman"/>
      <w:b/>
      <w:bCs/>
      <w:sz w:val="28"/>
      <w:szCs w:val="28"/>
    </w:rPr>
  </w:style>
  <w:style w:type="character" w:styleId="831" w:customStyle="1">
    <w:name w:val="Char Char5"/>
    <w:uiPriority w:val="0"/>
    <w:qFormat/>
    <w:rPr>
      <w:rFonts w:ascii="宋体" w:hAnsi="Courier New" w:eastAsia="宋体" w:cs="宋体"/>
      <w:sz w:val="28"/>
      <w:szCs w:val="28"/>
      <w:lang w:val="en-US" w:eastAsia="zh-CN"/>
    </w:rPr>
  </w:style>
  <w:style w:type="character" w:styleId="832" w:customStyle="1">
    <w:name w:val="纯文本 字符"/>
    <w:link w:val="761"/>
    <w:uiPriority w:val="0"/>
    <w:qFormat/>
    <w:rPr>
      <w:rFonts w:ascii="宋体" w:hAnsi="Courier New" w:eastAsia="宋体" w:cs="宋体"/>
      <w:sz w:val="28"/>
      <w:szCs w:val="28"/>
    </w:rPr>
  </w:style>
  <w:style w:type="character" w:styleId="833" w:customStyle="1">
    <w:name w:val="标题 字符"/>
    <w:link w:val="779"/>
    <w:uiPriority w:val="0"/>
    <w:qFormat/>
    <w:rPr>
      <w:rFonts w:ascii="Cambria" w:hAnsi="Cambria" w:eastAsia="宋体" w:cs="Times New Roman"/>
      <w:b/>
      <w:bCs/>
      <w:sz w:val="32"/>
      <w:szCs w:val="32"/>
    </w:rPr>
  </w:style>
  <w:style w:type="character" w:styleId="834" w:customStyle="1">
    <w:name w:val="正文文本缩进 2 字符"/>
    <w:link w:val="763"/>
    <w:uiPriority w:val="0"/>
    <w:qFormat/>
    <w:rPr>
      <w:rFonts w:ascii="宋体" w:hAnsi="宋体" w:eastAsia="宋体" w:cs="宋体"/>
      <w:szCs w:val="21"/>
    </w:rPr>
  </w:style>
  <w:style w:type="character" w:styleId="835" w:customStyle="1">
    <w:name w:val="批注框文本 字符"/>
    <w:link w:val="770"/>
    <w:uiPriority w:val="0"/>
    <w:qFormat/>
    <w:rPr>
      <w:rFonts w:ascii="Times New Roman" w:hAnsi="Times New Roman" w:eastAsia="宋体" w:cs="Times New Roman"/>
      <w:sz w:val="18"/>
      <w:szCs w:val="18"/>
    </w:rPr>
  </w:style>
  <w:style w:type="paragraph" w:styleId="836" w:customStyle="1">
    <w:name w:val="程序1.1"/>
    <w:uiPriority w:val="0"/>
    <w:qFormat/>
    <w:pPr>
      <w:numPr>
        <w:ilvl w:val="1"/>
        <w:numId w:val="1"/>
      </w:numPr>
      <w:tabs>
        <w:tab w:val="clear" w:pos="1470" w:leader="none"/>
      </w:tabs>
    </w:pPr>
    <w:rPr>
      <w:rFonts w:ascii="Times New Roman" w:hAnsi="Times New Roman" w:eastAsia="宋体" w:cs="Times New Roman"/>
      <w:sz w:val="21"/>
      <w:szCs w:val="21"/>
      <w:lang w:val="en-US" w:eastAsia="zh-CN" w:bidi="ar-SA"/>
    </w:rPr>
  </w:style>
  <w:style w:type="paragraph" w:styleId="837" w:customStyle="1">
    <w:name w:val="程序1.1.1"/>
    <w:uiPriority w:val="0"/>
    <w:qFormat/>
    <w:pPr>
      <w:numPr>
        <w:ilvl w:val="1"/>
        <w:numId w:val="2"/>
      </w:numPr>
      <w:tabs>
        <w:tab w:val="clear" w:pos="720" w:leader="none"/>
      </w:tabs>
    </w:pPr>
    <w:rPr>
      <w:rFonts w:ascii="Times New Roman" w:hAnsi="Times New Roman" w:eastAsia="宋体" w:cs="Times New Roman"/>
      <w:sz w:val="21"/>
      <w:szCs w:val="21"/>
      <w:lang w:val="en-US" w:eastAsia="zh-CN" w:bidi="ar-SA"/>
    </w:rPr>
  </w:style>
  <w:style w:type="paragraph" w:styleId="838" w:customStyle="1">
    <w:name w:val="章标题"/>
    <w:next w:val="744"/>
    <w:uiPriority w:val="0"/>
    <w:qFormat/>
    <w:pPr>
      <w:jc w:val="both"/>
      <w:outlineLvl w:val="1"/>
    </w:pPr>
    <w:rPr>
      <w:rFonts w:ascii="黑体" w:hAnsi="Times New Roman" w:eastAsia="黑体" w:cs="黑体"/>
      <w:sz w:val="21"/>
      <w:szCs w:val="21"/>
      <w:lang w:val="en-US" w:eastAsia="zh-CN" w:bidi="ar-SA"/>
    </w:rPr>
  </w:style>
  <w:style w:type="paragraph" w:styleId="839" w:customStyle="1">
    <w:name w:val="前言、引言标题"/>
    <w:next w:val="744"/>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840" w:customStyle="1">
    <w:name w:val="Char"/>
    <w:basedOn w:val="744"/>
    <w:uiPriority w:val="0"/>
    <w:qFormat/>
    <w:pPr>
      <w:jc w:val="left"/>
      <w:spacing w:after="160" w:line="240" w:lineRule="exact"/>
      <w:widowControl/>
    </w:pPr>
    <w:rPr>
      <w:rFonts w:ascii="Verdana" w:hAnsi="Verdana" w:cs="Verdana"/>
      <w:sz w:val="18"/>
      <w:szCs w:val="18"/>
      <w:lang w:eastAsia="en-US"/>
    </w:rPr>
  </w:style>
  <w:style w:type="paragraph" w:styleId="841" w:customStyle="1">
    <w:name w:val="二级条标题"/>
    <w:basedOn w:val="842"/>
    <w:next w:val="744"/>
    <w:uiPriority w:val="0"/>
    <w:qFormat/>
    <w:pPr>
      <w:outlineLvl w:val="3"/>
    </w:pPr>
    <w:rPr>
      <w:rFonts w:eastAsia="宋体"/>
    </w:rPr>
  </w:style>
  <w:style w:type="paragraph" w:styleId="842" w:customStyle="1">
    <w:name w:val="一级条标题"/>
    <w:next w:val="744"/>
    <w:uiPriority w:val="0"/>
    <w:qFormat/>
    <w:pPr>
      <w:outlineLvl w:val="2"/>
    </w:pPr>
    <w:rPr>
      <w:rFonts w:ascii="Times New Roman" w:hAnsi="Times New Roman" w:eastAsia="黑体" w:cs="Times New Roman"/>
      <w:sz w:val="21"/>
      <w:szCs w:val="21"/>
      <w:lang w:val="en-US" w:eastAsia="zh-CN" w:bidi="ar-SA"/>
    </w:rPr>
  </w:style>
  <w:style w:type="paragraph" w:styleId="843" w:customStyle="1">
    <w:name w:val="彩色列表1"/>
    <w:basedOn w:val="744"/>
    <w:uiPriority w:val="34"/>
    <w:qFormat/>
    <w:pPr>
      <w:ind w:firstLine="420"/>
    </w:pPr>
    <w:rPr>
      <w:rFonts w:ascii="Calibri" w:hAnsi="Calibri"/>
    </w:rPr>
  </w:style>
  <w:style w:type="paragraph" w:styleId="844" w:customStyle="1">
    <w:name w:val="五级条标题"/>
    <w:basedOn w:val="845"/>
    <w:next w:val="744"/>
    <w:uiPriority w:val="0"/>
    <w:qFormat/>
    <w:pPr>
      <w:outlineLvl w:val="6"/>
    </w:pPr>
  </w:style>
  <w:style w:type="paragraph" w:styleId="845" w:customStyle="1">
    <w:name w:val="四级条标题"/>
    <w:basedOn w:val="846"/>
    <w:next w:val="744"/>
    <w:uiPriority w:val="0"/>
    <w:qFormat/>
    <w:pPr>
      <w:outlineLvl w:val="5"/>
    </w:pPr>
  </w:style>
  <w:style w:type="paragraph" w:styleId="846" w:customStyle="1">
    <w:name w:val="三级条标题"/>
    <w:basedOn w:val="841"/>
    <w:next w:val="744"/>
    <w:uiPriority w:val="0"/>
    <w:qFormat/>
    <w:pPr>
      <w:outlineLvl w:val="4"/>
    </w:pPr>
  </w:style>
  <w:style w:type="paragraph" w:styleId="847" w:customStyle="1">
    <w:name w:val="字母编号"/>
    <w:uiPriority w:val="0"/>
    <w:qFormat/>
    <w:pPr>
      <w:numPr>
        <w:ilvl w:val="2"/>
        <w:numId w:val="2"/>
      </w:numPr>
      <w:tabs>
        <w:tab w:val="clear" w:pos="720" w:leader="none"/>
      </w:tabs>
    </w:pPr>
    <w:rPr>
      <w:rFonts w:ascii="Times New Roman" w:hAnsi="Times New Roman" w:eastAsia="宋体" w:cs="Times New Roman"/>
      <w:sz w:val="21"/>
      <w:szCs w:val="21"/>
      <w:lang w:val="en-US" w:eastAsia="zh-CN" w:bidi="ar-SA"/>
    </w:rPr>
  </w:style>
  <w:style w:type="paragraph" w:styleId="848" w:customStyle="1">
    <w:name w:val="标准称谓"/>
    <w:next w:val="744"/>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849" w:customStyle="1">
    <w:name w:val="_Style 10"/>
    <w:basedOn w:val="744"/>
    <w:next w:val="744"/>
    <w:uiPriority w:val="0"/>
    <w:qFormat/>
    <w:pPr>
      <w:jc w:val="center"/>
      <w:widowControl/>
      <w:pBdr>
        <w:top w:val="single" w:color="auto" w:sz="6" w:space="1"/>
      </w:pBdr>
    </w:pPr>
    <w:rPr>
      <w:rFonts w:ascii="Arial" w:hAnsi="Arial"/>
      <w:vanish/>
      <w:sz w:val="16"/>
      <w:szCs w:val="16"/>
    </w:rPr>
  </w:style>
  <w:style w:type="paragraph" w:styleId="850" w:customStyle="1">
    <w:name w:val="二级目录"/>
    <w:next w:val="744"/>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851" w:customStyle="1">
    <w:name w:val="表中文字"/>
    <w:basedOn w:val="744"/>
    <w:uiPriority w:val="0"/>
    <w:qFormat/>
    <w:rPr>
      <w:sz w:val="24"/>
      <w:szCs w:val="24"/>
    </w:rPr>
  </w:style>
  <w:style w:type="paragraph" w:styleId="852" w:customStyle="1">
    <w:name w:val="列出段落1"/>
    <w:basedOn w:val="744"/>
    <w:uiPriority w:val="0"/>
    <w:qFormat/>
    <w:pPr>
      <w:ind w:firstLine="420"/>
    </w:pPr>
  </w:style>
  <w:style w:type="paragraph" w:styleId="853" w:customStyle="1">
    <w:name w:val="wellhope正文"/>
    <w:basedOn w:val="744"/>
    <w:uiPriority w:val="0"/>
    <w:qFormat/>
    <w:pPr>
      <w:ind w:firstLine="425"/>
      <w:spacing w:before="60" w:after="60" w:line="360" w:lineRule="auto"/>
    </w:pPr>
    <w:rPr>
      <w:sz w:val="24"/>
      <w:szCs w:val="20"/>
    </w:rPr>
  </w:style>
  <w:style w:type="paragraph" w:styleId="854"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855" w:customStyle="1">
    <w:name w:val="表内文字"/>
    <w:basedOn w:val="744"/>
    <w:uiPriority w:val="0"/>
    <w:qFormat/>
    <w:pPr>
      <w:jc w:val="center"/>
      <w:spacing w:line="500" w:lineRule="atLeast"/>
    </w:pPr>
    <w:rPr>
      <w:rFonts w:ascii="黑体" w:hAnsi="黑体" w:eastAsia="长城仿宋" w:cs="黑体"/>
      <w:sz w:val="24"/>
    </w:rPr>
  </w:style>
  <w:style w:type="paragraph" w:styleId="856" w:customStyle="1">
    <w:name w:val="程序1"/>
    <w:next w:val="744"/>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857" w:customStyle="1">
    <w:name w:val="默认段落字体 Para Char Char"/>
    <w:basedOn w:val="744"/>
    <w:uiPriority w:val="0"/>
    <w:qFormat/>
    <w:rPr>
      <w:szCs w:val="24"/>
    </w:rPr>
  </w:style>
  <w:style w:type="paragraph" w:styleId="858" w:customStyle="1">
    <w:name w:val="Char1"/>
    <w:basedOn w:val="744"/>
    <w:uiPriority w:val="0"/>
    <w:qFormat/>
    <w:pPr>
      <w:jc w:val="left"/>
      <w:spacing w:after="160" w:line="240" w:lineRule="exact"/>
      <w:widowControl/>
    </w:pPr>
    <w:rPr>
      <w:rFonts w:ascii="Verdana" w:hAnsi="Verdana" w:cs="Verdana"/>
      <w:sz w:val="18"/>
      <w:szCs w:val="18"/>
      <w:lang w:eastAsia="en-US"/>
    </w:rPr>
  </w:style>
  <w:style w:type="paragraph" w:styleId="859" w:customStyle="1">
    <w:name w:val="注："/>
    <w:next w:val="744"/>
    <w:uiPriority w:val="0"/>
    <w:qFormat/>
    <w:pPr>
      <w:numPr>
        <w:ilvl w:val="0"/>
        <w:numId w:val="3"/>
      </w:numPr>
      <w:jc w:val="both"/>
      <w:widowControl w:val="off"/>
    </w:pPr>
    <w:rPr>
      <w:rFonts w:ascii="宋体" w:hAnsi="Times New Roman" w:eastAsia="宋体" w:cs="宋体"/>
      <w:sz w:val="18"/>
      <w:szCs w:val="18"/>
      <w:lang w:val="en-US" w:eastAsia="zh-CN" w:bidi="ar-SA"/>
    </w:rPr>
  </w:style>
  <w:style w:type="paragraph" w:styleId="860" w:customStyle="1">
    <w:name w:val="p0"/>
    <w:basedOn w:val="744"/>
    <w:uiPriority w:val="0"/>
    <w:qFormat/>
    <w:pPr>
      <w:widowControl/>
    </w:pPr>
    <w:rPr>
      <w:szCs w:val="21"/>
    </w:rPr>
  </w:style>
  <w:style w:type="paragraph" w:styleId="861" w:customStyle="1">
    <w:name w:val="段"/>
    <w:uiPriority w:val="0"/>
    <w:qFormat/>
    <w:pPr>
      <w:ind w:firstLine="200"/>
      <w:jc w:val="both"/>
    </w:pPr>
    <w:rPr>
      <w:rFonts w:ascii="宋体" w:hAnsi="Times New Roman" w:eastAsia="宋体" w:cs="宋体"/>
      <w:sz w:val="21"/>
      <w:szCs w:val="21"/>
      <w:lang w:val="en-US" w:eastAsia="zh-CN" w:bidi="ar-SA"/>
    </w:rPr>
  </w:style>
  <w:style w:type="paragraph" w:styleId="862" w:customStyle="1">
    <w:name w:val="_Style 1"/>
    <w:basedOn w:val="744"/>
    <w:uiPriority w:val="0"/>
    <w:qFormat/>
    <w:pPr>
      <w:ind w:firstLine="420"/>
    </w:pPr>
  </w:style>
  <w:style w:type="paragraph" w:styleId="863" w:customStyle="1">
    <w:name w:val="Note Level 2"/>
    <w:basedOn w:val="744"/>
    <w:next w:val="744"/>
    <w:uiPriority w:val="1"/>
    <w:qFormat/>
    <w:pPr>
      <w:jc w:val="left"/>
    </w:pPr>
    <w:rPr>
      <w:rFonts w:ascii="等线" w:hAnsi="等线"/>
    </w:rPr>
  </w:style>
  <w:style w:type="paragraph" w:styleId="864" w:customStyle="1">
    <w:name w:val="Body text|1"/>
    <w:basedOn w:val="744"/>
    <w:uiPriority w:val="0"/>
    <w:qFormat/>
    <w:pPr>
      <w:ind w:firstLine="400"/>
      <w:spacing w:after="170" w:line="480" w:lineRule="auto"/>
    </w:pPr>
    <w:rPr>
      <w:rFonts w:ascii="宋体" w:hAnsi="宋体" w:cs="宋体"/>
      <w:sz w:val="20"/>
      <w:szCs w:val="20"/>
      <w:lang w:val="zh-TW" w:eastAsia="zh-TW" w:bidi="zh-TW"/>
    </w:rPr>
  </w:style>
  <w:style w:type="paragraph" w:styleId="865" w:customStyle="1">
    <w:name w:val="Other|1"/>
    <w:basedOn w:val="744"/>
    <w:uiPriority w:val="0"/>
    <w:qFormat/>
    <w:pPr>
      <w:ind w:firstLine="180"/>
      <w:spacing w:line="274" w:lineRule="exact"/>
    </w:pPr>
    <w:rPr>
      <w:rFonts w:ascii="宋体" w:hAnsi="宋体" w:cs="宋体"/>
      <w:sz w:val="20"/>
      <w:szCs w:val="20"/>
      <w:lang w:val="zh-TW" w:eastAsia="zh-TW" w:bidi="zh-TW"/>
    </w:rPr>
  </w:style>
  <w:style w:type="paragraph" w:styleId="866" w:customStyle="1">
    <w:name w:val="正文缩进1"/>
    <w:basedOn w:val="744"/>
    <w:uiPriority w:val="0"/>
    <w:qFormat/>
    <w:pPr>
      <w:ind w:left="1200" w:hanging="1200"/>
      <w:jc w:val="center"/>
      <w:spacing w:line="360" w:lineRule="atLeast"/>
    </w:pPr>
    <w:rPr>
      <w:rFonts w:ascii="宋体" w:hAnsi="宋体" w:cs="宋体"/>
      <w:sz w:val="24"/>
      <w:szCs w:val="20"/>
    </w:rPr>
  </w:style>
  <w:style w:type="paragraph" w:styleId="867" w:customStyle="1">
    <w:name w:val="List Paragraph1"/>
    <w:basedOn w:val="744"/>
    <w:uiPriority w:val="34"/>
    <w:qFormat/>
    <w:pPr>
      <w:ind w:firstLine="420"/>
    </w:pPr>
  </w:style>
  <w:style w:type="paragraph" w:styleId="868">
    <w:name w:val="List Paragraph"/>
    <w:basedOn w:val="744"/>
    <w:uiPriority w:val="0"/>
    <w:qFormat/>
    <w:pPr>
      <w:ind w:firstLine="420"/>
      <w:jc w:val="left"/>
      <w:widowControl/>
    </w:pPr>
    <w:rPr>
      <w:sz w:val="20"/>
      <w:szCs w:val="20"/>
    </w:rPr>
  </w:style>
  <w:style w:type="paragraph" w:styleId="869" w:customStyle="1">
    <w:name w:val="正文空2格  1."/>
    <w:basedOn w:val="744"/>
    <w:uiPriority w:val="0"/>
    <w:qFormat/>
    <w:pPr>
      <w:ind w:firstLine="480"/>
      <w:spacing w:line="360" w:lineRule="auto"/>
    </w:pPr>
    <w:rPr>
      <w:rFonts w:ascii="宋体" w:eastAsia="仿宋" w:cs="宋体"/>
      <w:sz w:val="28"/>
      <w:szCs w:val="20"/>
    </w:rPr>
  </w:style>
  <w:style w:type="character" w:styleId="870" w:customStyle="1">
    <w:name w:val="font41"/>
    <w:basedOn w:val="750"/>
    <w:uiPriority w:val="0"/>
    <w:qFormat/>
    <w:rPr>
      <w:rFonts w:ascii="Arial" w:hAnsi="Arial" w:cs="Arial"/>
      <w:color w:val="000000"/>
      <w:sz w:val="21"/>
      <w:szCs w:val="21"/>
      <w:u w:val="none"/>
    </w:rPr>
  </w:style>
  <w:style w:type="paragraph" w:styleId="871" w:customStyle="1">
    <w:name w:val="！正文"/>
    <w:basedOn w:val="744"/>
    <w:uiPriority w:val="0"/>
    <w:qFormat/>
    <w:pPr>
      <w:ind w:firstLine="200"/>
      <w:spacing w:line="480" w:lineRule="exact"/>
    </w:pPr>
    <w:rPr>
      <w:rFonts w:ascii="宋体" w:hAnsi="宋体"/>
      <w:lang w:val="zh-CN"/>
    </w:rPr>
  </w:style>
  <w:style w:type="numbering" w:styleId="9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张明月</cp:lastModifiedBy>
  <cp:revision>10</cp:revision>
  <dcterms:created xsi:type="dcterms:W3CDTF">2024-07-24T09:46:00Z</dcterms:created>
  <dcterms:modified xsi:type="dcterms:W3CDTF">2024-10-18T03:23:16Z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E69AB99CA10E45E9BB138E9ED6A98831_13</vt:lpwstr>
  </property>
</Properties>
</file>