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spacing w:before="120" w:beforeAutospacing="0" w:after="120" w:afterAutospacing="0" w:line="360" w:lineRule="auto"/>
        <w:rPr>
          <w:color w:val="auto"/>
          <w:highlight w:val="none"/>
        </w:rPr>
      </w:pPr>
      <w:r>
        <w:rPr>
          <w:color w:val="auto"/>
          <w:highlight w:val="none"/>
        </w:rPr>
        <w:t xml:space="preserve"> </w:t>
      </w:r>
      <w:r/>
    </w:p>
    <w:p>
      <w:pPr>
        <w:pStyle w:val="717"/>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7"/>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7"/>
        <w:ind w:firstLine="643"/>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rPr>
        <w:t xml:space="preserve">东台市2025年度重大动物疫病强制免疫疫苗、耳标采购项目</w:t>
      </w:r>
      <w:r/>
    </w:p>
    <w:p>
      <w:pPr>
        <w:pStyle w:val="717"/>
        <w:ind w:firstLine="643"/>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eastAsia="宋体"/>
          <w:b/>
          <w:color w:val="auto"/>
          <w:sz w:val="32"/>
          <w:szCs w:val="32"/>
          <w:highlight w:val="none"/>
          <w:lang w:eastAsia="zh-CN"/>
        </w:rPr>
        <w:t xml:space="preserve">JSZC-320981-TXJS-G2025-0007</w:t>
      </w:r>
      <w:r/>
    </w:p>
    <w:p>
      <w:pPr>
        <w:pStyle w:val="717"/>
        <w:spacing w:beforeAutospacing="0" w:afterAutospacing="0" w:line="360" w:lineRule="auto"/>
        <w:rPr>
          <w:color w:val="auto"/>
          <w:highlight w:val="none"/>
        </w:rPr>
      </w:pPr>
      <w:r>
        <w:rPr>
          <w:color w:val="auto"/>
          <w:highlight w:val="none"/>
        </w:rPr>
        <w:t xml:space="preserve"> </w:t>
      </w:r>
      <w:r/>
    </w:p>
    <w:p>
      <w:pPr>
        <w:pStyle w:val="717"/>
        <w:spacing w:beforeAutospacing="0" w:afterAutospacing="0" w:line="360" w:lineRule="auto"/>
        <w:rPr>
          <w:color w:val="auto"/>
          <w:highlight w:val="none"/>
        </w:rPr>
      </w:pPr>
      <w:r>
        <w:rPr>
          <w:color w:val="auto"/>
          <w:highlight w:val="none"/>
        </w:rPr>
        <w:t xml:space="preserve"> </w:t>
      </w:r>
      <w:r/>
    </w:p>
    <w:p>
      <w:pPr>
        <w:pStyle w:val="717"/>
        <w:spacing w:beforeAutospacing="0" w:afterAutospacing="0" w:line="360" w:lineRule="auto"/>
        <w:rPr>
          <w:color w:val="auto"/>
          <w:highlight w:val="none"/>
        </w:rPr>
      </w:pPr>
      <w:r>
        <w:rPr>
          <w:color w:val="auto"/>
          <w:highlight w:val="none"/>
        </w:rPr>
        <w:t xml:space="preserve"> </w:t>
      </w:r>
      <w:r/>
    </w:p>
    <w:p>
      <w:pPr>
        <w:pStyle w:val="717"/>
        <w:spacing w:beforeAutospacing="0" w:afterAutospacing="0" w:line="360" w:lineRule="auto"/>
        <w:rPr>
          <w:color w:val="auto"/>
          <w:highlight w:val="none"/>
        </w:rPr>
      </w:pPr>
      <w:r>
        <w:rPr>
          <w:color w:val="auto"/>
          <w:highlight w:val="none"/>
        </w:rPr>
        <w:t xml:space="preserve">  </w:t>
      </w:r>
      <w:r/>
    </w:p>
    <w:p>
      <w:pPr>
        <w:pStyle w:val="717"/>
        <w:spacing w:beforeAutospacing="0" w:afterAutospacing="0" w:line="360" w:lineRule="auto"/>
        <w:rPr>
          <w:color w:val="auto"/>
          <w:highlight w:val="none"/>
        </w:rPr>
      </w:pPr>
      <w:r>
        <w:rPr>
          <w:color w:val="auto"/>
          <w:highlight w:val="none"/>
        </w:rPr>
        <w:t xml:space="preserve"> </w:t>
      </w:r>
      <w:r/>
    </w:p>
    <w:p>
      <w:pPr>
        <w:pStyle w:val="717"/>
        <w:spacing w:beforeAutospacing="0" w:afterAutospacing="0" w:line="360" w:lineRule="auto"/>
        <w:rPr>
          <w:color w:val="auto"/>
          <w:highlight w:val="none"/>
        </w:rPr>
      </w:pPr>
      <w:r>
        <w:rPr>
          <w:color w:val="auto"/>
          <w:highlight w:val="none"/>
        </w:rPr>
        <w:t xml:space="preserve"> </w:t>
      </w:r>
      <w:r/>
    </w:p>
    <w:p>
      <w:pPr>
        <w:pStyle w:val="717"/>
        <w:ind w:firstLine="96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7"/>
        <w:ind w:firstLine="96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7"/>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采购单位：东台市农业农村局</w:t>
      </w:r>
      <w:r/>
    </w:p>
    <w:p>
      <w:pPr>
        <w:pStyle w:val="717"/>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ascii="Arial" w:hAnsi="Arial" w:eastAsia="宋体" w:cs="Arial"/>
          <w:b/>
          <w:color w:val="auto"/>
          <w:sz w:val="32"/>
          <w:szCs w:val="32"/>
          <w:highlight w:val="none"/>
        </w:rPr>
      </w:r>
      <w:r/>
    </w:p>
    <w:p>
      <w:pPr>
        <w:pStyle w:val="717"/>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采购代理机构：江苏天信建设项目咨询有限公司</w:t>
      </w:r>
      <w:r/>
    </w:p>
    <w:p>
      <w:pPr>
        <w:pStyle w:val="717"/>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17"/>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02</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14</w:t>
      </w:r>
      <w:r>
        <w:rPr>
          <w:rFonts w:ascii="Arial" w:hAnsi="Arial" w:cs="Arial"/>
          <w:b/>
          <w:color w:val="auto"/>
          <w:sz w:val="32"/>
          <w:szCs w:val="32"/>
          <w:highlight w:val="none"/>
        </w:rPr>
        <w:t xml:space="preserve">日</w:t>
      </w:r>
      <w:r/>
    </w:p>
    <w:p>
      <w:pPr>
        <w:pStyle w:val="717"/>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17"/>
        <w:jc w:val="center"/>
        <w:spacing w:before="120" w:beforeAutospacing="0" w:after="120" w:afterAutospacing="0" w:line="360" w:lineRule="auto"/>
        <w:rPr>
          <w:color w:val="auto"/>
          <w:highlight w:val="none"/>
        </w:rPr>
      </w:pPr>
      <w:r>
        <w:rPr>
          <w:color w:val="auto"/>
          <w:highlight w:val="none"/>
        </w:rPr>
        <w:t xml:space="preserve"> </w:t>
      </w:r>
      <w:r/>
    </w:p>
    <w:p>
      <w:pPr>
        <w:pStyle w:val="717"/>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r/>
    </w:p>
    <w:p>
      <w:pPr>
        <w:pStyle w:val="717"/>
        <w:jc w:val="both"/>
        <w:spacing w:beforeAutospacing="0" w:afterAutospacing="0" w:line="480" w:lineRule="auto"/>
        <w:rPr>
          <w:color w:val="auto"/>
          <w:highlight w:val="none"/>
        </w:rPr>
      </w:pPr>
      <w:r>
        <w:rPr>
          <w:color w:val="auto"/>
          <w:highlight w:val="none"/>
        </w:rPr>
        <w:t xml:space="preserve"> </w:t>
      </w:r>
      <w:r/>
    </w:p>
    <w:sdt>
      <w:sdtPr>
        <w15:appearance w15:val="boundingBox"/>
        <w:id w:val="147474810"/>
        <w:docPartObj>
          <w:docPartGallery w:val="Table of Contents"/>
          <w:docPartUnique w:val="true"/>
        </w:docPartObj>
        <w:rPr>
          <w:rFonts w:ascii="宋体" w:hAnsi="宋体" w:eastAsia="宋体"/>
          <w:color w:val="auto"/>
          <w:highlight w:val="none"/>
        </w:rPr>
      </w:sdtPr>
      <w:sdtContent>
        <w:p>
          <w:pPr>
            <w:pStyle w:val="708"/>
            <w:tabs>
              <w:tab w:val="right" w:pos="9752" w:leader="dot"/>
            </w:tabs>
            <w:rPr>
              <w:color w:val="auto"/>
              <w:sz w:val="48"/>
              <w:szCs w:val="56"/>
              <w:highlight w:val="none"/>
            </w:rPr>
          </w:pPr>
          <w:r>
            <w:rPr>
              <w:rFonts w:hint="eastAsia" w:ascii="宋体" w:hAnsi="宋体" w:eastAsia="宋体"/>
              <w:color w:val="auto"/>
              <w:highlight w:val="none"/>
            </w:rPr>
            <w:t xml:space="preserve">       </w:t>
          </w:r>
          <w:r>
            <w:rPr>
              <w:rFonts w:hint="eastAsia" w:ascii="宋体" w:hAnsi="宋体" w:eastAsia="宋体"/>
              <w:color w:val="auto"/>
              <w:sz w:val="48"/>
              <w:szCs w:val="56"/>
              <w:highlight w:val="none"/>
            </w:rPr>
            <w:t xml:space="preserve">  </w:t>
          </w:r>
          <w:r>
            <w:rPr>
              <w:rFonts w:hint="eastAsia" w:ascii="黑体" w:hAnsi="黑体" w:eastAsia="黑体" w:cs="黑体"/>
              <w:color w:val="auto"/>
              <w:sz w:val="180"/>
              <w:szCs w:val="180"/>
              <w:highlight w:val="none"/>
            </w:rPr>
            <w:fldChar w:fldCharType="begin"/>
          </w:r>
          <w:r>
            <w:rPr>
              <w:rFonts w:hint="eastAsia" w:ascii="黑体" w:hAnsi="黑体" w:eastAsia="黑体" w:cs="黑体"/>
              <w:color w:val="auto"/>
              <w:sz w:val="180"/>
              <w:szCs w:val="180"/>
              <w:highlight w:val="none"/>
            </w:rPr>
            <w:instrText xml:space="preserve">TOC \o "1-1" \h \u </w:instrText>
          </w:r>
          <w:r>
            <w:rPr>
              <w:rFonts w:hint="eastAsia" w:ascii="黑体" w:hAnsi="黑体" w:eastAsia="黑体" w:cs="黑体"/>
              <w:color w:val="auto"/>
              <w:sz w:val="180"/>
              <w:szCs w:val="180"/>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724"/>
              <w:rFonts w:hint="eastAsia" w:ascii="黑体" w:hAnsi="宋体" w:eastAsia="黑体" w:cs="黑体"/>
              <w:color w:val="auto"/>
              <w:sz w:val="48"/>
              <w:szCs w:val="56"/>
              <w:highlight w:val="none"/>
            </w:rPr>
            <w:t xml:space="preserve">第一章  招标公告</w:t>
          </w:r>
          <w:r>
            <w:rPr>
              <w:rStyle w:val="724"/>
              <w:rFonts w:hint="eastAsia" w:ascii="黑体" w:hAnsi="宋体" w:eastAsia="黑体" w:cs="黑体"/>
              <w:color w:val="auto"/>
              <w:sz w:val="48"/>
              <w:szCs w:val="56"/>
              <w:highlight w:val="none"/>
            </w:rPr>
            <w:fldChar w:fldCharType="end"/>
          </w:r>
          <w:r/>
        </w:p>
        <w:p>
          <w:pPr>
            <w:pStyle w:val="708"/>
            <w:tabs>
              <w:tab w:val="right" w:pos="9752" w:leader="dot"/>
            </w:tabs>
            <w:rPr>
              <w:color w:val="auto"/>
              <w:sz w:val="48"/>
              <w:szCs w:val="56"/>
              <w:highlight w:val="none"/>
            </w:rPr>
          </w:pPr>
          <w:r>
            <w:rPr>
              <w:color w:val="auto"/>
              <w:sz w:val="48"/>
              <w:szCs w:val="56"/>
              <w:highlight w:val="none"/>
            </w:rPr>
            <w:t xml:space="preserve">     </w:t>
          </w: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724"/>
              <w:rFonts w:hint="eastAsia" w:ascii="黑体" w:hAnsi="宋体" w:eastAsia="黑体" w:cs="黑体"/>
              <w:color w:val="auto"/>
              <w:sz w:val="48"/>
              <w:szCs w:val="56"/>
              <w:highlight w:val="none"/>
              <w:u w:val="none"/>
            </w:rPr>
            <w:t xml:space="preserve">第二章  投标人须知</w:t>
          </w:r>
          <w:r>
            <w:rPr>
              <w:rStyle w:val="724"/>
              <w:rFonts w:hint="eastAsia" w:ascii="黑体" w:hAnsi="宋体" w:eastAsia="黑体" w:cs="黑体"/>
              <w:color w:val="auto"/>
              <w:sz w:val="48"/>
              <w:szCs w:val="56"/>
              <w:highlight w:val="none"/>
              <w:u w:val="none"/>
            </w:rPr>
            <w:fldChar w:fldCharType="end"/>
          </w:r>
          <w:r/>
        </w:p>
        <w:p>
          <w:pPr>
            <w:pStyle w:val="708"/>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724"/>
              <w:rFonts w:hint="eastAsia" w:ascii="黑体" w:hAnsi="宋体" w:eastAsia="黑体" w:cs="黑体"/>
              <w:color w:val="auto"/>
              <w:sz w:val="48"/>
              <w:szCs w:val="56"/>
              <w:highlight w:val="none"/>
              <w:u w:val="none"/>
            </w:rPr>
            <w:t xml:space="preserve">     第三章  合同文本</w:t>
          </w:r>
          <w:r>
            <w:rPr>
              <w:rStyle w:val="724"/>
              <w:rFonts w:hint="eastAsia" w:ascii="黑体" w:hAnsi="宋体" w:eastAsia="黑体" w:cs="黑体"/>
              <w:color w:val="auto"/>
              <w:sz w:val="48"/>
              <w:szCs w:val="56"/>
              <w:highlight w:val="none"/>
              <w:u w:val="none"/>
            </w:rPr>
            <w:fldChar w:fldCharType="end"/>
          </w:r>
          <w:r/>
        </w:p>
        <w:p>
          <w:pPr>
            <w:pStyle w:val="708"/>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724"/>
              <w:rFonts w:hint="eastAsia" w:ascii="黑体" w:hAnsi="宋体" w:eastAsia="黑体" w:cs="黑体"/>
              <w:color w:val="auto"/>
              <w:sz w:val="48"/>
              <w:szCs w:val="56"/>
              <w:highlight w:val="none"/>
              <w:u w:val="none"/>
            </w:rPr>
            <w:t xml:space="preserve">     第四章   采购需求</w:t>
          </w:r>
          <w:r>
            <w:rPr>
              <w:rStyle w:val="724"/>
              <w:rFonts w:hint="eastAsia" w:ascii="黑体" w:hAnsi="宋体" w:eastAsia="黑体" w:cs="黑体"/>
              <w:color w:val="auto"/>
              <w:sz w:val="48"/>
              <w:szCs w:val="56"/>
              <w:highlight w:val="none"/>
              <w:u w:val="none"/>
            </w:rPr>
            <w:fldChar w:fldCharType="end"/>
          </w:r>
          <w:r/>
        </w:p>
        <w:p>
          <w:pPr>
            <w:pStyle w:val="708"/>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"_Toc12" \o "#_Toc12" </w:instrText>
          </w:r>
          <w:r>
            <w:rPr>
              <w:color w:val="auto"/>
              <w:highlight w:val="none"/>
            </w:rPr>
            <w:fldChar w:fldCharType="separate"/>
          </w:r>
          <w:r>
            <w:rPr>
              <w:rStyle w:val="724"/>
              <w:rFonts w:hint="eastAsia" w:ascii="黑体" w:hAnsi="宋体" w:eastAsia="黑体" w:cs="黑体"/>
              <w:color w:val="auto"/>
              <w:sz w:val="48"/>
              <w:szCs w:val="56"/>
              <w:highlight w:val="none"/>
              <w:u w:val="none"/>
            </w:rPr>
            <w:t xml:space="preserve">     第五章  评标方法与评标标准</w:t>
          </w:r>
          <w:r>
            <w:rPr>
              <w:rStyle w:val="724"/>
              <w:rFonts w:hint="eastAsia" w:ascii="黑体" w:hAnsi="宋体" w:eastAsia="黑体" w:cs="黑体"/>
              <w:color w:val="auto"/>
              <w:sz w:val="48"/>
              <w:szCs w:val="56"/>
              <w:highlight w:val="none"/>
              <w:u w:val="none"/>
            </w:rPr>
            <w:fldChar w:fldCharType="end"/>
          </w:r>
          <w:r/>
        </w:p>
        <w:p>
          <w:pPr>
            <w:pStyle w:val="708"/>
            <w:tabs>
              <w:tab w:val="right" w:pos="9752" w:leader="dot"/>
            </w:tabs>
            <w:rPr>
              <w:rFonts w:ascii="黑体" w:hAnsi="宋体" w:eastAsia="黑体" w:cs="黑体"/>
              <w:color w:val="auto"/>
              <w:sz w:val="48"/>
              <w:szCs w:val="56"/>
              <w:highlight w:val="none"/>
            </w:rPr>
          </w:pPr>
          <w:r>
            <w:rPr>
              <w:color w:val="auto"/>
              <w:highlight w:val="none"/>
            </w:rPr>
            <w:fldChar w:fldCharType="begin"/>
          </w:r>
          <w:r>
            <w:rPr>
              <w:color w:val="auto"/>
              <w:highlight w:val="none"/>
            </w:rPr>
            <w:instrText xml:space="preserve"> HYPERLINK \l "_Toc13" \o "#_Toc13" </w:instrText>
          </w:r>
          <w:r>
            <w:rPr>
              <w:color w:val="auto"/>
              <w:highlight w:val="none"/>
            </w:rPr>
            <w:fldChar w:fldCharType="separate"/>
          </w:r>
          <w:r>
            <w:rPr>
              <w:rStyle w:val="724"/>
              <w:rFonts w:hint="eastAsia" w:ascii="黑体" w:hAnsi="宋体" w:eastAsia="黑体" w:cs="黑体"/>
              <w:color w:val="auto"/>
              <w:sz w:val="48"/>
              <w:szCs w:val="56"/>
              <w:highlight w:val="none"/>
              <w:u w:val="none"/>
            </w:rPr>
            <w:t xml:space="preserve">     第六章  投标文件格式</w:t>
          </w:r>
          <w:r>
            <w:rPr>
              <w:rStyle w:val="724"/>
              <w:rFonts w:hint="eastAsia" w:ascii="黑体" w:hAnsi="宋体" w:eastAsia="黑体" w:cs="黑体"/>
              <w:color w:val="auto"/>
              <w:sz w:val="48"/>
              <w:szCs w:val="56"/>
              <w:highlight w:val="none"/>
              <w:u w:val="none"/>
            </w:rPr>
            <w:fldChar w:fldCharType="end"/>
          </w:r>
          <w:r/>
        </w:p>
        <w:p>
          <w:pPr>
            <w:pStyle w:val="717"/>
            <w:jc w:val="both"/>
            <w:spacing w:beforeAutospacing="0" w:afterAutospacing="0"/>
            <w:rPr>
              <w:color w:val="auto"/>
              <w:highlight w:val="none"/>
            </w:rPr>
          </w:pPr>
          <w:r>
            <w:rPr>
              <w:rFonts w:hint="eastAsia" w:ascii="黑体" w:hAnsi="黑体" w:eastAsia="黑体" w:cs="黑体"/>
              <w:color w:val="auto"/>
              <w:sz w:val="180"/>
              <w:szCs w:val="180"/>
              <w:highlight w:val="none"/>
            </w:rPr>
            <w:fldChar w:fldCharType="end"/>
          </w:r>
          <w:r/>
        </w:p>
      </w:sdtContent>
    </w:sdt>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7"/>
        <w:jc w:val="center"/>
        <w:keepNext/>
        <w:spacing w:beforeAutospacing="0" w:afterAutospacing="0"/>
        <w:rPr>
          <w:color w:val="auto"/>
          <w:highlight w:val="none"/>
        </w:rPr>
        <w:outlineLvl w:val="0"/>
      </w:pPr>
      <w:r/>
      <w:bookmarkStart w:id="0" w:name="_Toc1"/>
      <w:r>
        <w:rPr>
          <w:rFonts w:hint="eastAsia" w:ascii="黑体" w:hAnsi="宋体" w:eastAsia="黑体" w:cs="黑体"/>
          <w:color w:val="auto"/>
          <w:sz w:val="44"/>
          <w:szCs w:val="44"/>
          <w:highlight w:val="none"/>
        </w:rPr>
        <w:t xml:space="preserve">第一章  招标公告</w:t>
      </w:r>
      <w:bookmarkEnd w:id="0"/>
      <w:r/>
      <w:r/>
    </w:p>
    <w:p>
      <w:pPr>
        <w:pStyle w:val="717"/>
        <w:ind w:left="420" w:firstLine="480"/>
        <w:jc w:val="both"/>
        <w:spacing w:beforeAutospacing="0" w:afterAutospacing="0" w:line="360" w:lineRule="auto"/>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ind w:left="420" w:firstLine="480"/>
        <w:spacing w:line="360" w:lineRule="auto"/>
        <w:rPr>
          <w:rFonts w:ascii="宋体" w:hAnsi="宋体" w:eastAsia="宋体" w:cs="宋体"/>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u w:val="none"/>
        </w:rPr>
        <w:t xml:space="preserve">东台市2025年度重大动物疫病强制免疫疫苗、耳标采购项目</w:t>
      </w:r>
      <w:r>
        <w:rPr>
          <w:rFonts w:hint="eastAsia" w:ascii="宋体" w:hAnsi="宋体" w:eastAsia="宋体" w:cs="宋体"/>
          <w:color w:val="auto"/>
          <w:sz w:val="24"/>
          <w:highlight w:val="none"/>
          <w:u w:val="none"/>
          <w:lang w:eastAsia="zh-CN"/>
        </w:rPr>
        <w:t xml:space="preserve">JSZC-320981-TXJS-G2025-0007</w:t>
      </w:r>
      <w:r>
        <w:rPr>
          <w:rFonts w:hint="eastAsia" w:ascii="宋体" w:hAnsi="宋体" w:cs="宋体"/>
          <w:color w:val="auto"/>
          <w:highlight w:val="none"/>
        </w:rPr>
        <w:t xml:space="preserve">招标项目的的潜在投标人应在“苏采云”系统内免费下载（投标人必须在苏采云系统中获取采购文件，方能参与政府采购项目）获取招标文件，</w:t>
      </w:r>
      <w:r>
        <w:rPr>
          <w:rFonts w:hint="eastAsia" w:ascii="宋体" w:hAnsi="宋体" w:eastAsia="宋体" w:cs="宋体"/>
          <w:color w:val="auto"/>
          <w:sz w:val="24"/>
          <w:highlight w:val="none"/>
        </w:rPr>
        <w:t xml:space="preserve">并于</w:t>
      </w:r>
      <w:r>
        <w:rPr>
          <w:rFonts w:hint="eastAsia" w:ascii="宋体" w:hAnsi="宋体" w:eastAsia="宋体" w:cs="宋体"/>
          <w:color w:val="auto"/>
          <w:sz w:val="24"/>
          <w:highlight w:val="none"/>
          <w:u w:val="none"/>
          <w:lang w:eastAsia="zh-CN"/>
        </w:rPr>
        <w:t xml:space="preserve">2025</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none"/>
          <w:lang w:val="en-US" w:eastAsia="zh-CN"/>
        </w:rPr>
        <w:t xml:space="preserve">03</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none"/>
          <w:lang w:val="en-US" w:eastAsia="zh-CN"/>
        </w:rPr>
        <w:t xml:space="preserve">10</w:t>
      </w:r>
      <w:r>
        <w:rPr>
          <w:rFonts w:hint="eastAsia" w:ascii="宋体" w:hAnsi="宋体" w:eastAsia="宋体" w:cs="宋体"/>
          <w:color w:val="auto"/>
          <w:sz w:val="24"/>
          <w:highlight w:val="none"/>
          <w:u w:val="none"/>
        </w:rPr>
        <w:t xml:space="preserve"> 0</w:t>
      </w:r>
      <w:r>
        <w:rPr>
          <w:rFonts w:hint="eastAsia" w:ascii="宋体" w:hAnsi="宋体" w:eastAsia="宋体" w:cs="宋体"/>
          <w:color w:val="auto"/>
          <w:sz w:val="24"/>
          <w:highlight w:val="none"/>
          <w:u w:val="none"/>
          <w:lang w:val="en-US" w:eastAsia="zh-CN"/>
        </w:rPr>
        <w:t xml:space="preserve">8</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u w:val="none"/>
          <w:lang w:val="en-US" w:eastAsia="zh-CN"/>
        </w:rPr>
        <w:t xml:space="preserve">3</w:t>
      </w:r>
      <w:r>
        <w:rPr>
          <w:rFonts w:hint="eastAsia" w:ascii="宋体" w:hAnsi="宋体" w:eastAsia="宋体" w:cs="宋体"/>
          <w:color w:val="auto"/>
          <w:sz w:val="24"/>
          <w:highlight w:val="none"/>
          <w:u w:val="none"/>
        </w:rPr>
        <w:t xml:space="preserve">0</w:t>
      </w:r>
      <w:r>
        <w:rPr>
          <w:rFonts w:hint="eastAsia" w:ascii="宋体" w:hAnsi="宋体" w:eastAsia="宋体" w:cs="宋体"/>
          <w:color w:val="auto"/>
          <w:sz w:val="24"/>
          <w:highlight w:val="none"/>
        </w:rPr>
        <w:t xml:space="preserve">（北京时间）前递交投标文件。</w:t>
      </w:r>
      <w:r/>
    </w:p>
    <w:p>
      <w:pPr>
        <w:ind w:firstLine="482"/>
        <w:spacing w:line="360" w:lineRule="auto"/>
        <w:rPr>
          <w:rFonts w:ascii="宋体" w:hAnsi="宋体" w:eastAsia="宋体" w:cs="宋体"/>
          <w:b/>
          <w:bCs/>
          <w:color w:val="auto"/>
          <w:sz w:val="24"/>
          <w:highlight w:val="none"/>
        </w:rPr>
      </w:pPr>
      <w:r/>
      <w:bookmarkStart w:id="1" w:name="_Hlk24379207"/>
      <w:r/>
      <w:bookmarkStart w:id="2" w:name="_Toc2"/>
      <w:r>
        <w:rPr>
          <w:rFonts w:hint="eastAsia" w:ascii="宋体" w:hAnsi="宋体" w:eastAsia="宋体" w:cs="宋体"/>
          <w:b/>
          <w:bCs/>
          <w:color w:val="auto"/>
          <w:sz w:val="24"/>
          <w:highlight w:val="none"/>
        </w:rPr>
        <w:t xml:space="preserve">一、项目基本情况</w:t>
      </w:r>
      <w:bookmarkEnd w:id="1"/>
      <w:r/>
      <w:bookmarkEnd w:id="2"/>
      <w:r/>
      <w:r/>
    </w:p>
    <w:p>
      <w:pPr>
        <w:ind w:firstLine="480"/>
        <w:spacing w:line="360" w:lineRule="auto"/>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rPr>
        <w:t xml:space="preserve">项目编号：</w:t>
      </w:r>
      <w:r>
        <w:rPr>
          <w:rFonts w:hint="eastAsia" w:ascii="宋体" w:hAnsi="宋体" w:eastAsia="宋体" w:cs="宋体"/>
          <w:color w:val="auto"/>
          <w:sz w:val="24"/>
          <w:highlight w:val="none"/>
          <w:u w:val="none"/>
          <w:lang w:eastAsia="zh-CN"/>
        </w:rPr>
        <w:t xml:space="preserve">JSZC-320981-TXJS-G2025-0007</w:t>
      </w:r>
      <w:r/>
    </w:p>
    <w:p>
      <w:pPr>
        <w:ind w:firstLine="480"/>
        <w:spacing w:line="360" w:lineRule="auto"/>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项目名称：东台市2025年度重大动物疫病强制免疫疫苗、耳标采购项目</w:t>
      </w:r>
      <w:r/>
    </w:p>
    <w:p>
      <w:pPr>
        <w:ind w:firstLine="480"/>
        <w:spacing w:line="360" w:lineRule="auto"/>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highlight w:val="none"/>
          <w:u w:val="none"/>
        </w:rPr>
        <w:t xml:space="preserve">预算金额：</w:t>
      </w:r>
      <w:r>
        <w:rPr>
          <w:rFonts w:hint="eastAsia" w:ascii="宋体" w:hAnsi="宋体" w:eastAsia="宋体" w:cs="宋体"/>
          <w:color w:val="auto"/>
          <w:sz w:val="24"/>
          <w:highlight w:val="none"/>
          <w:u w:val="none"/>
        </w:rPr>
      </w:r>
      <w:r>
        <w:rPr>
          <w:rFonts w:ascii="SimSun" w:hAnsi="SimSun" w:eastAsia="SimSun" w:cs="SimSun"/>
          <w:color w:val="000000"/>
          <w:sz w:val="24"/>
        </w:rPr>
        <w:t xml:space="preserve">900.000000万元（采购包1：43.000000万元；采购包2：80.000000万元；采购包3：80.000000万元；采购包4：30.000000万元；采购包5：150.000000万元；采购包6：150.000000万元；采购包7：150.000000万元；采购包8：150.000000万元；采购包9：53.000000万元；采购包10：14.000000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highlight w:val="none"/>
          <w:u w:val="none"/>
        </w:rPr>
        <w:t xml:space="preserve">本项目设定最高限价：</w:t>
      </w:r>
      <w:r>
        <w:rPr>
          <w:rFonts w:ascii="宋体" w:hAnsi="宋体" w:eastAsia="宋体" w:cs="宋体"/>
          <w:color w:val="auto"/>
          <w:sz w:val="24"/>
          <w:highlight w:val="none"/>
          <w:u w:val="none"/>
        </w:rPr>
      </w:r>
      <w:r>
        <w:rPr>
          <w:rFonts w:ascii="SimSun" w:hAnsi="SimSun" w:eastAsia="SimSun" w:cs="SimSun"/>
          <w:color w:val="000000"/>
          <w:sz w:val="24"/>
        </w:rPr>
        <w:t xml:space="preserve">900.00万元（采购包1:43.00万元；采购包2：80.00万元；采购包3：80.00万元；采购包4:30.00万元；采购包5：150.00万元；采购包6：150.00万元；采购包7：150.00万元；采购包8:150.00万元；采购包9：53.00万元；采购包10：14.00万元）</w:t>
      </w:r>
      <w:r/>
    </w:p>
    <w:p>
      <w:pPr>
        <w:ind w:firstLine="480"/>
        <w:spacing w:line="360" w:lineRule="auto"/>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采购需求（简介）：</w:t>
      </w:r>
      <w:r/>
    </w:p>
    <w:p>
      <w:pPr>
        <w:ind w:firstLine="480"/>
        <w:spacing w:line="360" w:lineRule="auto"/>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东台市2025年度重大动物疫病强制免疫疫苗、耳标采购项目，为全面深入推进全市重大动物疫病强制免疫“先打后补”工作，根据《江苏省重大动物疫病强制免疫“先打后补”补助方案》（苏农办牧〔2024〕9号）及《盐城市重大动物疫病强制免疫“先打后补”实施方案》（盐农牧〔2024〕8号）要求，拟采购内容如下：</w:t>
      </w:r>
      <w:r/>
    </w:p>
    <w:p>
      <w:pPr>
        <w:ind w:firstLine="480"/>
        <w:spacing w:line="360" w:lineRule="auto"/>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采购包1：猪口蹄疫O型合成肽疫苗；采购包2：口蹄疫O型、A型二价灭活疫苗；采购包3：口蹄疫O型、A型二价灭活疫苗；采购包4：</w:t>
      </w:r>
      <w:r>
        <w:rPr>
          <w:rFonts w:ascii="宋体" w:hAnsi="宋体" w:eastAsia="宋体" w:cs="宋体"/>
          <w:color w:val="auto"/>
          <w:sz w:val="24"/>
          <w:highlight w:val="none"/>
          <w:u w:val="none"/>
        </w:rPr>
        <w:t xml:space="preserve">小反刍兽疫活疫苗（或含小反刍）；</w:t>
      </w:r>
      <w:r>
        <w:rPr>
          <w:rFonts w:hint="eastAsia" w:ascii="宋体" w:hAnsi="宋体" w:eastAsia="宋体" w:cs="宋体"/>
          <w:color w:val="auto"/>
          <w:sz w:val="24"/>
          <w:highlight w:val="none"/>
          <w:u w:val="none"/>
        </w:rPr>
        <w:t xml:space="preserve">采购包5：重组禽流感病毒(H5+H7)三价灭活疫苗；采购包6：重组禽流感病毒(H5+H7)三价灭活疫苗；采购包7：重组禽流感病毒(H5+H7)三价灭活疫苗；采购包8：重组禽流感病毒(H5+H7)三价灭活疫苗；采购包9：</w:t>
      </w:r>
      <w:r>
        <w:rPr>
          <w:rFonts w:ascii="宋体" w:hAnsi="宋体" w:eastAsia="宋体" w:cs="宋体"/>
          <w:color w:val="auto"/>
          <w:sz w:val="24"/>
          <w:highlight w:val="none"/>
          <w:u w:val="none"/>
        </w:rPr>
        <w:t xml:space="preserve">猪耳标</w:t>
      </w:r>
      <w:r>
        <w:rPr>
          <w:rFonts w:hint="eastAsia" w:ascii="宋体" w:hAnsi="宋体" w:eastAsia="宋体" w:cs="宋体"/>
          <w:color w:val="auto"/>
          <w:sz w:val="24"/>
          <w:highlight w:val="none"/>
          <w:u w:val="none"/>
        </w:rPr>
        <w:t xml:space="preserve"> ；采购包10：羊</w:t>
      </w:r>
      <w:r>
        <w:rPr>
          <w:rFonts w:ascii="宋体" w:hAnsi="宋体" w:eastAsia="宋体" w:cs="宋体"/>
          <w:color w:val="auto"/>
          <w:sz w:val="24"/>
          <w:highlight w:val="none"/>
          <w:u w:val="none"/>
        </w:rPr>
        <w:t xml:space="preserve">耳标</w:t>
      </w:r>
      <w:r>
        <w:rPr>
          <w:rFonts w:hint="eastAsia" w:ascii="宋体" w:hAnsi="宋体" w:eastAsia="宋体" w:cs="宋体"/>
          <w:color w:val="auto"/>
          <w:sz w:val="24"/>
          <w:highlight w:val="none"/>
          <w:u w:val="none"/>
        </w:rPr>
        <w:t xml:space="preserve">。（详细内容见本招标文件第四章）。</w:t>
      </w:r>
      <w:r/>
    </w:p>
    <w:p>
      <w:pPr>
        <w:ind w:firstLine="480"/>
        <w:spacing w:line="360" w:lineRule="auto"/>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合同履行期限：</w:t>
      </w:r>
      <w:r>
        <w:rPr>
          <w:rFonts w:hint="eastAsia" w:ascii="宋体" w:hAnsi="宋体" w:eastAsia="宋体" w:cs="宋体"/>
          <w:color w:val="auto"/>
          <w:sz w:val="24"/>
          <w:highlight w:val="none"/>
          <w:u w:val="none"/>
          <w:lang w:val="en-US" w:eastAsia="zh-CN"/>
        </w:rPr>
        <w:t xml:space="preserve">1年，合同签订后</w:t>
      </w:r>
      <w:r>
        <w:rPr>
          <w:rFonts w:hint="eastAsia" w:ascii="宋体" w:hAnsi="宋体" w:eastAsia="宋体" w:cs="宋体"/>
          <w:color w:val="auto"/>
          <w:sz w:val="24"/>
          <w:highlight w:val="none"/>
          <w:u w:val="none"/>
        </w:rPr>
        <w:t xml:space="preserve">接</w:t>
      </w:r>
      <w:r>
        <w:rPr>
          <w:rFonts w:hint="eastAsia" w:ascii="宋体" w:hAnsi="宋体" w:eastAsia="宋体" w:cs="宋体"/>
          <w:color w:val="auto"/>
          <w:sz w:val="24"/>
          <w:highlight w:val="none"/>
          <w:u w:val="none"/>
          <w:lang w:val="en-US" w:eastAsia="zh-CN"/>
        </w:rPr>
        <w:t xml:space="preserve">到甲方</w:t>
      </w:r>
      <w:r>
        <w:rPr>
          <w:rFonts w:hint="eastAsia" w:ascii="宋体" w:hAnsi="宋体" w:eastAsia="宋体" w:cs="宋体"/>
          <w:color w:val="auto"/>
          <w:sz w:val="24"/>
          <w:highlight w:val="none"/>
          <w:u w:val="none"/>
        </w:rPr>
        <w:t xml:space="preserve">供货通知后，三日内发货。</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合体本项目（是/否）接受联合体投标：</w:t>
      </w:r>
      <w:r>
        <w:rPr>
          <w:rFonts w:hint="eastAsia" w:ascii="宋体" w:hAnsi="宋体" w:eastAsia="宋体" w:cs="宋体"/>
          <w:color w:val="auto"/>
          <w:sz w:val="24"/>
          <w:highlight w:val="none"/>
          <w:u w:val="single"/>
        </w:rPr>
        <w:t xml:space="preserve">否</w:t>
      </w:r>
      <w:r/>
    </w:p>
    <w:p>
      <w:pPr>
        <w:ind w:firstLine="482"/>
        <w:spacing w:line="360" w:lineRule="auto"/>
        <w:rPr>
          <w:rFonts w:ascii="宋体" w:hAnsi="宋体" w:eastAsia="宋体" w:cs="宋体"/>
          <w:b/>
          <w:bCs/>
          <w:color w:val="auto"/>
          <w:sz w:val="24"/>
          <w:highlight w:val="none"/>
        </w:rPr>
      </w:pPr>
      <w:r/>
      <w:bookmarkStart w:id="3" w:name="_Toc3"/>
      <w:r>
        <w:rPr>
          <w:rFonts w:hint="eastAsia" w:ascii="宋体" w:hAnsi="宋体" w:eastAsia="宋体" w:cs="宋体"/>
          <w:b/>
          <w:bCs/>
          <w:color w:val="auto"/>
          <w:sz w:val="24"/>
          <w:highlight w:val="none"/>
        </w:rPr>
        <w:t xml:space="preserve">二、申请人的资格要求：</w:t>
      </w:r>
      <w:bookmarkEnd w:id="3"/>
      <w:r/>
      <w:r/>
    </w:p>
    <w:p>
      <w:pPr>
        <w:ind w:firstLine="480"/>
        <w:spacing w:line="360" w:lineRule="auto"/>
        <w:rPr>
          <w:rFonts w:ascii="宋体" w:hAnsi="宋体" w:eastAsia="宋体" w:cs="宋体"/>
          <w:color w:val="auto"/>
          <w:sz w:val="24"/>
          <w:highlight w:val="none"/>
        </w:rPr>
      </w:pPr>
      <w:r/>
      <w:bookmarkStart w:id="4" w:name="_Toc4"/>
      <w:r>
        <w:rPr>
          <w:rFonts w:hint="eastAsia" w:ascii="宋体" w:hAnsi="宋体" w:eastAsia="宋体" w:cs="宋体"/>
          <w:color w:val="auto"/>
          <w:sz w:val="24"/>
          <w:highlight w:val="none"/>
        </w:rPr>
        <w:t xml:space="preserve">（一）满足《中华人民共和国政府采购法》第二十二条规定：</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1.法人或者其他组织的营业执照等证明文件，自然人的身份证明；</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2.</w:t>
      </w:r>
      <w:r>
        <w:rPr>
          <w:rFonts w:hint="eastAsia" w:ascii="宋体" w:hAnsi="宋体" w:eastAsia="宋体" w:cs="宋体"/>
          <w:i w:val="0"/>
          <w:iCs w:val="0"/>
          <w:color w:val="auto"/>
          <w:sz w:val="24"/>
          <w:highlight w:val="none"/>
          <w:u w:val="none"/>
          <w:lang w:eastAsia="zh-CN"/>
        </w:rPr>
        <w:t xml:space="preserve">上一年度或上上年度</w:t>
      </w:r>
      <w:r>
        <w:rPr>
          <w:rFonts w:hint="eastAsia" w:ascii="宋体" w:hAnsi="宋体" w:eastAsia="宋体" w:cs="宋体"/>
          <w:i w:val="0"/>
          <w:iCs w:val="0"/>
          <w:color w:val="auto"/>
          <w:sz w:val="24"/>
          <w:highlight w:val="none"/>
          <w:u w:val="none"/>
        </w:rPr>
        <w:t xml:space="preserve">的财务状况报表（供应商成立不满一年无需提供）；</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3.具备履行合同所必需的设备和专业技术能力的书面声明；</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5.参加政府采购活动前3年内在经营活动中没有重大违法记录的书面声明；</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6.投标人法定代表人身份证明和投标文件签署授权委托书（另附法定代表人和被授权人的身份证复印件或扫描件）；</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7.投标人为被授权人缴纳的社会养老保险证明（如有）；</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8.法律、行政法规规定的其他条件；</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9.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10.单位负责人为同一人或者存在直接控股、管理关系的不同供应商，不得参加同一合同项下的政府采购活动（自行承诺，格式自理）。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根据《政府采购促进中小企业发展管理办法》的规定，本项目专门面向中小企业采购，投标人投标时须提供《中小企业声明函》，</w:t>
      </w:r>
      <w:r>
        <w:rPr>
          <w:rFonts w:hint="eastAsia" w:ascii="宋体" w:hAnsi="宋体" w:eastAsia="宋体" w:cs="宋体"/>
          <w:i w:val="0"/>
          <w:iCs w:val="0"/>
          <w:color w:val="auto"/>
          <w:sz w:val="24"/>
          <w:highlight w:val="none"/>
          <w:u w:val="none"/>
          <w:lang w:val="en-US" w:eastAsia="zh-CN"/>
        </w:rPr>
        <w:t xml:space="preserve">本项目</w:t>
      </w:r>
      <w:r>
        <w:rPr>
          <w:rFonts w:hint="eastAsia" w:ascii="宋体" w:hAnsi="宋体" w:eastAsia="宋体" w:cs="宋体"/>
          <w:i w:val="0"/>
          <w:iCs w:val="0"/>
          <w:color w:val="auto"/>
          <w:sz w:val="24"/>
          <w:highlight w:val="none"/>
          <w:u w:val="none"/>
        </w:rPr>
        <w:t xml:space="preserve">属于</w:t>
      </w:r>
      <w:r>
        <w:rPr>
          <w:rFonts w:hint="eastAsia" w:ascii="宋体" w:hAnsi="宋体" w:eastAsia="宋体" w:cs="宋体"/>
          <w:i w:val="0"/>
          <w:iCs w:val="0"/>
          <w:color w:val="auto"/>
          <w:sz w:val="24"/>
          <w:highlight w:val="none"/>
          <w:u w:val="none"/>
          <w:lang w:val="en-US" w:eastAsia="zh-CN"/>
        </w:rPr>
        <w:t xml:space="preserve">工业</w:t>
      </w:r>
      <w:r>
        <w:rPr>
          <w:rFonts w:hint="eastAsia" w:ascii="宋体" w:hAnsi="宋体" w:eastAsia="宋体" w:cs="宋体"/>
          <w:i w:val="0"/>
          <w:iCs w:val="0"/>
          <w:color w:val="auto"/>
          <w:sz w:val="24"/>
          <w:highlight w:val="none"/>
          <w:u w:val="none"/>
          <w:lang w:eastAsia="zh-CN"/>
        </w:rPr>
        <w:t xml:space="preserve">（</w:t>
      </w:r>
      <w:r>
        <w:rPr>
          <w:rFonts w:hint="eastAsia" w:ascii="宋体" w:hAnsi="宋体" w:eastAsia="宋体" w:cs="宋体"/>
          <w:i w:val="0"/>
          <w:iCs w:val="0"/>
          <w:color w:val="auto"/>
          <w:sz w:val="24"/>
          <w:highlight w:val="none"/>
          <w:u w:val="none"/>
        </w:rPr>
        <w:t xml:space="preserve">不得修改</w:t>
      </w:r>
      <w:r>
        <w:rPr>
          <w:rFonts w:hint="eastAsia" w:ascii="宋体" w:hAnsi="宋体" w:eastAsia="宋体" w:cs="宋体"/>
          <w:i w:val="0"/>
          <w:iCs w:val="0"/>
          <w:color w:val="auto"/>
          <w:sz w:val="24"/>
          <w:highlight w:val="none"/>
          <w:u w:val="none"/>
          <w:lang w:eastAsia="zh-CN"/>
        </w:rPr>
        <w:t xml:space="preserve">），</w:t>
      </w:r>
      <w:r>
        <w:rPr>
          <w:rFonts w:hint="eastAsia" w:ascii="宋体" w:hAnsi="宋体" w:eastAsia="宋体" w:cs="宋体"/>
          <w:i w:val="0"/>
          <w:iCs w:val="0"/>
          <w:color w:val="auto"/>
          <w:sz w:val="24"/>
          <w:highlight w:val="none"/>
          <w:u w:val="none"/>
        </w:rPr>
        <w:t xml:space="preserve">《中小企业声明函》不符合本次招标文件要求或未提供的，投标文件无效</w:t>
      </w:r>
      <w:r>
        <w:rPr>
          <w:rFonts w:hint="eastAsia" w:ascii="宋体" w:hAnsi="宋体" w:eastAsia="宋体" w:cs="宋体"/>
          <w:i w:val="0"/>
          <w:iCs w:val="0"/>
          <w:color w:val="auto"/>
          <w:sz w:val="24"/>
          <w:highlight w:val="none"/>
          <w:u w:val="none"/>
          <w:lang w:val="en-US"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采购包1、采购包2、采购包3、采购包4、采购包5、采购包6、采购包7、采购包8：投标人具有有效兽药生产许可证及兽药GMP证书；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采购包9、采购包10：无。</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三、获取招标文件</w:t>
      </w:r>
      <w:bookmarkEnd w:id="4"/>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highlight w:val="none"/>
        </w:rPr>
        <w:t xml:space="preserve">时</w:t>
      </w:r>
      <w:r>
        <w:rPr>
          <w:rFonts w:ascii="SimSun" w:hAnsi="SimSun" w:eastAsia="SimSun" w:cs="SimSun"/>
          <w:color w:val="000000"/>
          <w:sz w:val="24"/>
        </w:rPr>
        <w:t xml:space="preserve">间：自招标文件公告发布之日起5个工作日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 </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rPr>
          <w:sz w:val="21"/>
        </w:rP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售价：0.00元</w:t>
      </w:r>
      <w:r>
        <w:rPr>
          <w:sz w:val="21"/>
        </w:rPr>
      </w:r>
      <w:r/>
    </w:p>
    <w:p>
      <w:pPr>
        <w:ind w:firstLine="482"/>
        <w:spacing w:line="360" w:lineRule="auto"/>
        <w:rPr>
          <w:rFonts w:ascii="宋体" w:hAnsi="宋体" w:eastAsia="宋体" w:cs="宋体"/>
          <w:b/>
          <w:bCs/>
          <w:color w:val="auto"/>
          <w:sz w:val="24"/>
          <w:highlight w:val="none"/>
        </w:rPr>
      </w:pPr>
      <w:r/>
      <w:bookmarkStart w:id="5" w:name="_Toc5"/>
      <w:r>
        <w:rPr>
          <w:rFonts w:hint="eastAsia" w:ascii="宋体" w:hAnsi="宋体" w:eastAsia="宋体" w:cs="宋体"/>
          <w:b/>
          <w:bCs/>
          <w:color w:val="auto"/>
          <w:sz w:val="24"/>
          <w:highlight w:val="none"/>
        </w:rPr>
        <w:t xml:space="preserve">四、提交投标文件截止时间、开标时间和地点</w:t>
      </w:r>
      <w:bookmarkEnd w:id="5"/>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2025-03-10  08:30 （北京时间）</w:t>
      </w:r>
      <w:r>
        <w:rPr>
          <w:sz w:val="21"/>
        </w:rP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地点：苏采云“不见面”开标大厅 </w:t>
      </w:r>
      <w:r>
        <w:rPr>
          <w:rFonts w:hint="eastAsia" w:ascii="宋体" w:hAnsi="宋体" w:eastAsia="宋体" w:cs="宋体"/>
          <w:color w:val="auto"/>
          <w:sz w:val="24"/>
          <w:highlight w:val="none"/>
        </w:rPr>
        <w:t xml:space="preserve">。</w:t>
      </w:r>
      <w:r>
        <w:rPr>
          <w:sz w:val="21"/>
        </w:rPr>
      </w:r>
      <w:r/>
    </w:p>
    <w:p>
      <w:pPr>
        <w:ind w:firstLine="482"/>
        <w:spacing w:line="360" w:lineRule="auto"/>
        <w:rPr>
          <w:rFonts w:ascii="宋体" w:hAnsi="宋体" w:eastAsia="宋体" w:cs="宋体"/>
          <w:b/>
          <w:bCs/>
          <w:color w:val="auto"/>
          <w:sz w:val="24"/>
          <w:highlight w:val="none"/>
        </w:rPr>
      </w:pPr>
      <w:r/>
      <w:bookmarkStart w:id="6" w:name="_Toc6"/>
      <w:r>
        <w:rPr>
          <w:rFonts w:hint="eastAsia" w:ascii="宋体" w:hAnsi="宋体" w:eastAsia="宋体" w:cs="宋体"/>
          <w:b/>
          <w:bCs/>
          <w:color w:val="auto"/>
          <w:sz w:val="24"/>
          <w:highlight w:val="none"/>
        </w:rPr>
        <w:t xml:space="preserve">五、公告期限</w:t>
      </w:r>
      <w:bookmarkEnd w:id="6"/>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spacing w:line="360" w:lineRule="auto"/>
        <w:rPr>
          <w:rFonts w:ascii="宋体" w:hAnsi="宋体" w:eastAsia="宋体" w:cs="宋体"/>
          <w:b/>
          <w:bCs/>
          <w:color w:val="auto"/>
          <w:sz w:val="24"/>
          <w:highlight w:val="none"/>
        </w:rPr>
      </w:pPr>
      <w:r/>
      <w:bookmarkStart w:id="7" w:name="_Toc7"/>
      <w:r>
        <w:rPr>
          <w:rFonts w:hint="eastAsia" w:ascii="宋体" w:hAnsi="宋体" w:eastAsia="宋体" w:cs="宋体"/>
          <w:b/>
          <w:bCs/>
          <w:color w:val="auto"/>
          <w:sz w:val="24"/>
          <w:highlight w:val="none"/>
        </w:rPr>
        <w:t xml:space="preserve">六、其他补充事宜</w:t>
      </w:r>
      <w:bookmarkEnd w:id="7"/>
      <w:r/>
      <w:r/>
    </w:p>
    <w:p>
      <w:pPr>
        <w:ind w:firstLine="480"/>
        <w:spacing w:line="360" w:lineRule="auto"/>
        <w:rPr>
          <w:rFonts w:hint="eastAsia" w:ascii="宋体" w:hAnsi="宋体" w:cs="宋体"/>
          <w:color w:val="auto"/>
          <w:sz w:val="24"/>
          <w:highlight w:val="none"/>
        </w:rPr>
      </w:pPr>
      <w:r/>
      <w:bookmarkStart w:id="8" w:name="_Toc8"/>
      <w:r>
        <w:rPr>
          <w:rFonts w:hint="eastAsia" w:ascii="宋体" w:hAnsi="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http://www.ccgp-jiangsu.gov.cn/jiangsu/zlxz/ee/ee3a4bc5a3454aa2b0d9312230633ce9.html。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http://czj.yancheng.gov.cn/art/2023/9/14/art_2407_4057499.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2.有关本次招标的事项若存在变动或修改，敬请及时关注采购人在“中国政府采购网”、“江苏政府采购网”、“盐城市政府采购网”发布的更正公告。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3.本次招标不收取投标保证金，不收取质量保证金。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4.本项目不接受进口产品（如为货物采购）。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5.本项目（是/否）接受银行、保险、石油石化、电力、电信等行业的分支机构参与：否。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6.供应商成交后打印纸质响应文件（正本壹份、副本</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份），在领取成交通知书前与用普通光盘或U盘拷贝的电子响应文件一并送至采购人。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 潜在供应商访问电子招标响应交易平台的网络地址和方法：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.2 潜在投标人访问“苏采云”系统方法：江苏省政府采购网首页-“苏采云”链接。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 采购文件（后缀名为“.kedt”）、供应商操作手册及政府采购客户端 工具可通过“苏采云”系统相应链接进行下载。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.4 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.5 请潜在投标单位提前安装相应的控件（详见《“苏采云”系统供应商操作手册》）并使用谷歌浏览器登录“苏采云”系统参与不见面开评标。 </w:t>
      </w:r>
      <w:r/>
    </w:p>
    <w:p>
      <w:pPr>
        <w:ind w:firstLine="480"/>
        <w:spacing w:line="360" w:lineRule="auto"/>
        <w:rPr>
          <w:rFonts w:ascii="宋体" w:hAnsi="宋体" w:eastAsia="宋体" w:cs="Times New Roman"/>
          <w:bCs/>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rPr>
          <w:rFonts w:hint="eastAsia" w:ascii="宋体" w:hAnsi="宋体" w:eastAsia="宋体" w:cs="Times New Roman"/>
          <w:bCs/>
          <w:color w:val="auto"/>
          <w:sz w:val="24"/>
          <w:highlight w:val="none"/>
        </w:rPr>
        <w:t xml:space="preserve">。</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七、本次招标联系方式</w:t>
      </w:r>
      <w:bookmarkEnd w:id="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采购包1、采购包2、采购包4、采购包5、采购包7、采购包8、采购包9、采购包10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单位名称：东台市农业农村局项目户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单位地址：东台市广场路6号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联系人：谢先生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联系电话：13813429181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单位名称：江苏天信建设项目咨询有限公司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单位地址：南京市水西门大街272号金基广场4A层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联系电话：17606161703</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rPr>
          <w:sz w:val="21"/>
        </w:rP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项目联系人：张先生</w:t>
      </w:r>
      <w:r>
        <w:rPr>
          <w:sz w:val="21"/>
        </w:rPr>
      </w:r>
      <w:r/>
      <w:r>
        <w:rPr>
          <w:rFonts w:hint="eastAsia" w:ascii="宋体" w:hAnsi="宋体" w:eastAsia="宋体" w:cs="宋体"/>
          <w:color w:val="auto"/>
          <w:sz w:val="24"/>
          <w:highlight w:val="none"/>
        </w:rPr>
      </w:r>
      <w:r/>
      <w:r>
        <w:rPr>
          <w:sz w:val="21"/>
          <w:szCs w:val="21"/>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　　 话：17606161703         </w:t>
      </w:r>
      <w:r/>
    </w:p>
    <w:p>
      <w:pPr>
        <w:pStyle w:val="717"/>
        <w:ind w:right="840"/>
        <w:jc w:val="center"/>
        <w:spacing w:beforeAutospacing="0" w:afterAutospacing="0"/>
        <w:rPr>
          <w:color w:val="auto"/>
          <w:highlight w:val="none"/>
        </w:rPr>
        <w:outlineLvl w:val="0"/>
      </w:pPr>
      <w:r/>
      <w:bookmarkStart w:id="9" w:name="_Toc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黑体" w:hAnsi="宋体" w:eastAsia="黑体" w:cs="黑体"/>
          <w:b/>
          <w:color w:val="auto"/>
          <w:sz w:val="44"/>
          <w:szCs w:val="44"/>
          <w:highlight w:val="none"/>
        </w:rPr>
        <w:t xml:space="preserve">第二章  投标人须知</w:t>
      </w:r>
      <w:bookmarkEnd w:id="9"/>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一、总则</w:t>
      </w:r>
      <w:r/>
    </w:p>
    <w:p>
      <w:pPr>
        <w:ind w:firstLine="560"/>
        <w:jc w:val="left"/>
        <w:spacing w:line="360" w:lineRule="auto"/>
        <w:rPr>
          <w:rFonts w:ascii="黑体" w:hAnsi="黑体" w:eastAsia="黑体" w:cs="黑体"/>
          <w:color w:val="auto"/>
          <w:sz w:val="28"/>
          <w:szCs w:val="28"/>
          <w:highlight w:val="none"/>
        </w:rPr>
      </w:pPr>
      <w:r/>
      <w:bookmarkStart w:id="10" w:name="_Hlt16619475"/>
      <w:r>
        <w:rPr>
          <w:rFonts w:hint="eastAsia" w:ascii="黑体" w:hAnsi="黑体" w:eastAsia="黑体" w:cs="黑体"/>
          <w:color w:val="auto"/>
          <w:sz w:val="28"/>
          <w:szCs w:val="28"/>
          <w:highlight w:val="none"/>
        </w:rPr>
        <w:t xml:space="preserve">1、招标方式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2、合格的投标人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2.1满足招标公告中供应商的资格要求的规定。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2.2满足本文件实质性条款的规定。</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3.1本次招标及由此产生的合同受中华人民共和国有关的法律法规制约和保护。</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4、投标费用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4.1投标人应自行承担所有与参加投标有关的费用，无论投标过程中的做法和结果如何，采购人在任何情况下均无义务和责任承担这些费用。</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5、招标文件的约束力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5.1投标人一旦参加本项目采购活动，即被认为接受了本招标文件的规定和约束。</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二、招标文件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6、招标文件构成</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6.1招标文件由以下部分组成：</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（1）招标公告</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请仔细检查招标文件是否齐全，如有缺漏请立即与采购中心联系解决。</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7、招标文件的澄清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7.1任何要求对招标文件进行澄清的投标人，应在投标截止期十五日前按招标公告中的通讯地址，以书面形式通知采购人。</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8、招标文件的修改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8.1在投标截止时间前，采购中心可以对招标文件进行修改。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8.2采购中心有权按照法定的要求推迟投标截止日期和开标日期。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三、投标文件的编制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9、投标文件的语言及度量衡单位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9.1</w:t>
      </w:r>
      <w:r>
        <w:rPr>
          <w:rFonts w:hint="eastAsia" w:ascii="宋体" w:hAnsi="宋体"/>
          <w:color w:val="auto"/>
          <w:sz w:val="24"/>
          <w:highlight w:val="none"/>
        </w:rPr>
        <w:t xml:space="preserve">投标人提交的投标文件以及投标人与采购人就有关投标的所有来往通知、函件和文件均应使用</w:t>
      </w:r>
      <w:r>
        <w:rPr>
          <w:rFonts w:hint="eastAsia" w:ascii="宋体" w:hAnsi="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rFonts w:hint="eastAsia" w:ascii="宋体" w:hAnsi="宋体" w:eastAsia="宋体" w:cs="宋体"/>
          <w:color w:val="auto"/>
          <w:sz w:val="24"/>
          <w:highlight w:val="none"/>
        </w:rPr>
        <w:t xml:space="preserve">。</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10、投标文件构成</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10.1开标一览表（系统固定格式）</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10.2资格审查资料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10.2.1法人或者其他组织的营业执照等证明文件，自然人的身份证明</w:t>
      </w:r>
      <w:r/>
    </w:p>
    <w:p>
      <w:pPr>
        <w:ind w:firstLine="480"/>
        <w:spacing w:line="460" w:lineRule="exact"/>
        <w:rPr>
          <w:rFonts w:hint="eastAsia"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rPr>
        <w:t xml:space="preserve">10.2.2</w:t>
      </w:r>
      <w:r>
        <w:rPr>
          <w:rFonts w:hint="eastAsia" w:ascii="Times New Roman" w:hAnsi="Times New Roman" w:eastAsia="宋体" w:cs="Times New Roman"/>
          <w:color w:val="auto"/>
          <w:sz w:val="24"/>
          <w:szCs w:val="22"/>
          <w:highlight w:val="none"/>
          <w:lang w:eastAsia="zh-CN"/>
        </w:rPr>
        <w:t xml:space="preserve">上一年度或上上年度的财务状况报表（供应商成立不满一年无需提供）</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10.2.4具备履行合同所必需的设备和专业技术能力的书面声明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10.2.5参加政府采购活动前3年内在经营活动中没有重大违法记录的书面声明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10.2.6投标人法定代表人身份证明和投标文件签署授权委托书（另附法定代表人和被授权人的身份证复印件或扫描件）；</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10.2.7投标人为被授权人缴纳的社会养老保险证明；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10.2.8与资格审查有关的其他资料（如有）。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10.3符合性资料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10.3.1报价明细表</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10.3.2投标函；</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10.3.3</w:t>
      </w:r>
      <w:r>
        <w:rPr>
          <w:rFonts w:hint="eastAsia" w:ascii="Times New Roman" w:hAnsi="Times New Roman" w:eastAsia="宋体" w:cs="Times New Roman"/>
          <w:color w:val="auto"/>
          <w:sz w:val="24"/>
          <w:szCs w:val="22"/>
          <w:highlight w:val="none"/>
          <w:lang w:eastAsia="zh-CN"/>
        </w:rPr>
        <w:t xml:space="preserve">货物（包含与货物相关的服务）</w:t>
      </w:r>
      <w:r>
        <w:rPr>
          <w:rFonts w:hint="eastAsia" w:ascii="Times New Roman" w:hAnsi="Times New Roman" w:eastAsia="宋体" w:cs="Times New Roman"/>
          <w:color w:val="auto"/>
          <w:sz w:val="24"/>
          <w:szCs w:val="22"/>
          <w:highlight w:val="none"/>
        </w:rPr>
        <w:t xml:space="preserve">内容及服务要求偏离表；</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10.3.4投标人的服务承诺；</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10.3.5</w:t>
      </w:r>
      <w:r>
        <w:rPr>
          <w:rFonts w:hint="eastAsia" w:ascii="Times New Roman" w:hAnsi="Times New Roman" w:eastAsia="宋体" w:cs="Times New Roman"/>
          <w:color w:val="auto"/>
          <w:sz w:val="24"/>
          <w:szCs w:val="22"/>
          <w:highlight w:val="none"/>
          <w:lang w:val="en-US" w:eastAsia="zh-CN"/>
        </w:rPr>
        <w:t xml:space="preserve">中小</w:t>
      </w:r>
      <w:r>
        <w:rPr>
          <w:rFonts w:hint="eastAsia" w:ascii="Times New Roman" w:hAnsi="Times New Roman" w:eastAsia="宋体" w:cs="Times New Roman"/>
          <w:color w:val="auto"/>
          <w:sz w:val="24"/>
          <w:szCs w:val="22"/>
          <w:highlight w:val="none"/>
        </w:rPr>
        <w:t xml:space="preserve">企业声明函、残疾人福利性单位声明函；（如有）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10.3.6联合体协议（如有）；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10.3.7盐城市政府采购事前信用承诺书；</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10.4综合评审相关资料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10.5价格折扣文件（如有）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注：1）以上材料须按顺序进行排列。</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2）如为法定代表人参与公开招标的无须提供“投标文件签署授权委托书”和“被授权人缴纳的社会养老保险证明”。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3）与本次公开招标无关的资料不要求提供。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10.2如标书制作工具中格式和内容与“江苏政府采购网”、“盐城市政府采购网”发布的招标文件不一致，请以“江苏政府采购网”、“盐城市政府采购网”发布的招标文件为准。</w:t>
      </w:r>
      <w:r/>
    </w:p>
    <w:p>
      <w:pPr>
        <w:ind w:firstLine="560"/>
        <w:jc w:val="left"/>
        <w:spacing w:line="360" w:lineRule="auto"/>
        <w:rPr>
          <w:rFonts w:ascii="黑体" w:hAnsi="黑体" w:eastAsia="黑体" w:cs="黑体"/>
          <w:color w:val="auto"/>
          <w:sz w:val="28"/>
          <w:szCs w:val="28"/>
          <w:highlight w:val="none"/>
        </w:rPr>
      </w:pPr>
      <w:r/>
      <w:bookmarkStart w:id="11" w:name="_Hlt26668975"/>
      <w:r/>
      <w:bookmarkStart w:id="12" w:name="_Hlt26954838"/>
      <w:r/>
      <w:bookmarkStart w:id="13" w:name="_Hlt26670360"/>
      <w:r>
        <w:rPr>
          <w:rFonts w:hint="eastAsia" w:ascii="黑体" w:hAnsi="黑体" w:eastAsia="黑体" w:cs="黑体"/>
          <w:color w:val="auto"/>
          <w:sz w:val="28"/>
          <w:szCs w:val="28"/>
          <w:highlight w:val="none"/>
        </w:rPr>
        <w:t xml:space="preserve">11、证明投标人及投标标的符合招标文件规定的文件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11.3“</w:t>
      </w:r>
      <w:r>
        <w:rPr>
          <w:rFonts w:hint="eastAsia" w:ascii="宋体" w:hAnsi="宋体" w:eastAsia="宋体" w:cs="Times New Roman"/>
          <w:color w:val="auto"/>
          <w:sz w:val="24"/>
          <w:highlight w:val="none"/>
          <w:lang w:eastAsia="zh-CN"/>
        </w:rPr>
        <w:t xml:space="preserve">上一年度或上上年度的财务状况报表</w:t>
      </w:r>
      <w:r>
        <w:rPr>
          <w:rFonts w:hint="eastAsia" w:ascii="宋体" w:hAnsi="宋体" w:eastAsia="宋体" w:cs="Times New Roman"/>
          <w:color w:val="auto"/>
          <w:sz w:val="24"/>
          <w:highlight w:val="none"/>
        </w:rPr>
        <w:t xml:space="preserve">”，投标人至少提供资产负债表、利润表、现金流量表，投标人成立不满一年无需提供。</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11.4“依法缴纳税收的相关材料”，投标人应提供近期缴纳税收的凭据。</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11.5“依法缴纳社会保障资金的相关材料”，投标人应提供近期缴纳社会保险的凭据。</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11.6依法免税或不需要缴纳社会保障资金的投标人，应提供相应文件证明其依法免税或不需要缴纳社会保障资金。</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11.7“申请人的资格要求”和“资格审查资料”中的“近期”是指近两年以来的任一时间段。</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12、投标</w:t>
      </w:r>
      <w:bookmarkStart w:id="14" w:name="_Hlt26670373"/>
      <w:r>
        <w:rPr>
          <w:rFonts w:hint="eastAsia" w:ascii="黑体" w:hAnsi="黑体" w:eastAsia="黑体" w:cs="黑体"/>
          <w:color w:val="auto"/>
          <w:sz w:val="28"/>
          <w:szCs w:val="28"/>
          <w:highlight w:val="none"/>
        </w:rPr>
        <w:t xml:space="preserve">报价明细表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12.1投</w:t>
      </w:r>
      <w:bookmarkStart w:id="15" w:name="_Hlt26954840"/>
      <w:r>
        <w:rPr>
          <w:rFonts w:hint="eastAsia" w:ascii="宋体" w:hAnsi="宋体" w:eastAsia="宋体" w:cs="宋体"/>
          <w:color w:val="auto"/>
          <w:sz w:val="24"/>
          <w:highlight w:val="none"/>
        </w:rPr>
        <w:t xml:space="preserve">标人应按照招标文件规定格式填报投标</w:t>
      </w:r>
      <w:bookmarkStart w:id="16" w:name="_Hlt26670399"/>
      <w:r>
        <w:rPr>
          <w:rFonts w:hint="eastAsia" w:ascii="宋体" w:hAnsi="宋体" w:eastAsia="宋体" w:cs="宋体"/>
          <w:color w:val="auto"/>
          <w:sz w:val="24"/>
          <w:highlight w:val="none"/>
        </w:rPr>
        <w:t xml:space="preserve">报价明细表。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spacing w:line="460" w:lineRule="exact"/>
        <w:rPr>
          <w:rFonts w:ascii="宋体" w:hAnsi="宋体" w:eastAsia="宋体" w:cs="Times New Roman"/>
          <w:color w:val="auto"/>
          <w:sz w:val="24"/>
          <w:highlight w:val="none"/>
        </w:rPr>
      </w:pPr>
      <w:r/>
      <w:bookmarkStart w:id="17" w:name="_Hlt26670486"/>
      <w:r/>
      <w:bookmarkStart w:id="18" w:name="_Hlt26954842"/>
      <w:r/>
      <w:bookmarkStart w:id="19" w:name="_Hlt26954844"/>
      <w:r/>
      <w:bookmarkStart w:id="20" w:name="_Hlt26954846"/>
      <w:r/>
      <w:bookmarkStart w:id="21" w:name="_Hlt26668983"/>
      <w:r/>
      <w:bookmarkStart w:id="22" w:name="_Hlt26670482"/>
      <w:r/>
      <w:bookmarkStart w:id="23" w:name="_Hlt26954731"/>
      <w:r/>
      <w:bookmarkStart w:id="24" w:name="_Hlt26670425"/>
      <w:r/>
      <w:bookmarkStart w:id="25" w:name="_Hlt26954848"/>
      <w:r/>
      <w:bookmarkStart w:id="26" w:name="_Hlt26670403"/>
      <w:r>
        <w:rPr>
          <w:rFonts w:hint="eastAsia" w:ascii="宋体" w:hAnsi="宋体" w:eastAsia="宋体" w:cs="Times New Roman"/>
          <w:color w:val="auto"/>
          <w:sz w:val="24"/>
          <w:highlight w:val="none"/>
        </w:rPr>
        <w:t xml:space="preserve">12.3投标人应按照第六章投标文件格式完整地填写报价明细表，说明其拟提供服务的名称、服务内容、数量、价格等，采购人要求投标人明确填写的相关内容的，也应填写。</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12.4每项服务内容只允许有一个报价，任何有选择的报价将不予接受。</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12.5报价除标的物</w:t>
      </w:r>
      <w:r>
        <w:rPr>
          <w:rFonts w:hint="eastAsia" w:ascii="宋体" w:hAnsi="宋体" w:eastAsia="宋体" w:cs="Times New Roman"/>
          <w:color w:val="auto"/>
          <w:sz w:val="24"/>
          <w:highlight w:val="none"/>
        </w:rPr>
        <w:t xml:space="preserve">的价款外还应包括全部工作内容的价格体现，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80"/>
        <w:spacing w:line="460" w:lineRule="exact"/>
        <w:rPr>
          <w:rFonts w:ascii="宋体" w:hAnsi="宋体" w:eastAsia="宋体" w:cs="Times New Roman"/>
          <w:color w:val="auto"/>
          <w:sz w:val="24"/>
          <w:highlight w:val="none"/>
          <w:lang w:val="zh-CN"/>
        </w:rPr>
      </w:pPr>
      <w:r>
        <w:rPr>
          <w:rFonts w:hint="eastAsia" w:ascii="宋体" w:hAnsi="宋体" w:eastAsia="宋体" w:cs="Times New Roman"/>
          <w:color w:val="auto"/>
          <w:sz w:val="24"/>
          <w:highlight w:val="none"/>
        </w:rPr>
        <w:t xml:space="preserve">12.6</w:t>
      </w:r>
      <w:r>
        <w:rPr>
          <w:rFonts w:hint="eastAsia" w:ascii="宋体" w:hAnsi="宋体" w:eastAsia="宋体" w:cs="Times New Roman"/>
          <w:color w:val="auto"/>
          <w:sz w:val="24"/>
          <w:highlight w:val="none"/>
          <w:lang w:val="zh-CN"/>
        </w:rPr>
        <w:t xml:space="preserve">本次招标代理服务费按“计价格[2002]1980号文”及“苏价服[2014]383号文”收费标准</w:t>
      </w:r>
      <w:r>
        <w:rPr>
          <w:rFonts w:hint="eastAsia" w:ascii="宋体" w:hAnsi="宋体" w:eastAsia="宋体" w:cs="Times New Roman"/>
          <w:color w:val="auto"/>
          <w:sz w:val="24"/>
          <w:highlight w:val="none"/>
        </w:rPr>
        <w:t xml:space="preserve">×23.3%</w:t>
      </w:r>
      <w:r>
        <w:rPr>
          <w:rFonts w:hint="eastAsia" w:ascii="宋体" w:hAnsi="宋体" w:eastAsia="宋体" w:cs="Times New Roman"/>
          <w:color w:val="auto"/>
          <w:sz w:val="24"/>
          <w:highlight w:val="none"/>
          <w:lang w:val="zh-CN"/>
        </w:rPr>
        <w:t xml:space="preserve">计算，</w:t>
      </w:r>
      <w:r>
        <w:rPr>
          <w:rFonts w:hint="eastAsia" w:ascii="宋体" w:hAnsi="宋体" w:eastAsia="宋体" w:cs="Times New Roman"/>
          <w:color w:val="auto"/>
          <w:sz w:val="24"/>
          <w:highlight w:val="none"/>
          <w:lang w:val="en-US" w:eastAsia="zh-CN"/>
        </w:rPr>
        <w:t xml:space="preserve">不足2000的按2000记取</w:t>
      </w:r>
      <w:r>
        <w:rPr>
          <w:rFonts w:hint="eastAsia" w:ascii="宋体" w:hAnsi="宋体" w:eastAsia="宋体" w:cs="Times New Roman"/>
          <w:color w:val="auto"/>
          <w:sz w:val="24"/>
          <w:highlight w:val="none"/>
          <w:lang w:val="zh-CN"/>
        </w:rPr>
        <w:t xml:space="preserve">，专家费按实际支付，投标人应考虑在报价中，该费用包含在总价内，不单独列项。无论是否将该费用在报价中列明，均视为已含在总价中。</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w:t>
      </w:r>
      <w:r>
        <w:rPr>
          <w:rFonts w:hint="eastAsia" w:ascii="黑体" w:hAnsi="黑体" w:eastAsia="黑体" w:cs="黑体"/>
          <w:color w:val="auto"/>
          <w:sz w:val="28"/>
          <w:szCs w:val="28"/>
          <w:highlight w:val="none"/>
          <w:lang w:eastAsia="zh-CN"/>
        </w:rPr>
        <w:t xml:space="preserve">货物（包含与货物相关的服务）</w:t>
      </w:r>
      <w:r>
        <w:rPr>
          <w:rFonts w:hint="eastAsia" w:ascii="黑体" w:hAnsi="黑体" w:eastAsia="黑体" w:cs="黑体"/>
          <w:color w:val="auto"/>
          <w:sz w:val="28"/>
          <w:szCs w:val="28"/>
          <w:highlight w:val="none"/>
        </w:rPr>
        <w:t xml:space="preserve">内容及服务要求偏离表</w:t>
      </w:r>
      <w:r/>
    </w:p>
    <w:p>
      <w:pPr>
        <w:ind w:firstLine="480"/>
        <w:spacing w:line="460" w:lineRule="exact"/>
        <w:rPr>
          <w:rFonts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zh-CN"/>
        </w:rPr>
        <w:t xml:space="preserve">.1投标人需对招标文件中的</w:t>
      </w:r>
      <w:r>
        <w:rPr>
          <w:rFonts w:hint="eastAsia" w:ascii="宋体" w:hAnsi="宋体" w:eastAsia="宋体" w:cs="Times New Roman"/>
          <w:color w:val="auto"/>
          <w:sz w:val="24"/>
          <w:highlight w:val="none"/>
          <w:lang w:val="en-US" w:eastAsia="zh-CN"/>
        </w:rPr>
        <w:t xml:space="preserve">产品</w:t>
      </w:r>
      <w:r>
        <w:rPr>
          <w:rFonts w:hint="eastAsia" w:ascii="宋体" w:hAnsi="宋体" w:eastAsia="宋体" w:cs="Times New Roman"/>
          <w:color w:val="auto"/>
          <w:sz w:val="24"/>
          <w:highlight w:val="none"/>
        </w:rPr>
        <w:t xml:space="preserve">内容</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技术参数、</w:t>
      </w:r>
      <w:r>
        <w:rPr>
          <w:rFonts w:hint="eastAsia" w:ascii="宋体" w:hAnsi="宋体" w:eastAsia="宋体" w:cs="Times New Roman"/>
          <w:color w:val="auto"/>
          <w:sz w:val="24"/>
          <w:highlight w:val="none"/>
        </w:rPr>
        <w:t xml:space="preserve">及</w:t>
      </w:r>
      <w:r>
        <w:rPr>
          <w:rFonts w:hint="eastAsia" w:ascii="宋体" w:hAnsi="宋体" w:eastAsia="宋体" w:cs="Times New Roman"/>
          <w:color w:val="auto"/>
          <w:sz w:val="24"/>
          <w:highlight w:val="none"/>
          <w:lang w:val="en-US" w:eastAsia="zh-CN"/>
        </w:rPr>
        <w:t xml:space="preserve">服务要求</w:t>
      </w:r>
      <w:r>
        <w:rPr>
          <w:rFonts w:hint="eastAsia" w:ascii="宋体" w:hAnsi="宋体" w:eastAsia="宋体" w:cs="Times New Roman"/>
          <w:color w:val="auto"/>
          <w:sz w:val="24"/>
          <w:highlight w:val="none"/>
          <w:lang w:val="zh-CN"/>
        </w:rPr>
        <w:t xml:space="preserve">逐项作出响应或偏离，并说明原因。</w:t>
      </w:r>
      <w:r/>
    </w:p>
    <w:p>
      <w:pPr>
        <w:ind w:firstLine="480"/>
        <w:spacing w:line="460" w:lineRule="exact"/>
        <w:rPr>
          <w:rFonts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zh-CN"/>
        </w:rPr>
        <w:t xml:space="preserve">.2投标人可在投标文件中提供认为需要的其他技术文件或说明。</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14、投标函和开标一览表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14.2对于采用货币报价的项目，开标一览表中的投标总报价应与投标报价明细表中的投标总报价一致，如不一致，不作为无效投标处理，但评标时按开标一览表中价格为准。</w:t>
      </w:r>
      <w:r/>
    </w:p>
    <w:p>
      <w:pPr>
        <w:ind w:firstLine="560"/>
        <w:jc w:val="left"/>
        <w:spacing w:line="360" w:lineRule="auto"/>
        <w:rPr>
          <w:rFonts w:ascii="黑体" w:hAnsi="黑体" w:eastAsia="黑体" w:cs="黑体"/>
          <w:color w:val="auto"/>
          <w:sz w:val="28"/>
          <w:szCs w:val="28"/>
          <w:highlight w:val="none"/>
        </w:rPr>
      </w:pPr>
      <w:r/>
      <w:bookmarkStart w:id="27" w:name="_Hlt26954734"/>
      <w:r/>
      <w:bookmarkStart w:id="28" w:name="_Hlt26954850"/>
      <w:r/>
      <w:bookmarkStart w:id="29" w:name="_Hlt26670489"/>
      <w:r>
        <w:rPr>
          <w:rFonts w:hint="eastAsia" w:ascii="黑体" w:hAnsi="黑体" w:eastAsia="黑体" w:cs="黑体"/>
          <w:color w:val="auto"/>
          <w:sz w:val="28"/>
          <w:szCs w:val="28"/>
          <w:highlight w:val="none"/>
        </w:rPr>
        <w:t xml:space="preserve">15、投标有效期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15.1投标有效期为采购人规定的开标之日后六十（60）天。投标有效期比规定短的将被视为未实质性响应招标文件而予以拒绝。</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16、投标有效期的延长</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在特殊情况下，采购中心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560"/>
        <w:jc w:val="left"/>
        <w:spacing w:line="360" w:lineRule="auto"/>
        <w:rPr>
          <w:rFonts w:ascii="黑体" w:hAnsi="黑体" w:eastAsia="黑体" w:cs="黑体"/>
          <w:color w:val="auto"/>
          <w:sz w:val="28"/>
          <w:szCs w:val="28"/>
          <w:highlight w:val="none"/>
        </w:rPr>
      </w:pPr>
      <w:r/>
      <w:bookmarkStart w:id="30" w:name="_Hlt26954739"/>
      <w:r/>
      <w:bookmarkStart w:id="31" w:name="_Hlt26954852"/>
      <w:r>
        <w:rPr>
          <w:rFonts w:hint="eastAsia" w:ascii="黑体" w:hAnsi="黑体" w:eastAsia="黑体" w:cs="黑体"/>
          <w:color w:val="auto"/>
          <w:sz w:val="28"/>
          <w:szCs w:val="28"/>
          <w:highlight w:val="none"/>
        </w:rPr>
        <w:t xml:space="preserve">四、投标文件的递交</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17、投标文件的递交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17.1电子投标文件的递交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投标人应当按照《操作手册》规定，在投标截止时间前制作并上传电子投标文件。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18、投标截止时间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18.1投标人上传电子投标文件的时间不得迟于招标公告中规定的投标截止时间。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19、投标文件的拒收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19.1采购人拒绝接收在其规定的投标截止时间后上传的任何投标文件。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20、投标文件的撤回和修改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20.1.2投标人撤回电子投标文件，则认为其不再参与本项目投标活动。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20.2投标文件的修改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20.2.2在投标截止时间之后，投标人不得对其电子投标文件作任何修改。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20.3在投标截止时间至招标文件中规定的投标有效期满之间的这段时间内，投标人不得撤回其投标。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五、开标与评标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21、开标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21.1采购人将在招标公告中规定的时间和地点组织公开开标。投标人应当按照《操作手册》规定，参加开标活动和在苏采云系统规定的时间内对投标文件进行解密。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21.2开标仪式由采购人组织。苏采云系统将自动对项目进行开标，并宣布各投标人名称和投标价格。</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21.3投标人在开标过程中涉及到的投标文件解密、开标结果确认等工作，应按照《操作手册》规定执行。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22、评标委员会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22.1开标后，采购人将立即组织评标委员会（以下简称评委会）进行评标。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22.2评委会由采购人代表和有关技术、经济等方面的专家组成，且人员构成符合政府采购有关规定。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22.3评委会独立工作，负责评审所有投标文件并确定中标侯选人。</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23、评标过程的保密与公正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23.1凡是与审查、澄清、评价和比较投标的有关资料以及授标建议等，采购人、评委不得向投标人或与评标无关的其他人员透露。</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23.3采购人和评标委员会不向未中标的投标人解释未中标原因，也不公布评标过程中的相关细节。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24、投标文件的澄清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24.3接到评委会澄清、说明和补正要求的投标人如未按规定做出澄清、说明和补正，其风险由投标人自行承担。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25、对投标文件的初审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25.1投标文件初审分为资格审查和符合性审查。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25.6投标人在开、评标全过程中应保持通讯畅通，及时登录苏采云系统查阅、答复相关信息，并安排专人与采购人及评标委员会联系。</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26、无效投标条款和废标条款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26.1无效投标条款</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26.1.1投标人在</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规定的时间内未成功解密电子投标文件的。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26.1.2投标人未按照招标文件要求上传电子投标文件的。</w:t>
      </w:r>
      <w:r/>
    </w:p>
    <w:p>
      <w:pPr>
        <w:ind w:left="479"/>
        <w:spacing w:line="460" w:lineRule="exact"/>
        <w:rPr>
          <w:rFonts w:ascii="宋体" w:hAnsi="宋体"/>
          <w:bCs/>
          <w:color w:val="auto"/>
          <w:sz w:val="24"/>
          <w:highlight w:val="none"/>
        </w:rPr>
      </w:pPr>
      <w:r>
        <w:rPr>
          <w:rFonts w:hint="eastAsia" w:ascii="宋体" w:hAnsi="宋体"/>
          <w:bCs/>
          <w:color w:val="auto"/>
          <w:sz w:val="24"/>
          <w:highlight w:val="none"/>
        </w:rPr>
        <w:t xml:space="preserve">26.1.3同一投标人递交两份或多份内容不同的投标文件，或在一份投标文件中对同一采购项目报有两个或多个报价，且未声明哪一个有效，按招标文件规定提交备选方案的除外。</w:t>
      </w:r>
      <w:r/>
    </w:p>
    <w:p>
      <w:pPr>
        <w:ind w:left="479"/>
        <w:spacing w:line="460" w:lineRule="exact"/>
        <w:rPr>
          <w:rFonts w:ascii="宋体" w:hAnsi="宋体"/>
          <w:bCs/>
          <w:color w:val="auto"/>
          <w:sz w:val="24"/>
          <w:highlight w:val="none"/>
        </w:rPr>
      </w:pPr>
      <w:r>
        <w:rPr>
          <w:rFonts w:hint="eastAsia" w:ascii="宋体" w:hAnsi="宋体"/>
          <w:bCs/>
          <w:color w:val="auto"/>
          <w:sz w:val="24"/>
          <w:highlight w:val="none"/>
        </w:rPr>
        <w:t xml:space="preserve">26.1.5投标人不具备招标文件中规定资格要求的。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26.1.6投标人的报价超过了采购预算或最高限价的。</w:t>
      </w:r>
      <w:r/>
    </w:p>
    <w:p>
      <w:pPr>
        <w:ind w:firstLine="480"/>
        <w:spacing w:line="460" w:lineRule="exact"/>
        <w:rPr>
          <w:rFonts w:ascii="Times New Roman" w:hAnsi="Times New Roman" w:eastAsia="宋体" w:cs="Times New Roman"/>
          <w:color w:val="auto"/>
          <w:sz w:val="24"/>
          <w:szCs w:val="22"/>
          <w:highlight w:val="none"/>
        </w:rPr>
      </w:pPr>
      <w:r>
        <w:rPr>
          <w:rFonts w:hint="eastAsia" w:ascii="宋体" w:hAnsi="宋体" w:eastAsia="宋体"/>
          <w:bCs/>
          <w:color w:val="auto"/>
          <w:sz w:val="24"/>
          <w:highlight w:val="none"/>
        </w:rPr>
        <w:t xml:space="preserve">26.1</w:t>
      </w:r>
      <w:r>
        <w:rPr>
          <w:rFonts w:hint="eastAsia" w:ascii="Times New Roman" w:hAnsi="Times New Roman" w:eastAsia="宋体" w:cs="Times New Roman"/>
          <w:color w:val="auto"/>
          <w:sz w:val="24"/>
          <w:szCs w:val="22"/>
          <w:highlight w:val="none"/>
        </w:rPr>
        <w:t xml:space="preserve">.7被授权人无法提供证明其为本单位正式职工的社会养老保险缴费证明的</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26.1.8由被授权人参加，但未随投标文件一起提交合法、有效的“授权委托书”的；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26.1.9</w:t>
      </w:r>
      <w:r>
        <w:rPr>
          <w:rFonts w:hint="eastAsia" w:cs="Times New Roman"/>
          <w:color w:val="auto"/>
          <w:sz w:val="24"/>
          <w:szCs w:val="22"/>
          <w:highlight w:val="none"/>
        </w:rPr>
        <w:t xml:space="preserve">投标文件内容不全或关键字迹模糊、无法辨认的</w:t>
      </w:r>
      <w:r/>
    </w:p>
    <w:p>
      <w:pPr>
        <w:ind w:firstLine="480"/>
        <w:spacing w:line="460" w:lineRule="exact"/>
        <w:rPr>
          <w:rFonts w:cs="Times New Roman"/>
          <w:color w:val="auto"/>
          <w:sz w:val="24"/>
          <w:szCs w:val="22"/>
          <w:highlight w:val="none"/>
        </w:rPr>
      </w:pPr>
      <w:r>
        <w:rPr>
          <w:rFonts w:hint="eastAsia" w:ascii="宋体" w:hAnsi="宋体"/>
          <w:bCs/>
          <w:color w:val="auto"/>
          <w:sz w:val="24"/>
          <w:highlight w:val="none"/>
        </w:rPr>
        <w:t xml:space="preserve">26.1.10</w:t>
      </w:r>
      <w:r>
        <w:rPr>
          <w:rFonts w:hint="eastAsia" w:cs="Times New Roman"/>
          <w:color w:val="auto"/>
          <w:sz w:val="24"/>
          <w:szCs w:val="22"/>
          <w:highlight w:val="none"/>
        </w:rPr>
        <w:t xml:space="preserve">投标文件修改处未加盖投标人公章的</w:t>
      </w:r>
      <w:r/>
    </w:p>
    <w:p>
      <w:pPr>
        <w:ind w:firstLine="480"/>
        <w:spacing w:line="460" w:lineRule="exact"/>
        <w:rPr>
          <w:rFonts w:ascii="宋体" w:hAnsi="宋体"/>
          <w:bCs/>
          <w:i/>
          <w:color w:val="auto"/>
          <w:sz w:val="24"/>
          <w:highlight w:val="none"/>
          <w:u w:val="single"/>
        </w:rPr>
      </w:pPr>
      <w:r>
        <w:rPr>
          <w:rFonts w:hint="eastAsia" w:ascii="宋体" w:hAnsi="宋体"/>
          <w:bCs/>
          <w:color w:val="auto"/>
          <w:sz w:val="24"/>
          <w:highlight w:val="none"/>
        </w:rPr>
        <w:t xml:space="preserve">26.1.11未通过符合性审查的。</w:t>
      </w:r>
      <w:r/>
    </w:p>
    <w:p>
      <w:pPr>
        <w:ind w:firstLine="360"/>
        <w:spacing w:line="460" w:lineRule="exact"/>
        <w:rPr>
          <w:rFonts w:hint="eastAsia" w:ascii="宋体" w:hAnsi="宋体" w:eastAsiaTheme="minorEastAsia"/>
          <w:bCs/>
          <w:i/>
          <w:color w:val="auto"/>
          <w:sz w:val="24"/>
          <w:highlight w:val="none"/>
          <w:u w:val="single"/>
          <w:lang w:eastAsia="zh-CN"/>
        </w:rPr>
      </w:pPr>
      <w:r>
        <w:rPr>
          <w:rFonts w:hint="eastAsia" w:ascii="宋体" w:hAnsi="宋体"/>
          <w:bCs/>
          <w:color w:val="auto"/>
          <w:sz w:val="24"/>
          <w:highlight w:val="none"/>
        </w:rPr>
        <w:t xml:space="preserve">26.1.12不符合招标文件中规定的实质性要求和条件的</w:t>
      </w:r>
      <w:r>
        <w:rPr>
          <w:rFonts w:hint="eastAsia" w:ascii="宋体" w:hAnsi="宋体"/>
          <w:bCs/>
          <w:i/>
          <w:color w:val="auto"/>
          <w:sz w:val="24"/>
          <w:highlight w:val="none"/>
          <w:u w:val="none"/>
          <w:lang w:eastAsia="zh-CN"/>
        </w:rPr>
        <w:t xml:space="preserve">。</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26.1.13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26.1.14投标文件含有采购人不能接受的附加条件的。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26.1.15评标委员会认为投标人的报价明显低于其他通过符合性审查投标人的报价，有可能影响产品质量或者不能诚信履约的，将通过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w:t>
      </w:r>
      <w:r>
        <w:rPr>
          <w:rFonts w:hint="eastAsia" w:cs="Times New Roman"/>
          <w:color w:val="auto"/>
          <w:sz w:val="24"/>
          <w:szCs w:val="22"/>
          <w:highlight w:val="none"/>
        </w:rPr>
        <w:t xml:space="preserve">或虽说明理由但评标委员会认为其理由不能成立的</w:t>
      </w:r>
      <w:r>
        <w:rPr>
          <w:rFonts w:hint="eastAsia" w:ascii="宋体" w:hAnsi="宋体"/>
          <w:bCs/>
          <w:color w:val="auto"/>
          <w:sz w:val="24"/>
          <w:highlight w:val="none"/>
        </w:rPr>
        <w:t xml:space="preserve">。</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26.1.16投标文件中所供产品供货期限（服务周期）、售后服务条款不符合招标文件相关条款要求或技术指标要求、货物的包装方式、检验标准等低于招标文件规定指标、要求的；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26.1.17以他人的名义投标、串通投标、以行贿手段谋取中标或者以其他弄虚作假方式投标的；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26.1.18组成联合体，投标文件未附联合体协议的。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26.1.19投标文件未按照招标文件要求签署或加盖CA电子公章的。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26.1.20其他法律、法规及本招标文件规定的属无效投标的情形。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26.2废标条款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26.2.1符合专业条件的供应商或者对招标文件作实质响应的供应商不足三家的。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26.2.2出现影响采购公正的违法、违规行为的。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26.2.3因重大变故，采购任务取消的。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26.2.4评标委员会认定招标文件存在歧义、重大缺陷导致评审工作无法进行。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26.2.5因苏采云系统系统故障原因造成开标不成功的。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26.3投标截止时间结束后参加投标的供应商不足三家的处理：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六、定标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27、确定中标单位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27.1中标候选人的选取原则和数量见招标文件第五章规定。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27.2采购人应根据评委会推荐的中标候选人确定中标人。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27.3采购人将在“中国政府采购网、江苏政府采购网、盐城市政府采购网”发布中标公告，公告期限为1个工作日。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27.4若有充分证据证明，中标人出现下列情况之一的，一经查实，将被取消中标资格：</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27.4.1提供虚假材料谋取中标的。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27.4.2向采购人行贿或者提供其他不正当利益的。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27.4.3属于本文件规定的无效条件，但在评标过程中又未被评委会发现的。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27.4.4与采购人或者其他供应商恶意串通的。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27.4.5采取不正当手段诋毁、排挤其他供应商的。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27.5有下列情形之一的，视为投标人串通投标，投标无效：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27.5.1不同投标人的投标文件由同一单位或者个人编制。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27.5.2不同投标人委托同一单位或者个人办理投标事宜。</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27.5.3不同投标人的投标文件载明的项目管理成员或者联系人员为同一人。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27.5.4不同投标人的投标文件异常一致或者投标报价呈规律性差异。</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28、质疑处理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28.2.1对可以质疑的采购文件提出质疑的，为收到采购文件之日或者采购文件公告期限届满之日；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28.2.2对采购过程提出质疑的，为各采购程序环节结束之日；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28.2.3对中标或者成交结果提出质疑的，为中标或者成交结果公告期限届满之日。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28.4供应商（含潜在供应商）对采购方式、采购需求、供应商资格条件及审查结果、评标方法和评标标准、合同文本的询问、质疑请向采购人提出，由采购人负责答复。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采购人只接收以纸质原件形式送达的质疑,建议供应商尽量通过邮寄方式提交质疑（采购人不接受未填写快递运单的快件）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质疑受理部门：东台市农业农村局</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联系地址：东台市广场路6号</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联系电话：0515-6896</w:t>
      </w:r>
      <w:r>
        <w:rPr>
          <w:rFonts w:hint="eastAsia" w:ascii="宋体" w:hAnsi="宋体" w:eastAsia="宋体" w:cs="宋体"/>
          <w:color w:val="auto"/>
          <w:sz w:val="24"/>
          <w:highlight w:val="none"/>
          <w:lang w:val="en-US" w:eastAsia="zh-CN"/>
        </w:rPr>
        <w:t xml:space="preserve">1308</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28.5以下情形的质疑不予受理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28.5.1内容不符合《政府采购质疑和投诉办法》第十二条规定的质疑。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28.5.2超出政府采购法定期限的质疑。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28.5.3以传真、电子邮件等方式递交的非原件形式的质疑。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28.5.4未参加投标活动的供应商或在投标活动中自身权益未受到损害的供应商所提出的质疑。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28.5.5供应商组成联合体参加投标，联合体中任何一方或多方未按要求签字、盖章、加盖公章的质疑。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29、中标通知书</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29.l中标结果确定后，采购人将向中标人发出中标通知书。</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七、授予合同</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30.签订合同</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30.2采购人应当自政府采购合同签订之日起2个工作日内，将政府采购合同的扫描件（PDF格式）传送《苏采云系统》实施网上备案公示。</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30.3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spacing w:line="360" w:lineRule="auto"/>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 xml:space="preserve">31、</w:t>
      </w:r>
      <w:r>
        <w:rPr>
          <w:rFonts w:hint="eastAsia" w:ascii="黑体" w:hAnsi="黑体" w:eastAsia="黑体" w:cs="黑体"/>
          <w:color w:val="auto"/>
          <w:sz w:val="28"/>
          <w:szCs w:val="28"/>
          <w:highlight w:val="none"/>
          <w:lang w:eastAsia="zh-CN"/>
        </w:rPr>
        <w:t xml:space="preserve">货物（包含与货物相关的服务）的追加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560"/>
        <w:jc w:val="left"/>
        <w:spacing w:line="360" w:lineRule="auto"/>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32、</w:t>
      </w:r>
      <w:r>
        <w:rPr>
          <w:rFonts w:hint="eastAsia" w:ascii="黑体" w:hAnsi="黑体" w:eastAsia="黑体" w:cs="黑体"/>
          <w:color w:val="auto"/>
          <w:sz w:val="28"/>
          <w:szCs w:val="28"/>
          <w:highlight w:val="none"/>
          <w:lang w:val="en-US" w:eastAsia="zh-CN"/>
        </w:rPr>
        <w:t xml:space="preserve">政府采购政策功能落实</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32.1政府采购线上合同信用融资政策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32.2进口产品</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32.3中小企业、监狱企业及残疾人福利性单位</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32.3.1中小企业定义：</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中小企业是</w:t>
      </w:r>
      <w:r>
        <w:rPr>
          <w:rFonts w:hint="eastAsia" w:ascii="宋体" w:hAnsi="宋体" w:cs="宋体"/>
          <w:color w:val="auto"/>
          <w:sz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32.3.2供应商提供的货物、工程或者服务符合下列情形的，享受中小企业扶持政策：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32.3.2.1在货物采购项目中，货物由中小企业制造，即货物由中小企业生产且使用该中小企业商号或者注册商标；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32.3.2.2在工程采购项目中，工程由中小企业承建，即工程施工单位为中小企业；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32.3.3在货物采购项目中，供应商提供的货物既有中小企业制造货物，也有大型企业制造货物的，不享受中小企业扶持政策。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32.3.6残疾人福利单位定义：享受政府采购支持政策的残疾人福利性单位应当同时满足以下条件：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32.3.6.1安置的残疾人占本单位在职职工人数的比例不低于25%（含25%），并且安置的残疾人人数不少于10 人（含10 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32.3.6.2依法与安置的每位残疾人签订了一年以上（含一年）的劳动合同或服务协议；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32.3.6.3为安置的每位残疾人按月足额缴纳了基本养老保险、基本医疗保险、失业保险、工伤保险和生育保险等社会保险费；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32.3.7本项目是否专门面向中小企业预留采购份额见第一章《投标邀请》。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32.3.8采购标的对应的中小企业划分标准所属行业见第四章《采购需求》。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32.3.9小微企业价格评审优惠的政策：见第五章《评标方法和评标标准》。</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32.4政府采购节能产品、环境标志产品</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32.4.1严格执行政府采购关于支持</w:t>
      </w:r>
      <w:r>
        <w:rPr>
          <w:rFonts w:hint="eastAsia" w:ascii="宋体" w:hAnsi="宋体" w:cs="宋体"/>
          <w:color w:val="auto"/>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32.5绿色包装</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32.6政府采购创新产品</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采购人优先采购各级政府部门公开发布的有效期内的创新产品、创新服务、首台套、首购首用等《目录》的创新产品。</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32.7绿色数据中心政策 </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32.8履约保证金政策</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确需收取履约保证金的，履约保证金的缴纳形式：</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560"/>
        <w:jc w:val="left"/>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33. 预付款制度。</w:t>
      </w:r>
      <w:r/>
    </w:p>
    <w:p>
      <w:pPr>
        <w:ind w:firstLine="480"/>
        <w:spacing w:line="360" w:lineRule="auto"/>
        <w:rPr>
          <w:rFonts w:ascii="黑体" w:hAnsi="宋体" w:eastAsia="黑体" w:cs="黑体"/>
          <w:color w:val="auto"/>
          <w:sz w:val="44"/>
          <w:szCs w:val="44"/>
          <w:highlight w:val="none"/>
        </w:rPr>
      </w:pPr>
      <w:r>
        <w:rPr>
          <w:rFonts w:hint="eastAsia" w:ascii="宋体" w:hAnsi="宋体" w:cs="宋体"/>
          <w:color w:val="auto"/>
          <w:sz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黑体" w:hAnsi="宋体" w:eastAsia="黑体" w:cs="黑体"/>
          <w:color w:val="auto"/>
          <w:sz w:val="44"/>
          <w:szCs w:val="44"/>
          <w:highlight w:val="none"/>
        </w:rPr>
        <w:br w:type="page" w:clear="all"/>
      </w:r>
      <w:r/>
    </w:p>
    <w:p>
      <w:pPr>
        <w:pStyle w:val="717"/>
        <w:jc w:val="center"/>
        <w:keepNext/>
        <w:spacing w:beforeAutospacing="0" w:afterAutospacing="0"/>
        <w:rPr>
          <w:color w:val="auto"/>
          <w:highlight w:val="none"/>
        </w:rPr>
        <w:outlineLvl w:val="0"/>
      </w:pPr>
      <w:r/>
      <w:bookmarkStart w:id="32" w:name="_Toc10"/>
      <w:r>
        <w:rPr>
          <w:rFonts w:hint="eastAsia" w:ascii="黑体" w:hAnsi="宋体" w:eastAsia="黑体" w:cs="黑体"/>
          <w:color w:val="auto"/>
          <w:sz w:val="44"/>
          <w:szCs w:val="44"/>
          <w:highlight w:val="none"/>
        </w:rPr>
        <w:t xml:space="preserve">第三章  合同文本</w:t>
      </w:r>
      <w:bookmarkEnd w:id="32"/>
      <w:r/>
      <w:r/>
    </w:p>
    <w:p>
      <w:pPr>
        <w:pStyle w:val="71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r/>
    </w:p>
    <w:p>
      <w:pPr>
        <w:jc w:val="center"/>
        <w:spacing w:line="360" w:lineRule="auto"/>
        <w:widowControl/>
        <w:rPr>
          <w:rFonts w:ascii="宋体" w:hAnsi="宋体" w:cs="宋体"/>
          <w:b/>
          <w:color w:val="auto"/>
          <w:sz w:val="30"/>
          <w:highlight w:val="none"/>
        </w:rPr>
      </w:pPr>
      <w:r/>
      <w:bookmarkStart w:id="33" w:name="_Hlt16619350"/>
      <w:r/>
      <w:bookmarkStart w:id="34" w:name="_Hlt16619369"/>
      <w:r>
        <w:rPr>
          <w:color w:val="auto"/>
          <w:highlight w:val="none"/>
        </w:rPr>
        <w:t xml:space="preserve"> </w:t>
      </w:r>
      <w:r>
        <w:rPr>
          <w:rFonts w:hint="eastAsia" w:ascii="宋体" w:hAnsi="宋体" w:cs="宋体"/>
          <w:b/>
          <w:color w:val="auto"/>
          <w:sz w:val="30"/>
          <w:highlight w:val="none"/>
        </w:rPr>
        <w:t xml:space="preserve">第三</w:t>
      </w:r>
      <w:r>
        <w:rPr>
          <w:rFonts w:hint="eastAsia" w:ascii="宋体" w:hAnsi="宋体" w:cs="宋体"/>
          <w:b/>
          <w:color w:val="auto"/>
          <w:sz w:val="30"/>
          <w:highlight w:val="none"/>
          <w:lang w:eastAsia="zh-CN"/>
        </w:rPr>
        <w:t xml:space="preserve">章</w:t>
      </w:r>
      <w:r>
        <w:rPr>
          <w:rFonts w:hint="eastAsia" w:ascii="宋体" w:hAnsi="宋体" w:cs="宋体"/>
          <w:b/>
          <w:color w:val="auto"/>
          <w:sz w:val="30"/>
          <w:highlight w:val="none"/>
        </w:rPr>
        <w:t xml:space="preserve">  合同条款</w:t>
      </w:r>
      <w:r/>
    </w:p>
    <w:p>
      <w:pPr>
        <w:rPr>
          <w:rFonts w:ascii="宋体" w:hAnsi="宋体" w:cs="宋体"/>
          <w:color w:val="auto"/>
          <w:highlight w:val="none"/>
        </w:rPr>
      </w:pPr>
      <w:r/>
      <w:bookmarkStart w:id="35" w:name="EB6d2006462e294de090c16e672cecc3bd"/>
      <w:r/>
      <w:bookmarkEnd w:id="35"/>
      <w:r/>
    </w:p>
    <w:p>
      <w:pPr>
        <w:jc w:val="center"/>
        <w:rPr>
          <w:rFonts w:ascii="宋体" w:hAnsi="宋体" w:cs="宋体"/>
          <w:b/>
          <w:bCs/>
          <w:color w:val="auto"/>
          <w:spacing w:val="-20"/>
          <w:sz w:val="48"/>
          <w:szCs w:val="48"/>
          <w:highlight w:val="none"/>
        </w:rPr>
      </w:pPr>
      <w:r/>
      <w:bookmarkStart w:id="36"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pStyle w:val="693"/>
        <w:rPr>
          <w:rFonts w:ascii="宋体" w:hAnsi="宋体" w:cs="宋体"/>
          <w:color w:val="auto"/>
          <w:sz w:val="30"/>
          <w:highlight w:val="none"/>
        </w:rPr>
      </w:pPr>
      <w:r>
        <w:rPr>
          <w:rFonts w:ascii="宋体" w:hAnsi="宋体" w:cs="宋体"/>
          <w:color w:val="auto"/>
          <w:sz w:val="30"/>
          <w:highlight w:val="none"/>
        </w:rPr>
      </w:r>
      <w:r/>
    </w:p>
    <w:p>
      <w:pPr>
        <w:pStyle w:val="693"/>
        <w:rPr>
          <w:rFonts w:ascii="宋体" w:hAnsi="宋体" w:cs="宋体"/>
          <w:color w:val="auto"/>
          <w:sz w:val="30"/>
          <w:highlight w:val="none"/>
        </w:rPr>
      </w:pPr>
      <w:r>
        <w:rPr>
          <w:rFonts w:ascii="宋体" w:hAnsi="宋体" w:cs="宋体"/>
          <w:color w:val="auto"/>
          <w:sz w:val="30"/>
          <w:highlight w:val="none"/>
        </w:rPr>
      </w:r>
      <w:r/>
    </w:p>
    <w:p>
      <w:pPr>
        <w:pStyle w:val="693"/>
        <w:rPr>
          <w:rFonts w:ascii="宋体" w:hAnsi="宋体" w:cs="宋体"/>
          <w:color w:val="auto"/>
          <w:sz w:val="30"/>
          <w:highlight w:val="none"/>
        </w:rPr>
      </w:pPr>
      <w:r>
        <w:rPr>
          <w:rFonts w:ascii="宋体" w:hAnsi="宋体" w:cs="宋体"/>
          <w:color w:val="auto"/>
          <w:sz w:val="30"/>
          <w:highlight w:val="none"/>
        </w:rPr>
      </w:r>
      <w:r/>
    </w:p>
    <w:p>
      <w:pPr>
        <w:pStyle w:val="693"/>
        <w:rPr>
          <w:rFonts w:ascii="宋体" w:hAnsi="宋体" w:cs="宋体"/>
          <w:color w:val="auto"/>
          <w:sz w:val="30"/>
          <w:highlight w:val="none"/>
        </w:rPr>
      </w:pPr>
      <w:r>
        <w:rPr>
          <w:rFonts w:ascii="宋体" w:hAnsi="宋体" w:cs="宋体"/>
          <w:color w:val="auto"/>
          <w:sz w:val="30"/>
          <w:highlight w:val="none"/>
        </w:rPr>
      </w:r>
      <w:r/>
    </w:p>
    <w:p>
      <w:pPr>
        <w:pStyle w:val="693"/>
        <w:rPr>
          <w:rFonts w:ascii="宋体" w:hAnsi="宋体" w:cs="宋体"/>
          <w:color w:val="auto"/>
          <w:sz w:val="30"/>
          <w:highlight w:val="none"/>
        </w:rPr>
      </w:pPr>
      <w:r>
        <w:rPr>
          <w:rFonts w:ascii="宋体" w:hAnsi="宋体" w:cs="宋体"/>
          <w:color w:val="auto"/>
          <w:sz w:val="30"/>
          <w:highlight w:val="none"/>
        </w:rPr>
      </w:r>
      <w:r/>
    </w:p>
    <w:p>
      <w:pPr>
        <w:pStyle w:val="693"/>
        <w:rPr>
          <w:rFonts w:ascii="宋体" w:hAnsi="宋体" w:cs="宋体"/>
          <w:color w:val="auto"/>
          <w:sz w:val="30"/>
          <w:highlight w:val="none"/>
        </w:rPr>
      </w:pPr>
      <w:r>
        <w:rPr>
          <w:rFonts w:ascii="宋体" w:hAnsi="宋体" w:cs="宋体"/>
          <w:color w:val="auto"/>
          <w:sz w:val="30"/>
          <w:highlight w:val="none"/>
        </w:rPr>
      </w:r>
      <w:r/>
    </w:p>
    <w:p>
      <w:pPr>
        <w:ind w:left="420"/>
        <w:spacing w:line="360" w:lineRule="auto"/>
        <w:rPr>
          <w:rFonts w:hint="eastAsia" w:ascii="Times New Roman" w:hAnsi="Times New Roman" w:eastAsia="宋体"/>
          <w:b/>
          <w:color w:val="auto"/>
          <w:sz w:val="32"/>
          <w:szCs w:val="32"/>
          <w:highlight w:val="none"/>
        </w:rPr>
      </w:pPr>
      <w:r>
        <w:rPr>
          <w:rFonts w:hint="eastAsia" w:ascii="宋体" w:hAnsi="宋体" w:cs="宋体"/>
          <w:color w:val="auto"/>
          <w:sz w:val="30"/>
          <w:highlight w:val="none"/>
        </w:rPr>
        <w:t xml:space="preserve">项目名称：</w:t>
      </w:r>
      <w:r>
        <w:rPr>
          <w:rFonts w:hint="eastAsia" w:ascii="Times New Roman" w:hAnsi="Times New Roman" w:eastAsia="宋体"/>
          <w:b/>
          <w:color w:val="auto"/>
          <w:sz w:val="32"/>
          <w:szCs w:val="32"/>
          <w:highlight w:val="none"/>
        </w:rPr>
        <w:t xml:space="preserve">东台市2025年度重大动物疫病强制免疫疫苗、耳标采购项目</w:t>
      </w:r>
      <w:r/>
    </w:p>
    <w:p>
      <w:pPr>
        <w:ind w:left="420"/>
        <w:spacing w:line="360" w:lineRule="auto"/>
        <w:rPr>
          <w:rFonts w:hint="default" w:ascii="宋体" w:hAnsi="宋体" w:eastAsia="宋体" w:cs="宋体"/>
          <w:color w:val="auto"/>
          <w:sz w:val="30"/>
          <w:highlight w:val="none"/>
          <w:lang w:val="en-US" w:eastAsia="zh-CN"/>
        </w:rPr>
      </w:pPr>
      <w:r>
        <w:rPr>
          <w:rFonts w:hint="eastAsia" w:ascii="宋体" w:hAnsi="宋体" w:cs="宋体"/>
          <w:color w:val="auto"/>
          <w:sz w:val="30"/>
          <w:highlight w:val="none"/>
        </w:rPr>
        <w:t xml:space="preserve">合同编号：</w:t>
      </w:r>
      <w:r>
        <w:rPr>
          <w:rFonts w:hint="eastAsia" w:ascii="Times New Roman" w:hAnsi="Times New Roman" w:eastAsia="宋体"/>
          <w:b/>
          <w:color w:val="auto"/>
          <w:sz w:val="32"/>
          <w:szCs w:val="32"/>
          <w:highlight w:val="none"/>
          <w:lang w:eastAsia="zh-CN"/>
        </w:rPr>
        <w:t xml:space="preserve">JSZC-320981-TXJS-G2025-0007</w:t>
      </w:r>
      <w:r>
        <w:rPr>
          <w:rFonts w:hint="eastAsia" w:ascii="Times New Roman" w:hAnsi="Times New Roman" w:eastAsia="宋体"/>
          <w:b/>
          <w:color w:val="auto"/>
          <w:sz w:val="32"/>
          <w:szCs w:val="32"/>
          <w:highlight w:val="none"/>
          <w:lang w:val="en-US" w:eastAsia="zh-CN"/>
        </w:rPr>
        <w:t xml:space="preserve">001</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rPr>
          <w:rFonts w:hint="eastAsia" w:ascii="Arial" w:hAnsi="Arial" w:eastAsia="宋体" w:cs="Arial"/>
          <w:b/>
          <w:color w:val="auto"/>
          <w:sz w:val="32"/>
          <w:szCs w:val="32"/>
          <w:highlight w:val="none"/>
        </w:rPr>
        <w:t xml:space="preserve">东台市农业农村局</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eastAsia="黑体"/>
          <w:color w:val="auto"/>
          <w:sz w:val="44"/>
          <w:szCs w:val="44"/>
          <w:highlight w:val="none"/>
        </w:rPr>
      </w:r>
      <w:bookmarkEnd w:id="36"/>
      <w:r/>
    </w:p>
    <w:p>
      <w:pPr>
        <w:jc w:val="center"/>
        <w:keepLines/>
        <w:keepNext/>
        <w:spacing w:line="400" w:lineRule="exact"/>
        <w:rPr>
          <w:rFonts w:ascii="黑体" w:hAnsi="华文中宋" w:eastAsia="黑体"/>
          <w:color w:val="auto"/>
          <w:sz w:val="28"/>
          <w:szCs w:val="28"/>
          <w:highlight w:val="none"/>
        </w:rPr>
        <w:outlineLvl w:val="1"/>
      </w:pPr>
      <w:r/>
      <w:bookmarkStart w:id="37"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37"/>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甲方（全称）：东台市农业农村局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乙方（全称）：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中华人民共和国政府采购法》等有关的法律法规，以及本采购项目的招标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项目信息</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东台市2025年度重大动物疫病强制免疫疫苗、耳标采购项目</w:t>
      </w:r>
      <w:r/>
    </w:p>
    <w:p>
      <w:pPr>
        <w:numPr>
          <w:ilvl w:val="255"/>
          <w:numId w:val="0"/>
        </w:numPr>
        <w:ind w:firstLine="420"/>
        <w:keepLines w:val="0"/>
        <w:keepNext w:val="0"/>
        <w:pageBreakBefore w:val="0"/>
        <w:spacing w:line="360" w:lineRule="auto"/>
        <w:widowControl w:val="off"/>
        <w:tabs>
          <w:tab w:val="left" w:pos="999" w:leader="none"/>
        </w:tabs>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采购项目编号：</w:t>
      </w:r>
      <w:r>
        <w:rPr>
          <w:rFonts w:hint="eastAsia" w:ascii="宋体" w:hAnsi="宋体" w:eastAsia="宋体" w:cs="宋体"/>
          <w:color w:val="auto"/>
          <w:sz w:val="21"/>
          <w:szCs w:val="21"/>
          <w:highlight w:val="none"/>
          <w:u w:val="single"/>
          <w:lang w:eastAsia="zh-CN"/>
        </w:rPr>
        <w:t xml:space="preserve">JSZC-320981-TXJS-G2025-0007</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采购标的及数量（台/套/个/架/组等）：</w:t>
      </w:r>
      <w:r/>
    </w:p>
    <w:p>
      <w:pPr>
        <w:numPr>
          <w:ilvl w:val="255"/>
          <w:numId w:val="0"/>
        </w:num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规格型号：</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采购标的的技术要求、商务要求具体见附件。</w:t>
      </w:r>
      <w:r/>
    </w:p>
    <w:p>
      <w:pPr>
        <w:numPr>
          <w:ilvl w:val="255"/>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（4）政府采购组织形式：</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政府集中采购</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部门集中采购  </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分散采购</w:t>
      </w:r>
      <w:r/>
    </w:p>
    <w:p>
      <w:pPr>
        <w:numPr>
          <w:ilvl w:val="255"/>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（5）政府采购方式：</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公开招标</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邀请招标</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竞争性谈判</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竞争性磋商</w:t>
      </w:r>
      <w:r/>
    </w:p>
    <w:p>
      <w:pPr>
        <w:numPr>
          <w:ilvl w:val="255"/>
          <w:numId w:val="0"/>
        </w:numPr>
        <w:ind w:firstLine="2310"/>
        <w:jc w:val="left"/>
        <w:keepLines w:val="0"/>
        <w:keepNext w:val="0"/>
        <w:pageBreakBefore w:val="0"/>
        <w:spacing w:line="360" w:lineRule="auto"/>
        <w:widowControl/>
        <w:rPr>
          <w:rFonts w:hint="eastAsia" w:ascii="宋体" w:hAnsi="宋体" w:eastAsia="宋体" w:cs="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询价</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单一来源</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框架协议</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u w:val="single"/>
          <w:lang w:val="en-US" w:eastAsia="zh-CN"/>
        </w:rPr>
        <w:t xml:space="preserve">               </w:t>
      </w:r>
      <w:r/>
    </w:p>
    <w:p>
      <w:pPr>
        <w:numPr>
          <w:ilvl w:val="255"/>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（6）中标（成交）采购标的制造商是否为中小企业：</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numPr>
          <w:ilvl w:val="255"/>
          <w:numId w:val="0"/>
        </w:numPr>
        <w:ind w:firstLine="420"/>
        <w:keepLines w:val="0"/>
        <w:keepNext w:val="0"/>
        <w:pageBreakBefore w:val="0"/>
        <w:spacing w:line="360" w:lineRule="auto"/>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本合同是否为专门面向中小企业的采购合同（中小企业预留合同）：</w:t>
      </w:r>
      <w:r>
        <w:rPr>
          <w:rFonts w:ascii="Wingdings" w:hAnsi="Wingdings" w:eastAsia="Wingdings" w:cs="Wingdings"/>
          <w:color w:val="auto"/>
          <w:sz w:val="21"/>
          <w:szCs w:val="21"/>
          <w:highlight w:val="none"/>
        </w:rPr>
        <w:t xml:space="preserve">þ</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numPr>
          <w:ilvl w:val="255"/>
          <w:numId w:val="0"/>
        </w:numPr>
        <w:ind w:firstLine="420"/>
        <w:keepLines w:val="0"/>
        <w:keepNext w:val="0"/>
        <w:pageBreakBefore w:val="0"/>
        <w:spacing w:line="360" w:lineRule="auto"/>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若本项目不专门面向中小企业采购，是否给予小微企业评审优惠：</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iCs/>
          <w:color w:val="auto"/>
          <w:sz w:val="21"/>
          <w:szCs w:val="21"/>
          <w:highlight w:val="none"/>
        </w:rPr>
        <w:t xml:space="preserve">否</w:t>
      </w:r>
      <w:r/>
    </w:p>
    <w:p>
      <w:pPr>
        <w:numPr>
          <w:ilvl w:val="255"/>
          <w:numId w:val="0"/>
        </w:numPr>
        <w:ind w:firstLine="420"/>
        <w:keepLines w:val="0"/>
        <w:keepNext w:val="0"/>
        <w:pageBreakBefore w:val="0"/>
        <w:spacing w:line="360" w:lineRule="auto"/>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中标（成交）采购标的制造商是否为残疾人福利性单位：</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iCs/>
          <w:color w:val="auto"/>
          <w:sz w:val="21"/>
          <w:szCs w:val="21"/>
          <w:highlight w:val="none"/>
        </w:rPr>
        <w:t xml:space="preserve">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中标（成交）采购标的制造商是否为监狱企业：</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iCs/>
          <w:color w:val="auto"/>
          <w:sz w:val="21"/>
          <w:szCs w:val="21"/>
          <w:highlight w:val="none"/>
        </w:rPr>
        <w:t xml:space="preserve">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（7）合同是否分包：</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eastAsia="宋体" w:cs="宋体"/>
          <w:iCs/>
          <w:color w:val="auto"/>
          <w:sz w:val="21"/>
          <w:szCs w:val="21"/>
          <w:highlight w:val="none"/>
        </w:rPr>
        <w:t xml:space="preserve">否</w:t>
      </w:r>
      <w:r/>
    </w:p>
    <w:p>
      <w:pPr>
        <w:numPr>
          <w:ilvl w:val="255"/>
          <w:numId w:val="0"/>
        </w:numPr>
        <w:ind w:firstLine="420"/>
        <w:keepLines w:val="0"/>
        <w:keepNext w:val="0"/>
        <w:pageBreakBefore w:val="0"/>
        <w:spacing w:line="360" w:lineRule="auto"/>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（8）中标（成交）供应商是否为外商投资企业：</w:t>
      </w:r>
      <w:r>
        <w:rPr>
          <w:rFonts w:ascii="Wingdings" w:hAnsi="Wingdings" w:eastAsia="Wingdings" w:cs="Wingdings"/>
          <w:color w:val="auto"/>
          <w:sz w:val="21"/>
          <w:szCs w:val="21"/>
          <w:highlight w:val="none"/>
        </w:rPr>
        <w:t xml:space="preserve">¨</w:t>
      </w:r>
      <w:r>
        <w:rPr>
          <w:rFonts w:hint="eastAsia" w:ascii="宋体" w:hAnsi="宋体" w:eastAsia="宋体" w:cs="宋体"/>
          <w:i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iCs/>
          <w:color w:val="auto"/>
          <w:sz w:val="21"/>
          <w:szCs w:val="21"/>
          <w:highlight w:val="none"/>
        </w:rPr>
        <w:t xml:space="preserve">否</w:t>
      </w:r>
      <w:r/>
    </w:p>
    <w:p>
      <w:pPr>
        <w:numPr>
          <w:ilvl w:val="255"/>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（9）是否涉及进口产品：</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否</w:t>
      </w:r>
      <w:r/>
    </w:p>
    <w:p>
      <w:pPr>
        <w:numPr>
          <w:ilvl w:val="255"/>
          <w:numId w:val="0"/>
        </w:numPr>
        <w:ind w:firstLine="420"/>
        <w:keepLines w:val="0"/>
        <w:keepNext w:val="0"/>
        <w:pageBreakBefore w:val="0"/>
        <w:spacing w:line="360" w:lineRule="auto"/>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（10）是否涉及节能产品：</w:t>
      </w:r>
      <w:r/>
    </w:p>
    <w:p>
      <w:pPr>
        <w:numPr>
          <w:ilvl w:val="255"/>
          <w:numId w:val="0"/>
        </w:numPr>
        <w:ind w:firstLine="960"/>
        <w:spacing w:line="360" w:lineRule="auto"/>
        <w:tabs>
          <w:tab w:val="left" w:pos="740" w:leader="none"/>
        </w:tabs>
        <w:rPr>
          <w:rFonts w:hint="eastAsia" w:ascii="宋体" w:hAnsi="宋体" w:eastAsia="宋体" w:cs="宋体"/>
          <w:iCs/>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是，《节能产品政府采购品目清单》的底级品目名称：</w:t>
      </w:r>
      <w:r>
        <w:rPr>
          <w:rFonts w:hint="eastAsia" w:ascii="宋体" w:hAnsi="宋体" w:eastAsia="宋体" w:cs="宋体"/>
          <w:color w:val="auto"/>
          <w:sz w:val="21"/>
          <w:szCs w:val="21"/>
          <w:highlight w:val="none"/>
          <w:u w:val="single"/>
          <w:lang w:val="en-US" w:eastAsia="zh-CN"/>
        </w:rPr>
        <w:t xml:space="preserve">                  </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强制采购</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优先采购</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否</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是否涉及环境标志产品：</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u w:val="single"/>
          <w:lang w:val="en-US" w:eastAsia="zh-CN"/>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是，《环境标志产品政府采购品目清单》的底级品目名称：</w:t>
      </w:r>
      <w:r>
        <w:rPr>
          <w:rFonts w:hint="eastAsia" w:ascii="宋体" w:hAnsi="宋体" w:eastAsia="宋体" w:cs="宋体"/>
          <w:color w:val="auto"/>
          <w:sz w:val="21"/>
          <w:szCs w:val="21"/>
          <w:highlight w:val="none"/>
          <w:u w:val="single"/>
          <w:lang w:val="en-US" w:eastAsia="zh-CN"/>
        </w:rPr>
        <w:t xml:space="preserve">                  </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强制采购</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优先采购</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否</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是否涉及绿色产品：</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是，绿色产品政府采购相关政策确定的底级品目名称：</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强制采购</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优先采购</w:t>
      </w:r>
      <w:r/>
    </w:p>
    <w:p>
      <w:pPr>
        <w:numPr>
          <w:ilvl w:val="255"/>
          <w:numId w:val="0"/>
        </w:numPr>
        <w:ind w:firstLine="960"/>
        <w:spacing w:line="360" w:lineRule="auto"/>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否</w:t>
      </w:r>
      <w:r/>
    </w:p>
    <w:p>
      <w:pPr>
        <w:numPr>
          <w:ilvl w:val="255"/>
          <w:numId w:val="0"/>
        </w:numPr>
        <w:ind w:firstLine="420"/>
        <w:keepLines w:val="0"/>
        <w:keepNext w:val="0"/>
        <w:pageBreakBefore w:val="0"/>
        <w:spacing w:line="360" w:lineRule="auto"/>
        <w:widowControl w:val="off"/>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840"/>
        <w:keepLines w:val="0"/>
        <w:keepNext w:val="0"/>
        <w:pageBreakBefore w:val="0"/>
        <w:spacing w:line="360" w:lineRule="auto"/>
        <w:widowControl w:val="off"/>
        <w:tabs>
          <w:tab w:val="left" w:pos="740" w:leader="none"/>
        </w:tabs>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不涉及</w:t>
      </w:r>
      <w:r/>
    </w:p>
    <w:p>
      <w:pPr>
        <w:numPr>
          <w:ilvl w:val="0"/>
          <w:numId w:val="1"/>
        </w:num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（1）合同金额小写：</w:t>
      </w:r>
      <w:r>
        <w:rPr>
          <w:rFonts w:hint="eastAsia" w:ascii="宋体" w:hAnsi="宋体" w:eastAsia="宋体" w:cs="宋体"/>
          <w:color w:val="auto"/>
          <w:sz w:val="24"/>
          <w:szCs w:val="24"/>
          <w:highlight w:val="none"/>
          <w:u w:val="single"/>
        </w:rPr>
        <w:t xml:space="preserve">                  </w:t>
      </w:r>
      <w:r/>
    </w:p>
    <w:p>
      <w:pPr>
        <w:ind w:firstLine="1856"/>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分包金额（如有）小写：</w:t>
      </w:r>
      <w:r>
        <w:rPr>
          <w:rFonts w:hint="eastAsia" w:ascii="宋体" w:hAnsi="宋体" w:eastAsia="宋体" w:cs="宋体"/>
          <w:color w:val="auto"/>
          <w:sz w:val="24"/>
          <w:szCs w:val="24"/>
          <w:highlight w:val="none"/>
          <w:u w:val="single"/>
        </w:rPr>
        <w:t xml:space="preserve">                  </w:t>
      </w:r>
      <w:r/>
    </w:p>
    <w:p>
      <w:pPr>
        <w:ind w:firstLine="2154"/>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4"/>
          <w:szCs w:val="24"/>
          <w:highlight w:val="none"/>
          <w:u w:val="single"/>
        </w:rPr>
        <w:t xml:space="preserve">                  </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（2）付款方式（按项目实际勾选填写，具体详见专用条款第二节第12.2款）：</w:t>
      </w:r>
      <w:r/>
    </w:p>
    <w:p>
      <w:pPr>
        <w:ind w:firstLine="630"/>
        <w:spacing w:line="400" w:lineRule="exact"/>
        <w:rPr>
          <w:rFonts w:hint="eastAsia" w:ascii="宋体" w:hAnsi="宋体" w:eastAsia="宋体" w:cs="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分期付款：</w:t>
      </w:r>
      <w:r>
        <w:rPr>
          <w:rFonts w:hint="eastAsia" w:ascii="宋体" w:hAnsi="宋体" w:eastAsia="宋体" w:cs="宋体"/>
          <w:color w:val="auto"/>
          <w:sz w:val="21"/>
          <w:szCs w:val="21"/>
          <w:highlight w:val="none"/>
          <w:u w:val="single"/>
        </w:rPr>
        <w:t xml:space="preserve"> （具体详见专用条款第二节第12.2款） </w:t>
      </w:r>
      <w:r>
        <w:rPr>
          <w:rFonts w:hint="eastAsia" w:ascii="宋体" w:hAnsi="宋体" w:eastAsia="宋体" w:cs="宋体"/>
          <w:color w:val="auto"/>
          <w:sz w:val="21"/>
          <w:szCs w:val="21"/>
          <w:highlight w:val="none"/>
        </w:rPr>
        <w:t xml:space="preserve">，其中涉及预付款的：</w:t>
      </w:r>
      <w:r>
        <w:rPr>
          <w:rFonts w:hint="eastAsia" w:ascii="宋体" w:hAnsi="宋体" w:eastAsia="宋体" w:cs="宋体"/>
          <w:color w:val="auto"/>
          <w:sz w:val="21"/>
          <w:szCs w:val="21"/>
          <w:highlight w:val="none"/>
          <w:u w:val="single"/>
        </w:rPr>
        <w:t xml:space="preserve"> （具体详见专用条款第二节第12.2款） </w:t>
      </w:r>
      <w:r/>
    </w:p>
    <w:p>
      <w:pPr>
        <w:numPr>
          <w:ilvl w:val="0"/>
          <w:numId w:val="1"/>
        </w:numPr>
        <w:ind w:firstLine="48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合同履行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（1）起始日期：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日，完成日期：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（2）履约地点</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u w:val="single"/>
        </w:rPr>
        <w:t xml:space="preserve">  </w:t>
      </w:r>
      <w:r>
        <w:rPr>
          <w:rFonts w:ascii="Times New Roman" w:hAnsi="Times New Roman"/>
          <w:i/>
          <w:color w:val="auto"/>
          <w:sz w:val="24"/>
          <w:szCs w:val="24"/>
          <w:highlight w:val="none"/>
          <w:u w:val="single"/>
        </w:rPr>
        <w:t xml:space="preserve">市、县用户收货方指定地点。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履约担保：履约担保：是否收取履约保证金：</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rPr>
        <w:t xml:space="preserve">否</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收取履约保证金形式：</w:t>
      </w:r>
      <w:r>
        <w:rPr>
          <w:rFonts w:hint="eastAsia" w:ascii="宋体" w:hAnsi="宋体" w:eastAsia="宋体" w:cs="宋体"/>
          <w:bCs/>
          <w:color w:val="auto"/>
          <w:sz w:val="21"/>
          <w:szCs w:val="21"/>
          <w:highlight w:val="none"/>
          <w:u w:val="single"/>
        </w:rPr>
        <w:t xml:space="preserve">        见3.（4）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收取履约保证金金额：</w:t>
      </w:r>
      <w:r>
        <w:rPr>
          <w:rFonts w:hint="eastAsia" w:ascii="宋体" w:hAnsi="宋体" w:eastAsia="宋体" w:cs="宋体"/>
          <w:bCs/>
          <w:color w:val="auto"/>
          <w:sz w:val="21"/>
          <w:szCs w:val="21"/>
          <w:highlight w:val="none"/>
          <w:u w:val="single"/>
        </w:rPr>
        <w:t xml:space="preserve">        合同金额的10%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     履约担保期限：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1年</w:t>
      </w:r>
      <w:r>
        <w:rPr>
          <w:rFonts w:hint="eastAsia" w:ascii="宋体" w:hAnsi="宋体" w:eastAsia="宋体" w:cs="宋体"/>
          <w:bCs/>
          <w:color w:val="auto"/>
          <w:sz w:val="21"/>
          <w:szCs w:val="21"/>
          <w:highlight w:val="none"/>
          <w:u w:val="single"/>
        </w:rPr>
        <w:t xml:space="preserve">          </w:t>
      </w:r>
      <w:r/>
    </w:p>
    <w:p>
      <w:pPr>
        <w:numPr>
          <w:ilvl w:val="0"/>
          <w:numId w:val="2"/>
        </w:num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确需收取履约保证金的，履约保证金的缴纳形式：</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highlight w:val="none"/>
        </w:rPr>
        <w:t xml:space="preserve">采购人应当对AA评级及以上政府采购供应商（需提供信用管理部门备案的第三方信用报告）免收履约保证金或降低履约保证金缴纳比例。</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（5）分期履行要求：</w:t>
      </w:r>
      <w:r>
        <w:rPr>
          <w:rFonts w:hint="eastAsia" w:ascii="宋体" w:hAnsi="宋体" w:eastAsia="宋体" w:cs="宋体"/>
          <w:bCs/>
          <w:color w:val="auto"/>
          <w:sz w:val="21"/>
          <w:szCs w:val="21"/>
          <w:highlight w:val="none"/>
          <w:u w:val="single"/>
        </w:rPr>
        <w:t xml:space="preserve">   1年，合同签订后接到甲方供货通知后，三日内发货。         </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（6）风险处置措施和替代方案：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w:t>
      </w:r>
      <w:r>
        <w:rPr>
          <w:rFonts w:hint="eastAsia" w:ascii="宋体" w:hAnsi="宋体" w:eastAsia="宋体" w:cs="宋体"/>
          <w:bCs/>
          <w:color w:val="auto"/>
          <w:sz w:val="21"/>
          <w:szCs w:val="21"/>
          <w:highlight w:val="none"/>
          <w:u w:val="single"/>
        </w:rPr>
        <w:t xml:space="preserve">    </w:t>
      </w:r>
      <w:r/>
    </w:p>
    <w:p>
      <w:pPr>
        <w:numPr>
          <w:ilvl w:val="0"/>
          <w:numId w:val="1"/>
        </w:num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合同验收</w:t>
      </w:r>
      <w:r/>
    </w:p>
    <w:p>
      <w:pPr>
        <w:numPr>
          <w:ilvl w:val="0"/>
          <w:numId w:val="3"/>
        </w:num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委托第三方组织</w:t>
      </w:r>
      <w:r/>
    </w:p>
    <w:p>
      <w:pPr>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验收主体：</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东台市畜牧兽医站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84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96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96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96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96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是，抽查比例：</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96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w:t>
      </w:r>
      <w:r>
        <w:rPr>
          <w:rFonts w:hint="eastAsia" w:ascii="宋体" w:hAnsi="宋体" w:eastAsia="宋体" w:cs="宋体"/>
          <w:bCs/>
          <w:color w:val="auto"/>
          <w:sz w:val="21"/>
          <w:szCs w:val="21"/>
          <w:highlight w:val="none"/>
          <w:u w:val="single"/>
        </w:rPr>
        <w:t xml:space="preserve">（应明确对被破坏的检测产品的处理方式）</w:t>
      </w:r>
      <w:r/>
    </w:p>
    <w:p>
      <w:pPr>
        <w:ind w:firstLine="3057"/>
        <w:spacing w:line="360" w:lineRule="auto"/>
        <w:rPr>
          <w:rFonts w:hint="eastAsia" w:ascii="宋体" w:hAnsi="宋体" w:eastAsia="宋体" w:cs="宋体"/>
          <w:bCs/>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96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验收组织的其他事项：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（2）履约验收时间：</w:t>
      </w:r>
      <w:r>
        <w:rPr>
          <w:rFonts w:hint="eastAsia" w:ascii="宋体" w:hAnsi="宋体" w:eastAsia="宋体" w:cs="宋体"/>
          <w:bCs/>
          <w:color w:val="auto"/>
          <w:sz w:val="21"/>
          <w:szCs w:val="21"/>
          <w:highlight w:val="none"/>
          <w:u w:val="single"/>
        </w:rPr>
        <w:t xml:space="preserve">（计划于何时验收/供应商提出验收申请之日起   日内组织验收）</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一次性验收         </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分期/分项验收：</w:t>
      </w:r>
      <w:r>
        <w:rPr>
          <w:rFonts w:hint="eastAsia" w:ascii="宋体" w:hAnsi="宋体" w:eastAsia="宋体" w:cs="宋体"/>
          <w:bCs/>
          <w:color w:val="auto"/>
          <w:sz w:val="21"/>
          <w:szCs w:val="21"/>
          <w:highlight w:val="none"/>
          <w:u w:val="single"/>
        </w:rPr>
        <w:t xml:space="preserve">（应明确分期/分项验收的工作安排）</w:t>
      </w:r>
      <w:r/>
    </w:p>
    <w:p>
      <w:pPr>
        <w:ind w:firstLine="48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（4）履约验收程序：</w:t>
      </w:r>
      <w:r>
        <w:rPr>
          <w:rFonts w:hint="eastAsia" w:ascii="宋体" w:hAnsi="宋体" w:eastAsia="宋体" w:cs="宋体"/>
          <w:bCs/>
          <w:color w:val="auto"/>
          <w:sz w:val="21"/>
          <w:szCs w:val="21"/>
          <w:highlight w:val="none"/>
          <w:u w:val="single"/>
        </w:rPr>
        <w:t xml:space="preserve">  </w:t>
      </w:r>
      <w:r>
        <w:rPr>
          <w:rFonts w:hint="eastAsia" w:ascii="微软雅黑" w:hAnsi="微软雅黑" w:eastAsia="微软雅黑" w:cs="微软雅黑"/>
          <w:bCs/>
          <w:color w:val="auto"/>
          <w:sz w:val="21"/>
          <w:szCs w:val="21"/>
          <w:highlight w:val="none"/>
          <w:u w:val="single"/>
        </w:rPr>
        <w:t xml:space="preserve">①</w:t>
      </w:r>
      <w:r>
        <w:rPr>
          <w:rFonts w:hint="eastAsia" w:ascii="宋体" w:hAnsi="宋体" w:eastAsia="宋体" w:cs="宋体"/>
          <w:bCs/>
          <w:color w:val="auto"/>
          <w:sz w:val="21"/>
          <w:szCs w:val="21"/>
          <w:highlight w:val="none"/>
          <w:u w:val="single"/>
        </w:rPr>
        <w:t xml:space="preserve">市、县用户对乙方提交的货物应及时验收，收货时依据招标文件上的技术规格要求和国家有关质量标准进行现场初步验收，外观、说明书等符合招标文件技术要求的，给予签收，初步验收不合格的不予签收。经初步验收后的签收产品，如基层动物防疫人员在使用过程中提出质量等异议或举报有质量问题时，产品收货单位应实施复核，必要时可按规定组织或委托有关单位对产品进行质量抽检，并视检测结果依规处理，检测费用由乙方承担。</w:t>
      </w:r>
      <w:r/>
    </w:p>
    <w:p>
      <w:pPr>
        <w:ind w:firstLine="480"/>
        <w:spacing w:line="360" w:lineRule="auto"/>
        <w:rPr>
          <w:rFonts w:hint="eastAsia" w:ascii="宋体" w:hAnsi="宋体" w:eastAsia="宋体" w:cs="宋体"/>
          <w:bCs/>
          <w:color w:val="auto"/>
          <w:sz w:val="21"/>
          <w:szCs w:val="21"/>
          <w:highlight w:val="none"/>
          <w:u w:val="single"/>
        </w:rPr>
      </w:pPr>
      <w:r>
        <w:rPr>
          <w:rFonts w:hint="eastAsia" w:ascii="微软雅黑" w:hAnsi="微软雅黑" w:eastAsia="微软雅黑" w:cs="微软雅黑"/>
          <w:bCs/>
          <w:color w:val="auto"/>
          <w:sz w:val="21"/>
          <w:szCs w:val="21"/>
          <w:highlight w:val="none"/>
          <w:u w:val="single"/>
        </w:rPr>
        <w:t xml:space="preserve">②</w:t>
      </w:r>
      <w:r>
        <w:rPr>
          <w:rFonts w:hint="eastAsia" w:ascii="宋体" w:hAnsi="宋体" w:eastAsia="宋体" w:cs="宋体"/>
          <w:bCs/>
          <w:color w:val="auto"/>
          <w:sz w:val="21"/>
          <w:szCs w:val="21"/>
          <w:highlight w:val="none"/>
          <w:u w:val="single"/>
        </w:rPr>
        <w:t xml:space="preserve">乙方交货前应对产品作出全面检查和对验收文件进行整理，并列出清单，作为市、县用户收货验收和使用的技术条件依据，检验的结果应随货物交市、县用户。</w:t>
      </w:r>
      <w:r/>
    </w:p>
    <w:p>
      <w:pPr>
        <w:ind w:firstLine="480"/>
        <w:spacing w:line="360" w:lineRule="auto"/>
        <w:rPr>
          <w:rFonts w:hint="eastAsia" w:ascii="宋体" w:hAnsi="宋体" w:eastAsia="宋体" w:cs="宋体"/>
          <w:bCs/>
          <w:color w:val="auto"/>
          <w:sz w:val="21"/>
          <w:szCs w:val="21"/>
          <w:highlight w:val="none"/>
          <w:u w:val="single"/>
        </w:rPr>
      </w:pPr>
      <w:r>
        <w:rPr>
          <w:rFonts w:hint="eastAsia" w:ascii="微软雅黑" w:hAnsi="微软雅黑" w:eastAsia="微软雅黑" w:cs="微软雅黑"/>
          <w:bCs/>
          <w:color w:val="auto"/>
          <w:sz w:val="21"/>
          <w:szCs w:val="21"/>
          <w:highlight w:val="none"/>
          <w:u w:val="single"/>
        </w:rPr>
        <w:t xml:space="preserve">③</w:t>
      </w:r>
      <w:r>
        <w:rPr>
          <w:rFonts w:hint="eastAsia" w:ascii="宋体" w:hAnsi="宋体" w:eastAsia="宋体" w:cs="宋体"/>
          <w:bCs/>
          <w:color w:val="auto"/>
          <w:sz w:val="21"/>
          <w:szCs w:val="21"/>
          <w:highlight w:val="none"/>
          <w:u w:val="single"/>
        </w:rPr>
        <w:t xml:space="preserve">乙方提供的货物，在市、县用户使用前，需由乙方提供相关技术培训，并在使用的前三个月为市、县用户提供必要的协助，直到符合有关要求，市、县用户才做最终验收。</w:t>
      </w:r>
      <w:r/>
    </w:p>
    <w:p>
      <w:pPr>
        <w:ind w:firstLine="480"/>
        <w:spacing w:line="360" w:lineRule="auto"/>
        <w:rPr>
          <w:rFonts w:hint="eastAsia" w:ascii="宋体" w:hAnsi="宋体" w:eastAsia="宋体" w:cs="宋体"/>
          <w:bCs/>
          <w:color w:val="auto"/>
          <w:sz w:val="21"/>
          <w:szCs w:val="21"/>
          <w:highlight w:val="none"/>
          <w:u w:val="single"/>
        </w:rPr>
      </w:pPr>
      <w:r>
        <w:rPr>
          <w:rFonts w:hint="eastAsia" w:ascii="微软雅黑" w:hAnsi="微软雅黑" w:eastAsia="微软雅黑" w:cs="微软雅黑"/>
          <w:bCs/>
          <w:color w:val="auto"/>
          <w:sz w:val="21"/>
          <w:szCs w:val="21"/>
          <w:highlight w:val="none"/>
          <w:u w:val="single"/>
        </w:rPr>
        <w:t xml:space="preserve">④</w:t>
      </w:r>
      <w:r>
        <w:rPr>
          <w:rFonts w:hint="eastAsia" w:ascii="宋体" w:hAnsi="宋体" w:eastAsia="宋体" w:cs="宋体"/>
          <w:bCs/>
          <w:color w:val="auto"/>
          <w:sz w:val="21"/>
          <w:szCs w:val="21"/>
          <w:highlight w:val="none"/>
          <w:u w:val="single"/>
        </w:rPr>
        <w:t xml:space="preserve">对技术复杂的货物，市、县用户可申请国家认可的专业检测机构参与初步验收及最终验收，并由其出具质量检测报告。</w:t>
      </w:r>
      <w:r/>
    </w:p>
    <w:p>
      <w:pPr>
        <w:ind w:firstLine="480"/>
        <w:spacing w:line="360" w:lineRule="auto"/>
        <w:rPr>
          <w:rFonts w:hint="eastAsia" w:ascii="宋体" w:hAnsi="宋体" w:eastAsia="宋体" w:cs="宋体"/>
          <w:bCs/>
          <w:color w:val="auto"/>
          <w:sz w:val="21"/>
          <w:szCs w:val="21"/>
          <w:highlight w:val="none"/>
          <w:u w:val="single"/>
        </w:rPr>
      </w:pPr>
      <w:r>
        <w:rPr>
          <w:rFonts w:hint="eastAsia" w:ascii="微软雅黑" w:hAnsi="微软雅黑" w:eastAsia="微软雅黑" w:cs="微软雅黑"/>
          <w:bCs/>
          <w:color w:val="auto"/>
          <w:sz w:val="21"/>
          <w:szCs w:val="21"/>
          <w:highlight w:val="none"/>
          <w:u w:val="single"/>
        </w:rPr>
        <w:t xml:space="preserve">⑤</w:t>
      </w:r>
      <w:r>
        <w:rPr>
          <w:rFonts w:hint="eastAsia" w:ascii="宋体" w:hAnsi="宋体" w:eastAsia="宋体" w:cs="宋体"/>
          <w:bCs/>
          <w:color w:val="auto"/>
          <w:sz w:val="21"/>
          <w:szCs w:val="21"/>
          <w:highlight w:val="none"/>
          <w:u w:val="single"/>
        </w:rPr>
        <w:t xml:space="preserve">最终验收验收时乙方必须在现场，验收完毕后作出验收结果报告；验收费用由乙方承担。</w:t>
      </w:r>
      <w:r/>
    </w:p>
    <w:p>
      <w:pPr>
        <w:ind w:firstLine="48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（5）履约验收的内容：</w:t>
      </w:r>
      <w:r>
        <w:rPr>
          <w:rFonts w:hint="eastAsia" w:ascii="宋体" w:hAnsi="宋体" w:eastAsia="宋体" w:cs="宋体"/>
          <w:bCs/>
          <w:color w:val="auto"/>
          <w:sz w:val="21"/>
          <w:szCs w:val="21"/>
          <w:highlight w:val="none"/>
          <w:u w:val="single"/>
          <w:lang w:val="en-US" w:eastAsia="zh-CN"/>
        </w:rPr>
        <w:t xml:space="preserve">详见采购需求</w:t>
      </w:r>
      <w:r/>
    </w:p>
    <w:p>
      <w:pPr>
        <w:ind w:firstLine="48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（6）履约验收标准：</w:t>
      </w:r>
      <w:r>
        <w:rPr>
          <w:rFonts w:hint="eastAsia" w:ascii="宋体" w:hAnsi="宋体" w:eastAsia="宋体" w:cs="宋体"/>
          <w:bCs/>
          <w:color w:val="auto"/>
          <w:sz w:val="21"/>
          <w:szCs w:val="21"/>
          <w:highlight w:val="none"/>
          <w:u w:val="single"/>
          <w:lang w:val="en-US" w:eastAsia="zh-CN"/>
        </w:rPr>
        <w:t xml:space="preserve">详见采购需求</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p>
    <w:p>
      <w:pPr>
        <w:ind w:firstLine="480"/>
        <w:spacing w:line="360" w:lineRule="auto"/>
        <w:rPr>
          <w:rFonts w:hint="default"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rPr>
        <w:t xml:space="preserve">（8）履约验收其他事项：</w:t>
      </w:r>
      <w:r>
        <w:rPr>
          <w:rFonts w:hint="eastAsia" w:ascii="宋体" w:hAnsi="宋体" w:eastAsia="宋体" w:cs="宋体"/>
          <w:bCs/>
          <w:color w:val="auto"/>
          <w:sz w:val="21"/>
          <w:szCs w:val="21"/>
          <w:highlight w:val="none"/>
          <w:u w:val="single"/>
          <w:lang w:val="en-US" w:eastAsia="zh-CN"/>
        </w:rPr>
        <w:t xml:space="preserve">详见采购需求</w:t>
      </w:r>
      <w:r/>
    </w:p>
    <w:p>
      <w:pPr>
        <w:pStyle w:val="693"/>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r>
      <w:r/>
    </w:p>
    <w:p>
      <w:pPr>
        <w:numPr>
          <w:ilvl w:val="0"/>
          <w:numId w:val="1"/>
        </w:num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组成合同的文件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本协议书与下列文件一起构成合同文件，如下述文件之间有任何抵触、矛盾或歧义，应按以下顺序解释：</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6.合同生效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日生效。</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7.合同份数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份，均具有同等法律效力。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合同订立地点：</w:t>
      </w:r>
      <w:r>
        <w:rPr>
          <w:rFonts w:hint="eastAsia" w:ascii="宋体" w:hAnsi="宋体" w:eastAsia="宋体" w:cs="宋体"/>
          <w:color w:val="auto"/>
          <w:sz w:val="21"/>
          <w:szCs w:val="21"/>
          <w:highlight w:val="none"/>
          <w:u w:val="single"/>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附件：具体标的及其技术要求和商务要求、联合协议、分包意向协议等。</w:t>
      </w:r>
      <w:r/>
    </w:p>
    <w:tbl>
      <w:tblPr>
        <w:tblStyle w:val="692"/>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21"/>
        <w:gridCol w:w="2314"/>
        <w:gridCol w:w="2476"/>
      </w:tblGrid>
      <w:tr>
        <w:trPr>
          <w:jc w:val="cente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cantSplit/>
          <w:jc w:val="center"/>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firstLine="11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586"/>
        </w:trPr>
        <w:tc>
          <w:tcPr>
            <w:gridSpan w:val="4"/>
            <w:tcBorders>
              <w:top w:val="single" w:color="000000" w:sz="2" w:space="0"/>
            </w:tcBorders>
            <w:tcW w:w="9820" w:type="dxa"/>
            <w:vAlign w:val="center"/>
            <w:textDirection w:val="lrTb"/>
            <w:noWrap w:val="false"/>
          </w:tcPr>
          <w:p>
            <w:pPr>
              <w:jc w:val="left"/>
              <w:spacing w:line="24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 xml:space="preserve">注：涉及联合体或其他合同主体的信息应按上表格式加列。</w:t>
            </w:r>
            <w:r/>
          </w:p>
        </w:tc>
      </w:tr>
    </w:tbl>
    <w:p>
      <w:pPr>
        <w:pStyle w:val="683"/>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38" w:name="_Toc27624"/>
      <w:r/>
      <w:bookmarkStart w:id="39" w:name="_Toc20313"/>
      <w:r>
        <w:rPr>
          <w:rFonts w:hint="eastAsia" w:ascii="黑体" w:hAnsi="黑体" w:eastAsia="黑体"/>
          <w:b w:val="0"/>
          <w:bCs w:val="0"/>
          <w:color w:val="auto"/>
          <w:sz w:val="28"/>
          <w:szCs w:val="28"/>
          <w:highlight w:val="none"/>
        </w:rPr>
        <w:t xml:space="preserve">第二节 政府采购合同通用条款</w:t>
      </w:r>
      <w:bookmarkEnd w:id="38"/>
      <w:r/>
      <w:r/>
    </w:p>
    <w:p>
      <w:pPr>
        <w:ind w:firstLine="482"/>
        <w:jc w:val="left"/>
        <w:keepLines w:val="0"/>
        <w:keepNext w:val="0"/>
        <w:pageBreakBefore w:val="0"/>
        <w:spacing w:beforeAutospacing="0" w:afterAutospacing="0"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4"/>
        </w:num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keepLines w:val="0"/>
        <w:keepNext w:val="0"/>
        <w:pageBreakBefore w:val="0"/>
        <w:spacing w:beforeAutospacing="0" w:afterAutospacing="0"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ind w:firstLine="482"/>
        <w:jc w:val="left"/>
        <w:keepLines w:val="0"/>
        <w:keepNext w:val="0"/>
        <w:pageBreakBefore w:val="0"/>
        <w:spacing w:beforeAutospacing="0" w:afterAutospacing="0"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keepLines w:val="0"/>
        <w:keepNext w:val="0"/>
        <w:pageBreakBefore w:val="0"/>
        <w:spacing w:beforeAutospacing="0" w:afterAutospacing="0"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keepLines w:val="0"/>
        <w:keepNext w:val="0"/>
        <w:pageBreakBefore w:val="0"/>
        <w:spacing w:beforeAutospacing="0" w:afterAutospacing="0"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5.3乙方有权根据合同约定向甲方收取合同价款。</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5.4国家法律法规规定及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5"/>
        </w:num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keepLines w:val="0"/>
        <w:keepNext w:val="0"/>
        <w:pageBreakBefore w:val="0"/>
        <w:spacing w:beforeAutospacing="0" w:afterAutospacing="0"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beforeAutospacing="0" w:afterAutospacing="0"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94"/>
        <w:ind w:firstLine="420"/>
        <w:keepLines w:val="0"/>
        <w:keepNext w:val="0"/>
        <w:pageBreakBefore w:val="0"/>
        <w:spacing w:beforeAutospacing="0" w:afterAutospacing="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beforeAutospacing="0" w:afterAutospacing="0"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p>
    <w:p>
      <w:pPr>
        <w:pStyle w:val="702"/>
        <w:ind w:firstLine="420"/>
        <w:jc w:val="left"/>
        <w:keepLines w:val="0"/>
        <w:keepNext w:val="0"/>
        <w:pageBreakBefore w:val="0"/>
        <w:spacing w:beforeAutospacing="0" w:afterAutospacing="0"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2"/>
        <w:ind w:firstLine="420"/>
        <w:jc w:val="left"/>
        <w:keepLines w:val="0"/>
        <w:keepNext w:val="0"/>
        <w:pageBreakBefore w:val="0"/>
        <w:spacing w:beforeAutospacing="0" w:afterAutospacing="0"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keepLines w:val="0"/>
        <w:keepNext w:val="0"/>
        <w:pageBreakBefore w:val="0"/>
        <w:spacing w:beforeAutospacing="0" w:afterAutospacing="0"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beforeAutospacing="0" w:afterAutospacing="0"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40"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40"/>
      <w:r>
        <w:rPr>
          <w:rFonts w:hint="eastAsia" w:ascii="宋体" w:hAnsi="宋体"/>
          <w:color w:val="auto"/>
          <w:szCs w:val="21"/>
          <w:highlight w:val="none"/>
        </w:rPr>
        <w:t xml:space="preserve">。</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keepLines w:val="0"/>
        <w:keepNext w:val="0"/>
        <w:pageBreakBefore w:val="0"/>
        <w:spacing w:beforeAutospacing="0" w:afterAutospacing="0"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683"/>
        <w:ind w:firstLine="420"/>
        <w:keepLines w:val="0"/>
        <w:keepNext w:val="0"/>
        <w:pageBreakBefore w:val="0"/>
        <w:spacing w:beforeAutospacing="0" w:afterAutospacing="0"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697"/>
        <w:ind w:firstLine="482"/>
        <w:keepLines w:val="0"/>
        <w:keepNext w:val="0"/>
        <w:pageBreakBefore w:val="0"/>
        <w:spacing w:beforeAutospacing="0" w:after="0" w:afterAutospacing="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beforeAutospacing="0" w:afterAutospacing="0"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ind w:firstLine="482"/>
        <w:jc w:val="left"/>
        <w:keepLines w:val="0"/>
        <w:keepNext w:val="0"/>
        <w:pageBreakBefore w:val="0"/>
        <w:spacing w:beforeAutospacing="0" w:afterAutospacing="0"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94"/>
        <w:ind w:firstLine="420"/>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keepLines w:val="0"/>
        <w:keepNext w:val="0"/>
        <w:pageBreakBefore w:val="0"/>
        <w:spacing w:beforeAutospacing="0" w:afterAutospacing="0"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keepLines w:val="0"/>
        <w:keepNext w:val="0"/>
        <w:pageBreakBefore w:val="0"/>
        <w:spacing w:beforeAutospacing="0" w:afterAutospacing="0"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6"/>
        </w:numPr>
        <w:ind w:firstLine="482"/>
        <w:jc w:val="left"/>
        <w:keepLines w:val="0"/>
        <w:keepNext w:val="0"/>
        <w:pageBreakBefore w:val="0"/>
        <w:spacing w:beforeAutospacing="0" w:afterAutospacing="0"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4"/>
        <w:ind w:firstLine="420"/>
        <w:jc w:val="both"/>
        <w:keepLines w:val="0"/>
        <w:keepNext w:val="0"/>
        <w:pageBreakBefore w:val="0"/>
        <w:spacing w:beforeAutospacing="0" w:afterAutospacing="0"/>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keepLines w:val="0"/>
        <w:keepNext w:val="0"/>
        <w:pageBreakBefore w:val="0"/>
        <w:spacing w:beforeAutospacing="0" w:afterAutospacing="0"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keepLines w:val="0"/>
        <w:keepNext w:val="0"/>
        <w:pageBreakBefore w:val="0"/>
        <w:spacing w:beforeAutospacing="0" w:afterAutospacing="0"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keepLines w:val="0"/>
        <w:keepNext w:val="0"/>
        <w:pageBreakBefore w:val="0"/>
        <w:spacing w:beforeAutospacing="0" w:afterAutospacing="0"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94"/>
        <w:ind w:firstLine="440"/>
        <w:keepLines w:val="0"/>
        <w:keepNext w:val="0"/>
        <w:pageBreakBefore w:val="0"/>
        <w:spacing w:beforeAutospacing="0" w:afterAutospacing="0"/>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94"/>
        <w:ind w:firstLine="420"/>
        <w:jc w:val="both"/>
        <w:keepLines w:val="0"/>
        <w:keepNext w:val="0"/>
        <w:pageBreakBefore w:val="0"/>
        <w:spacing w:beforeAutospacing="0" w:afterAutospacing="0"/>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82"/>
        <w:jc w:val="left"/>
        <w:keepLines w:val="0"/>
        <w:keepNext w:val="0"/>
        <w:pageBreakBefore w:val="0"/>
        <w:spacing w:beforeAutospacing="0" w:afterAutospacing="0"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20.2 本合同依法执行政府采购政策的方式和内容，属于合同履约验收的范围。甲乙双方</w:t>
      </w:r>
      <w:r>
        <w:rPr>
          <w:rFonts w:hint="eastAsia" w:ascii="宋体" w:hAnsi="宋体" w:eastAsia="宋体" w:cs="宋体"/>
          <w:color w:val="auto"/>
          <w:sz w:val="21"/>
          <w:highlight w:val="none"/>
          <w:lang w:val="en-GB"/>
        </w:rPr>
        <w:t xml:space="preserve">未按规定要求执行政府采购政策造成损失的</w:t>
      </w:r>
      <w:r>
        <w:rPr>
          <w:rFonts w:hint="eastAsia" w:ascii="宋体" w:hAnsi="宋体" w:eastAsia="宋体" w:cs="宋体"/>
          <w:color w:val="auto"/>
          <w:sz w:val="21"/>
          <w:highlight w:val="none"/>
        </w:rPr>
        <w:t xml:space="preserve">，有过错的一方应当承担赔偿责任，双方都有过错的，各自承担相应的责任。</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beforeAutospacing="0" w:afterAutospacing="0"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beforeAutospacing="0" w:afterAutospacing="0"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94"/>
        <w:ind w:firstLine="420"/>
        <w:jc w:val="both"/>
        <w:keepLines w:val="0"/>
        <w:keepNext w:val="0"/>
        <w:pageBreakBefore w:val="0"/>
        <w:spacing w:beforeAutospacing="0" w:afterAutospacing="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94"/>
        <w:ind w:firstLine="420"/>
        <w:jc w:val="both"/>
        <w:keepLines w:val="0"/>
        <w:keepNext w:val="0"/>
        <w:pageBreakBefore w:val="0"/>
        <w:spacing w:beforeAutospacing="0" w:afterAutospacing="0"/>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keepLines w:val="0"/>
        <w:keepNext w:val="0"/>
        <w:pageBreakBefore w:val="0"/>
        <w:spacing w:beforeAutospacing="0" w:afterAutospacing="0"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7"/>
        </w:numPr>
        <w:ind w:firstLine="482"/>
        <w:jc w:val="left"/>
        <w:keepLines w:val="0"/>
        <w:keepNext w:val="0"/>
        <w:pageBreakBefore w:val="0"/>
        <w:spacing w:beforeAutospacing="0" w:afterAutospacing="0"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keepLines w:val="0"/>
        <w:keepNext w:val="0"/>
        <w:pageBreakBefore w:val="0"/>
        <w:spacing w:beforeAutospacing="0" w:afterAutospacing="0"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420"/>
        <w:jc w:val="left"/>
        <w:keepLines w:val="0"/>
        <w:keepNext w:val="0"/>
        <w:pageBreakBefore w:val="0"/>
        <w:spacing w:beforeAutospacing="0" w:afterAutospacing="0"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39"/>
      <w:r/>
      <w:r/>
    </w:p>
    <w:tbl>
      <w:tblPr>
        <w:tblStyle w:val="692"/>
        <w:tblW w:w="90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1"/>
        <w:gridCol w:w="1894"/>
        <w:gridCol w:w="5474"/>
      </w:tblGrid>
      <w:tr>
        <w:trPr>
          <w:jc w:val="center"/>
          <w:trHeight w:val="192"/>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第1.2（6）项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联合体具体要求</w:t>
            </w:r>
            <w:r/>
          </w:p>
        </w:tc>
        <w:tc>
          <w:tcPr>
            <w:tcW w:w="547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本项目不接受联合体</w:t>
            </w:r>
            <w:r/>
          </w:p>
        </w:tc>
      </w:tr>
      <w:tr>
        <w:trPr>
          <w:jc w:val="center"/>
          <w:trHeight w:val="165"/>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第1.2（7）项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其他术语解释</w:t>
            </w:r>
            <w:r/>
          </w:p>
        </w:tc>
        <w:tc>
          <w:tcPr>
            <w:tcW w:w="54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同合同通用条款</w:t>
            </w:r>
            <w:r/>
          </w:p>
        </w:tc>
      </w:tr>
      <w:tr>
        <w:trPr>
          <w:jc w:val="center"/>
          <w:trHeight w:val="245"/>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第4.4款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履约验收中甲方提出异议或作出说明的期限</w:t>
            </w:r>
            <w:r/>
          </w:p>
        </w:tc>
        <w:tc>
          <w:tcPr>
            <w:tcW w:w="54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十五个工作日内</w:t>
            </w:r>
            <w:r/>
          </w:p>
        </w:tc>
      </w:tr>
      <w:tr>
        <w:trPr>
          <w:jc w:val="center"/>
          <w:trHeight w:val="193"/>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第4.6款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约定甲方承担的其他义务和责任</w:t>
            </w:r>
            <w:r/>
          </w:p>
        </w:tc>
        <w:tc>
          <w:tcPr>
            <w:tcW w:w="54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同合同通用条款</w:t>
            </w:r>
            <w:r/>
          </w:p>
        </w:tc>
      </w:tr>
      <w:tr>
        <w:trPr>
          <w:jc w:val="center"/>
          <w:trHeight w:val="193"/>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第5.4款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约定乙方承担的其他义务和责任</w:t>
            </w:r>
            <w:r/>
          </w:p>
        </w:tc>
        <w:tc>
          <w:tcPr>
            <w:tcW w:w="54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同合同通用条款</w:t>
            </w:r>
            <w:r/>
          </w:p>
        </w:tc>
      </w:tr>
      <w:tr>
        <w:trPr>
          <w:jc w:val="center"/>
          <w:trHeight w:val="193"/>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第6.1款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履行合同义务的顺序</w:t>
            </w:r>
            <w:r/>
          </w:p>
        </w:tc>
        <w:tc>
          <w:tcPr>
            <w:tcW w:w="54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同协议书</w:t>
            </w:r>
            <w:r/>
          </w:p>
        </w:tc>
      </w:tr>
      <w:tr>
        <w:trPr>
          <w:cantSplit/>
          <w:jc w:val="center"/>
          <w:trHeight w:val="2089"/>
        </w:trPr>
        <w:tc>
          <w:tcPr>
            <w:tcW w:w="165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第7.1款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包装特殊要求</w:t>
            </w:r>
            <w:r/>
          </w:p>
        </w:tc>
        <w:tc>
          <w:tcPr>
            <w:tcW w:w="54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1.商品包装层数不得超过3 层，空隙率不大于40%；</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2.商品包装尽可能使用单一材质的包装材料，如因功能需求必需使用不同材质，不同材质间应便于分离；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3.商品包装中铅、汞、镉、六价铬的总含量应不大于100mg/kg；</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4.商品包装印刷使用的油墨中挥发性有机化合物(VOCs)含量应不大于 5%（以重量计）；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5.塑料材质商品包装上呈现的印刷颜色不得超过6色；</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6.纸质商品包装应使用75%以上的可再生纤维原料生产；</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7.木质商品包装的原料应来源于可持续性森林。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9每件包装箱内应附一份详细装箱单和质量合格凭证。</w:t>
            </w:r>
            <w:r/>
          </w:p>
        </w:tc>
      </w:tr>
      <w:tr>
        <w:trPr>
          <w:cantSplit/>
          <w:jc w:val="center"/>
          <w:trHeight w:val="176"/>
        </w:trPr>
        <w:tc>
          <w:tcPr>
            <w:tcW w:w="165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指定现场</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市、县用户收货方指定地点</w:t>
            </w:r>
            <w:r/>
          </w:p>
        </w:tc>
      </w:tr>
      <w:tr>
        <w:trPr>
          <w:jc w:val="center"/>
          <w:trHeight w:val="736"/>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第7.2款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运输特殊要求</w:t>
            </w:r>
            <w:r/>
          </w:p>
        </w:tc>
        <w:tc>
          <w:tcPr>
            <w:tcW w:w="54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1.货物验收合格、交付使用并提供所需单据的日期视为交货日期。</w:t>
            </w:r>
            <w:r/>
          </w:p>
          <w:p>
            <w:pPr>
              <w:pStyle w:val="89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2.乙方在货物发运手续办理完毕后24小时内或货到48小时前通知市、县用户，以准备接货。</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3.乙方装运的货物不应超过合同规定的数量或重量。乙方应对超交数量或超重而产生的一切后果负责。</w:t>
            </w:r>
            <w:r/>
          </w:p>
          <w:p>
            <w:pPr>
              <w:pStyle w:val="89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4.货物在交付甲方前发生的风险均由乙方负责。</w:t>
            </w:r>
            <w:r/>
          </w:p>
        </w:tc>
      </w:tr>
      <w:tr>
        <w:trPr>
          <w:jc w:val="center"/>
          <w:trHeight w:val="176"/>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第7.3款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保险要求</w:t>
            </w:r>
            <w:r/>
          </w:p>
        </w:tc>
        <w:tc>
          <w:tcPr>
            <w:tcW w:w="54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货物交货前由乙方承担保险义务</w:t>
            </w:r>
            <w:r/>
          </w:p>
        </w:tc>
      </w:tr>
      <w:tr>
        <w:trPr>
          <w:jc w:val="center"/>
          <w:trHeight w:val="387"/>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第8.2（1）项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质量保证期</w:t>
            </w:r>
            <w:r/>
          </w:p>
        </w:tc>
        <w:tc>
          <w:tcPr>
            <w:tcW w:w="5474" w:type="dxa"/>
            <w:vAlign w:val="center"/>
            <w:textDirection w:val="lrTb"/>
            <w:noWrap w:val="false"/>
          </w:tcPr>
          <w:p>
            <w:pPr>
              <w:pStyle w:val="717"/>
              <w:jc w:val="both"/>
              <w:spacing w:before="120" w:beforeAutospacing="0" w:after="12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1.疫苗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最终交到市、县用户的有效期在7个月（疫苗有效期为12个月的）和11个月（疫苗有效期为18个月的）以上（自交货验收合格之日起计）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2.耳标</w:t>
            </w:r>
            <w:r>
              <w:rPr>
                <w:rFonts w:hint="eastAsia" w:ascii="宋体" w:hAnsi="宋体" w:eastAsia="宋体" w:cs="宋体"/>
                <w:color w:val="auto"/>
                <w:sz w:val="21"/>
                <w:szCs w:val="21"/>
                <w:highlight w:val="none"/>
              </w:rPr>
              <w:t xml:space="preserve">12个月以上（自交货验收合格之日起计），因人为因素出现的故障不在免费保修范围内。</w:t>
            </w:r>
            <w:r/>
          </w:p>
        </w:tc>
      </w:tr>
      <w:tr>
        <w:trPr>
          <w:jc w:val="center"/>
          <w:trHeight w:val="193"/>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第8.2（3）项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货物质量缺陷</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如在使用过程中发生质量问题，乙方在接到甲方通知后在</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小时内到达甲方现场。</w:t>
            </w:r>
            <w:r/>
          </w:p>
        </w:tc>
      </w:tr>
      <w:tr>
        <w:trPr>
          <w:jc w:val="center"/>
          <w:trHeight w:val="2681"/>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第8款补充</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质量保证要求</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在质保期内，乙方应对货物出现的质量及安全问题负责处理解决并承担一切费用（因甲方不当使用的除外）。</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2.乙方应按照国家有关法律法规规章和“三包”规定以及招标文件售后服务要求及投标文件售后服务承诺提供售后服务。</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3.所有货物保修服务方式均为乙方上门保修，由乙方派员到货物使用现场维修，所产生的一切费用由乙方承担（双方视项目情况调整）。</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193"/>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第11.1款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其他应当保密的信息</w:t>
            </w:r>
            <w:r/>
          </w:p>
        </w:tc>
        <w:tc>
          <w:tcPr>
            <w:tcW w:w="5474"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r>
      <w:tr>
        <w:trPr>
          <w:jc w:val="center"/>
          <w:trHeight w:val="1528"/>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第12.2款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合同价款支付时间及要求</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1.合同款项的支付方式及进度安排：</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①自合同签订生效之日起，收到乙方发票10个工作日内，甲方向乙方支付合同总价的</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rPr>
              <w:t xml:space="preserve">款项作为预付款；</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②货物送达后，由收货人逐一清点无误后，按照财政资金管理相关规定办理资金支付手续；</w:t>
            </w:r>
            <w:r/>
          </w:p>
          <w:p>
            <w:pPr>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 xml:space="preserve">③</w:t>
            </w:r>
            <w:r>
              <w:rPr>
                <w:rFonts w:hint="eastAsia" w:ascii="宋体" w:hAnsi="宋体" w:eastAsia="宋体" w:cs="宋体"/>
                <w:color w:val="auto"/>
                <w:sz w:val="21"/>
                <w:szCs w:val="21"/>
                <w:highlight w:val="none"/>
              </w:rPr>
              <w:t xml:space="preserve">在签订合同时，乙方明确表示无需预付款或者主动要求降低预付款比例的，甲方可不适用上述关于预付款的规定。</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④结算款项时乙方须出具相应金额的有效票据。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⑤甲方原则上自收到发票后10个工作日内将资金支付到乙方账户。</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发票；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制造厂家出具的质量检验证书等；</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装箱单；</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甲方加盖公章证明交付使用合格的验收单。</w:t>
            </w:r>
            <w:r/>
          </w:p>
        </w:tc>
      </w:tr>
      <w:tr>
        <w:trPr>
          <w:jc w:val="center"/>
          <w:trHeight w:val="1327"/>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第13.2款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履约保证金不予退还的情形</w:t>
            </w:r>
            <w:r/>
          </w:p>
        </w:tc>
        <w:tc>
          <w:tcPr>
            <w:tcW w:w="547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除不可抗力情况外，投标人出现下列情形之一的，其履约保证金，招标人将视情节决定不予退还或部分不予退还。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（1）中标人无正当理由拒绝签订合同的，或者在签订合同时向采购人提出附加条件或者更改合同实质性内容要求的；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（2）中标人不履行与采购人订立的合同的；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（3）中标人所供货物或服务不符合招标文件规定要求的；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（4）中标人采取欺骗、弄虚作假方式投标的或与其它投标人串通投标的；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（5）中标人将合同内容转包、违法分包的；</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（6）中标人故意捏造事实或伪造证明材料，进行虚假恶意投诉或反映的。</w:t>
            </w:r>
            <w:r/>
          </w:p>
        </w:tc>
      </w:tr>
      <w:tr>
        <w:trPr>
          <w:jc w:val="center"/>
          <w:trHeight w:val="1327"/>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第13.3款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履约保证金退还时间及逾期退还的违约金</w:t>
            </w:r>
            <w:r/>
          </w:p>
        </w:tc>
        <w:tc>
          <w:tcPr>
            <w:tcW w:w="547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1、合同履行结束后，甲方应及时退还交纳的履约保证金。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2、退还方式：无息退还至投标人缴纳履约保证金的账户。如为保函，在到期时自行失效。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3、退还时间：验收合格且甲方收到发票后30日内。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4、退还条件：按合同要求全部履约完成并经采购人验收合格，且采购人收到中标人出具的发票。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206"/>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第14.1（3）项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运行监督、维修期限</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1.疫苗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最终交到市、县用户的有效期在7个月（疫苗有效期为12个月的）和11个月（疫苗有效期为18个月的）以上（自交货验收合格之日起计）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2.耳标</w:t>
            </w:r>
            <w:r>
              <w:rPr>
                <w:rFonts w:hint="eastAsia" w:ascii="宋体" w:hAnsi="宋体" w:eastAsia="宋体" w:cs="宋体"/>
                <w:color w:val="auto"/>
                <w:sz w:val="21"/>
                <w:szCs w:val="21"/>
                <w:highlight w:val="none"/>
              </w:rPr>
              <w:t xml:space="preserve">12个月以上（自交货验收合格之日起计）在质保期内，乙方应对货物出现的质量及安全问题负责处理解决并承担一切费用。</w:t>
            </w:r>
            <w:r/>
          </w:p>
        </w:tc>
      </w:tr>
      <w:tr>
        <w:trPr>
          <w:jc w:val="center"/>
          <w:trHeight w:val="206"/>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第14.1（5）项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货物回收的约定</w:t>
            </w:r>
            <w:r/>
          </w:p>
        </w:tc>
        <w:tc>
          <w:tcPr>
            <w:tcW w:w="5474"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r>
      <w:tr>
        <w:trPr>
          <w:jc w:val="center"/>
          <w:trHeight w:val="193"/>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第14.1（6）项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乙方提供的其他服务</w:t>
            </w:r>
            <w:r/>
          </w:p>
        </w:tc>
        <w:tc>
          <w:tcPr>
            <w:tcW w:w="5474"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r>
      <w:tr>
        <w:trPr>
          <w:jc w:val="center"/>
          <w:trHeight w:val="566"/>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第15.1款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修理、重作、更换相关具体规定</w:t>
            </w:r>
            <w:r/>
          </w:p>
        </w:tc>
        <w:tc>
          <w:tcPr>
            <w:tcW w:w="5474" w:type="dxa"/>
            <w:vAlign w:val="center"/>
            <w:textDirection w:val="lrTb"/>
            <w:noWrap w:val="false"/>
          </w:tcPr>
          <w:p>
            <w:pPr>
              <w:numPr>
                <w:ilvl w:val="0"/>
                <w:numId w:val="8"/>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详见合同通用条款8.2条款、合同专用条款第二节第8款补充条款及合同专用条款中索赔条款。</w:t>
            </w:r>
            <w:r/>
          </w:p>
          <w:p>
            <w:pPr>
              <w:numPr>
                <w:ilvl w:val="0"/>
                <w:numId w:val="8"/>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405"/>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第15.2（2）项</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迟延交货赔偿费</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1.乙方应按照“开标（报价）一览表”中规定的交货期或承诺交货和提供服务，并交付甲方验收使用。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2.如果乙方无正当理由拖延交货，将受到以下制裁：加收误期赔偿或终止合同。</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乙方逾期交付货物的，乙方应按逾期交货总额每日</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向甲方支付违约金，由甲方从待付货款中扣除。逾期超过约定日期</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4.如乙方不能交付货物，或者有违法转包他人情形，乙方应向甲方支付合同总价</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的滞纳金。</w:t>
            </w:r>
            <w:r/>
          </w:p>
        </w:tc>
      </w:tr>
      <w:tr>
        <w:trPr>
          <w:jc w:val="center"/>
          <w:trHeight w:val="418"/>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第15.3款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逾期付款利息</w:t>
            </w:r>
            <w:r/>
          </w:p>
        </w:tc>
        <w:tc>
          <w:tcPr>
            <w:tcW w:w="5474" w:type="dxa"/>
            <w:vAlign w:val="center"/>
            <w:textDirection w:val="lrTb"/>
            <w:noWrap w:val="false"/>
          </w:tcPr>
          <w:p>
            <w:pPr>
              <w:pStyle w:val="717"/>
              <w:jc w:val="both"/>
              <w:spacing w:before="120" w:beforeAutospacing="0" w:after="12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1.甲方无正当理由拒收货物的，甲方向乙方偿付拒收货款总值</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的违约金。</w:t>
            </w:r>
            <w:r/>
          </w:p>
          <w:p>
            <w:pPr>
              <w:pStyle w:val="717"/>
              <w:jc w:val="both"/>
              <w:spacing w:before="120" w:beforeAutospacing="0" w:after="120" w:afterAutospacing="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2.甲方无故逾期验收和办理货款支付手续的,甲方应按逾期付款总额每日</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向乙方支付违约金。</w:t>
            </w:r>
            <w:r/>
          </w:p>
        </w:tc>
      </w:tr>
      <w:tr>
        <w:trPr>
          <w:jc w:val="center"/>
          <w:trHeight w:val="229"/>
        </w:trPr>
        <w:tc>
          <w:tcPr>
            <w:tcBorders>
              <w:bottom w:val="single" w:color="000000" w:sz="2" w:space="0"/>
              <w:right w:val="single" w:color="000000" w:sz="2" w:space="0"/>
            </w:tcBorders>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第15.4款</w:t>
            </w:r>
            <w:r/>
          </w:p>
        </w:tc>
        <w:tc>
          <w:tcPr>
            <w:tcBorders>
              <w:left w:val="single" w:color="000000" w:sz="2" w:space="0"/>
              <w:bottom w:val="single" w:color="000000" w:sz="2" w:space="0"/>
              <w:right w:val="single" w:color="000000" w:sz="2" w:space="0"/>
            </w:tcBorders>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其他违约责任</w:t>
            </w:r>
            <w:r/>
          </w:p>
        </w:tc>
        <w:tc>
          <w:tcPr>
            <w:tcBorders>
              <w:left w:val="single" w:color="000000" w:sz="2" w:space="0"/>
              <w:bottom w:val="single" w:color="000000" w:sz="2" w:space="0"/>
            </w:tcBorders>
            <w:tcW w:w="5474" w:type="dxa"/>
            <w:vAlign w:val="center"/>
            <w:textDirection w:val="lrTb"/>
            <w:noWrap w:val="false"/>
          </w:tcPr>
          <w:p>
            <w:pPr>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1.疫苗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最终交到市、县用户的有效期在7个月（疫苗有效期为12个月的）和11个月（疫苗有效期为18个月的）以上（自交货验收合格之日起计）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2.耳标</w:t>
            </w:r>
            <w:r>
              <w:rPr>
                <w:rFonts w:hint="eastAsia" w:ascii="宋体" w:hAnsi="宋体" w:eastAsia="宋体" w:cs="宋体"/>
                <w:color w:val="auto"/>
                <w:sz w:val="21"/>
                <w:szCs w:val="21"/>
                <w:highlight w:val="none"/>
              </w:rPr>
              <w:t xml:space="preserve">12个月以上（自交货验收合格之日起计）</w:t>
            </w:r>
            <w:r/>
          </w:p>
        </w:tc>
      </w:tr>
      <w:tr>
        <w:trPr>
          <w:jc w:val="center"/>
          <w:trHeight w:val="723"/>
        </w:trPr>
        <w:tc>
          <w:tcPr>
            <w:tcBorders>
              <w:top w:val="single" w:color="000000" w:sz="2" w:space="0"/>
              <w:right w:val="single" w:color="000000" w:sz="2" w:space="0"/>
            </w:tcBorders>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第19.2款</w:t>
            </w:r>
            <w:r/>
          </w:p>
        </w:tc>
        <w:tc>
          <w:tcPr>
            <w:tcBorders>
              <w:top w:val="single" w:color="000000" w:sz="2" w:space="0"/>
              <w:left w:val="single" w:color="000000" w:sz="2" w:space="0"/>
              <w:right w:val="single" w:color="000000" w:sz="2" w:space="0"/>
            </w:tcBorders>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解决争议的方法</w:t>
            </w:r>
            <w:r/>
          </w:p>
        </w:tc>
        <w:tc>
          <w:tcPr>
            <w:tcBorders>
              <w:top w:val="single" w:color="000000" w:sz="2" w:space="0"/>
              <w:left w:val="single" w:color="000000" w:sz="2" w:space="0"/>
            </w:tcBorders>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1.因本合同及合同有关事项发生的争议，由双方协商解决，协商不成时，按下列第</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种方式解决：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（1）向仲裁委员会申请仲裁，仲裁地点为</w:t>
            </w:r>
            <w:r>
              <w:rPr>
                <w:rFonts w:hint="eastAsia" w:ascii="宋体" w:hAnsi="宋体" w:eastAsia="宋体" w:cs="宋体"/>
                <w:color w:val="auto"/>
                <w:sz w:val="21"/>
                <w:szCs w:val="21"/>
                <w:highlight w:val="none"/>
                <w:u w:val="single"/>
                <w:lang w:val="en-US" w:eastAsia="zh-CN"/>
              </w:rPr>
              <w:t xml:space="preserve">东台市</w:t>
            </w:r>
            <w:r>
              <w:rPr>
                <w:rFonts w:hint="eastAsia" w:ascii="宋体" w:hAnsi="宋体" w:eastAsia="宋体" w:cs="宋体"/>
                <w:color w:val="auto"/>
                <w:sz w:val="21"/>
                <w:szCs w:val="21"/>
                <w:highlight w:val="none"/>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（2）向甲方所在地人民法院起诉。</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纠纷解决办法</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1127"/>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第23.1款</w:t>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其他专用条款</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3.验收不合格的货物，乙方应在</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4.货物验收要求</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（1）依照招标文件要求对全部货物、型号、规格、数量、外型、外观、包装及资料、文件（如装箱单、保修单、随箱介质等）进行验收。</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（2）甲方与乙方对货物到货后共同进行开箱检查，出现损坏、数量不全或产品不对等问题时，由乙方负责解决。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（4）乙方应按照本合同规定的时间、地点和方式向乙方交付货物。</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交货时间：</w:t>
            </w:r>
            <w:r>
              <w:rPr>
                <w:rFonts w:hint="eastAsia" w:ascii="宋体" w:hAnsi="宋体" w:eastAsia="宋体" w:cs="宋体"/>
                <w:color w:val="auto"/>
                <w:sz w:val="21"/>
                <w:szCs w:val="21"/>
                <w:highlight w:val="none"/>
                <w:u w:val="single"/>
              </w:rPr>
              <w:t xml:space="preserve">接供货通知后</w:t>
            </w:r>
            <w:r>
              <w:rPr>
                <w:rFonts w:hint="eastAsia" w:ascii="宋体" w:hAnsi="宋体" w:eastAsia="宋体" w:cs="宋体"/>
                <w:color w:val="auto"/>
                <w:sz w:val="21"/>
                <w:szCs w:val="21"/>
                <w:highlight w:val="none"/>
                <w:u w:val="single"/>
                <w:lang w:val="en-US" w:eastAsia="zh-CN"/>
              </w:rPr>
              <w:t xml:space="preserve">三</w:t>
            </w:r>
            <w:r>
              <w:rPr>
                <w:rFonts w:hint="eastAsia" w:ascii="宋体" w:hAnsi="宋体" w:eastAsia="宋体" w:cs="宋体"/>
                <w:color w:val="auto"/>
                <w:sz w:val="21"/>
                <w:szCs w:val="21"/>
                <w:highlight w:val="none"/>
                <w:u w:val="single"/>
              </w:rPr>
              <w:t xml:space="preserve">日内发货。</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u w:val="single"/>
              </w:rPr>
              <w:t xml:space="preserve">市、县用户收货方指定地点</w:t>
            </w:r>
            <w:r>
              <w:rPr>
                <w:rFonts w:hint="eastAsia" w:ascii="宋体" w:hAnsi="宋体" w:eastAsia="宋体" w:cs="宋体"/>
                <w:color w:val="auto"/>
                <w:sz w:val="21"/>
                <w:szCs w:val="21"/>
                <w:highlight w:val="none"/>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（5）甲方应在全部货物到货安装完毕后的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rPr>
              <w:t xml:space="preserve">日内进行验收，验收包括：型号、规格、数量、外观是否完好，安装调试是否合格等。</w:t>
            </w:r>
            <w:r>
              <w:rPr>
                <w:rFonts w:hint="eastAsia" w:ascii="宋体" w:hAnsi="宋体" w:eastAsia="宋体" w:cs="宋体"/>
                <w:color w:val="auto"/>
                <w:sz w:val="21"/>
                <w:szCs w:val="21"/>
                <w:highlight w:val="none"/>
                <w:lang w:val="en-US" w:eastAsia="zh-CN"/>
              </w:rPr>
              <w:t xml:space="preserve">当期</w:t>
            </w:r>
            <w:r>
              <w:rPr>
                <w:rFonts w:hint="eastAsia" w:ascii="宋体" w:hAnsi="宋体" w:eastAsia="宋体" w:cs="宋体"/>
                <w:color w:val="auto"/>
                <w:sz w:val="21"/>
                <w:szCs w:val="21"/>
                <w:highlight w:val="none"/>
              </w:rPr>
              <w:t xml:space="preserve">验收合格后甲方应在</w:t>
            </w:r>
            <w:r>
              <w:rPr>
                <w:rFonts w:hint="eastAsia" w:ascii="宋体" w:hAnsi="宋体" w:eastAsia="宋体" w:cs="宋体"/>
                <w:color w:val="auto"/>
                <w:sz w:val="21"/>
                <w:szCs w:val="21"/>
                <w:highlight w:val="none"/>
                <w:lang w:val="en-US" w:eastAsia="zh-CN"/>
              </w:rPr>
              <w:t xml:space="preserve">当期</w:t>
            </w:r>
            <w:r>
              <w:rPr>
                <w:rFonts w:hint="eastAsia" w:ascii="宋体" w:hAnsi="宋体" w:eastAsia="宋体" w:cs="宋体"/>
                <w:color w:val="auto"/>
                <w:sz w:val="21"/>
                <w:szCs w:val="21"/>
                <w:highlight w:val="none"/>
              </w:rPr>
              <w:t xml:space="preserve">验收报告上签字盖章。</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5"/>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税费</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2.中国政府根据现行税法规定对乙方征收的与本合同有关的一切税费均由乙方负担（免税部分除外）。</w:t>
            </w:r>
            <w:r/>
          </w:p>
        </w:tc>
      </w:tr>
      <w:tr>
        <w:trPr>
          <w:jc w:val="center"/>
          <w:trHeight w:val="245"/>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伴随服务</w:t>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1.乙方应按照国家</w:t>
            </w:r>
            <w:r>
              <w:rPr>
                <w:rFonts w:hint="eastAsia" w:ascii="宋体" w:hAnsi="宋体" w:eastAsia="宋体" w:cs="宋体"/>
                <w:b/>
                <w:color w:val="auto"/>
                <w:sz w:val="21"/>
                <w:szCs w:val="21"/>
                <w:highlight w:val="none"/>
              </w:rPr>
              <w:t xml:space="preserve">“新三包”</w:t>
            </w:r>
            <w:r>
              <w:rPr>
                <w:rFonts w:hint="eastAsia" w:ascii="宋体" w:hAnsi="宋体" w:eastAsia="宋体" w:cs="宋体"/>
                <w:color w:val="auto"/>
                <w:sz w:val="21"/>
                <w:szCs w:val="21"/>
                <w:highlight w:val="none"/>
              </w:rPr>
              <w:t xml:space="preserve">规定和合同中所附的服务承诺提供服务。</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2.除第1条规定外，乙方还应提供下列服务：</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(1) 招标文件中的“服务要求”所规定的服务内容以及投标文件承诺提供的其他服务内容；</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 负责货物的开孔，货物的现场安装；</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 提供货物组装和维修所需的工具；</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 在货物交货现场就货物的安装、启用、维护等对甲方人员进行培训。</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3.伴随服务的费用应含在合同价中，不单独进行支付。</w:t>
            </w:r>
            <w:r/>
          </w:p>
        </w:tc>
      </w:tr>
      <w:tr>
        <w:trPr>
          <w:jc w:val="center"/>
          <w:trHeight w:val="1688"/>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索赔</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1.甲方有权根据当地质检部门出具的检验报告，向乙方提出索赔。</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 根据货物的低劣程度、损坏程度以及甲方所遭受损失的数额，乙方必须降低货物的价格。</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28"/>
        </w:trPr>
        <w:tc>
          <w:tcPr>
            <w:tcW w:w="16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合同生效及其它</w:t>
            </w:r>
            <w:r/>
          </w:p>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54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合同经甲方、乙方盖章后生效。</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货物交付使用后所发生的合同纠纷，由甲方与乙方协商处理。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4.本合同应按照中华人民共和国的现行法律进行解释。本合同未尽事宜，遵照《民法典》、《政府采购法》等有关条文执行。</w:t>
            </w:r>
            <w:r/>
          </w:p>
        </w:tc>
      </w:tr>
    </w:tbl>
    <w:p>
      <w:pPr>
        <w:rPr>
          <w:color w:val="auto"/>
          <w:highlight w:val="none"/>
        </w:rPr>
      </w:pPr>
      <w:r>
        <w:rPr>
          <w:color w:val="auto"/>
          <w:highlight w:val="none"/>
        </w:rPr>
      </w:r>
      <w:r/>
    </w:p>
    <w:p>
      <w:pPr>
        <w:pStyle w:val="717"/>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17"/>
        <w:jc w:val="center"/>
        <w:spacing w:beforeAutospacing="0" w:afterAutospacing="0" w:line="360" w:lineRule="auto"/>
        <w:rPr>
          <w:color w:val="auto"/>
          <w:highlight w:val="none"/>
        </w:rPr>
        <w:outlineLvl w:val="0"/>
      </w:pPr>
      <w:r/>
      <w:bookmarkStart w:id="41" w:name="_Toc11"/>
      <w:r>
        <w:rPr>
          <w:rFonts w:hint="eastAsia" w:ascii="黑体" w:hAnsi="宋体" w:eastAsia="黑体" w:cs="黑体"/>
          <w:color w:val="auto"/>
          <w:sz w:val="44"/>
          <w:szCs w:val="44"/>
          <w:highlight w:val="none"/>
        </w:rPr>
        <w:t xml:space="preserve">第四章 采购需求</w:t>
      </w:r>
      <w:bookmarkEnd w:id="33"/>
      <w:r/>
      <w:bookmarkEnd w:id="41"/>
      <w:r/>
      <w:r/>
    </w:p>
    <w:p>
      <w:pPr>
        <w:spacing w:line="0" w:lineRule="atLeast"/>
        <w:rPr>
          <w:rFonts w:ascii="宋体" w:hAnsi="宋体"/>
          <w:color w:val="auto"/>
          <w:sz w:val="24"/>
          <w:highlight w:val="none"/>
        </w:rPr>
      </w:pPr>
      <w:r>
        <w:rPr>
          <w:rFonts w:hint="eastAsia" w:ascii="宋体" w:hAnsi="宋体"/>
          <w:color w:val="auto"/>
          <w:sz w:val="24"/>
          <w:highlight w:val="none"/>
        </w:rPr>
        <w:t xml:space="preserve">项目属性:货物类项目。</w:t>
      </w:r>
      <w:r/>
    </w:p>
    <w:p>
      <w:pPr>
        <w:ind w:right="0"/>
        <w:jc w:val="left"/>
        <w:keepLines w:val="0"/>
        <w:keepNext w:val="0"/>
        <w:spacing w:before="60" w:beforeAutospacing="0" w:after="60" w:afterAutospacing="0" w:line="460" w:lineRule="atLeast"/>
        <w:widowControl/>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42" w:name="_Hlk149921745"/>
      <w:r/>
      <w:bookmarkStart w:id="43" w:name="_Hlk137060296"/>
      <w:r>
        <w:rPr>
          <w:rFonts w:hint="eastAsia" w:ascii="宋体" w:hAnsi="宋体" w:eastAsia="宋体" w:cs="宋体"/>
          <w:b/>
          <w:bCs/>
          <w:color w:val="auto"/>
          <w:sz w:val="24"/>
          <w:szCs w:val="24"/>
          <w:highlight w:val="none"/>
          <w:lang w:val="en-US" w:eastAsia="zh-CN" w:bidi="ar"/>
        </w:rPr>
        <w:t xml:space="preserve">采购包1、采购包2、采购包3、采购包4、采购包5、采购包6、采购包7、采购包8项目需求</w:t>
      </w:r>
      <w:r/>
    </w:p>
    <w:p>
      <w:pPr>
        <w:ind w:left="0" w:right="0" w:firstLine="482"/>
        <w:jc w:val="left"/>
        <w:keepLines w:val="0"/>
        <w:keepNext w:val="0"/>
        <w:spacing w:before="60" w:beforeAutospacing="0" w:after="6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一、项目属性:货物类项目</w:t>
      </w:r>
      <w:r/>
    </w:p>
    <w:p>
      <w:pPr>
        <w:ind w:firstLine="482"/>
        <w:jc w:val="left"/>
        <w:spacing w:before="60" w:after="60" w:line="46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二、货物名称</w:t>
      </w:r>
      <w:r/>
    </w:p>
    <w:tbl>
      <w:tblPr>
        <w:tblStyle w:val="692"/>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1"/>
        <w:gridCol w:w="1438"/>
        <w:gridCol w:w="1286"/>
        <w:gridCol w:w="967"/>
        <w:gridCol w:w="967"/>
        <w:gridCol w:w="1171"/>
      </w:tblGrid>
      <w:tr>
        <w:trPr>
          <w:jc w:val="center"/>
          <w:trHeight w:val="993"/>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分包号</w:t>
            </w:r>
            <w:r/>
          </w:p>
        </w:tc>
        <w:tc>
          <w:tcPr>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物品名称</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预估数量</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单价限价</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预算金额</w:t>
            </w:r>
            <w:r/>
          </w:p>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主要配置或技术参数</w:t>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猪口蹄疫O型合成肽疫苗</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50ml/瓶</w:t>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30万ml</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1.43元/ml</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43</w:t>
            </w:r>
            <w:r/>
          </w:p>
        </w:tc>
        <w:tc>
          <w:tcPr>
            <w:tcBorders>
              <w:top w:val="single" w:color="auto" w:sz="4" w:space="0"/>
              <w:left w:val="single" w:color="auto" w:sz="4" w:space="0"/>
              <w:right w:val="single" w:color="auto" w:sz="4" w:space="0"/>
            </w:tcBorders>
            <w:tcW w:w="1171" w:type="dxa"/>
            <w:vAlign w:val="center"/>
            <w:vMerge w:val="restart"/>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农业农村部规定标准</w:t>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口蹄疫O型、A型二价灭活疫苗</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50ml/瓶</w:t>
            </w:r>
            <w:r/>
          </w:p>
        </w:tc>
        <w:tc>
          <w:tcPr>
            <w:shd w:val="clear" w:color="auto" w:fill="auto"/>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40万头份</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2元/头份</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80</w:t>
            </w:r>
            <w:r/>
          </w:p>
        </w:tc>
        <w:tc>
          <w:tcPr>
            <w:tcBorders>
              <w:left w:val="single" w:color="auto" w:sz="4" w:space="0"/>
              <w:right w:val="single" w:color="auto" w:sz="4" w:space="0"/>
            </w:tcBorders>
            <w:tcW w:w="1171" w:type="dxa"/>
            <w:vAlign w:val="center"/>
            <w:vMerge w:val="continue"/>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口蹄疫O型、A型二价灭活疫苗</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50ml/瓶</w:t>
            </w:r>
            <w:r/>
          </w:p>
        </w:tc>
        <w:tc>
          <w:tcPr>
            <w:shd w:val="clear" w:color="auto" w:fill="auto"/>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40万头份</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2元/头份</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80</w:t>
            </w:r>
            <w:r/>
          </w:p>
        </w:tc>
        <w:tc>
          <w:tcPr>
            <w:tcBorders>
              <w:left w:val="single" w:color="auto" w:sz="4" w:space="0"/>
              <w:right w:val="single" w:color="auto" w:sz="4" w:space="0"/>
            </w:tcBorders>
            <w:tcW w:w="1171" w:type="dxa"/>
            <w:vAlign w:val="center"/>
            <w:vMerge w:val="continue"/>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小反刍兽疫活疫苗（或含小反刍）</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50头份/瓶</w:t>
            </w:r>
            <w:r/>
          </w:p>
        </w:tc>
        <w:tc>
          <w:tcPr>
            <w:shd w:val="clear" w:color="auto" w:fill="auto"/>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100万头份</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0.3元/ml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30</w:t>
            </w:r>
            <w:r/>
          </w:p>
        </w:tc>
        <w:tc>
          <w:tcPr>
            <w:tcBorders>
              <w:left w:val="single" w:color="auto" w:sz="4" w:space="0"/>
              <w:right w:val="single" w:color="auto" w:sz="4" w:space="0"/>
            </w:tcBorders>
            <w:tcW w:w="1171" w:type="dxa"/>
            <w:vAlign w:val="center"/>
            <w:vMerge w:val="continue"/>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重组禽流感病毒(H5+H7)三价灭活疫苗</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250ml/瓶</w:t>
            </w:r>
            <w:r/>
          </w:p>
        </w:tc>
        <w:tc>
          <w:tcPr>
            <w:shd w:val="clear" w:color="auto" w:fill="auto"/>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550万ml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0.272元/ml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rPr>
              <w:t xml:space="preserve">150</w:t>
            </w:r>
            <w:r/>
          </w:p>
        </w:tc>
        <w:tc>
          <w:tcPr>
            <w:tcBorders>
              <w:left w:val="single" w:color="auto" w:sz="4" w:space="0"/>
              <w:right w:val="single" w:color="auto" w:sz="4" w:space="0"/>
            </w:tcBorders>
            <w:tcW w:w="1171" w:type="dxa"/>
            <w:vAlign w:val="center"/>
            <w:vMerge w:val="continue"/>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重组禽流感病毒(H5+H7)三价灭活疫苗</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250ml/瓶</w:t>
            </w:r>
            <w:r/>
          </w:p>
        </w:tc>
        <w:tc>
          <w:tcPr>
            <w:shd w:val="clear" w:color="auto" w:fill="auto"/>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550万ml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0.272元/ml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rPr>
              <w:t xml:space="preserve">150</w:t>
            </w:r>
            <w:r/>
          </w:p>
        </w:tc>
        <w:tc>
          <w:tcPr>
            <w:tcBorders>
              <w:left w:val="single" w:color="auto" w:sz="4" w:space="0"/>
              <w:right w:val="single" w:color="auto" w:sz="4" w:space="0"/>
            </w:tcBorders>
            <w:tcW w:w="1171" w:type="dxa"/>
            <w:vAlign w:val="center"/>
            <w:vMerge w:val="continue"/>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39"/>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重组禽流感病毒(H5+H7)三价灭活疫苗</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250ml/瓶</w:t>
            </w:r>
            <w:r/>
          </w:p>
        </w:tc>
        <w:tc>
          <w:tcPr>
            <w:shd w:val="clear" w:color="auto" w:fill="auto"/>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550万ml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0.272元/ml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rPr>
              <w:t xml:space="preserve">150</w:t>
            </w:r>
            <w:r/>
          </w:p>
        </w:tc>
        <w:tc>
          <w:tcPr>
            <w:tcBorders>
              <w:left w:val="single" w:color="auto" w:sz="4" w:space="0"/>
              <w:right w:val="single" w:color="auto" w:sz="4" w:space="0"/>
            </w:tcBorders>
            <w:tcW w:w="1171"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679"/>
        </w:trPr>
        <w:tc>
          <w:tcPr>
            <w:shd w:val="clear" w:color="auto" w:fill="auto"/>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2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01"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重组禽流感病毒(H5+H7)三价灭活疫苗</w:t>
            </w:r>
            <w:r/>
          </w:p>
        </w:tc>
        <w:tc>
          <w:tcPr>
            <w:shd w:val="clear" w:color="auto" w:fill="auto"/>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250ml/瓶</w:t>
            </w:r>
            <w:r/>
          </w:p>
        </w:tc>
        <w:tc>
          <w:tcPr>
            <w:shd w:val="clear" w:color="auto" w:fill="auto"/>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550万ml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0.272元/ml</w:t>
            </w:r>
            <w:r/>
          </w:p>
        </w:tc>
        <w:tc>
          <w:tcPr>
            <w:shd w:val="clear" w:color="auto" w:fill="auto"/>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240" w:lineRule="auto"/>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rPr>
              <w:t xml:space="preserve">150</w:t>
            </w:r>
            <w:r/>
          </w:p>
        </w:tc>
        <w:tc>
          <w:tcPr>
            <w:tcBorders>
              <w:left w:val="single" w:color="auto" w:sz="4" w:space="0"/>
              <w:right w:val="single" w:color="auto" w:sz="4" w:space="0"/>
            </w:tcBorders>
            <w:tcW w:w="1171" w:type="dxa"/>
            <w:vAlign w:val="center"/>
            <w:vMerge w:val="continue"/>
            <w:textDirection w:val="lrTb"/>
            <w:noWrap w:val="false"/>
          </w:tcPr>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本项目按各包独立确定中标人；</w:t>
      </w:r>
      <w:r>
        <w:rPr>
          <w:rFonts w:hint="eastAsia" w:ascii="宋体" w:hAnsi="宋体" w:eastAsia="宋体" w:cs="宋体"/>
          <w:color w:val="auto"/>
          <w:sz w:val="24"/>
          <w:szCs w:val="24"/>
          <w:highlight w:val="none"/>
          <w:lang w:eastAsia="zh-CN"/>
        </w:rPr>
        <w:t xml:space="preserve">各分包之间可以单投，也可兼投，同产品分包兼投不兼中，同产品分包在前一采购包推荐为第一中标候选人后不参与后续采购包评审，不同产品分包可兼头兼中</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除上表要求外，还有购买上述疫苗后的配套服务和疫苗配套稀释液。</w:t>
      </w:r>
      <w:r/>
    </w:p>
    <w:p>
      <w:pPr>
        <w:ind w:left="0" w:right="0" w:firstLine="435"/>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 </w:t>
      </w:r>
      <w:bookmarkStart w:id="44" w:name="_Toc504995979"/>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三、数量</w:t>
      </w:r>
      <w:r/>
    </w:p>
    <w:p>
      <w:pPr>
        <w:ind w:left="0" w:right="0" w:firstLine="480"/>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本项目的数额为初步估算，具体发货县级用户书面通知，货款县用户据实结算。</w:t>
      </w:r>
      <w:r/>
    </w:p>
    <w:p>
      <w:pPr>
        <w:ind w:left="0" w:right="0" w:firstLine="482"/>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四、技术条款</w:t>
      </w:r>
      <w:bookmarkEnd w:id="44"/>
      <w:r/>
      <w:r/>
    </w:p>
    <w:p>
      <w:pPr>
        <w:jc w:val="left"/>
        <w:spacing w:before="60" w:after="60" w:line="46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1 质量要求</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 </w:t>
      </w:r>
      <w:r>
        <w:rPr>
          <w:rFonts w:hint="eastAsia" w:ascii="宋体" w:hAnsi="宋体" w:eastAsia="宋体" w:cs="宋体"/>
          <w:i/>
          <w:color w:val="auto"/>
          <w:sz w:val="24"/>
          <w:szCs w:val="24"/>
          <w:highlight w:val="none"/>
          <w:u w:val="single"/>
        </w:rPr>
        <w:t xml:space="preserve">符合农业农村部对动物疫苗的现行相关质量要求。</w:t>
      </w:r>
      <w:r/>
    </w:p>
    <w:p>
      <w:pPr>
        <w:ind w:firstLine="480"/>
        <w:spacing w:line="46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口蹄疫疫苗：效力检验每头份疫苗各毒株的效力应≥10个PD50。其中</w:t>
      </w:r>
      <w:r>
        <w:rPr>
          <w:rFonts w:hint="eastAsia" w:ascii="宋体" w:hAnsi="宋体" w:eastAsia="宋体" w:cs="宋体"/>
          <w:bCs/>
          <w:i/>
          <w:color w:val="auto"/>
          <w:sz w:val="24"/>
          <w:szCs w:val="24"/>
          <w:highlight w:val="none"/>
          <w:u w:val="single"/>
        </w:rPr>
        <w:t xml:space="preserve">猪口蹄疫O型灭活疫苗由缅甸98谱系单毒株，或缅甸98谱系毒株+其他流行毒株制成，或农业农村部批准的其他流行毒株，且符合农业农村部的相应质量标准。</w:t>
      </w:r>
      <w:r/>
    </w:p>
    <w:p>
      <w:pPr>
        <w:ind w:right="-57"/>
        <w:spacing w:line="400" w:lineRule="exact"/>
        <w:widowControl/>
        <w:tabs>
          <w:tab w:val="left" w:pos="590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bidi="ar"/>
        </w:rPr>
        <w:t xml:space="preserve">    </w:t>
      </w:r>
      <w:r>
        <w:rPr>
          <w:rFonts w:hint="eastAsia" w:ascii="宋体" w:hAnsi="宋体" w:eastAsia="宋体" w:cs="宋体"/>
          <w:iCs/>
          <w:color w:val="auto"/>
          <w:sz w:val="24"/>
          <w:szCs w:val="24"/>
          <w:highlight w:val="none"/>
        </w:rPr>
        <w:t xml:space="preserve">小反刍兽疫</w:t>
      </w:r>
      <w:r>
        <w:rPr>
          <w:rFonts w:hint="eastAsia" w:ascii="宋体" w:hAnsi="宋体" w:eastAsia="宋体" w:cs="宋体"/>
          <w:iCs/>
          <w:color w:val="auto"/>
          <w:sz w:val="24"/>
          <w:szCs w:val="24"/>
          <w:highlight w:val="none"/>
          <w:lang w:val="en-US" w:eastAsia="zh-CN"/>
        </w:rPr>
        <w:t xml:space="preserve">二价活</w:t>
      </w:r>
      <w:r>
        <w:rPr>
          <w:rFonts w:hint="eastAsia" w:ascii="宋体" w:hAnsi="宋体" w:eastAsia="宋体" w:cs="宋体"/>
          <w:iCs/>
          <w:color w:val="auto"/>
          <w:sz w:val="24"/>
          <w:szCs w:val="24"/>
          <w:highlight w:val="none"/>
        </w:rPr>
        <w:t xml:space="preserve">疫苗：每头份病毒含量≥10</w:t>
      </w:r>
      <w:r>
        <w:rPr>
          <w:rFonts w:hint="eastAsia" w:ascii="宋体" w:hAnsi="宋体" w:eastAsia="宋体" w:cs="宋体"/>
          <w:iCs/>
          <w:color w:val="auto"/>
          <w:sz w:val="24"/>
          <w:szCs w:val="24"/>
          <w:highlight w:val="none"/>
          <w:vertAlign w:val="superscript"/>
        </w:rPr>
        <w:t xml:space="preserve">3</w:t>
      </w:r>
      <w:r>
        <w:rPr>
          <w:rFonts w:hint="eastAsia" w:ascii="宋体" w:hAnsi="宋体" w:eastAsia="宋体" w:cs="宋体"/>
          <w:iCs/>
          <w:color w:val="auto"/>
          <w:sz w:val="24"/>
          <w:szCs w:val="24"/>
          <w:highlight w:val="none"/>
        </w:rPr>
        <w:t xml:space="preserve">TCID</w:t>
      </w:r>
      <w:r>
        <w:rPr>
          <w:rFonts w:hint="eastAsia" w:ascii="宋体" w:hAnsi="宋体" w:eastAsia="宋体" w:cs="宋体"/>
          <w:iCs/>
          <w:color w:val="auto"/>
          <w:sz w:val="24"/>
          <w:szCs w:val="24"/>
          <w:highlight w:val="none"/>
          <w:vertAlign w:val="subscript"/>
        </w:rPr>
        <w:t xml:space="preserve">50</w:t>
      </w:r>
      <w:r>
        <w:rPr>
          <w:rFonts w:hint="eastAsia" w:ascii="宋体" w:hAnsi="宋体" w:eastAsia="宋体" w:cs="宋体"/>
          <w:iCs/>
          <w:color w:val="auto"/>
          <w:sz w:val="24"/>
          <w:szCs w:val="24"/>
          <w:highlight w:val="none"/>
        </w:rPr>
        <w:t xml:space="preserve">。</w:t>
      </w:r>
      <w:r/>
    </w:p>
    <w:p>
      <w:pPr>
        <w:ind w:firstLine="480"/>
        <w:spacing w:line="46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bidi="ar"/>
        </w:rPr>
        <w:t xml:space="preserve">重组禽流感病毒(H5+H7)三价灭活疫苗</w:t>
      </w:r>
      <w:r>
        <w:rPr>
          <w:rFonts w:hint="eastAsia" w:ascii="宋体" w:hAnsi="宋体" w:eastAsia="宋体" w:cs="宋体"/>
          <w:iCs/>
          <w:color w:val="auto"/>
          <w:sz w:val="24"/>
          <w:szCs w:val="24"/>
          <w:highlight w:val="none"/>
        </w:rPr>
        <w:t xml:space="preserve">：</w:t>
      </w:r>
      <w:r>
        <w:rPr>
          <w:rFonts w:hint="eastAsia" w:ascii="宋体" w:hAnsi="宋体" w:eastAsia="宋体" w:cs="宋体"/>
          <w:color w:val="auto"/>
          <w:sz w:val="24"/>
          <w:szCs w:val="24"/>
          <w:highlight w:val="none"/>
          <w:shd w:val="clear" w:color="auto" w:fill="ffffff"/>
        </w:rPr>
        <w:t xml:space="preserve">HA效价不低于1∶512。</w:t>
      </w:r>
      <w:r>
        <w:rPr>
          <w:rFonts w:hint="eastAsia" w:ascii="宋体" w:hAnsi="宋体" w:eastAsia="宋体" w:cs="宋体"/>
          <w:bCs/>
          <w:color w:val="auto"/>
          <w:sz w:val="24"/>
          <w:szCs w:val="24"/>
          <w:highlight w:val="none"/>
        </w:rPr>
        <w:t xml:space="preserve">疫苗必须符合农业农村部发布的“重组禽流感病毒（H5+H7）三价灭活疫苗质量标准”；</w:t>
      </w:r>
      <w:r>
        <w:rPr>
          <w:rFonts w:hint="eastAsia" w:ascii="宋体" w:hAnsi="宋体" w:eastAsia="宋体" w:cs="宋体"/>
          <w:bCs/>
          <w:i/>
          <w:color w:val="auto"/>
          <w:sz w:val="24"/>
          <w:szCs w:val="24"/>
          <w:highlight w:val="none"/>
          <w:u w:val="single"/>
        </w:rPr>
        <w:t xml:space="preserve">疫苗的制苗毒株为H5N6 H5–Re13株+H5N8 H5–Re14株+H7N9 H7–Re4株，或者农业农村部批准的其他最新流行毒株，且符合农业农村部的相应质量标准。</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 产品质量控制。针对自身产品开展调查；为提升产品质量开展产品控制、经费投入、创新研究、技术合作等措施。品控后产品质量提高，免疫副反应降低，抗体合格率提高，更能满足市场需求。投标企业在管理中的软、硬件设施，生产环节管理，原、辅料把控等方面进行综合质量控制。</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 投标人必须提供2023年以来中国兽医药品监察所CMA检测报告；如2023年以来某个疫苗品种中监所确实没有抽检，则必须提供2023年以来连续五个批次的批签发报告（</w:t>
      </w:r>
      <w:r>
        <w:rPr>
          <w:rFonts w:hint="eastAsia" w:ascii="宋体" w:hAnsi="宋体" w:eastAsia="宋体" w:cs="宋体"/>
          <w:iCs/>
          <w:color w:val="auto"/>
          <w:sz w:val="24"/>
          <w:szCs w:val="24"/>
          <w:highlight w:val="none"/>
        </w:rPr>
        <w:t xml:space="preserve">有CMA报告不提供，而只提供批签发报告者，视作无检测报告</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 招标之前或之后，如遇农业农村部政策调整，有关疫苗品种、毒株变更，相应产品直接变更。</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 </w:t>
      </w:r>
      <w:r>
        <w:rPr>
          <w:rFonts w:hint="eastAsia" w:ascii="宋体" w:hAnsi="宋体" w:eastAsia="宋体" w:cs="宋体"/>
          <w:i/>
          <w:iCs/>
          <w:color w:val="auto"/>
          <w:sz w:val="24"/>
          <w:szCs w:val="24"/>
          <w:highlight w:val="none"/>
          <w:u w:val="single"/>
        </w:rPr>
        <w:t xml:space="preserve">参加口蹄疫和高致病性禽流感投标的疫苗投标供应商，根据“</w:t>
      </w:r>
      <w:r>
        <w:rPr>
          <w:rFonts w:hint="eastAsia" w:ascii="宋体" w:hAnsi="宋体" w:eastAsia="宋体" w:cs="宋体"/>
          <w:i/>
          <w:iCs/>
          <w:color w:val="auto"/>
          <w:spacing w:val="6"/>
          <w:sz w:val="24"/>
          <w:szCs w:val="24"/>
          <w:highlight w:val="none"/>
          <w:u w:val="single"/>
        </w:rPr>
        <w:t xml:space="preserve">农办牧</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pacing w:val="6"/>
          <w:sz w:val="24"/>
          <w:szCs w:val="24"/>
          <w:highlight w:val="none"/>
          <w:u w:val="single"/>
        </w:rPr>
        <w:t xml:space="preserve">2018</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pacing w:val="6"/>
          <w:sz w:val="24"/>
          <w:szCs w:val="24"/>
          <w:highlight w:val="none"/>
          <w:u w:val="single"/>
        </w:rPr>
        <w:t xml:space="preserve">74号</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pacing w:val="6"/>
          <w:sz w:val="24"/>
          <w:szCs w:val="24"/>
          <w:highlight w:val="none"/>
          <w:u w:val="single"/>
        </w:rPr>
        <w:t xml:space="preserve">文件规定，其所投的高致病性禽流感、口蹄疫疫苗需提供本企业生产工艺、固化控制指标</w:t>
      </w:r>
      <w:r>
        <w:rPr>
          <w:rFonts w:hint="eastAsia" w:ascii="宋体" w:hAnsi="宋体" w:eastAsia="宋体" w:cs="宋体"/>
          <w:i/>
          <w:iCs/>
          <w:color w:val="auto"/>
          <w:sz w:val="24"/>
          <w:szCs w:val="24"/>
          <w:highlight w:val="none"/>
          <w:u w:val="single"/>
        </w:rPr>
        <w:t xml:space="preserve">〔包含但不限于如下内容：培养方法、抗原含量、佐剂类型等〕承诺。不得擅自改变疫苗生产工艺。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val="en-US" w:eastAsia="zh-CN"/>
        </w:rPr>
        <w:t xml:space="preserve">4</w:t>
      </w:r>
      <w:r>
        <w:rPr>
          <w:rFonts w:hint="eastAsia" w:ascii="宋体" w:hAnsi="宋体" w:eastAsia="宋体" w:cs="宋体"/>
          <w:iCs/>
          <w:color w:val="auto"/>
          <w:sz w:val="24"/>
          <w:szCs w:val="24"/>
          <w:highlight w:val="none"/>
        </w:rPr>
        <w:t xml:space="preserve">.1.6 </w:t>
      </w:r>
      <w:r>
        <w:rPr>
          <w:rFonts w:hint="eastAsia" w:ascii="宋体" w:hAnsi="宋体" w:eastAsia="宋体" w:cs="宋体"/>
          <w:color w:val="auto"/>
          <w:sz w:val="24"/>
          <w:szCs w:val="24"/>
          <w:highlight w:val="none"/>
        </w:rPr>
        <w:t xml:space="preserve">按规定具有完备的检测设备和人员，并能按规定标准和方法实施正常检测，各项制度、记录规范、齐全。</w:t>
      </w:r>
      <w:r/>
    </w:p>
    <w:p>
      <w:pPr>
        <w:ind w:left="0" w:right="0" w:firstLine="435"/>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45" w:name="_Toc504995980"/>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五、商务条款</w:t>
      </w:r>
      <w:bookmarkEnd w:id="45"/>
      <w:r/>
      <w:r/>
    </w:p>
    <w:p>
      <w:pPr>
        <w:ind w:firstLine="48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.1 质保期</w:t>
      </w:r>
      <w:r/>
    </w:p>
    <w:p>
      <w:pPr>
        <w:ind w:left="0" w:right="0" w:firstLine="480"/>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Cs/>
          <w:color w:val="auto"/>
          <w:sz w:val="24"/>
          <w:szCs w:val="24"/>
          <w:highlight w:val="none"/>
        </w:rPr>
        <w:t xml:space="preserve">投标人承诺投标产品最终交到县用户的有效期在7个月（疫苗有效期为12个月的）和11个月（疫苗有效期为18个月的）以上（自交货验收合格之日起计）。</w:t>
      </w:r>
      <w:r/>
    </w:p>
    <w:p>
      <w:pPr>
        <w:ind w:firstLine="48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.2 服务与培训</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 投标人提供详细的应急处理方案，内容包括免疫副反应的处理、理赔，用户反映问题的处理，用户走访等。免疫副反应和用户反映问题处理及时、理赔手续简化快速，服务内容量化，可操作性较强。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 投标人提供包含冷链运输方式、全程温度管理、突发事件处理等方面的冷链运输方案。重点服务项目明确、服务内容量化，有利于冷链运输管理，可操作性较强。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 投标人提供废弃疫苗瓶回收、处理方案。包括回收的品种、数量等，如何处理回收的废弃疫苗瓶。重点服务项目明确、内容量化，符合环保部门要求，可操作性较强。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 投标人提供培训方案。内容包括培训的内容、师资力量、区域、计划等。培训内容符合当前重大动物疫病防控需求，内容新颖实用，服务内容量化，可操作性较强。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 投标人提供强制免疫“先打后补”实施方案。内容包括投标人对强制免疫“先打后补”政策实施过程中提供的实施方案、案例。能积极配合江苏省各地强制免疫“先打后补”工作。</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5.3</w:t>
      </w:r>
      <w:r>
        <w:rPr>
          <w:rFonts w:hint="eastAsia" w:ascii="宋体" w:hAnsi="宋体" w:eastAsia="宋体" w:cs="宋体"/>
          <w:color w:val="auto"/>
          <w:sz w:val="24"/>
          <w:highlight w:val="none"/>
        </w:rPr>
        <w:t xml:space="preserve">投标人提供市场自律承诺。根据“</w:t>
      </w:r>
      <w:r>
        <w:rPr>
          <w:rFonts w:hint="eastAsia" w:ascii="宋体" w:hAnsi="宋体" w:eastAsia="宋体" w:cs="宋体"/>
          <w:color w:val="auto"/>
          <w:spacing w:val="6"/>
          <w:sz w:val="24"/>
          <w:highlight w:val="none"/>
        </w:rPr>
        <w:t xml:space="preserve">农办牧</w:t>
      </w:r>
      <w:r>
        <w:rPr>
          <w:rFonts w:hint="eastAsia" w:ascii="宋体" w:hAnsi="宋体" w:eastAsia="宋体" w:cs="宋体"/>
          <w:color w:val="auto"/>
          <w:sz w:val="24"/>
          <w:highlight w:val="none"/>
        </w:rPr>
        <w:t xml:space="preserve">〔</w:t>
      </w:r>
      <w:r>
        <w:rPr>
          <w:rFonts w:hint="eastAsia" w:ascii="宋体" w:hAnsi="宋体" w:eastAsia="宋体" w:cs="宋体"/>
          <w:color w:val="auto"/>
          <w:spacing w:val="6"/>
          <w:sz w:val="24"/>
          <w:highlight w:val="none"/>
        </w:rPr>
        <w:t xml:space="preserve">2018</w:t>
      </w:r>
      <w:r>
        <w:rPr>
          <w:rFonts w:hint="eastAsia" w:ascii="宋体" w:hAnsi="宋体" w:eastAsia="宋体" w:cs="宋体"/>
          <w:color w:val="auto"/>
          <w:sz w:val="24"/>
          <w:highlight w:val="none"/>
        </w:rPr>
        <w:t xml:space="preserve">〕</w:t>
      </w:r>
      <w:r>
        <w:rPr>
          <w:rFonts w:hint="eastAsia" w:ascii="宋体" w:hAnsi="宋体" w:eastAsia="宋体" w:cs="宋体"/>
          <w:color w:val="auto"/>
          <w:spacing w:val="6"/>
          <w:sz w:val="24"/>
          <w:highlight w:val="none"/>
        </w:rPr>
        <w:t xml:space="preserve">74号</w:t>
      </w:r>
      <w:r>
        <w:rPr>
          <w:rFonts w:hint="eastAsia" w:ascii="宋体" w:hAnsi="宋体" w:eastAsia="宋体" w:cs="宋体"/>
          <w:color w:val="auto"/>
          <w:sz w:val="24"/>
          <w:highlight w:val="none"/>
        </w:rPr>
        <w:t xml:space="preserve">”</w:t>
      </w:r>
      <w:r>
        <w:rPr>
          <w:rFonts w:hint="eastAsia" w:ascii="宋体" w:hAnsi="宋体" w:eastAsia="宋体" w:cs="宋体"/>
          <w:color w:val="auto"/>
          <w:spacing w:val="6"/>
          <w:sz w:val="24"/>
          <w:highlight w:val="none"/>
        </w:rPr>
        <w:t xml:space="preserve">文件规定，</w:t>
      </w:r>
      <w:r>
        <w:rPr>
          <w:rFonts w:hint="eastAsia" w:ascii="宋体" w:hAnsi="宋体" w:eastAsia="宋体" w:cs="宋体"/>
          <w:color w:val="auto"/>
          <w:sz w:val="24"/>
          <w:highlight w:val="none"/>
        </w:rPr>
        <w:t xml:space="preserve">口蹄疫和高致病性禽流感产品投标人必须对其自身市场行为自律做出郑重承诺：同一批准文号的入围品种疫苗在本区域内不得出现不同标签和说明书的产品，一经发现，立即终止合同并承担约定的违约金。未对上述内容做出承诺的，将视为未实质性响应招标文件要求做无效标处理。</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5.4 货物签收</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由订货方实施</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收。</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5.5 合同部分内容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.5.1 交货期、交货方式及交货地点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（1）交货期：接供货通知后，</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日内发货；</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（2）交货方式：按照疫苗的运输管理具体要求，快速送达交货地点。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（3）交货地点：收货方指定地点。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.5.2 货款支付</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自合同签订生效之日起，收到乙方发票10个工作日内，甲方向乙方支付合同总价的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款项作为预付款；</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货物送达后，由收货人逐一清点无误后，按照财政资金管理相关规定办理资金支付手续；</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在签订合同时，乙方明确表示无需预付款或者主动要求降低预付款比例的，甲方可不适用上述关于预付款的规定。</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结算款项时乙方须出具相应金额的有效票据。</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甲方原则上自收到发票后10个工作日内将资金支付到乙方账户。</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.5.3 投标货币：人民币</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5.6 货物验收</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 xml:space="preserve">动物疫苗的验收，由送达地的动物疫病预防控制机构（以下简称收货方），根据动物疫苗有关质量要求等实施验收，并出具验收合格书面证明；交货时收货方对疫苗产品进行抽检，液态疫苗如发现产品有沉淀、混浊、分层、破乳等质变先兆，收货方拒收；上述凭现状的初步验收，不能解除在使用过程中供方对货物的内部缺陷应负的责任。</w:t>
      </w:r>
      <w:r/>
    </w:p>
    <w:p>
      <w:pPr>
        <w:pStyle w:val="697"/>
        <w:ind w:firstLine="420"/>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六、采购标的对应的中小企业划分标准所属行业一览表</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4300"/>
        <w:gridCol w:w="3727"/>
      </w:tblGrid>
      <w:tr>
        <w:trPr>
          <w:cantSplit/>
          <w:jc w:val="center"/>
          <w:trHeight w:val="586"/>
        </w:trPr>
        <w:tc>
          <w:tcPr>
            <w:tcW w:w="712" w:type="dxa"/>
            <w:vAlign w:val="center"/>
            <w:textDirection w:val="lrTb"/>
            <w:noWrap w:val="false"/>
          </w:tcPr>
          <w:p>
            <w:pPr>
              <w:jc w:val="center"/>
              <w:spacing w:line="0" w:lineRule="atLeas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包号</w:t>
            </w:r>
            <w:r/>
          </w:p>
        </w:tc>
        <w:tc>
          <w:tcPr>
            <w:tcW w:w="430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采购</w:t>
            </w:r>
            <w:r>
              <w:rPr>
                <w:rFonts w:ascii="宋体" w:hAnsi="宋体"/>
                <w:color w:val="auto"/>
                <w:sz w:val="24"/>
                <w:highlight w:val="none"/>
              </w:rPr>
              <w:t xml:space="preserve">标的</w:t>
            </w:r>
            <w:r/>
          </w:p>
        </w:tc>
        <w:tc>
          <w:tcPr>
            <w:tcW w:w="3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对应中</w:t>
            </w:r>
            <w:r>
              <w:rPr>
                <w:rFonts w:ascii="宋体" w:hAnsi="宋体"/>
                <w:color w:val="auto"/>
                <w:sz w:val="24"/>
                <w:highlight w:val="none"/>
              </w:rPr>
              <w:t xml:space="preserve">小企业划分标准所属行业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1</w:t>
            </w:r>
            <w:r/>
          </w:p>
        </w:tc>
        <w:tc>
          <w:tcPr>
            <w:tcW w:w="4300" w:type="dxa"/>
            <w:vAlign w:val="center"/>
            <w:textDirection w:val="lrTb"/>
            <w:noWrap w:val="false"/>
          </w:tcPr>
          <w:p>
            <w:pPr>
              <w:jc w:val="center"/>
              <w:spacing w:line="240" w:lineRule="exact"/>
              <w:widowControl/>
              <w:rPr>
                <w:rFonts w:ascii="宋体" w:hAnsi="宋体" w:eastAsia="宋体" w:cs="Times New Roman"/>
                <w:color w:val="auto"/>
                <w:sz w:val="24"/>
                <w:highlight w:val="none"/>
              </w:rPr>
            </w:pPr>
            <w:r>
              <w:rPr>
                <w:rFonts w:hint="eastAsia" w:ascii="宋体" w:hAnsi="宋体" w:eastAsia="宋体" w:cs="宋体"/>
                <w:color w:val="auto"/>
                <w:sz w:val="24"/>
                <w:szCs w:val="24"/>
                <w:highlight w:val="none"/>
                <w:lang w:bidi="ar"/>
              </w:rPr>
              <w:t xml:space="preserve">猪口蹄疫O型合成肽疫苗</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2</w:t>
            </w:r>
            <w:r/>
          </w:p>
        </w:tc>
        <w:tc>
          <w:tcPr>
            <w:tcW w:w="4300" w:type="dxa"/>
            <w:vAlign w:val="center"/>
            <w:textDirection w:val="lrTb"/>
            <w:noWrap w:val="false"/>
          </w:tcPr>
          <w:p>
            <w:pPr>
              <w:jc w:val="center"/>
              <w:spacing w:line="240" w:lineRule="exact"/>
              <w:widowControl/>
              <w:rPr>
                <w:rFonts w:ascii="宋体" w:hAnsi="宋体" w:eastAsia="宋体" w:cs="Times New Roman"/>
                <w:color w:val="auto"/>
                <w:sz w:val="24"/>
                <w:highlight w:val="none"/>
              </w:rPr>
            </w:pPr>
            <w:r>
              <w:rPr>
                <w:rFonts w:hint="eastAsia" w:ascii="宋体" w:hAnsi="宋体" w:eastAsia="宋体" w:cs="宋体"/>
                <w:color w:val="auto"/>
                <w:sz w:val="24"/>
                <w:szCs w:val="24"/>
                <w:highlight w:val="none"/>
                <w:lang w:bidi="ar"/>
              </w:rPr>
              <w:t xml:space="preserve">口蹄疫O型、A型二价灭活疫苗</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w:t>
            </w:r>
            <w:r/>
          </w:p>
        </w:tc>
        <w:tc>
          <w:tcPr>
            <w:tcW w:w="4300"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口蹄疫O型、A型二价灭活疫苗</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4300"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小反刍兽疫活疫苗（或含小反刍）</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4300"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重组禽流感病毒(H5+H7)三价灭活疫苗</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4300"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重组禽流感病毒(H5+H7)三价灭活疫苗</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4300"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重组禽流感病毒(H5+H7)三价灭活疫苗</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565"/>
        </w:trPr>
        <w:tc>
          <w:tcPr>
            <w:tcW w:w="712"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8</w:t>
            </w:r>
            <w:r/>
          </w:p>
        </w:tc>
        <w:tc>
          <w:tcPr>
            <w:tcW w:w="4300"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重组禽流感病毒(H5+H7)三价灭活疫苗</w:t>
            </w:r>
            <w:r/>
          </w:p>
        </w:tc>
        <w:tc>
          <w:tcPr>
            <w:tcW w:w="3727"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bl>
    <w:p>
      <w:pP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br w:type="page" w:clear="all"/>
      </w:r>
      <w:r/>
    </w:p>
    <w:p>
      <w:pPr>
        <w:ind w:right="0"/>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采购包9：猪耳标 ；采购包10：羊耳标需求</w:t>
      </w:r>
      <w:r/>
    </w:p>
    <w:p>
      <w:pPr>
        <w:ind w:left="0" w:right="0" w:firstLine="482"/>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一、项目属性:货物类项目</w:t>
      </w:r>
      <w:r/>
    </w:p>
    <w:p>
      <w:pPr>
        <w:ind w:left="0" w:right="0" w:firstLine="482"/>
        <w:jc w:val="left"/>
        <w:keepLines w:val="0"/>
        <w:keepNext w:val="0"/>
        <w:spacing w:before="60" w:beforeAutospacing="0" w:after="60" w:afterAutospacing="0" w:line="46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二、货物名称</w:t>
      </w:r>
      <w:r/>
    </w:p>
    <w:tbl>
      <w:tblPr>
        <w:tblStyle w:val="69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209"/>
        <w:gridCol w:w="1828"/>
        <w:gridCol w:w="872"/>
        <w:gridCol w:w="828"/>
        <w:gridCol w:w="1387"/>
        <w:gridCol w:w="1160"/>
        <w:gridCol w:w="1160"/>
      </w:tblGrid>
      <w:tr>
        <w:trPr>
          <w:jc w:val="center"/>
          <w:trHeight w:val="902"/>
        </w:trPr>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分包号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物品名称</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ind w:firstLine="422"/>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型   号</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预估数量</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单价限价</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预算金额</w:t>
            </w:r>
            <w:r/>
          </w:p>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主要配置或技术参数</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备注</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猪耳标</w:t>
            </w:r>
            <w:r/>
          </w:p>
        </w:tc>
        <w:tc>
          <w:tcPr>
            <w:shd w:val="clear" w:color="auto" w:fill="auto"/>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spacing w:line="2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国标</w:t>
            </w:r>
            <w:r/>
          </w:p>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（聚氨酯、全铜头等)</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160万套</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0.33</w:t>
            </w:r>
            <w:r>
              <w:rPr>
                <w:rFonts w:hint="eastAsia" w:ascii="宋体" w:hAnsi="宋体" w:eastAsia="宋体" w:cs="宋体"/>
                <w:color w:val="auto"/>
                <w:sz w:val="24"/>
                <w:highlight w:val="none"/>
                <w:lang w:val="en-US" w:eastAsia="zh-CN"/>
              </w:rPr>
              <w:t xml:space="preserve">元</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spacing w:line="24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53</w:t>
            </w:r>
            <w:r/>
          </w:p>
        </w:tc>
        <w:tc>
          <w:tcPr>
            <w:shd w:val="clear" w:color="auto" w:fill="auto"/>
            <w:tcBorders>
              <w:top w:val="single" w:color="auto" w:sz="4" w:space="0"/>
              <w:left w:val="single" w:color="auto" w:sz="4" w:space="0"/>
              <w:right w:val="single" w:color="auto" w:sz="4" w:space="0"/>
            </w:tcBorders>
            <w:tcW w:w="1160" w:type="dxa"/>
            <w:vAlign w:val="center"/>
            <w:vMerge w:val="restart"/>
            <w:textDirection w:val="lrTb"/>
            <w:noWrap w:val="false"/>
          </w:tcPr>
          <w:p>
            <w:pPr>
              <w:ind w:left="0" w:right="0"/>
              <w:jc w:val="center"/>
              <w:keepLines w:val="0"/>
              <w:keepNext w:val="0"/>
              <w:spacing w:before="0" w:beforeAutospacing="0" w:after="0" w:afterAutospacing="0" w:line="270" w:lineRule="atLeast"/>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农办牧〔2021〕3号文规定</w:t>
            </w:r>
            <w:r/>
          </w:p>
        </w:tc>
        <w:tc>
          <w:tcPr>
            <w:shd w:val="clear" w:color="auto" w:fill="auto"/>
            <w:tcBorders>
              <w:top w:val="single" w:color="auto" w:sz="4" w:space="0"/>
              <w:left w:val="single" w:color="auto" w:sz="4" w:space="0"/>
              <w:right w:val="single" w:color="auto" w:sz="4" w:space="0"/>
            </w:tcBorders>
            <w:tcW w:w="1160" w:type="dxa"/>
            <w:vAlign w:val="center"/>
            <w:vMerge w:val="restart"/>
            <w:textDirection w:val="lrTb"/>
            <w:noWrap w:val="false"/>
          </w:tcPr>
          <w:p>
            <w:pPr>
              <w:jc w:val="center"/>
              <w:spacing w:line="32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数量以实际需求为准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24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羊耳标</w:t>
            </w:r>
            <w:r/>
          </w:p>
        </w:tc>
        <w:tc>
          <w:tcPr>
            <w:shd w:val="clear" w:color="auto" w:fill="auto"/>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spacing w:line="2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国标</w:t>
            </w:r>
            <w:r/>
          </w:p>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（聚氨酯、全铜头等)</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40万套</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2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0.35</w:t>
            </w:r>
            <w:r>
              <w:rPr>
                <w:rFonts w:hint="eastAsia" w:ascii="宋体" w:hAnsi="宋体" w:eastAsia="宋体" w:cs="宋体"/>
                <w:color w:val="auto"/>
                <w:sz w:val="24"/>
                <w:highlight w:val="none"/>
                <w:lang w:val="en-US" w:eastAsia="zh-CN"/>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spacing w:line="240" w:lineRule="exact"/>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rPr>
              <w:t xml:space="preserve">14</w:t>
            </w:r>
            <w:r/>
          </w:p>
        </w:tc>
        <w:tc>
          <w:tcPr>
            <w:tcBorders>
              <w:left w:val="single" w:color="auto" w:sz="4" w:space="0"/>
              <w:right w:val="single" w:color="auto" w:sz="4" w:space="0"/>
            </w:tcBorders>
            <w:tcW w:w="1160" w:type="dxa"/>
            <w:vAlign w:val="center"/>
            <w:vMerge w:val="continue"/>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160" w:type="dxa"/>
            <w:vAlign w:val="center"/>
            <w:vMerge w:val="continue"/>
            <w:textDirection w:val="lrTb"/>
            <w:noWrap w:val="false"/>
          </w:tcPr>
          <w:p>
            <w:pPr>
              <w:jc w:val="center"/>
              <w:spacing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w:t>
      </w:r>
      <w:bookmarkStart w:id="46" w:name="OLE_LINK7"/>
      <w:r>
        <w:rPr>
          <w:rFonts w:hint="eastAsia" w:ascii="宋体" w:hAnsi="宋体" w:eastAsia="宋体" w:cs="宋体"/>
          <w:color w:val="auto"/>
          <w:sz w:val="24"/>
          <w:szCs w:val="24"/>
          <w:highlight w:val="none"/>
          <w:lang w:val="en-US" w:eastAsia="zh-CN"/>
        </w:rPr>
        <w:t xml:space="preserve">.在不超出控制单价基础上，以投标报价总计列入价格评价标准。</w:t>
      </w:r>
      <w:bookmarkEnd w:id="46"/>
      <w:r/>
      <w:r/>
    </w:p>
    <w:p>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2.所列数量为暂定数量，仅作参考，供应商必须充分考虑价格变动带来的风险。（</w:t>
      </w:r>
      <w:bookmarkStart w:id="47" w:name="OLE_LINK18"/>
      <w:r>
        <w:rPr>
          <w:rFonts w:hint="eastAsia" w:ascii="宋体" w:hAnsi="宋体" w:eastAsia="宋体" w:cs="宋体"/>
          <w:color w:val="auto"/>
          <w:sz w:val="24"/>
          <w:szCs w:val="24"/>
          <w:highlight w:val="none"/>
          <w:lang w:val="en-US" w:eastAsia="zh-CN"/>
        </w:rPr>
        <w:t xml:space="preserve">数量以实际需求为准</w:t>
      </w:r>
      <w:bookmarkEnd w:id="47"/>
      <w:r>
        <w:rPr>
          <w:rFonts w:hint="eastAsia" w:ascii="宋体" w:hAnsi="宋体" w:eastAsia="宋体" w:cs="宋体"/>
          <w:color w:val="auto"/>
          <w:sz w:val="24"/>
          <w:szCs w:val="24"/>
          <w:highlight w:val="none"/>
          <w:lang w:val="en-US" w:eastAsia="zh-CN"/>
        </w:rPr>
        <w:t xml:space="preserve">）</w:t>
      </w:r>
      <w:r/>
    </w:p>
    <w:p>
      <w:pPr>
        <w:ind w:firstLine="645"/>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本项目按各分包独立确定中标人；</w:t>
      </w:r>
      <w:r>
        <w:rPr>
          <w:rFonts w:hint="eastAsia" w:ascii="宋体" w:hAnsi="宋体" w:eastAsia="宋体" w:cs="宋体"/>
          <w:color w:val="auto"/>
          <w:sz w:val="24"/>
          <w:szCs w:val="24"/>
          <w:highlight w:val="none"/>
          <w:lang w:eastAsia="zh-CN"/>
        </w:rPr>
        <w:t xml:space="preserve">各分包之间可以单投，也可兼投，同产品分包兼投不兼中，同产品分包在前一采购包推荐为第一中标候选人后不参与后续采购包评审，不同产品分包可兼头兼中</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w:t>
      </w:r>
      <w:r>
        <w:rPr>
          <w:rFonts w:hint="eastAsia" w:ascii="宋体" w:hAnsi="宋体" w:eastAsia="宋体" w:cs="宋体"/>
          <w:color w:val="auto"/>
          <w:sz w:val="24"/>
          <w:szCs w:val="24"/>
          <w:highlight w:val="none"/>
        </w:rPr>
        <w:t xml:space="preserve">除上表要求外，还有购买上述耳标后的配套服务，以及耳标配套耳标钳、针。</w:t>
      </w:r>
      <w:r/>
    </w:p>
    <w:p>
      <w:pPr>
        <w:ind w:firstLine="64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2.3本项目不接受进口产品投标，必须为耳标制造商投标。</w:t>
      </w:r>
      <w:r/>
    </w:p>
    <w:p>
      <w:pPr>
        <w:numPr>
          <w:ilvl w:val="0"/>
          <w:numId w:val="0"/>
        </w:numPr>
        <w:ind w:firstLine="482"/>
        <w:jc w:val="left"/>
        <w:spacing w:before="60" w:after="60" w:line="46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本项目的</w:t>
      </w:r>
      <w:r>
        <w:rPr>
          <w:rFonts w:hint="eastAsia" w:ascii="宋体" w:hAnsi="宋体" w:eastAsia="宋体" w:cs="宋体"/>
          <w:b/>
          <w:color w:val="auto"/>
          <w:sz w:val="24"/>
          <w:szCs w:val="24"/>
          <w:highlight w:val="none"/>
          <w:lang w:val="en-US" w:eastAsia="zh-CN"/>
        </w:rPr>
        <w:t xml:space="preserve">供货数量</w:t>
      </w:r>
      <w:r>
        <w:rPr>
          <w:rFonts w:hint="eastAsia" w:ascii="宋体" w:hAnsi="宋体" w:eastAsia="宋体" w:cs="宋体"/>
          <w:b/>
          <w:color w:val="auto"/>
          <w:sz w:val="24"/>
          <w:szCs w:val="24"/>
          <w:highlight w:val="none"/>
        </w:rPr>
        <w:t xml:space="preserve">比例为</w:t>
      </w:r>
      <w:r>
        <w:rPr>
          <w:rFonts w:hint="eastAsia" w:ascii="宋体" w:hAnsi="宋体" w:eastAsia="宋体" w:cs="宋体"/>
          <w:b/>
          <w:color w:val="auto"/>
          <w:sz w:val="24"/>
          <w:szCs w:val="24"/>
          <w:highlight w:val="none"/>
          <w:lang w:val="en-US" w:eastAsia="zh-CN"/>
        </w:rPr>
        <w:t xml:space="preserve">参考数</w:t>
      </w:r>
      <w:r>
        <w:rPr>
          <w:rFonts w:hint="eastAsia" w:ascii="宋体" w:hAnsi="宋体" w:eastAsia="宋体" w:cs="宋体"/>
          <w:b/>
          <w:color w:val="auto"/>
          <w:sz w:val="24"/>
          <w:szCs w:val="24"/>
          <w:highlight w:val="none"/>
        </w:rPr>
        <w:t xml:space="preserve">，具体</w:t>
      </w:r>
      <w:r>
        <w:rPr>
          <w:rFonts w:hint="eastAsia" w:ascii="宋体" w:hAnsi="宋体" w:eastAsia="宋体" w:cs="宋体"/>
          <w:b/>
          <w:color w:val="auto"/>
          <w:sz w:val="24"/>
          <w:szCs w:val="24"/>
          <w:highlight w:val="none"/>
          <w:lang w:val="en-US" w:eastAsia="zh-CN"/>
        </w:rPr>
        <w:t xml:space="preserve">供货数量和</w:t>
      </w:r>
      <w:r>
        <w:rPr>
          <w:rFonts w:hint="eastAsia" w:ascii="宋体" w:hAnsi="宋体" w:eastAsia="宋体" w:cs="宋体"/>
          <w:b/>
          <w:color w:val="auto"/>
          <w:sz w:val="24"/>
          <w:szCs w:val="24"/>
          <w:highlight w:val="none"/>
        </w:rPr>
        <w:t xml:space="preserve">货款据实结算</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按照财政资金管理流程拨付</w:t>
      </w:r>
      <w:r>
        <w:rPr>
          <w:rFonts w:hint="eastAsia" w:ascii="宋体" w:hAnsi="宋体" w:eastAsia="宋体" w:cs="宋体"/>
          <w:b/>
          <w:color w:val="auto"/>
          <w:sz w:val="24"/>
          <w:szCs w:val="24"/>
          <w:highlight w:val="none"/>
        </w:rPr>
        <w:t xml:space="preserve">。</w:t>
      </w:r>
      <w:r/>
    </w:p>
    <w:p>
      <w:pPr>
        <w:ind w:left="0" w:right="0" w:firstLine="435"/>
        <w:jc w:val="left"/>
        <w:keepLines w:val="0"/>
        <w:keepNext w:val="0"/>
        <w:spacing w:before="60" w:beforeAutospacing="0" w:after="6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三、数量</w:t>
      </w:r>
      <w:r/>
    </w:p>
    <w:p>
      <w:pPr>
        <w:ind w:left="0" w:right="0" w:firstLine="480"/>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本项目的数额为初步估算，具体发货县级用户书面通知，货款县用户据实结算。</w:t>
      </w:r>
      <w:r/>
    </w:p>
    <w:p>
      <w:pPr>
        <w:ind w:left="0" w:right="0" w:firstLine="435"/>
        <w:jc w:val="left"/>
        <w:keepLines w:val="0"/>
        <w:keepNext w:val="0"/>
        <w:spacing w:before="60" w:beforeAutospacing="0" w:after="6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四、技术条款</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4.1 耳标质量要求</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4.1.1 符合农业农村部对耳标的现行相关质量要求。偏离农业农村部相关要求者，必须详细说明。</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产品技术参数执行的标准（文件）：NY534-2002家畜用耳标及固定器，NY/T938-2005动物防疫耳标规范，农办牧〔2021〕3号文件。</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4.1.2 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4.1.3各品种耳标采用的主要原材料均为热塑性弹性体聚氨酯加全铜头。</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4.1.4 县用户在接到基层用户反映耳标质量有问题等情况时，会同所在地或上级动物卫生监督机构等对中标人所供畜用耳标按规定实施抽样，所抽样品送具备相应检验资质条件的检验机构检测。畜牧兽医等部门可根据国家和省有关要求进行抽检。对检测发现有不合格的，将取消中标人资格。</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4.2 耳标生产场地和主要设备</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按照《畜禽标识和养殖档案管理办法》（2006年农业农村部令第67号）要求执行。</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4.3 耳标备品备件及耗材等要求</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耳标供应企业免费配送符合NY 534-2002《家畜用耳标及固定器》规定的耳标固定钳及针。根据采购人需求免费提供并保证供应。</w:t>
      </w:r>
      <w:r/>
    </w:p>
    <w:p>
      <w:pPr>
        <w:ind w:left="0" w:right="0"/>
        <w:jc w:val="left"/>
        <w:keepLines w:val="0"/>
        <w:keepNext w:val="0"/>
        <w:spacing w:before="60" w:beforeAutospacing="0" w:after="6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 五、商务条款</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5.1 质保期</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投标人承诺投标产品最终交到县用户的保质期在12个月以上（自交货验收合格之日起计）。</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5.2 规格和包装</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所供耳标连号（不缺号），猪标每16个连号耳标为一个小袋，羊标每20个连号耳标为一小袋，小袋上需标注包装袋的顺序号和袋里耳标的号段，并在外包装箱内按顺序摆放。在外包装箱上根据号段标注该箱顺序号的标签。内外包装符合国家有关规定，未经授权同意，不得擅自使用我省兽医部门（机构）名称。</w:t>
      </w:r>
      <w:r/>
    </w:p>
    <w:p>
      <w:pPr>
        <w:ind w:left="0" w:right="0" w:firstLine="482"/>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5.3 服务与培训</w:t>
      </w:r>
      <w:r/>
    </w:p>
    <w:p>
      <w:pPr>
        <w:ind w:left="0" w:right="0" w:firstLine="480"/>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5.3.1 投标人提供其产品详细的售前、售中、售后服务方案和产品使用跟踪评价方案，内容包括所能提供的产品批量（无论需求量大小均能按用户需求发货）、规格、有效期、存储和使用等环节。重点服务项目明确、服务内容量化，可操作性较强。</w:t>
      </w:r>
      <w:r/>
    </w:p>
    <w:p>
      <w:pPr>
        <w:ind w:left="0" w:right="0" w:firstLine="480"/>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5.3.2 投标人提供详细的应急处理方案，内容包括用户反映问题的处理，用户走访等。用户反映问题及异常掉标、断标、碎标等问题的及时处理，可操作性较强。</w:t>
      </w:r>
      <w:r/>
    </w:p>
    <w:p>
      <w:pPr>
        <w:ind w:left="0" w:right="0" w:firstLine="480"/>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5.3.3 投标人提供用户回收耳标（已在</w:t>
      </w:r>
      <w:r>
        <w:rPr>
          <w:rFonts w:hint="eastAsia" w:ascii="宋体" w:hAnsi="宋体" w:eastAsia="宋体" w:cs="宋体"/>
          <w:i w:val="0"/>
          <w:iCs w:val="0"/>
          <w:caps w:val="0"/>
          <w:color w:val="auto"/>
          <w:spacing w:val="-7"/>
          <w:sz w:val="24"/>
          <w:szCs w:val="24"/>
          <w:highlight w:val="none"/>
          <w:shd w:val="clear" w:color="auto" w:fill="ffffff"/>
          <w:lang w:val="en-US" w:eastAsia="zh-CN" w:bidi="ar"/>
        </w:rPr>
        <w:t xml:space="preserve">全国兽医卫生综合信息平台</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注销）后的销毁方案，内容包括回收耳标的运输、销毁、全程监控等服务。服务项目明确，内容量化，符合环保部门要求，可操作性较强。</w:t>
      </w:r>
      <w:r/>
    </w:p>
    <w:p>
      <w:pPr>
        <w:ind w:left="0" w:right="0" w:firstLine="480"/>
        <w:jc w:val="left"/>
        <w:keepLines w:val="0"/>
        <w:keepNext w:val="0"/>
        <w:spacing w:before="0" w:beforeAutospacing="0" w:after="0" w:afterAutospacing="0" w:line="4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5.3.4投标人提供其产品的使用效果调查方案，内容包括</w:t>
      </w:r>
      <w:r>
        <w:rPr>
          <w:rFonts w:hint="eastAsia" w:ascii="宋体" w:hAnsi="宋体" w:eastAsia="宋体" w:cs="宋体"/>
          <w:i w:val="0"/>
          <w:iCs w:val="0"/>
          <w:caps w:val="0"/>
          <w:color w:val="auto"/>
          <w:spacing w:val="-9"/>
          <w:sz w:val="24"/>
          <w:szCs w:val="24"/>
          <w:highlight w:val="none"/>
          <w:shd w:val="clear" w:color="auto" w:fill="ffffff"/>
          <w:lang w:val="en-US" w:eastAsia="zh-CN" w:bidi="ar"/>
        </w:rPr>
        <w:t xml:space="preserve">耳标检测方案（主动送检、抽检）、用户评价、市县疫控部门评价等，</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重点服务项目明确、服务内容量化，可操作性较强。</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5.3.5 投标人提供培训方案。内容包括培训的内容、师资力量、区域、时间计划等。培训内容符合当前耳标管理需求，内容规范实用。</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bookmarkStart w:id="48" w:name="_Toc61149615"/>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5.4 </w:t>
      </w:r>
      <w:bookmarkEnd w:id="48"/>
      <w:r/>
      <w:bookmarkStart w:id="49" w:name="_Hlt26955032"/>
      <w:r/>
      <w:bookmarkEnd w:id="49"/>
      <w:r/>
      <w:bookmarkStart w:id="50" w:name="_Hlt26671234"/>
      <w:r/>
      <w:bookmarkEnd w:id="50"/>
      <w:r/>
      <w:bookmarkStart w:id="51" w:name="_Hlt26955034"/>
      <w:r/>
      <w:bookmarkEnd w:id="51"/>
      <w:r/>
      <w:bookmarkStart w:id="52" w:name="_Hlt26609508"/>
      <w:r/>
      <w:bookmarkEnd w:id="52"/>
      <w:r/>
      <w:bookmarkStart w:id="53" w:name="_Hlt26609403"/>
      <w:r/>
      <w:bookmarkEnd w:id="53"/>
      <w:r/>
      <w:bookmarkStart w:id="54" w:name="_Hlt26671232"/>
      <w:r/>
      <w:bookmarkEnd w:id="54"/>
      <w:r/>
      <w:bookmarkStart w:id="55" w:name="_Hlt26609399"/>
      <w:r/>
      <w:bookmarkEnd w:id="55"/>
      <w:r/>
      <w:bookmarkStart w:id="56" w:name="_7_培训要求"/>
      <w:r/>
      <w:bookmarkEnd w:id="56"/>
      <w:r/>
      <w:bookmarkStart w:id="57" w:name="_Hlt26609397"/>
      <w:r/>
      <w:bookmarkEnd w:id="57"/>
      <w:r/>
      <w:bookmarkStart w:id="58" w:name="_Hlt26609844"/>
      <w:r/>
      <w:bookmarkEnd w:id="58"/>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货物签收</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由订货方实施</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收。</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b/>
          <w:bCs/>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5.5 合同部分内容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.5.1 交货期、交货方式及交货地点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（1）交货期：接供货通知后，</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日内发货；</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（2）交货方式：按照耳标的运输管理具体要求，快速送达交货地点。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（3）交货地点：收货方指定地点。</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.5.2 货款支付</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自合同签订生效之日起，收到乙方发票10个工作日内，甲方向乙方支付合同总价的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款项作为预付款；</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货物送达后，由收货人逐一清点无误后，按照财政资金管理相关规定办理资金支付手续；</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在签订合同时，乙方明确表示无需预付款或者主动要求降低预付款比例的，甲方可不适用上述关于预付款的规定。</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结算款项时乙方须出具相应金额的有效票据。</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甲方原则上自收到发票后10个工作日内将资金支付到乙方账户。</w:t>
      </w:r>
      <w:r/>
    </w:p>
    <w:p>
      <w:pPr>
        <w:ind w:firstLine="6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.5.3 投标货币：人民币</w:t>
      </w:r>
      <w:r/>
    </w:p>
    <w:p>
      <w:pPr>
        <w:ind w:left="0" w:right="0" w:firstLine="482"/>
        <w:jc w:val="left"/>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5.6 货物验收</w:t>
      </w:r>
      <w:r/>
    </w:p>
    <w:p>
      <w:pPr>
        <w:ind w:left="0" w:right="0" w:firstLine="480"/>
        <w:jc w:val="left"/>
        <w:keepLines w:val="0"/>
        <w:keepNext w:val="0"/>
        <w:spacing w:before="0" w:beforeAutospacing="0" w:after="0" w:afterAutospacing="0" w:line="400" w:lineRule="atLeast"/>
        <w:widowControl/>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由送达地的动物疫病预防控制机构，根据有关要求实施验收，并出具验收合格书面证明。</w:t>
      </w:r>
      <w:bookmarkEnd w:id="42"/>
      <w:bookmarkEnd w:id="43"/>
      <w:r/>
    </w:p>
    <w:p>
      <w:pPr>
        <w:pStyle w:val="697"/>
        <w:ind w:firstLine="420"/>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六、采购标的对应的中小企业划分标准所属行业一览表</w:t>
      </w:r>
      <w:r/>
    </w:p>
    <w:tbl>
      <w:tblPr>
        <w:tblStyle w:val="6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4359"/>
        <w:gridCol w:w="3778"/>
      </w:tblGrid>
      <w:tr>
        <w:trPr>
          <w:cantSplit/>
          <w:jc w:val="center"/>
          <w:trHeight w:val="571"/>
        </w:trPr>
        <w:tc>
          <w:tcPr>
            <w:tcW w:w="721" w:type="dxa"/>
            <w:vAlign w:val="center"/>
            <w:textDirection w:val="lrTb"/>
            <w:noWrap w:val="false"/>
          </w:tcPr>
          <w:p>
            <w:pPr>
              <w:jc w:val="center"/>
              <w:spacing w:line="0" w:lineRule="atLeas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包号</w:t>
            </w:r>
            <w:r/>
          </w:p>
        </w:tc>
        <w:tc>
          <w:tcPr>
            <w:tcW w:w="4359"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采购</w:t>
            </w:r>
            <w:r>
              <w:rPr>
                <w:rFonts w:ascii="宋体" w:hAnsi="宋体"/>
                <w:color w:val="auto"/>
                <w:sz w:val="24"/>
                <w:highlight w:val="none"/>
              </w:rPr>
              <w:t xml:space="preserve">标的</w:t>
            </w:r>
            <w:r/>
          </w:p>
        </w:tc>
        <w:tc>
          <w:tcPr>
            <w:tcW w:w="377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对应中</w:t>
            </w:r>
            <w:r>
              <w:rPr>
                <w:rFonts w:ascii="宋体" w:hAnsi="宋体"/>
                <w:color w:val="auto"/>
                <w:sz w:val="24"/>
                <w:highlight w:val="none"/>
              </w:rPr>
              <w:t xml:space="preserve">小企业划分标准所属行业</w:t>
            </w:r>
            <w:r/>
          </w:p>
        </w:tc>
      </w:tr>
      <w:tr>
        <w:trPr>
          <w:cantSplit/>
          <w:jc w:val="center"/>
          <w:trHeight w:val="440"/>
        </w:trPr>
        <w:tc>
          <w:tcPr>
            <w:tcW w:w="721" w:type="dxa"/>
            <w:vAlign w:val="center"/>
            <w:textDirection w:val="lrTb"/>
            <w:noWrap w:val="false"/>
          </w:tcPr>
          <w:p>
            <w:pPr>
              <w:jc w:val="center"/>
              <w:spacing w:line="0" w:lineRule="atLeas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9</w:t>
            </w:r>
            <w:r/>
          </w:p>
        </w:tc>
        <w:tc>
          <w:tcPr>
            <w:tcW w:w="4359" w:type="dxa"/>
            <w:vAlign w:val="center"/>
            <w:textDirection w:val="lrTb"/>
            <w:noWrap w:val="false"/>
          </w:tcPr>
          <w:p>
            <w:pPr>
              <w:jc w:val="center"/>
              <w:spacing w:line="240" w:lineRule="exact"/>
              <w:widowControl/>
              <w:rPr>
                <w:rFonts w:ascii="宋体" w:hAnsi="宋体" w:eastAsia="宋体" w:cs="Times New Roman"/>
                <w:color w:val="auto"/>
                <w:sz w:val="24"/>
                <w:highlight w:val="none"/>
              </w:rPr>
            </w:pPr>
            <w:r>
              <w:rPr>
                <w:rFonts w:hint="eastAsia" w:ascii="宋体" w:hAnsi="宋体" w:eastAsia="宋体" w:cs="宋体"/>
                <w:color w:val="auto"/>
                <w:sz w:val="24"/>
                <w:szCs w:val="24"/>
                <w:highlight w:val="none"/>
                <w:lang w:val="en-US" w:eastAsia="zh-CN" w:bidi="ar"/>
              </w:rPr>
              <w:t xml:space="preserve">猪耳标</w:t>
            </w:r>
            <w:r/>
          </w:p>
        </w:tc>
        <w:tc>
          <w:tcPr>
            <w:tcW w:w="3778" w:type="dxa"/>
            <w:vAlign w:val="center"/>
            <w:textDirection w:val="lrTb"/>
            <w:noWrap w:val="false"/>
          </w:tcPr>
          <w:p>
            <w:pPr>
              <w:jc w:val="center"/>
              <w:spacing w:line="0" w:lineRule="atLeas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工业</w:t>
            </w:r>
            <w:r/>
          </w:p>
        </w:tc>
      </w:tr>
      <w:tr>
        <w:trPr>
          <w:cantSplit/>
          <w:jc w:val="center"/>
          <w:trHeight w:val="445"/>
        </w:trPr>
        <w:tc>
          <w:tcPr>
            <w:tcW w:w="721" w:type="dxa"/>
            <w:vAlign w:val="center"/>
            <w:textDirection w:val="lrTb"/>
            <w:noWrap w:val="false"/>
          </w:tcPr>
          <w:p>
            <w:pPr>
              <w:jc w:val="center"/>
              <w:spacing w:line="0" w:lineRule="atLeas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10</w:t>
            </w:r>
            <w:r/>
          </w:p>
        </w:tc>
        <w:tc>
          <w:tcPr>
            <w:tcW w:w="4359" w:type="dxa"/>
            <w:vAlign w:val="center"/>
            <w:textDirection w:val="lrTb"/>
            <w:noWrap w:val="false"/>
          </w:tcPr>
          <w:p>
            <w:pPr>
              <w:jc w:val="center"/>
              <w:spacing w:line="240" w:lineRule="exact"/>
              <w:widowControl/>
              <w:rPr>
                <w:rFonts w:ascii="宋体" w:hAnsi="宋体" w:eastAsia="宋体" w:cs="Times New Roman"/>
                <w:color w:val="auto"/>
                <w:sz w:val="24"/>
                <w:highlight w:val="none"/>
              </w:rPr>
            </w:pPr>
            <w:r>
              <w:rPr>
                <w:rFonts w:hint="eastAsia" w:ascii="宋体" w:hAnsi="宋体" w:eastAsia="宋体" w:cs="宋体"/>
                <w:color w:val="auto"/>
                <w:sz w:val="24"/>
                <w:szCs w:val="24"/>
                <w:highlight w:val="none"/>
                <w:lang w:val="en-US" w:eastAsia="zh-CN" w:bidi="ar"/>
              </w:rPr>
              <w:t xml:space="preserve">羊耳标</w:t>
            </w:r>
            <w:r/>
          </w:p>
        </w:tc>
        <w:tc>
          <w:tcPr>
            <w:tcW w:w="3778" w:type="dxa"/>
            <w:vAlign w:val="center"/>
            <w:textDirection w:val="lrTb"/>
            <w:noWrap w:val="false"/>
          </w:tcPr>
          <w:p>
            <w:pPr>
              <w:jc w:val="center"/>
              <w:spacing w:line="0" w:lineRule="atLeas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工业</w:t>
            </w:r>
            <w:r/>
          </w:p>
        </w:tc>
      </w:tr>
    </w:tbl>
    <w:p>
      <w:pPr>
        <w:pStyle w:val="717"/>
        <w:jc w:val="both"/>
        <w:spacing w:beforeAutospacing="0" w:afterAutospacing="0"/>
        <w:rPr>
          <w:color w:val="auto"/>
          <w:highlight w:val="none"/>
        </w:rPr>
      </w:pPr>
      <w:r>
        <w:rPr>
          <w:color w:val="auto"/>
          <w:highlight w:val="none"/>
        </w:rPr>
        <w:t xml:space="preserve"> </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7"/>
        <w:jc w:val="center"/>
        <w:keepNext/>
        <w:spacing w:beforeAutospacing="0" w:afterAutospacing="0"/>
        <w:rPr>
          <w:color w:val="auto"/>
          <w:highlight w:val="none"/>
        </w:rPr>
        <w:outlineLvl w:val="0"/>
      </w:pPr>
      <w:r/>
      <w:bookmarkStart w:id="59" w:name="_Toc12"/>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59"/>
      <w:r/>
      <w:r/>
    </w:p>
    <w:p>
      <w:pPr>
        <w:pStyle w:val="717"/>
        <w:jc w:val="both"/>
        <w:spacing w:beforeAutospacing="0" w:afterAutospacing="0"/>
        <w:rPr>
          <w:color w:val="auto"/>
          <w:highlight w:val="none"/>
        </w:rPr>
      </w:pPr>
      <w:r>
        <w:rPr>
          <w:color w:val="auto"/>
          <w:highlight w:val="none"/>
        </w:rPr>
        <w:t xml:space="preserve"> </w:t>
      </w:r>
      <w:r>
        <w:rPr>
          <w:rFonts w:hint="eastAsia" w:eastAsia="宋体"/>
          <w:color w:val="auto"/>
          <w:highlight w:val="none"/>
        </w:rPr>
        <w:t xml:space="preserve">    </w:t>
      </w: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auto"/>
          <w:highlight w:val="none"/>
        </w:rPr>
        <w:t xml:space="preserve">1</w:t>
      </w:r>
      <w:r>
        <w:rPr>
          <w:rFonts w:ascii="Arial" w:hAnsi="Arial" w:cs="Arial"/>
          <w:color w:val="auto"/>
          <w:highlight w:val="none"/>
        </w:rPr>
        <w:t xml:space="preserve">选取1名中标候选人。</w:t>
      </w:r>
      <w:r/>
    </w:p>
    <w:p>
      <w:pPr>
        <w:pStyle w:val="717"/>
        <w:ind w:firstLine="441"/>
        <w:spacing w:before="120" w:beforeAutospacing="0" w:after="120" w:afterAutospacing="0" w:line="360" w:lineRule="auto"/>
        <w:rPr>
          <w:color w:val="auto"/>
          <w:highlight w:val="none"/>
        </w:rPr>
      </w:pPr>
      <w:r>
        <w:rPr>
          <w:rFonts w:hint="eastAsia" w:ascii="宋体" w:hAnsi="宋体" w:eastAsia="宋体" w:cs="宋体"/>
          <w:b/>
          <w:color w:val="auto"/>
          <w:highlight w:val="none"/>
        </w:rPr>
        <w:t xml:space="preserve">政府采购政策功能落实</w:t>
      </w:r>
      <w:r/>
    </w:p>
    <w:p>
      <w:pPr>
        <w:pStyle w:val="717"/>
        <w:ind w:firstLine="480"/>
        <w:spacing w:before="120" w:beforeAutospacing="0" w:after="120" w:afterAutospacing="0" w:line="360" w:lineRule="auto"/>
        <w:rPr>
          <w:color w:val="auto"/>
          <w:highlight w:val="none"/>
        </w:rPr>
      </w:pPr>
      <w:r>
        <w:rPr>
          <w:rFonts w:hint="eastAsia" w:ascii="宋体" w:hAnsi="宋体" w:cs="宋体"/>
          <w:bCs/>
          <w:color w:val="auto"/>
          <w:highlight w:val="none"/>
        </w:rPr>
        <w:t xml:space="preserve">本项目专门面向中小企业采购，不再对小微企业服务给予价格扣除</w:t>
      </w:r>
      <w:r/>
    </w:p>
    <w:p>
      <w:pPr>
        <w:pStyle w:val="717"/>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bCs/>
          <w:color w:val="auto"/>
          <w:sz w:val="24"/>
          <w:szCs w:val="24"/>
          <w:highlight w:val="none"/>
          <w:lang w:val="en-US" w:eastAsia="zh-CN" w:bidi="ar"/>
        </w:rPr>
        <w:t xml:space="preserve">采购包1、采购包2、采购包3、采购包4、采购包5、采购包6、采购包7、采购包8：</w:t>
      </w:r>
      <w:r>
        <w:rPr>
          <w:rFonts w:hint="eastAsia" w:ascii="宋体" w:hAnsi="宋体" w:eastAsia="宋体" w:cs="宋体"/>
          <w:b/>
          <w:color w:val="auto"/>
          <w:highlight w:val="none"/>
        </w:rPr>
        <w:t xml:space="preserve">评标方法与评标标准</w:t>
      </w:r>
      <w:r/>
    </w:p>
    <w:tbl>
      <w:tblPr>
        <w:tblStyle w:val="692"/>
        <w:tblW w:w="9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824"/>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2"/>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满足招标文件要求且投标价格最低的投标报价为基准价，其价格分为满分。报价得分=(评标基准价/投标报价)×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w:t>
            </w:r>
            <w:r/>
          </w:p>
        </w:tc>
      </w:tr>
      <w:tr>
        <w:trPr>
          <w:jc w:val="center"/>
          <w:trHeight w:val="858"/>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技术部分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产品质量控制</w:t>
            </w:r>
            <w:r/>
          </w:p>
        </w:tc>
        <w:tc>
          <w:tcPr>
            <w:tcBorders>
              <w:top w:val="single" w:color="auto" w:sz="4" w:space="0"/>
              <w:left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1.设备与工艺（3分）：投标人提供主要生产设备清单和照片，提供关键技术创新案例和创新产品工艺佐证材料。提供满足生产的设备清单和照片得1.5分，提供关键技术创新案例和创新产品工艺佐证材料得1.5分。</w:t>
            </w:r>
            <w:r/>
          </w:p>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2.原、辅材料（3分）：投标人提供2023年以来使用原、辅料购买发票和供货合同，得1.5分；提供原辅料足量用于实际生产的佐证资料，得1.5分。</w:t>
            </w:r>
            <w:r/>
          </w:p>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自检与后续要求（3分）：投标人提供企业2023年以来实施批批检测佐证资料，提供对不符合质量要求产品实行一票否决实际案例或者相关评估记录资料，得1.5分；提供运输、储存、使用等环节风险调查报告和对有关风险采取预防或整改措施的实际案例，得1.5分。</w:t>
            </w:r>
            <w:r/>
          </w:p>
          <w:p>
            <w:pPr>
              <w:ind w:firstLine="420"/>
              <w:rPr>
                <w:rFonts w:hint="default"/>
                <w:color w:val="auto"/>
                <w:highlight w:val="none"/>
                <w:lang w:val="en-US"/>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4.产品情况调查（2分）：提供2023年度投标人对产品使用情况进行专项调查佐证材料。提供调查报告得2分，不提供不得分。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质量检测结果</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1.投标人提供该品种疫苗2023年以来的CMA检测报告，报告合格得5分，不合格不得分；或提供该品种疫苗2023年以来连续批次批签发报告（显示质量合格），连续1批次得1分，最高5分；</w:t>
            </w:r>
            <w:r/>
          </w:p>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2.投标人提供该品种疫苗2023年以来各省级兽医部门出具的抗体检测合格报告或履约证明，提供5个及以上抗体检测合格报告或履约证明，得2分；10个及以上抗体检测合格报告或履约证明，得3分。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产品使用效果</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市、县用户（畜牧兽医部门或委托第三方检测机构）出具的2023年以来该产品使用效果优良的检测报告（内容包括疫苗品种、检测数量、免疫抗体合格率等情况），提供5个及以上2023年以来该产品使用效果优良的检测报告，得1分；提供10个及以上2023年以来该产品使用效果优良的检测报告，得3分；提供15个及以上2023年以来该产品使用效果优良的检测报告，得5分。</w:t>
            </w:r>
            <w:r/>
          </w:p>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投标人提供2023年以来县级及以上用户（畜牧兽医部门、大型养殖场）对企业所提供服务合格的证明材料。提供5个及以上合格的证明材料，得1分；提供10个及以上合格的证明材料，得3分。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w:t>
            </w:r>
            <w:r>
              <w:rPr>
                <w:rFonts w:hint="eastAsia" w:ascii="宋体" w:hAnsi="宋体" w:eastAsia="宋体" w:cs="宋体"/>
                <w:color w:val="auto"/>
                <w:highlight w:val="none"/>
                <w:lang w:val="zh-CN"/>
              </w:rPr>
              <w:t xml:space="preserve">投标人提供其产品详细的售前、售中、售后（包括小批量和小规格疫苗发货、有效期、储存和使用等环节）服务和免疫效果跟踪评价方案，内容包括所能提供的产品批量（无论需求量大小均能按用户需求发货）、规格、有效期、存储和使用等环节</w:t>
            </w:r>
            <w:r>
              <w:rPr>
                <w:rFonts w:hint="eastAsia" w:ascii="宋体" w:hAnsi="宋体" w:eastAsia="宋体" w:cs="宋体"/>
                <w:color w:val="auto"/>
                <w:szCs w:val="21"/>
                <w:highlight w:val="none"/>
              </w:rPr>
              <w:t xml:space="preserve">，进行综合评审：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项要求最多得</w:t>
            </w:r>
            <w:r>
              <w:rPr>
                <w:rFonts w:hint="eastAsia" w:ascii="宋体" w:hAnsi="宋体" w:cs="宋体"/>
                <w:b/>
                <w:bCs/>
                <w:color w:val="auto"/>
                <w:szCs w:val="21"/>
                <w:highlight w:val="none"/>
                <w:lang w:val="en-US" w:eastAsia="zh-CN"/>
              </w:rPr>
              <w:t xml:space="preserve">1</w:t>
            </w:r>
            <w:r>
              <w:rPr>
                <w:rFonts w:hint="eastAsia" w:ascii="宋体" w:hAnsi="宋体" w:eastAsia="宋体" w:cs="宋体"/>
                <w:b/>
                <w:bCs/>
                <w:color w:val="auto"/>
                <w:szCs w:val="21"/>
                <w:highlight w:val="none"/>
                <w:lang w:val="en-US" w:eastAsia="zh-CN"/>
              </w:rPr>
              <w:t xml:space="preserve">0</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根据招标文件要求及投标人提供快速便捷的免疫副反应理赔、用户反映问题处理、用户走访等内容，进行综合评审：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冷链运输方案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w:t>
            </w:r>
            <w:r>
              <w:rPr>
                <w:rFonts w:ascii="Times New Roman" w:hAnsi="Times New Roman"/>
                <w:color w:val="auto"/>
                <w:sz w:val="24"/>
                <w:szCs w:val="21"/>
                <w:highlight w:val="none"/>
              </w:rPr>
              <w:t xml:space="preserve">包含冷链运输方式、全程温度管理、突发事件处理等</w:t>
            </w:r>
            <w:r>
              <w:rPr>
                <w:rFonts w:hint="eastAsia" w:ascii="宋体" w:hAnsi="宋体" w:eastAsia="宋体" w:cs="宋体"/>
                <w:color w:val="auto"/>
                <w:szCs w:val="21"/>
                <w:highlight w:val="none"/>
              </w:rPr>
              <w:t xml:space="preserve">内容，进行综合评审：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废弃疫苗瓶回收方案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根据招标文件要求及投标人提供协助废弃疫苗瓶回收、处理方案</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，内容包括回收废弃疫苗瓶的运输、销毁、全程监控等服务</w:t>
            </w:r>
            <w:r>
              <w:rPr>
                <w:rFonts w:hint="eastAsia" w:ascii="宋体" w:hAnsi="宋体" w:eastAsia="宋体" w:cs="宋体"/>
                <w:color w:val="auto"/>
                <w:szCs w:val="21"/>
                <w:highlight w:val="none"/>
              </w:rPr>
              <w:t xml:space="preserve">，进行综合评审：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rPr>
              <w:t xml:space="preserve">3</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强制免疫“先打后补”实施方案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投标人针对强制免疫“先打后补”政策实施过程中提供的落实措施，配套方案，成功案例（需同时提供当地县级以上动物防疫机构（部门）出具的相关证明），能积极配合江苏省各地强制免疫先打后补工作</w:t>
            </w:r>
            <w:r>
              <w:rPr>
                <w:rFonts w:hint="eastAsia" w:ascii="宋体" w:hAnsi="宋体" w:eastAsia="宋体" w:cs="宋体"/>
                <w:i w:val="0"/>
                <w:iCs w:val="0"/>
                <w:caps w:val="0"/>
                <w:color w:val="auto"/>
                <w:spacing w:val="-9"/>
                <w:sz w:val="21"/>
                <w:szCs w:val="21"/>
                <w:highlight w:val="none"/>
                <w:shd w:val="clear" w:color="auto" w:fill="ffffff"/>
                <w:lang w:val="en-US" w:eastAsia="zh-CN" w:bidi="ar"/>
              </w:rPr>
              <w:t xml:space="preserve">等</w:t>
            </w:r>
            <w:r>
              <w:rPr>
                <w:rFonts w:hint="eastAsia" w:ascii="宋体" w:hAnsi="宋体" w:eastAsia="宋体" w:cs="宋体"/>
                <w:color w:val="auto"/>
                <w:szCs w:val="21"/>
                <w:highlight w:val="none"/>
              </w:rPr>
              <w:t xml:space="preserve">内容，进行综合评审：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rPr>
              <w:t xml:space="preserve">3</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培训方案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根据招标文件要求及投标人提供培训方案。内容包括培训的内容、师资力量、区域、时间计划等内容，进行综合评审：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1</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1</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0.7</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0.4</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p>
        </w:tc>
        <w:tc>
          <w:tcPr>
            <w:tcBorders>
              <w:left w:val="single" w:color="auto" w:sz="4" w:space="0"/>
              <w:right w:val="single" w:color="auto" w:sz="4" w:space="0"/>
            </w:tcBorders>
            <w:tcW w:w="1118"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商务部分</w:t>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824" w:type="dxa"/>
            <w:vAlign w:val="center"/>
            <w:textDirection w:val="lrTb"/>
            <w:noWrap w:val="false"/>
          </w:tcPr>
          <w:p>
            <w:pPr>
              <w:ind w:firstLine="420"/>
              <w:spacing w:line="2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自 20</w:t>
            </w: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 年以来（以合同签订时间为准），供应商具</w:t>
            </w:r>
            <w:r>
              <w:rPr>
                <w:rFonts w:hint="eastAsia" w:ascii="宋体" w:hAnsi="宋体" w:eastAsia="宋体" w:cs="宋体"/>
                <w:color w:val="auto"/>
                <w:szCs w:val="21"/>
                <w:highlight w:val="none"/>
                <w:lang w:val="en-US" w:eastAsia="zh-CN"/>
              </w:rPr>
              <w:t xml:space="preserve">类似</w:t>
            </w:r>
            <w:r>
              <w:rPr>
                <w:rFonts w:hint="eastAsia" w:ascii="宋体" w:hAnsi="宋体" w:eastAsia="宋体" w:cs="宋体"/>
                <w:color w:val="auto"/>
                <w:szCs w:val="21"/>
                <w:highlight w:val="none"/>
              </w:rPr>
              <w:t xml:space="preserve">业绩，每提供一个</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firstLine="422"/>
              <w:spacing w:line="2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zCs w:val="21"/>
                <w:highlight w:val="none"/>
                <w:lang w:val="en-US" w:eastAsia="zh-CN" w:bidi="ar"/>
              </w:rPr>
              <w:t xml:space="preserve">注：</w:t>
            </w:r>
            <w:r>
              <w:rPr>
                <w:rFonts w:hint="eastAsia" w:ascii="宋体" w:hAnsi="宋体" w:eastAsia="宋体" w:cs="宋体"/>
                <w:b/>
                <w:bCs/>
                <w:color w:val="auto"/>
                <w:szCs w:val="21"/>
                <w:highlight w:val="none"/>
                <w:lang w:val="zh-CN" w:eastAsia="zh-CN" w:bidi="ar"/>
              </w:rPr>
              <w:t xml:space="preserve">须提供合同原件扫描</w:t>
            </w:r>
            <w:r>
              <w:rPr>
                <w:rFonts w:hint="eastAsia" w:ascii="宋体" w:hAnsi="宋体" w:eastAsia="宋体" w:cs="宋体"/>
                <w:b/>
                <w:bCs/>
                <w:color w:val="auto"/>
                <w:szCs w:val="21"/>
                <w:highlight w:val="none"/>
                <w:lang w:val="en-US" w:eastAsia="zh-CN" w:bidi="ar"/>
              </w:rPr>
              <w:t xml:space="preserve">件</w:t>
            </w:r>
            <w:r>
              <w:rPr>
                <w:rFonts w:hint="eastAsia" w:ascii="宋体" w:hAnsi="宋体" w:eastAsia="宋体" w:cs="宋体"/>
                <w:b/>
                <w:bCs/>
                <w:color w:val="auto"/>
                <w:szCs w:val="21"/>
                <w:highlight w:val="none"/>
                <w:lang w:val="zh-CN" w:eastAsia="zh-CN" w:bidi="ar"/>
              </w:rPr>
              <w:t xml:space="preserve">（包括</w:t>
            </w:r>
            <w:r>
              <w:rPr>
                <w:rFonts w:hint="eastAsia" w:ascii="宋体" w:hAnsi="宋体" w:eastAsia="宋体" w:cs="宋体"/>
                <w:b/>
                <w:bCs/>
                <w:color w:val="auto"/>
                <w:szCs w:val="21"/>
                <w:highlight w:val="none"/>
                <w:lang w:val="en-US" w:eastAsia="zh-CN" w:bidi="ar"/>
              </w:rPr>
              <w:t xml:space="preserve">但不限于</w:t>
            </w:r>
            <w:r>
              <w:rPr>
                <w:rFonts w:hint="eastAsia" w:ascii="宋体" w:hAnsi="宋体" w:eastAsia="宋体" w:cs="宋体"/>
                <w:b/>
                <w:bCs/>
                <w:color w:val="auto"/>
                <w:szCs w:val="21"/>
                <w:highlight w:val="none"/>
                <w:lang w:val="zh-CN" w:eastAsia="zh-CN" w:bidi="ar"/>
              </w:rPr>
              <w:t xml:space="preserve">合同首页、合同金额页、合同盖章页及显示项目名称、项目内容等相关页）</w:t>
            </w:r>
            <w:r>
              <w:rPr>
                <w:rFonts w:hint="eastAsia" w:ascii="宋体" w:hAnsi="宋体" w:eastAsia="宋体" w:cs="宋体"/>
                <w:b w:val="0"/>
                <w:bCs w:val="0"/>
                <w:color w:val="auto"/>
                <w:szCs w:val="21"/>
                <w:highlight w:val="none"/>
                <w:lang w:val="en-US" w:eastAsia="zh-CN" w:bidi="ar"/>
              </w:rPr>
              <w:t xml:space="preserve">相关资料成交供应商合同签订前核查。</w:t>
            </w:r>
            <w:r/>
          </w:p>
        </w:tc>
      </w:tr>
    </w:tbl>
    <w:p>
      <w:pPr>
        <w:pStyle w:val="717"/>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br w:type="page" w:clear="all"/>
      </w:r>
      <w:r/>
    </w:p>
    <w:p>
      <w:pPr>
        <w:pStyle w:val="717"/>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bCs/>
          <w:color w:val="auto"/>
          <w:sz w:val="24"/>
          <w:szCs w:val="24"/>
          <w:highlight w:val="none"/>
          <w:lang w:val="en-US" w:eastAsia="zh-CN" w:bidi="ar"/>
        </w:rPr>
        <w:t xml:space="preserve">采购包9、采购包10：</w:t>
      </w:r>
      <w:r>
        <w:rPr>
          <w:rFonts w:hint="eastAsia" w:ascii="宋体" w:hAnsi="宋体" w:eastAsia="宋体" w:cs="宋体"/>
          <w:b/>
          <w:color w:val="auto"/>
          <w:highlight w:val="none"/>
        </w:rPr>
        <w:t xml:space="preserve">评标方法与评标标准</w:t>
      </w:r>
      <w:r/>
    </w:p>
    <w:tbl>
      <w:tblPr>
        <w:tblStyle w:val="692"/>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572"/>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rPr>
                <w:rFonts w:ascii="宋体" w:hAnsi="宋体" w:eastAsia="宋体" w:cs="宋体"/>
                <w:b/>
                <w:bCs/>
                <w:color w:val="auto"/>
                <w:szCs w:val="21"/>
                <w:highlight w:val="none"/>
              </w:rPr>
            </w:pPr>
            <w:r>
              <w:rPr>
                <w:rFonts w:ascii="黑体" w:hAnsi="宋体" w:eastAsia="黑体" w:cs="黑体"/>
                <w:color w:val="auto"/>
                <w:sz w:val="44"/>
                <w:szCs w:val="44"/>
                <w:highlight w:val="none"/>
              </w:rPr>
              <w:br w:type="page" w:clear="all"/>
            </w:r>
            <w:r>
              <w:rPr>
                <w:rFonts w:hint="eastAsia" w:ascii="宋体" w:hAnsi="宋体" w:eastAsia="宋体" w:cs="宋体"/>
                <w:b/>
                <w:bCs/>
                <w:color w:val="auto"/>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jc w:val="center"/>
              <w:spacing w:line="44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满足招标文件要求且投标价格最低的投标报价为基准价，其价格分为满分。报价得分=(评标基准价/投标报价)×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w:t>
            </w:r>
            <w:r/>
          </w:p>
        </w:tc>
      </w:tr>
      <w:tr>
        <w:trPr>
          <w:jc w:val="center"/>
          <w:trHeight w:val="613"/>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技术部分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技术参数</w:t>
            </w:r>
            <w:r/>
          </w:p>
        </w:tc>
        <w:tc>
          <w:tcPr>
            <w:tcBorders>
              <w:top w:val="single" w:color="auto" w:sz="4" w:space="0"/>
              <w:left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对照</w:t>
            </w:r>
            <w:r>
              <w:rPr>
                <w:rFonts w:hint="default" w:ascii="Times New Roman" w:hAnsi="Times New Roman" w:eastAsia="微软雅黑" w:cs="Times New Roman"/>
                <w:i w:val="0"/>
                <w:iCs w:val="0"/>
                <w:caps w:val="0"/>
                <w:color w:val="auto"/>
                <w:spacing w:val="0"/>
                <w:sz w:val="21"/>
                <w:szCs w:val="21"/>
                <w:highlight w:val="none"/>
                <w:shd w:val="clear" w:color="auto" w:fill="ffffff"/>
                <w:lang w:val="en-US" w:eastAsia="zh-CN" w:bidi="ar"/>
              </w:rPr>
              <w:t xml:space="preserve">NY534-2002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家畜耳标及固定器、</w:t>
            </w:r>
            <w:r>
              <w:rPr>
                <w:rFonts w:hint="default" w:ascii="Times New Roman" w:hAnsi="Times New Roman" w:eastAsia="微软雅黑" w:cs="Times New Roman"/>
                <w:i w:val="0"/>
                <w:iCs w:val="0"/>
                <w:caps w:val="0"/>
                <w:color w:val="auto"/>
                <w:spacing w:val="0"/>
                <w:sz w:val="21"/>
                <w:szCs w:val="21"/>
                <w:highlight w:val="none"/>
                <w:shd w:val="clear" w:color="auto" w:fill="ffffff"/>
                <w:lang w:val="en-US" w:eastAsia="zh-CN" w:bidi="ar"/>
              </w:rPr>
              <w:t xml:space="preserve">NY/T938-2005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动物防疫耳标规范和农办牧〔</w:t>
            </w:r>
            <w:r>
              <w:rPr>
                <w:rFonts w:hint="default" w:ascii="Times New Roman" w:hAnsi="Times New Roman" w:eastAsia="微软雅黑" w:cs="Times New Roman"/>
                <w:i w:val="0"/>
                <w:iCs w:val="0"/>
                <w:caps w:val="0"/>
                <w:color w:val="auto"/>
                <w:spacing w:val="0"/>
                <w:sz w:val="21"/>
                <w:szCs w:val="21"/>
                <w:highlight w:val="none"/>
                <w:shd w:val="clear" w:color="auto" w:fill="ffffff"/>
                <w:lang w:val="en-US" w:eastAsia="zh-CN" w:bidi="ar"/>
              </w:rPr>
              <w:t xml:space="preserve">2021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default" w:ascii="Times New Roman" w:hAnsi="Times New Roman" w:eastAsia="微软雅黑" w:cs="Times New Roman"/>
                <w:i w:val="0"/>
                <w:iCs w:val="0"/>
                <w:caps w:val="0"/>
                <w:color w:val="auto"/>
                <w:spacing w:val="0"/>
                <w:sz w:val="21"/>
                <w:szCs w:val="21"/>
                <w:highlight w:val="none"/>
                <w:shd w:val="clear" w:color="auto" w:fill="ffffff"/>
                <w:lang w:val="en-US" w:eastAsia="zh-CN" w:bidi="ar"/>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号文，详细列出本企业所供产品的</w:t>
            </w:r>
            <w:r>
              <w:rPr>
                <w:rFonts w:hint="default" w:ascii="Times New Roman" w:hAnsi="Times New Roman" w:eastAsia="微软雅黑" w:cs="Times New Roman"/>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技术参数响应及偏离表</w:t>
            </w:r>
            <w:r>
              <w:rPr>
                <w:rFonts w:hint="default" w:ascii="Times New Roman" w:hAnsi="Times New Roman" w:eastAsia="微软雅黑" w:cs="Times New Roman"/>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 依据负偏离情况打分，偏离一项扣</w:t>
            </w:r>
            <w:r>
              <w:rPr>
                <w:rFonts w:hint="default" w:ascii="Times New Roman" w:hAnsi="Times New Roman" w:eastAsia="微软雅黑" w:cs="Times New Roman"/>
                <w:i w:val="0"/>
                <w:iCs w:val="0"/>
                <w:caps w:val="0"/>
                <w:color w:val="auto"/>
                <w:spacing w:val="0"/>
                <w:sz w:val="21"/>
                <w:szCs w:val="21"/>
                <w:highlight w:val="none"/>
                <w:shd w:val="clear" w:color="auto" w:fill="ffffff"/>
                <w:lang w:val="en-US" w:eastAsia="zh-CN" w:bidi="ar"/>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rPr>
                <w:rFonts w:hint="eastAsia" w:ascii="宋体" w:hAnsi="宋体" w:cs="宋体"/>
                <w:i w:val="0"/>
                <w:iCs w:val="0"/>
                <w:caps w:val="0"/>
                <w:color w:val="auto"/>
                <w:spacing w:val="0"/>
                <w:sz w:val="21"/>
                <w:szCs w:val="21"/>
                <w:highlight w:val="none"/>
                <w:shd w:val="clear" w:color="auto" w:fill="ffffff"/>
                <w:lang w:val="en-US" w:eastAsia="zh-CN" w:bidi="ar"/>
              </w:rPr>
              <w:t xml:space="preserve">，扣完为止</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产品质量控制</w:t>
            </w:r>
            <w:r/>
          </w:p>
        </w:tc>
        <w:tc>
          <w:tcPr>
            <w:shd w:val="clear" w:color="auto" w:fill="auto"/>
            <w:tcBorders>
              <w:top w:val="single" w:color="auto" w:sz="4" w:space="0"/>
              <w:left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1.设备、材料（2分）：投标人提供主要生产设备清单和照片、</w:t>
            </w:r>
            <w:r>
              <w:rPr>
                <w:rFonts w:hint="eastAsia" w:ascii="宋体" w:hAnsi="宋体" w:eastAsia="宋体" w:cs="宋体"/>
                <w:i w:val="0"/>
                <w:iCs w:val="0"/>
                <w:caps w:val="0"/>
                <w:color w:val="auto"/>
                <w:spacing w:val="0"/>
                <w:sz w:val="21"/>
                <w:szCs w:val="21"/>
                <w:highlight w:val="none"/>
                <w:shd w:val="clear" w:color="auto" w:fill="ffffff"/>
                <w:lang w:val="zh-CN" w:eastAsia="zh-CN" w:bidi="ar"/>
              </w:rPr>
              <w:t xml:space="preserve">2023年</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以来使用优质原、辅料（聚氨酯、铜等）购买发票和供货合同等。得2分，不提供不得分。</w:t>
            </w:r>
            <w:r/>
          </w:p>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2.工艺（3分）：提供关键技术创新案例和创新产品工艺佐证材料。优于采购文件要求得3分，满足采购文件要求得2分，不提供不得分。</w:t>
            </w:r>
            <w:r/>
          </w:p>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3.产品情况调查（2分）：提供</w:t>
            </w:r>
            <w:r>
              <w:rPr>
                <w:rFonts w:hint="eastAsia" w:ascii="宋体" w:hAnsi="宋体" w:eastAsia="宋体" w:cs="宋体"/>
                <w:i w:val="0"/>
                <w:iCs w:val="0"/>
                <w:caps w:val="0"/>
                <w:color w:val="auto"/>
                <w:spacing w:val="0"/>
                <w:sz w:val="21"/>
                <w:szCs w:val="21"/>
                <w:highlight w:val="none"/>
                <w:shd w:val="clear" w:color="auto" w:fill="ffffff"/>
                <w:lang w:val="zh-CN" w:eastAsia="zh-CN" w:bidi="ar"/>
              </w:rPr>
              <w:t xml:space="preserve">2023年</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以来度投标人对产品使用情况进行专项调查材料，提供调查报告得2分。</w:t>
            </w:r>
            <w:r/>
          </w:p>
          <w:p>
            <w:pPr>
              <w:ind w:firstLine="420"/>
              <w:rPr>
                <w:rFonts w:hint="eastAsia" w:ascii="宋体" w:hAnsi="宋体" w:eastAsia="宋体" w:cs="宋体"/>
                <w:color w:val="auto"/>
                <w:szCs w:val="21"/>
                <w:highlight w:val="none"/>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4.管理（4分）：投标人提供企业</w:t>
            </w:r>
            <w:r>
              <w:rPr>
                <w:rFonts w:hint="eastAsia" w:ascii="宋体" w:hAnsi="宋体" w:eastAsia="宋体" w:cs="宋体"/>
                <w:i w:val="0"/>
                <w:iCs w:val="0"/>
                <w:caps w:val="0"/>
                <w:color w:val="auto"/>
                <w:spacing w:val="0"/>
                <w:sz w:val="21"/>
                <w:szCs w:val="21"/>
                <w:highlight w:val="none"/>
                <w:shd w:val="clear" w:color="auto" w:fill="ffffff"/>
                <w:lang w:val="zh-CN" w:eastAsia="zh-CN" w:bidi="ar"/>
              </w:rPr>
              <w:t xml:space="preserve">2023年</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以来实施自检佐证材料；提供生产环节管理等方面进行综合质量控制的方案、佐证材料。优于采购文件要求得4分，满足采购文件要求得2分，不提供不得分。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质量检测结果</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投标人提供所投耳标2021-2024年度中国兽医药品监察所等农业农村部认可的普通猪牛羊耳标质量检验合格报告（内容应包括：耳标外观、字迹附着力、强度、高温结合力等主要质量指标），每提供一年度的报告得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分，有一项不合格均不得分，满分</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p>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投标人提供所投耳标</w:t>
            </w:r>
            <w:r>
              <w:rPr>
                <w:rFonts w:hint="eastAsia" w:ascii="宋体" w:hAnsi="宋体" w:eastAsia="宋体" w:cs="宋体"/>
                <w:i w:val="0"/>
                <w:iCs w:val="0"/>
                <w:caps w:val="0"/>
                <w:color w:val="auto"/>
                <w:spacing w:val="0"/>
                <w:sz w:val="21"/>
                <w:szCs w:val="21"/>
                <w:highlight w:val="none"/>
                <w:shd w:val="clear" w:color="auto" w:fill="ffffff"/>
                <w:lang w:val="zh-CN" w:eastAsia="zh-CN" w:bidi="ar"/>
              </w:rPr>
              <w:t xml:space="preserve">2021-202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val="zh-CN" w:eastAsia="zh-CN" w:bidi="ar"/>
              </w:rPr>
              <w:t xml:space="preserve">年度</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中国兽医药品监察所等农业农村部认可的猪牛羊聚氨酯带全铜头耳标质量检验合格报告（内容应包括：耳标外观、字迹附着力、强度、高温结合力等主要质量指标），每提供一年度的报告得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分，有一项不合格均不得分，满分</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6</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p>
          <w:p>
            <w:pPr>
              <w:ind w:firstLine="420"/>
              <w:rPr>
                <w:rFonts w:hint="eastAsia" w:ascii="宋体" w:hAnsi="宋体" w:eastAsia="宋体" w:cs="宋体"/>
                <w:color w:val="auto"/>
                <w:szCs w:val="21"/>
                <w:highlight w:val="none"/>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该项不重复得分。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产品使用效果</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投标人提供所投耳标</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2023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年以来各省级兽医部门出具的显示产品使用情况良好的履约证明，提供</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个及以上得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6</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个及以上得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10</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个及以上得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p>
          <w:p>
            <w:pPr>
              <w:ind w:firstLine="420"/>
              <w:rPr>
                <w:rFonts w:hint="eastAsia" w:ascii="宋体" w:hAnsi="宋体" w:eastAsia="宋体" w:cs="宋体"/>
                <w:color w:val="auto"/>
                <w:szCs w:val="21"/>
                <w:highlight w:val="none"/>
              </w:rPr>
            </w:pP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投标人提供所投耳标</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2023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年以来县级及以上用户（畜牧兽医部门、大型养殖场）对企业所提供服务合格的书面证明材料。提供</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个及以上得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10</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个及以上得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15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个及以上得</w:t>
            </w:r>
            <w:r>
              <w:rPr>
                <w:rFonts w:hint="default" w:ascii="宋体" w:hAnsi="宋体" w:eastAsia="宋体" w:cs="宋体"/>
                <w:i w:val="0"/>
                <w:iCs w:val="0"/>
                <w:caps w:val="0"/>
                <w:color w:val="auto"/>
                <w:spacing w:val="0"/>
                <w:sz w:val="21"/>
                <w:szCs w:val="21"/>
                <w:highlight w:val="none"/>
                <w:shd w:val="clear" w:color="auto" w:fill="ffffff"/>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w:t>
            </w:r>
            <w:r>
              <w:rPr>
                <w:rFonts w:hint="eastAsia" w:ascii="宋体" w:hAnsi="宋体" w:eastAsia="宋体" w:cs="宋体"/>
                <w:color w:val="auto"/>
                <w:highlight w:val="none"/>
                <w:lang w:val="zh-CN"/>
              </w:rPr>
              <w:t xml:space="preserve">投标人提供其产品详细的售前、售中、售后服务方案和产品使用跟踪评价方案，内容包括所能提供的产品批量（无论需求量大小均能按用户需求发货）、规格、有效期、存储和使用等环节</w:t>
            </w:r>
            <w:r>
              <w:rPr>
                <w:rFonts w:hint="eastAsia" w:ascii="宋体" w:hAnsi="宋体" w:eastAsia="宋体" w:cs="宋体"/>
                <w:color w:val="auto"/>
                <w:szCs w:val="21"/>
                <w:highlight w:val="none"/>
              </w:rPr>
              <w:t xml:space="preserve">，进行综合评审：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项要求最多得</w:t>
            </w:r>
            <w:r>
              <w:rPr>
                <w:rFonts w:hint="eastAsia" w:ascii="宋体" w:hAnsi="宋体" w:cs="宋体"/>
                <w:b/>
                <w:bCs/>
                <w:color w:val="auto"/>
                <w:szCs w:val="21"/>
                <w:highlight w:val="none"/>
                <w:lang w:val="en-US" w:eastAsia="zh-CN"/>
              </w:rPr>
              <w:t xml:space="preserve">1</w:t>
            </w:r>
            <w:r>
              <w:rPr>
                <w:rFonts w:hint="eastAsia" w:ascii="宋体" w:hAnsi="宋体" w:eastAsia="宋体" w:cs="宋体"/>
                <w:b/>
                <w:bCs/>
                <w:color w:val="auto"/>
                <w:szCs w:val="21"/>
                <w:highlight w:val="none"/>
                <w:lang w:val="en-US" w:eastAsia="zh-CN"/>
              </w:rPr>
              <w:t xml:space="preserve">0</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应急处理方案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投标人提供详细的应急处理方案，内容包括用户反映问题的处理，用户走访等</w:t>
            </w:r>
            <w:r>
              <w:rPr>
                <w:rFonts w:hint="eastAsia" w:ascii="宋体" w:hAnsi="宋体" w:eastAsia="宋体" w:cs="宋体"/>
                <w:color w:val="auto"/>
                <w:szCs w:val="21"/>
                <w:highlight w:val="none"/>
              </w:rPr>
              <w:t xml:space="preserve">内容，进行综合评审：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回收耳标的销毁方案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投标人提供用户回收耳标（已在</w:t>
            </w:r>
            <w:r>
              <w:rPr>
                <w:rFonts w:hint="eastAsia" w:ascii="宋体" w:hAnsi="宋体" w:eastAsia="宋体" w:cs="宋体"/>
                <w:i w:val="0"/>
                <w:iCs w:val="0"/>
                <w:caps w:val="0"/>
                <w:color w:val="auto"/>
                <w:spacing w:val="-7"/>
                <w:sz w:val="21"/>
                <w:szCs w:val="21"/>
                <w:highlight w:val="none"/>
                <w:shd w:val="clear" w:color="auto" w:fill="ffffff"/>
                <w:lang w:val="en-US" w:eastAsia="zh-CN" w:bidi="ar"/>
              </w:rPr>
              <w:t xml:space="preserve">全国兽医卫生综合信息平台</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注销）后的销毁方案，内容包括回收耳标的运输、销毁、全程监控等服务</w:t>
            </w:r>
            <w:r>
              <w:rPr>
                <w:rFonts w:hint="eastAsia" w:ascii="宋体" w:hAnsi="宋体" w:eastAsia="宋体" w:cs="宋体"/>
                <w:color w:val="auto"/>
                <w:szCs w:val="21"/>
                <w:highlight w:val="none"/>
              </w:rPr>
              <w:t xml:space="preserve">，进行综合评审：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rPr>
              <w:t xml:space="preserve">3</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使用效果调查方案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投标人提供其产品的使用效果调查方案，内容包括</w:t>
            </w:r>
            <w:r>
              <w:rPr>
                <w:rFonts w:hint="eastAsia" w:ascii="宋体" w:hAnsi="宋体" w:eastAsia="宋体" w:cs="宋体"/>
                <w:i w:val="0"/>
                <w:iCs w:val="0"/>
                <w:caps w:val="0"/>
                <w:color w:val="auto"/>
                <w:spacing w:val="-9"/>
                <w:sz w:val="21"/>
                <w:szCs w:val="21"/>
                <w:highlight w:val="none"/>
                <w:shd w:val="clear" w:color="auto" w:fill="ffffff"/>
                <w:lang w:val="en-US" w:eastAsia="zh-CN" w:bidi="ar"/>
              </w:rPr>
              <w:t xml:space="preserve">耳标检测方案（主动送检、抽检）、用户评价、市县疫控等相关机构（部门）评价等</w:t>
            </w:r>
            <w:r>
              <w:rPr>
                <w:rFonts w:hint="eastAsia" w:ascii="宋体" w:hAnsi="宋体" w:eastAsia="宋体" w:cs="宋体"/>
                <w:color w:val="auto"/>
                <w:szCs w:val="21"/>
                <w:highlight w:val="none"/>
              </w:rPr>
              <w:t xml:space="preserve">内容，进行综合评审：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rPr>
              <w:t xml:space="preserve">3</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2</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1.4</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0.8</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培训方案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根据招标文件要求及投标人提供培训方案。内容包括培训的内容、师资力量、区域、时间计划等内容，进行综合评审：</w:t>
            </w:r>
            <w:r/>
          </w:p>
          <w:p>
            <w:pPr>
              <w:ind w:firstLine="422"/>
              <w:jc w:val="lef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满足以上</w:t>
            </w:r>
            <w:r>
              <w:rPr>
                <w:rFonts w:hint="eastAsia" w:ascii="宋体" w:hAnsi="宋体" w:eastAsia="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项要求最多得</w:t>
            </w:r>
            <w:r>
              <w:rPr>
                <w:rFonts w:hint="eastAsia" w:ascii="宋体" w:hAnsi="宋体" w:eastAsia="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分，满足任意</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项最多得</w:t>
            </w: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zh-CN"/>
              </w:rPr>
              <w:t xml:space="preserve">分；其余情况不得分。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注：评审委员会根据各供应商的具体响应内容按照以下量化的评审因素指标对各项要求进行评审：</w:t>
            </w:r>
            <w:r/>
          </w:p>
          <w:p>
            <w:pPr>
              <w:ind w:firstLine="420"/>
              <w:jc w:val="left"/>
              <w:widowControl/>
              <w:rPr>
                <w:rFonts w:hint="eastAsia" w:ascii="宋体" w:hAnsi="宋体" w:cs="宋体"/>
                <w:b w:val="0"/>
                <w:bCs w:val="0"/>
                <w:color w:val="auto"/>
                <w:szCs w:val="21"/>
                <w:highlight w:val="none"/>
                <w:lang w:val="zh-CN" w:bidi="ar"/>
              </w:rPr>
            </w:pPr>
            <w:r>
              <w:rPr>
                <w:rFonts w:hint="eastAsia" w:ascii="宋体" w:hAnsi="宋体" w:cs="宋体"/>
                <w:b w:val="0"/>
                <w:bCs w:val="0"/>
                <w:color w:val="auto"/>
                <w:szCs w:val="21"/>
                <w:highlight w:val="none"/>
                <w:lang w:val="zh-CN" w:bidi="ar"/>
              </w:rPr>
              <w:t xml:space="preserve">1、方案完整，专业、可行，考虑周全，思路特别清晰，符合项目需求该项得</w:t>
            </w:r>
            <w:r>
              <w:rPr>
                <w:rFonts w:hint="eastAsia" w:ascii="宋体" w:hAnsi="宋体" w:cs="宋体"/>
                <w:b w:val="0"/>
                <w:bCs w:val="0"/>
                <w:color w:val="auto"/>
                <w:szCs w:val="21"/>
                <w:highlight w:val="none"/>
                <w:lang w:val="en-US" w:eastAsia="zh-CN" w:bidi="ar"/>
              </w:rPr>
              <w:t xml:space="preserve">1</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cs="宋体"/>
                <w:b w:val="0"/>
                <w:bCs w:val="0"/>
                <w:color w:val="auto"/>
                <w:szCs w:val="21"/>
                <w:highlight w:val="none"/>
                <w:lang w:val="zh-CN" w:bidi="ar"/>
              </w:rPr>
              <w:t xml:space="preserve">2、方案</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完整、思路</w:t>
            </w:r>
            <w:r>
              <w:rPr>
                <w:rFonts w:hint="eastAsia" w:ascii="宋体" w:hAnsi="宋体" w:cs="宋体"/>
                <w:b w:val="0"/>
                <w:bCs w:val="0"/>
                <w:color w:val="auto"/>
                <w:szCs w:val="21"/>
                <w:highlight w:val="none"/>
                <w:lang w:val="en-US" w:eastAsia="zh-CN" w:bidi="ar"/>
              </w:rPr>
              <w:t xml:space="preserve">不</w:t>
            </w:r>
            <w:r>
              <w:rPr>
                <w:rFonts w:hint="eastAsia" w:ascii="宋体" w:hAnsi="宋体" w:cs="宋体"/>
                <w:b w:val="0"/>
                <w:bCs w:val="0"/>
                <w:color w:val="auto"/>
                <w:szCs w:val="21"/>
                <w:highlight w:val="none"/>
                <w:lang w:val="zh-CN" w:bidi="ar"/>
              </w:rPr>
              <w:t xml:space="preserve">清晰，与项目需求响应度低，该项得</w:t>
            </w:r>
            <w:r>
              <w:rPr>
                <w:rFonts w:hint="eastAsia" w:ascii="宋体" w:hAnsi="宋体" w:cs="宋体"/>
                <w:b w:val="0"/>
                <w:bCs w:val="0"/>
                <w:color w:val="auto"/>
                <w:szCs w:val="21"/>
                <w:highlight w:val="none"/>
                <w:lang w:val="en-US" w:eastAsia="zh-CN" w:bidi="ar"/>
              </w:rPr>
              <w:t xml:space="preserve">0.7</w:t>
            </w:r>
            <w:r>
              <w:rPr>
                <w:rFonts w:hint="eastAsia" w:ascii="宋体" w:hAnsi="宋体" w:cs="宋体"/>
                <w:b w:val="0"/>
                <w:bCs w:val="0"/>
                <w:color w:val="auto"/>
                <w:szCs w:val="21"/>
                <w:highlight w:val="none"/>
                <w:lang w:val="zh-CN" w:bidi="ar"/>
              </w:rPr>
              <w:t xml:space="preserve">分；</w:t>
            </w:r>
            <w:r/>
          </w:p>
          <w:p>
            <w:pPr>
              <w:ind w:firstLine="420"/>
              <w:jc w:val="left"/>
              <w:widowControl/>
              <w:rPr>
                <w:rFonts w:hint="eastAsia" w:ascii="宋体" w:hAnsi="宋体" w:eastAsia="宋体" w:cs="宋体"/>
                <w:b w:val="0"/>
                <w:bCs w:val="0"/>
                <w:color w:val="auto"/>
                <w:szCs w:val="21"/>
                <w:highlight w:val="none"/>
                <w:lang w:val="zh-CN" w:eastAsia="zh-CN" w:bidi="ar"/>
              </w:rPr>
            </w:pPr>
            <w:r>
              <w:rPr>
                <w:rFonts w:hint="eastAsia" w:ascii="宋体" w:hAnsi="宋体" w:eastAsia="宋体" w:cs="宋体"/>
                <w:b w:val="0"/>
                <w:bCs w:val="0"/>
                <w:color w:val="auto"/>
                <w:szCs w:val="21"/>
                <w:highlight w:val="none"/>
                <w:lang w:val="zh-CN" w:eastAsia="zh-CN" w:bidi="ar"/>
              </w:rPr>
              <w:t xml:space="preserve">3、方案</w:t>
            </w:r>
            <w:r>
              <w:rPr>
                <w:rFonts w:hint="eastAsia" w:ascii="宋体" w:hAnsi="宋体" w:eastAsia="宋体" w:cs="宋体"/>
                <w:b w:val="0"/>
                <w:bCs w:val="0"/>
                <w:color w:val="auto"/>
                <w:szCs w:val="21"/>
                <w:highlight w:val="none"/>
                <w:lang w:val="en-US" w:eastAsia="zh-CN" w:bidi="ar"/>
              </w:rPr>
              <w:t xml:space="preserve">简单</w:t>
            </w:r>
            <w:r>
              <w:rPr>
                <w:rFonts w:hint="eastAsia" w:ascii="宋体" w:hAnsi="宋体" w:eastAsia="宋体" w:cs="宋体"/>
                <w:b w:val="0"/>
                <w:bCs w:val="0"/>
                <w:color w:val="auto"/>
                <w:szCs w:val="21"/>
                <w:highlight w:val="none"/>
                <w:lang w:val="zh-CN" w:eastAsia="zh-CN" w:bidi="ar"/>
              </w:rPr>
              <w:t xml:space="preserve">，与项目需求</w:t>
            </w:r>
            <w:r>
              <w:rPr>
                <w:rFonts w:hint="eastAsia" w:ascii="宋体" w:hAnsi="宋体" w:eastAsia="宋体" w:cs="宋体"/>
                <w:b w:val="0"/>
                <w:bCs w:val="0"/>
                <w:color w:val="auto"/>
                <w:szCs w:val="21"/>
                <w:highlight w:val="none"/>
                <w:lang w:val="en-US" w:eastAsia="zh-CN" w:bidi="ar"/>
              </w:rPr>
              <w:t xml:space="preserve">不</w:t>
            </w:r>
            <w:r>
              <w:rPr>
                <w:rFonts w:hint="eastAsia" w:ascii="宋体" w:hAnsi="宋体" w:eastAsia="宋体" w:cs="宋体"/>
                <w:b w:val="0"/>
                <w:bCs w:val="0"/>
                <w:color w:val="auto"/>
                <w:szCs w:val="21"/>
                <w:highlight w:val="none"/>
                <w:lang w:val="zh-CN" w:eastAsia="zh-CN" w:bidi="ar"/>
              </w:rPr>
              <w:t xml:space="preserve">响应该项得</w:t>
            </w:r>
            <w:r>
              <w:rPr>
                <w:rFonts w:hint="eastAsia" w:ascii="宋体" w:hAnsi="宋体" w:eastAsia="宋体" w:cs="宋体"/>
                <w:b w:val="0"/>
                <w:bCs w:val="0"/>
                <w:color w:val="auto"/>
                <w:szCs w:val="21"/>
                <w:highlight w:val="none"/>
                <w:lang w:val="en-US" w:eastAsia="zh-CN" w:bidi="ar"/>
              </w:rPr>
              <w:t xml:space="preserve">0.4</w:t>
            </w:r>
            <w:r>
              <w:rPr>
                <w:rFonts w:hint="eastAsia" w:ascii="宋体" w:hAnsi="宋体" w:eastAsia="宋体" w:cs="宋体"/>
                <w:b w:val="0"/>
                <w:bCs w:val="0"/>
                <w:color w:val="auto"/>
                <w:szCs w:val="21"/>
                <w:highlight w:val="none"/>
                <w:lang w:val="zh-CN" w:eastAsia="zh-CN" w:bidi="ar"/>
              </w:rPr>
              <w:t xml:space="preserve">分。</w:t>
            </w:r>
            <w:r/>
          </w:p>
          <w:p>
            <w:pPr>
              <w:ind w:firstLine="420"/>
              <w:rPr>
                <w:rFonts w:ascii="宋体" w:hAnsi="宋体" w:eastAsia="宋体" w:cs="宋体"/>
                <w:color w:val="auto"/>
                <w:szCs w:val="21"/>
                <w:highlight w:val="none"/>
              </w:rPr>
            </w:pPr>
            <w:r>
              <w:rPr>
                <w:rFonts w:hint="eastAsia" w:ascii="宋体" w:hAnsi="宋体" w:eastAsia="宋体" w:cs="宋体"/>
                <w:b w:val="0"/>
                <w:bCs w:val="0"/>
                <w:color w:val="auto"/>
                <w:szCs w:val="21"/>
                <w:highlight w:val="none"/>
                <w:lang w:val="zh-CN" w:eastAsia="zh-CN" w:bidi="ar"/>
              </w:rPr>
              <w:t xml:space="preserve">4、不提供或者经评标委员会认定非常差的不得分。</w:t>
            </w:r>
            <w:r/>
          </w:p>
        </w:tc>
      </w:tr>
      <w:tr>
        <w:trPr>
          <w:jc w:val="center"/>
          <w:trHeight w:val="365"/>
        </w:trPr>
        <w:tc>
          <w:tcPr>
            <w:tcBorders>
              <w:left w:val="single" w:color="auto" w:sz="4" w:space="0"/>
              <w:right w:val="single" w:color="auto" w:sz="4" w:space="0"/>
            </w:tcBorders>
            <w:tcW w:w="575"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p>
        </w:tc>
        <w:tc>
          <w:tcPr>
            <w:tcBorders>
              <w:left w:val="single" w:color="auto" w:sz="4" w:space="0"/>
              <w:right w:val="single" w:color="auto" w:sz="4" w:space="0"/>
            </w:tcBorders>
            <w:tcW w:w="1118" w:type="dxa"/>
            <w:vAlign w:val="center"/>
            <w:textDirection w:val="lrTb"/>
            <w:noWrap w:val="false"/>
          </w:tcPr>
          <w:p>
            <w:pPr>
              <w:jc w:val="center"/>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商务部分</w:t>
            </w:r>
            <w:r/>
          </w:p>
        </w:tc>
        <w:tc>
          <w:tcPr>
            <w:shd w:val="clear" w:color="auto" w:fill="auto"/>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spacing w:line="2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自 20</w:t>
            </w: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 年以来（以合同签订时间为准），供应商具</w:t>
            </w:r>
            <w:r>
              <w:rPr>
                <w:rFonts w:hint="eastAsia" w:ascii="宋体" w:hAnsi="宋体" w:eastAsia="宋体" w:cs="宋体"/>
                <w:color w:val="auto"/>
                <w:szCs w:val="21"/>
                <w:highlight w:val="none"/>
                <w:lang w:val="en-US" w:eastAsia="zh-CN"/>
              </w:rPr>
              <w:t xml:space="preserve">类似</w:t>
            </w:r>
            <w:r>
              <w:rPr>
                <w:rFonts w:hint="eastAsia" w:ascii="宋体" w:hAnsi="宋体" w:eastAsia="宋体" w:cs="宋体"/>
                <w:color w:val="auto"/>
                <w:szCs w:val="21"/>
                <w:highlight w:val="none"/>
              </w:rPr>
              <w:t xml:space="preserve">业绩，每提供一个</w:t>
            </w: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firstLine="422"/>
              <w:spacing w:line="2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b/>
                <w:bCs/>
                <w:color w:val="auto"/>
                <w:szCs w:val="21"/>
                <w:highlight w:val="none"/>
                <w:lang w:val="en-US" w:eastAsia="zh-CN" w:bidi="ar"/>
              </w:rPr>
              <w:t xml:space="preserve">注：</w:t>
            </w:r>
            <w:r>
              <w:rPr>
                <w:rFonts w:hint="eastAsia" w:ascii="宋体" w:hAnsi="宋体" w:eastAsia="宋体" w:cs="宋体"/>
                <w:b/>
                <w:bCs/>
                <w:color w:val="auto"/>
                <w:szCs w:val="21"/>
                <w:highlight w:val="none"/>
                <w:lang w:val="zh-CN" w:eastAsia="zh-CN" w:bidi="ar"/>
              </w:rPr>
              <w:t xml:space="preserve">须提供合同原件扫描</w:t>
            </w:r>
            <w:r>
              <w:rPr>
                <w:rFonts w:hint="eastAsia" w:ascii="宋体" w:hAnsi="宋体" w:eastAsia="宋体" w:cs="宋体"/>
                <w:b/>
                <w:bCs/>
                <w:color w:val="auto"/>
                <w:szCs w:val="21"/>
                <w:highlight w:val="none"/>
                <w:lang w:val="en-US" w:eastAsia="zh-CN" w:bidi="ar"/>
              </w:rPr>
              <w:t xml:space="preserve">件</w:t>
            </w:r>
            <w:r>
              <w:rPr>
                <w:rFonts w:hint="eastAsia" w:ascii="宋体" w:hAnsi="宋体" w:eastAsia="宋体" w:cs="宋体"/>
                <w:b/>
                <w:bCs/>
                <w:color w:val="auto"/>
                <w:szCs w:val="21"/>
                <w:highlight w:val="none"/>
                <w:lang w:val="zh-CN" w:eastAsia="zh-CN" w:bidi="ar"/>
              </w:rPr>
              <w:t xml:space="preserve">（包括</w:t>
            </w:r>
            <w:r>
              <w:rPr>
                <w:rFonts w:hint="eastAsia" w:ascii="宋体" w:hAnsi="宋体" w:eastAsia="宋体" w:cs="宋体"/>
                <w:b/>
                <w:bCs/>
                <w:color w:val="auto"/>
                <w:szCs w:val="21"/>
                <w:highlight w:val="none"/>
                <w:lang w:val="en-US" w:eastAsia="zh-CN" w:bidi="ar"/>
              </w:rPr>
              <w:t xml:space="preserve">但不限于</w:t>
            </w:r>
            <w:r>
              <w:rPr>
                <w:rFonts w:hint="eastAsia" w:ascii="宋体" w:hAnsi="宋体" w:eastAsia="宋体" w:cs="宋体"/>
                <w:b/>
                <w:bCs/>
                <w:color w:val="auto"/>
                <w:szCs w:val="21"/>
                <w:highlight w:val="none"/>
                <w:lang w:val="zh-CN" w:eastAsia="zh-CN" w:bidi="ar"/>
              </w:rPr>
              <w:t xml:space="preserve">合同首页、合同金额页、合同盖章页及显示项目名称、项目内容等相关页）</w:t>
            </w:r>
            <w:r>
              <w:rPr>
                <w:rFonts w:hint="eastAsia" w:ascii="宋体" w:hAnsi="宋体" w:eastAsia="宋体" w:cs="宋体"/>
                <w:b w:val="0"/>
                <w:bCs w:val="0"/>
                <w:color w:val="auto"/>
                <w:szCs w:val="21"/>
                <w:highlight w:val="none"/>
                <w:lang w:val="en-US" w:eastAsia="zh-CN" w:bidi="ar"/>
              </w:rPr>
              <w:t xml:space="preserve">相关资料成交供应商合同签订前核查。</w:t>
            </w:r>
            <w:r/>
          </w:p>
        </w:tc>
      </w:tr>
    </w:tbl>
    <w:p>
      <w:pPr>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bookmarkStart w:id="60" w:name="_Toc13"/>
      <w:r>
        <w:rPr>
          <w:rFonts w:hint="eastAsia" w:ascii="黑体" w:hAnsi="宋体" w:eastAsia="黑体" w:cs="黑体"/>
          <w:color w:val="auto"/>
          <w:sz w:val="44"/>
          <w:szCs w:val="44"/>
          <w:highlight w:val="none"/>
        </w:rPr>
        <w:br w:type="page" w:clear="all"/>
      </w:r>
      <w:r/>
    </w:p>
    <w:p>
      <w:pPr>
        <w:pStyle w:val="717"/>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17"/>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17"/>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17"/>
        <w:jc w:val="center"/>
        <w:keepNext/>
        <w:spacing w:beforeAutospacing="0" w:afterAutospacing="0"/>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w:t>
      </w:r>
      <w:bookmarkEnd w:id="60"/>
      <w:r/>
      <w:r/>
    </w:p>
    <w:p>
      <w:pPr>
        <w:pStyle w:val="717"/>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717"/>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717"/>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717"/>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717"/>
        <w:jc w:val="center"/>
        <w:spacing w:beforeAutospacing="0" w:afterAutospacing="0"/>
        <w:rPr>
          <w:color w:val="auto"/>
          <w:highlight w:val="none"/>
        </w:rPr>
      </w:pPr>
      <w:r/>
      <w:bookmarkStart w:id="61" w:name="_Hlt26671244"/>
      <w:r/>
      <w:bookmarkEnd w:id="61"/>
      <w:r/>
      <w:bookmarkStart w:id="62" w:name="_Hlt26955039"/>
      <w:r/>
      <w:bookmarkEnd w:id="62"/>
      <w:r>
        <w:rPr>
          <w:rFonts w:hint="eastAsia" w:ascii="宋体" w:hAnsi="宋体" w:eastAsia="宋体" w:cs="宋体"/>
          <w:b/>
          <w:color w:val="auto"/>
          <w:sz w:val="72"/>
          <w:szCs w:val="72"/>
          <w:highlight w:val="none"/>
        </w:rPr>
        <w:t xml:space="preserve">投  标  文  件</w:t>
      </w:r>
      <w:r/>
    </w:p>
    <w:p>
      <w:pPr>
        <w:pStyle w:val="717"/>
        <w:jc w:val="center"/>
        <w:spacing w:beforeAutospacing="0" w:afterAutospacing="0"/>
        <w:rPr>
          <w:color w:val="auto"/>
          <w:highlight w:val="none"/>
        </w:rPr>
      </w:pPr>
      <w:r>
        <w:rPr>
          <w:color w:val="auto"/>
          <w:highlight w:val="none"/>
        </w:rPr>
        <w:t xml:space="preserve"> </w:t>
      </w:r>
      <w:r/>
    </w:p>
    <w:p>
      <w:pPr>
        <w:pStyle w:val="717"/>
        <w:jc w:val="center"/>
        <w:spacing w:beforeAutospacing="0" w:afterAutospacing="0"/>
        <w:rPr>
          <w:color w:val="auto"/>
          <w:highlight w:val="none"/>
        </w:rPr>
      </w:pPr>
      <w:r>
        <w:rPr>
          <w:color w:val="auto"/>
          <w:highlight w:val="none"/>
        </w:rPr>
        <w:t xml:space="preserve"> </w:t>
      </w:r>
      <w:r/>
    </w:p>
    <w:p>
      <w:pPr>
        <w:pStyle w:val="717"/>
        <w:jc w:val="center"/>
        <w:spacing w:beforeAutospacing="0" w:afterAutospacing="0"/>
        <w:rPr>
          <w:color w:val="auto"/>
          <w:highlight w:val="none"/>
        </w:rPr>
      </w:pPr>
      <w:r>
        <w:rPr>
          <w:color w:val="auto"/>
          <w:highlight w:val="none"/>
        </w:rPr>
        <w:t xml:space="preserve"> </w:t>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r>
      <w:r/>
    </w:p>
    <w:p>
      <w:pPr>
        <w:pStyle w:val="717"/>
        <w:jc w:val="center"/>
        <w:spacing w:beforeAutospacing="0" w:afterAutospacing="0"/>
        <w:rPr>
          <w:color w:val="auto"/>
          <w:highlight w:val="none"/>
        </w:rPr>
      </w:pPr>
      <w:r>
        <w:rPr>
          <w:color w:val="auto"/>
          <w:highlight w:val="none"/>
        </w:rPr>
        <w:t xml:space="preserve"> </w:t>
      </w:r>
      <w:r/>
    </w:p>
    <w:p>
      <w:pPr>
        <w:pStyle w:val="717"/>
        <w:jc w:val="center"/>
        <w:spacing w:beforeAutospacing="0" w:afterAutospacing="0"/>
        <w:rPr>
          <w:color w:val="auto"/>
          <w:highlight w:val="none"/>
        </w:rPr>
      </w:pPr>
      <w:r>
        <w:rPr>
          <w:color w:val="auto"/>
          <w:highlight w:val="none"/>
        </w:rPr>
        <w:t xml:space="preserve"> </w:t>
      </w:r>
      <w:r/>
    </w:p>
    <w:p>
      <w:pPr>
        <w:pStyle w:val="71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17"/>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7"/>
        <w:jc w:val="center"/>
        <w:spacing w:beforeAutospacing="0" w:afterAutospacing="0" w:line="0" w:lineRule="atLeast"/>
        <w:rPr>
          <w:color w:val="auto"/>
          <w:highlight w:val="none"/>
        </w:rPr>
      </w:pPr>
      <w:r>
        <w:rPr>
          <w:color w:val="auto"/>
          <w:highlight w:val="none"/>
        </w:rPr>
        <w:t xml:space="preserve"> </w:t>
      </w:r>
      <w:r/>
    </w:p>
    <w:p>
      <w:pPr>
        <w:pStyle w:val="717"/>
        <w:jc w:val="both"/>
        <w:spacing w:beforeAutospacing="0" w:afterAutospacing="0" w:line="0" w:lineRule="atLeast"/>
        <w:rPr>
          <w:color w:val="auto"/>
          <w:highlight w:val="none"/>
        </w:rPr>
      </w:pPr>
      <w:r>
        <w:rPr>
          <w:color w:val="auto"/>
          <w:highlight w:val="none"/>
        </w:rPr>
        <w:t xml:space="preserve"> </w:t>
      </w:r>
      <w:r/>
    </w:p>
    <w:p>
      <w:pPr>
        <w:rPr>
          <w:rFonts w:ascii="宋体" w:hAnsi="宋体"/>
          <w:b/>
          <w:bCs/>
          <w:color w:val="auto"/>
          <w:sz w:val="32"/>
          <w:szCs w:val="32"/>
          <w:highlight w:val="none"/>
        </w:rPr>
      </w:pPr>
      <w:r/>
      <w:bookmarkStart w:id="63" w:name="_Hlt26955070"/>
      <w:r/>
      <w:bookmarkStart w:id="64" w:name="_格式3__银行出具的资信证明"/>
      <w:r/>
      <w:bookmarkStart w:id="65" w:name="_Hlt26609389"/>
      <w:r/>
      <w:bookmarkStart w:id="66" w:name="_Hlt26955054"/>
      <w:r/>
      <w:bookmarkStart w:id="67" w:name="_Hlt26671380"/>
      <w:r/>
      <w:bookmarkStart w:id="68" w:name="_Hlt26671374"/>
      <w:r/>
      <w:bookmarkStart w:id="69" w:name="_格式2__法定代表人授权书"/>
      <w:r/>
      <w:bookmarkStart w:id="70" w:name="_Hlt26955066"/>
      <w:r>
        <w:rPr>
          <w:rFonts w:hint="eastAsia" w:ascii="宋体" w:hAnsi="宋体"/>
          <w:b/>
          <w:bCs/>
          <w:color w:val="auto"/>
          <w:sz w:val="32"/>
          <w:szCs w:val="32"/>
          <w:highlight w:val="none"/>
        </w:rPr>
        <w:br w:type="page" w:clear="all"/>
      </w:r>
      <w:r/>
    </w:p>
    <w:p>
      <w:pPr>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一、开标一览表（系统固定格式）</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二、资格审查资料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eastAsia="zh-CN"/>
        </w:rPr>
        <w:t xml:space="preserve">上一年度或上上年度的财务状况报表（</w:t>
      </w:r>
      <w:r>
        <w:rPr>
          <w:rFonts w:hint="eastAsia" w:ascii="宋体" w:hAnsi="宋体" w:cs="宋体"/>
          <w:i/>
          <w:color w:val="auto"/>
          <w:sz w:val="28"/>
          <w:szCs w:val="28"/>
          <w:highlight w:val="none"/>
          <w:u w:val="single"/>
        </w:rPr>
        <w:t xml:space="preserve">至少提供资产负债表、利润表、现金流量表，</w:t>
      </w:r>
      <w:r>
        <w:rPr>
          <w:rFonts w:hint="eastAsia" w:ascii="宋体" w:hAnsi="宋体" w:cs="宋体"/>
          <w:i/>
          <w:color w:val="auto"/>
          <w:sz w:val="28"/>
          <w:szCs w:val="28"/>
          <w:highlight w:val="none"/>
          <w:u w:val="single"/>
        </w:rPr>
        <w:t xml:space="preserve">投标人成立不满一年无需提供</w:t>
      </w:r>
      <w:r>
        <w:rPr>
          <w:rFonts w:hint="eastAsia" w:ascii="宋体" w:hAnsi="宋体" w:eastAsia="宋体" w:cs="Times New Roman"/>
          <w:color w:val="auto"/>
          <w:sz w:val="24"/>
          <w:highlight w:val="none"/>
          <w:lang w:eastAsia="zh-CN"/>
        </w:rPr>
        <w:t xml:space="preserve">）</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（4）具备履行合同所必需的设备和专业技术能力的书面声明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（5）参加政府采购活动前3年内在经营活动中没有重大违法记录的书面声明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（6）投标人法定代表人身份证明和投标文件签署授权委托书（另附法定代表人和被授权人的身份证复印件或扫描件）；</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（7）投标人为被授权人缴纳的社会养老保险证明；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（8）与资格审查有关的其他资料（如有）。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三、符合性资料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（1）投标报价明细表；</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（2）投标函；</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eastAsia="zh-CN"/>
        </w:rPr>
        <w:t xml:space="preserve">货物（包含与货物相关的服务）</w:t>
      </w:r>
      <w:r>
        <w:rPr>
          <w:rFonts w:hint="eastAsia" w:ascii="宋体" w:hAnsi="宋体" w:eastAsia="宋体" w:cs="Times New Roman"/>
          <w:color w:val="auto"/>
          <w:sz w:val="24"/>
          <w:highlight w:val="none"/>
        </w:rPr>
        <w:t xml:space="preserve">内容及服务要求偏离表；</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（4）投标人的服务承诺；</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w:t>
      </w:r>
      <w:r>
        <w:rPr>
          <w:rFonts w:hint="eastAsia" w:ascii="宋体" w:hAnsi="宋体" w:eastAsia="宋体" w:cs="Times New Roman"/>
          <w:color w:val="auto"/>
          <w:sz w:val="24"/>
          <w:highlight w:val="none"/>
          <w:lang w:eastAsia="zh-CN"/>
        </w:rPr>
        <w:t xml:space="preserve">中小企业声明函</w:t>
      </w:r>
      <w:r>
        <w:rPr>
          <w:rFonts w:hint="eastAsia" w:ascii="宋体" w:hAnsi="宋体" w:eastAsia="宋体" w:cs="Times New Roman"/>
          <w:color w:val="auto"/>
          <w:sz w:val="24"/>
          <w:highlight w:val="none"/>
        </w:rPr>
        <w:t xml:space="preserve">；（如有）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（6）残疾人福利性单位声明函；（如有）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（7）联合体协议（如有）；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（8）盐城市政府采购事前信用承诺书；</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四、综合评审相关资料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五、价格折扣文件（如有）</w:t>
      </w:r>
      <w:r/>
    </w:p>
    <w:p>
      <w:pPr>
        <w:jc w:val="center"/>
        <w:rPr>
          <w:rFonts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1.具有履</w:t>
      </w:r>
      <w:r>
        <w:rPr>
          <w:rFonts w:hint="eastAsia" w:ascii="黑体" w:eastAsia="黑体"/>
          <w:b/>
          <w:bCs/>
          <w:color w:val="auto"/>
          <w:sz w:val="32"/>
          <w:szCs w:val="32"/>
          <w:highlight w:val="none"/>
        </w:rPr>
        <w:t xml:space="preserve">行合同所必需的设备和专业技术能力的书面声明</w:t>
      </w:r>
      <w:r/>
    </w:p>
    <w:p>
      <w:pPr>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6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6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16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28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16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694"/>
        <w:ind w:firstLine="0"/>
        <w:rPr>
          <w:color w:val="auto"/>
          <w:highlight w:val="none"/>
        </w:rPr>
      </w:pPr>
      <w:r>
        <w:rPr>
          <w:color w:val="auto"/>
          <w:highlight w:val="none"/>
        </w:rPr>
      </w:r>
      <w:r/>
    </w:p>
    <w:p>
      <w:pPr>
        <w:jc w:val="center"/>
        <w:spacing w:line="600" w:lineRule="exact"/>
        <w:rPr>
          <w:rFonts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rPr>
        <w:t xml:space="preserve">2.参加政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6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312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16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312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16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1680"/>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ascii="宋体" w:hAnsi="宋体"/>
          <w:bCs/>
          <w:color w:val="auto"/>
          <w:sz w:val="24"/>
          <w:highlight w:val="none"/>
        </w:rPr>
      </w:pPr>
      <w:r>
        <w:rPr>
          <w:rFonts w:ascii="宋体" w:hAnsi="宋体"/>
          <w:bCs/>
          <w:color w:val="auto"/>
          <w:sz w:val="24"/>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center"/>
        <w:spacing w:line="600" w:lineRule="exact"/>
        <w:rPr>
          <w:rFonts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rPr>
        <w:t xml:space="preserve">3.法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r/>
    </w:p>
    <w:p>
      <w:pPr>
        <w:ind w:firstLine="120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2126"/>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left"/>
        <w:spacing w:line="6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（附：法定代表人身份证正反面复印件或扫描件）</w:t>
      </w:r>
      <w:r/>
    </w:p>
    <w:p>
      <w:pPr>
        <w:jc w:val="center"/>
        <w:spacing w:line="400" w:lineRule="exact"/>
        <w:rPr>
          <w:rFonts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4.授权委托</w:t>
      </w:r>
      <w:r>
        <w:rPr>
          <w:rFonts w:hint="eastAsia" w:ascii="黑体" w:eastAsia="黑体"/>
          <w:b/>
          <w:bCs/>
          <w:color w:val="auto"/>
          <w:sz w:val="32"/>
          <w:szCs w:val="32"/>
          <w:highlight w:val="none"/>
        </w:rPr>
        <w:t xml:space="preserve">书</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的法定代表人，现授权____________（投标人名称）的________________（被授权人的姓名）为我单位就JSZC-</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p>
    <w:p>
      <w:pPr>
        <w:pStyle w:val="885"/>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85"/>
        <w:ind w:firstLine="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885"/>
        <w:ind w:firstLine="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85"/>
        <w:ind w:firstLine="120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85"/>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85"/>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885"/>
        <w:ind w:firstLine="120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（附：被授权人身份证正反面复印件或扫描件）</w:t>
      </w:r>
      <w:r/>
    </w:p>
    <w:p>
      <w:pPr>
        <w:pStyle w:val="694"/>
        <w:spacing w:line="480" w:lineRule="auto"/>
        <w:rPr>
          <w:rFonts w:ascii="宋体" w:hAnsi="宋体" w:eastAsia="宋体" w:cs="宋体"/>
          <w:i/>
          <w:color w:val="auto"/>
          <w:sz w:val="24"/>
          <w:highlight w:val="none"/>
          <w:u w:val="single"/>
        </w:rPr>
      </w:pPr>
      <w:r>
        <w:rPr>
          <w:rFonts w:ascii="宋体" w:hAnsi="宋体" w:eastAsia="宋体" w:cs="宋体"/>
          <w:i/>
          <w:color w:val="auto"/>
          <w:sz w:val="24"/>
          <w:highlight w:val="none"/>
          <w:u w:val="single"/>
        </w:rPr>
      </w:r>
      <w:r/>
    </w:p>
    <w:p>
      <w:pPr>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color w:val="auto"/>
          <w:sz w:val="24"/>
          <w:highlight w:val="none"/>
        </w:rPr>
        <w:t xml:space="preserve">被授权人须为本单位正式职工并提供投标人为被授权人缴纳的社会养老保险证明。</w:t>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spacing w:before="50" w:after="50"/>
        <w:rPr>
          <w:rFonts w:ascii="黑体" w:hAnsi="Times New Roman" w:eastAsia="黑体" w:cs="Times New Roman"/>
          <w:b/>
          <w:bCs/>
          <w:color w:val="auto"/>
          <w:sz w:val="32"/>
          <w:szCs w:val="32"/>
          <w:highlight w:val="none"/>
        </w:rPr>
      </w:pPr>
      <w:r>
        <w:rPr>
          <w:rFonts w:ascii="宋体" w:hAnsi="宋体"/>
          <w:bCs/>
          <w:color w:val="auto"/>
          <w:sz w:val="24"/>
          <w:highlight w:val="none"/>
        </w:rPr>
        <w:br w:type="page" w:clear="all"/>
      </w:r>
      <w:r>
        <w:rPr>
          <w:rFonts w:hint="eastAsia" w:ascii="黑体" w:hAnsi="Times New Roman" w:eastAsia="黑体" w:cs="Times New Roman"/>
          <w:b/>
          <w:bCs/>
          <w:color w:val="auto"/>
          <w:sz w:val="32"/>
          <w:szCs w:val="32"/>
          <w:highlight w:val="none"/>
        </w:rPr>
        <w:t xml:space="preserve">5.开标一览表（格式）</w:t>
      </w:r>
      <w:r/>
    </w:p>
    <w:p>
      <w:pPr>
        <w:pStyle w:val="717"/>
        <w:widowControl/>
        <w:rPr>
          <w:color w:val="auto"/>
          <w:highlight w:val="none"/>
        </w:rPr>
      </w:pPr>
      <w:r>
        <w:rPr>
          <w:color w:val="auto"/>
          <w:highlight w:val="none"/>
        </w:rPr>
        <w:t xml:space="preserve">项目编号：</w:t>
      </w:r>
      <w:r>
        <w:rPr>
          <w:rFonts w:hint="eastAsia" w:ascii="宋体" w:hAnsi="宋体"/>
          <w:color w:val="auto"/>
          <w:szCs w:val="21"/>
          <w:highlight w:val="none"/>
          <w:lang w:eastAsia="zh-CN"/>
        </w:rPr>
        <w:t xml:space="preserve">JSZC-320981-TXJS-G2025-0007</w:t>
      </w:r>
      <w:r>
        <w:rPr>
          <w:color w:val="auto"/>
          <w:highlight w:val="none"/>
        </w:rPr>
        <w:t xml:space="preserve"> </w:t>
      </w:r>
      <w:r/>
    </w:p>
    <w:p>
      <w:pPr>
        <w:pStyle w:val="717"/>
        <w:widowControl/>
        <w:rPr>
          <w:color w:val="auto"/>
          <w:highlight w:val="none"/>
        </w:rPr>
      </w:pPr>
      <w:r>
        <w:rPr>
          <w:color w:val="auto"/>
          <w:highlight w:val="none"/>
        </w:rPr>
        <w:t xml:space="preserve">货币</w:t>
      </w:r>
      <w:r>
        <w:rPr>
          <w:rFonts w:ascii="宋体" w:hAnsi="宋体" w:eastAsia="宋体" w:cs="宋体"/>
          <w:color w:val="auto"/>
          <w:highlight w:val="none"/>
        </w:rPr>
        <w:t xml:space="preserve">单位</w:t>
      </w:r>
      <w:r>
        <w:rPr>
          <w:color w:val="auto"/>
          <w:highlight w:val="none"/>
        </w:rPr>
        <w:t xml:space="preserve">：人民币元</w:t>
      </w:r>
      <w:r/>
    </w:p>
    <w:tbl>
      <w:tblPr>
        <w:tblStyle w:val="721"/>
        <w:tblW w:w="93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9"/>
        <w:gridCol w:w="2329"/>
        <w:gridCol w:w="4659"/>
      </w:tblGrid>
      <w:tr>
        <w:trPr>
          <w:trHeight w:val="1386"/>
        </w:trPr>
        <w:tc>
          <w:tcPr>
            <w:tcW w:w="2329" w:type="dxa"/>
            <w:vAlign w:val="center"/>
            <w:textDirection w:val="lrTb"/>
            <w:noWrap w:val="false"/>
          </w:tcPr>
          <w:p>
            <w:pPr>
              <w:jc w:val="center"/>
              <w:spacing w:before="50" w:after="50"/>
              <w:rPr>
                <w:rFonts w:ascii="宋体" w:hAnsi="宋体" w:eastAsia="宋体" w:cs="宋体"/>
                <w:color w:val="auto"/>
                <w:sz w:val="24"/>
                <w:highlight w:val="none"/>
              </w:rPr>
            </w:pPr>
            <w:r>
              <w:rPr>
                <w:rFonts w:hint="eastAsia" w:ascii="宋体" w:hAnsi="宋体" w:eastAsia="宋体" w:cs="宋体"/>
                <w:color w:val="auto"/>
                <w:sz w:val="24"/>
                <w:highlight w:val="none"/>
              </w:rPr>
              <w:t xml:space="preserve">项 目 名 称</w:t>
            </w:r>
            <w:r/>
          </w:p>
        </w:tc>
        <w:tc>
          <w:tcPr>
            <w:tcW w:w="2329" w:type="dxa"/>
            <w:vAlign w:val="center"/>
            <w:textDirection w:val="lrTb"/>
            <w:noWrap w:val="false"/>
          </w:tcPr>
          <w:p>
            <w:pPr>
              <w:jc w:val="center"/>
              <w:spacing w:before="50" w:after="50"/>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4659" w:type="dxa"/>
            <w:vAlign w:val="center"/>
            <w:textDirection w:val="lrTb"/>
            <w:noWrap w:val="false"/>
          </w:tcPr>
          <w:p>
            <w:pPr>
              <w:jc w:val="center"/>
              <w:spacing w:before="50" w:after="50"/>
              <w:rPr>
                <w:rFonts w:ascii="宋体" w:hAnsi="宋体" w:eastAsia="宋体" w:cs="宋体"/>
                <w:color w:val="auto"/>
                <w:sz w:val="24"/>
                <w:highlight w:val="none"/>
              </w:rPr>
            </w:pPr>
            <w:r>
              <w:rPr>
                <w:rFonts w:ascii="宋体" w:hAnsi="宋体" w:eastAsia="宋体" w:cs="宋体"/>
                <w:color w:val="auto"/>
                <w:sz w:val="24"/>
                <w:highlight w:val="none"/>
              </w:rPr>
              <w:t xml:space="preserve">总价（小写）</w:t>
            </w:r>
            <w:r/>
          </w:p>
        </w:tc>
      </w:tr>
      <w:tr>
        <w:trPr>
          <w:trHeight w:val="797"/>
        </w:trPr>
        <w:tc>
          <w:tcPr>
            <w:tcW w:w="2329" w:type="dxa"/>
            <w:vAlign w:val="center"/>
            <w:textDirection w:val="lrTb"/>
            <w:noWrap w:val="false"/>
          </w:tcPr>
          <w:p>
            <w:pPr>
              <w:jc w:val="center"/>
              <w:spacing w:before="50" w:after="50"/>
              <w:rPr>
                <w:rFonts w:ascii="宋体" w:hAnsi="宋体" w:eastAsia="宋体" w:cs="宋体"/>
                <w:color w:val="auto"/>
                <w:sz w:val="24"/>
                <w:highlight w:val="none"/>
              </w:rPr>
            </w:pPr>
            <w:r>
              <w:rPr>
                <w:rFonts w:hint="eastAsia" w:ascii="宋体" w:hAnsi="宋体" w:eastAsia="宋体" w:cs="宋体"/>
                <w:color w:val="auto"/>
                <w:sz w:val="24"/>
                <w:highlight w:val="none"/>
              </w:rPr>
              <w:t xml:space="preserve">东台市2025年度重大动物疫病强制免疫疫苗、耳标采购项目</w:t>
            </w:r>
            <w:r/>
          </w:p>
        </w:tc>
        <w:tc>
          <w:tcPr>
            <w:tcW w:w="2329" w:type="dxa"/>
            <w:vAlign w:val="center"/>
            <w:textDirection w:val="lrTb"/>
            <w:noWrap w:val="false"/>
          </w:tcPr>
          <w:p>
            <w:pPr>
              <w:jc w:val="center"/>
              <w:spacing w:before="50" w:after="50"/>
              <w:rPr>
                <w:rFonts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4659" w:type="dxa"/>
            <w:vAlign w:val="center"/>
            <w:textDirection w:val="lrTb"/>
            <w:noWrap w:val="false"/>
          </w:tcPr>
          <w:p>
            <w:pPr>
              <w:jc w:val="center"/>
              <w:spacing w:before="50" w:after="50"/>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816"/>
        </w:trPr>
        <w:tc>
          <w:tcPr>
            <w:tcW w:w="2329" w:type="dxa"/>
            <w:vAlign w:val="center"/>
            <w:textDirection w:val="lrTb"/>
            <w:noWrap w:val="false"/>
          </w:tcPr>
          <w:p>
            <w:pPr>
              <w:jc w:val="left"/>
              <w:spacing w:before="50" w:after="50"/>
              <w:rPr>
                <w:rFonts w:ascii="黑体" w:eastAsia="黑体"/>
                <w:color w:val="auto"/>
                <w:sz w:val="32"/>
                <w:szCs w:val="32"/>
                <w:highlight w:val="none"/>
              </w:rPr>
            </w:pPr>
            <w:r>
              <w:rPr>
                <w:rFonts w:ascii="宋体" w:hAnsi="宋体" w:eastAsia="宋体" w:cs="宋体"/>
                <w:color w:val="auto"/>
                <w:sz w:val="24"/>
                <w:highlight w:val="none"/>
              </w:rPr>
              <w:t xml:space="preserve">总价（大写）：</w:t>
            </w:r>
            <w:r/>
          </w:p>
        </w:tc>
        <w:tc>
          <w:tcPr>
            <w:gridSpan w:val="2"/>
            <w:tcW w:w="6988" w:type="dxa"/>
            <w:vAlign w:val="center"/>
            <w:textDirection w:val="lrTb"/>
            <w:noWrap w:val="false"/>
          </w:tcPr>
          <w:p>
            <w:pPr>
              <w:jc w:val="left"/>
              <w:spacing w:before="50" w:after="50"/>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16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600" w:lineRule="exact"/>
        <w:rPr>
          <w:rFonts w:ascii="宋体" w:hAnsi="宋体" w:eastAsia="宋体" w:cs="宋体"/>
          <w:color w:val="auto"/>
          <w:sz w:val="24"/>
          <w:highlight w:val="none"/>
        </w:rPr>
      </w:pPr>
      <w:r>
        <w:rPr>
          <w:rFonts w:ascii="宋体" w:hAnsi="宋体" w:eastAsia="宋体" w:cs="宋体"/>
          <w:color w:val="auto"/>
          <w:sz w:val="24"/>
          <w:highlight w:val="none"/>
        </w:rPr>
        <w:t xml:space="preserve">投标人公章：（电子签章）</w:t>
      </w:r>
      <w:r>
        <w:rPr>
          <w:rFonts w:hint="eastAsia" w:ascii="宋体" w:hAnsi="宋体" w:eastAsia="宋体" w:cs="宋体"/>
          <w:color w:val="auto"/>
          <w:sz w:val="24"/>
          <w:highlight w:val="none"/>
        </w:rPr>
        <w:t xml:space="preserve">      </w:t>
      </w:r>
      <w:r/>
    </w:p>
    <w:p>
      <w:pPr>
        <w:jc w:val="right"/>
        <w:rPr>
          <w:rFonts w:ascii="宋体" w:hAnsi="宋体" w:eastAsia="宋体" w:cs="宋体"/>
          <w:color w:val="auto"/>
          <w:sz w:val="24"/>
          <w:highlight w:val="none"/>
        </w:rPr>
        <w:outlineLvl w:val="1"/>
      </w:pPr>
      <w:r>
        <w:rPr>
          <w:rFonts w:ascii="宋体" w:hAnsi="宋体" w:eastAsia="宋体" w:cs="宋体"/>
          <w:color w:val="auto"/>
          <w:sz w:val="24"/>
          <w:highlight w:val="none"/>
        </w:rPr>
      </w:r>
      <w:r/>
    </w:p>
    <w:p>
      <w:pPr>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center"/>
        <w:rPr>
          <w:rFonts w:ascii="黑体" w:hAnsi="Times New Roman" w:eastAsia="黑体" w:cs="Times New Roman"/>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6.报价明细表（格式）</w:t>
      </w:r>
      <w:r/>
    </w:p>
    <w:tbl>
      <w:tblPr>
        <w:tblStyle w:val="692"/>
        <w:tblW w:w="9357" w:type="dxa"/>
        <w:jc w:val="center"/>
        <w:tblLayout w:type="fixed"/>
        <w:tblCellMar>
          <w:left w:w="0" w:type="dxa"/>
          <w:top w:w="0" w:type="dxa"/>
          <w:right w:w="0" w:type="dxa"/>
          <w:bottom w:w="0" w:type="dxa"/>
        </w:tblCellMar>
        <w:tblLook w:val="04A0" w:firstRow="1" w:lastRow="0" w:firstColumn="1" w:lastColumn="0" w:noHBand="0" w:noVBand="1"/>
      </w:tblPr>
      <w:tblGrid>
        <w:gridCol w:w="537"/>
        <w:gridCol w:w="2194"/>
        <w:gridCol w:w="2112"/>
        <w:gridCol w:w="1069"/>
        <w:gridCol w:w="836"/>
        <w:gridCol w:w="1180"/>
        <w:gridCol w:w="1429"/>
      </w:tblGrid>
      <w:tr>
        <w:trPr>
          <w:jc w:val="center"/>
          <w:trHeight w:val="74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jc w:val="center"/>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名 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jc w:val="center"/>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技术参数及规格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合价（元）</w:t>
            </w:r>
            <w:r/>
          </w:p>
        </w:tc>
      </w:tr>
      <w:tr>
        <w:trPr>
          <w:jc w:val="center"/>
          <w:trHeight w:val="6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61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01"/>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73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626" w:type="dxa"/>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Times New Roman"/>
          <w:color w:val="auto"/>
          <w:sz w:val="24"/>
          <w:highlight w:val="none"/>
        </w:rPr>
        <w:t xml:space="preserve">报价除标的</w:t>
      </w:r>
      <w:r>
        <w:rPr>
          <w:rFonts w:hint="eastAsia" w:ascii="宋体" w:hAnsi="宋体" w:eastAsia="宋体" w:cs="Times New Roman"/>
          <w:color w:val="auto"/>
          <w:sz w:val="24"/>
          <w:highlight w:val="none"/>
        </w:rPr>
        <w:t xml:space="preserve">物的价款外还应包括全部工作内容的价格体现，包括采购人需求的产品价格、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rPr>
          <w:rFonts w:hint="eastAsia" w:ascii="宋体" w:hAnsi="宋体" w:eastAsia="宋体" w:cs="宋体"/>
          <w:color w:val="auto"/>
          <w:sz w:val="24"/>
          <w:highlight w:val="none"/>
        </w:rPr>
        <w:t xml:space="preserve">。</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2.此表可以根据需要自行增减行数。</w:t>
      </w:r>
      <w:r/>
    </w:p>
    <w:p>
      <w:pP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336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16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336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120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rPr>
          <w:rFonts w:ascii="宋体" w:hAnsi="宋体" w:eastAsia="宋体" w:cs="宋体"/>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7.投标函</w:t>
      </w:r>
      <w:r/>
    </w:p>
    <w:p>
      <w:pPr>
        <w:pStyle w:val="886"/>
        <w:ind w:firstLine="0"/>
        <w:spacing w:before="0" w:after="0" w:line="420" w:lineRule="exact"/>
        <w:rPr>
          <w:rFonts w:ascii="宋体" w:hAnsi="宋体" w:eastAsia="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pStyle w:val="886"/>
        <w:spacing w:before="0" w:after="0" w:line="420" w:lineRule="exact"/>
        <w:rPr>
          <w:rFonts w:ascii="宋体" w:hAnsi="宋体"/>
          <w:color w:val="auto"/>
          <w:szCs w:val="21"/>
          <w:highlight w:val="none"/>
        </w:rPr>
      </w:pPr>
      <w:r>
        <w:rPr>
          <w:rFonts w:ascii="宋体" w:hAnsi="宋体"/>
          <w:color w:val="auto"/>
          <w:szCs w:val="21"/>
          <w:highlight w:val="none"/>
        </w:rPr>
      </w:r>
      <w:r/>
    </w:p>
    <w:p>
      <w:pPr>
        <w:pStyle w:val="886"/>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JSZC-320981-TXJS-G2025-0007</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86"/>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86"/>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8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8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8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8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8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86"/>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账户：                                      </w:t>
      </w:r>
      <w:r/>
    </w:p>
    <w:p>
      <w:pPr>
        <w:ind w:firstLine="924"/>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16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rPr>
          <w:rFonts w:hint="eastAsia" w:ascii="宋体" w:hAnsi="宋体" w:eastAsia="宋体" w:cs="宋体"/>
          <w:color w:val="auto"/>
          <w:sz w:val="24"/>
          <w:highlight w:val="none"/>
          <w:u w:val="single"/>
        </w:rPr>
        <w:t xml:space="preserve">              </w:t>
      </w:r>
      <w:r/>
    </w:p>
    <w:p>
      <w:pPr>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16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right"/>
        <w:spacing w:line="480" w:lineRule="exact"/>
        <w:rPr>
          <w:rFonts w:ascii="仿宋_GB2312" w:eastAsia="仿宋_GB2312"/>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rPr>
        <w:t xml:space="preserve"> </w:t>
      </w:r>
      <w:r/>
    </w:p>
    <w:p>
      <w:pP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jc w:val="center"/>
        <w:rPr>
          <w:rFonts w:ascii="黑体" w:hAnsi="Times New Roman" w:eastAsia="黑体" w:cs="Times New Roman"/>
          <w:b/>
          <w:bCs/>
          <w:color w:val="auto"/>
          <w:sz w:val="32"/>
          <w:szCs w:val="32"/>
          <w:highlight w:val="none"/>
        </w:rPr>
        <w:outlineLvl w:val="1"/>
      </w:pPr>
      <w:r>
        <w:rPr>
          <w:rFonts w:hint="eastAsia" w:ascii="黑体" w:hAnsi="Times New Roman" w:eastAsia="黑体" w:cs="Times New Roman"/>
          <w:b/>
          <w:bCs/>
          <w:color w:val="auto"/>
          <w:sz w:val="32"/>
          <w:szCs w:val="32"/>
          <w:highlight w:val="none"/>
        </w:rPr>
        <w:t xml:space="preserve">8.</w:t>
      </w:r>
      <w:r>
        <w:rPr>
          <w:rFonts w:hint="eastAsia" w:ascii="黑体" w:hAnsi="Times New Roman" w:eastAsia="黑体" w:cs="Times New Roman"/>
          <w:b/>
          <w:bCs/>
          <w:color w:val="auto"/>
          <w:sz w:val="32"/>
          <w:szCs w:val="32"/>
          <w:highlight w:val="none"/>
          <w:lang w:eastAsia="zh-CN"/>
        </w:rPr>
        <w:t xml:space="preserve">货物（包含与货物相关的服务）</w:t>
      </w:r>
      <w:r>
        <w:rPr>
          <w:rFonts w:hint="eastAsia" w:ascii="黑体" w:hAnsi="Times New Roman" w:eastAsia="黑体" w:cs="Times New Roman"/>
          <w:b/>
          <w:bCs/>
          <w:color w:val="auto"/>
          <w:sz w:val="32"/>
          <w:szCs w:val="32"/>
          <w:highlight w:val="none"/>
        </w:rPr>
        <w:t xml:space="preserve">内容及服务要求偏离表</w:t>
      </w:r>
      <w:r/>
    </w:p>
    <w:p>
      <w:pPr>
        <w:pStyle w:val="693"/>
        <w:ind w:left="480"/>
        <w:rPr>
          <w:rFonts w:hint="default"/>
          <w:color w:val="auto"/>
          <w:highlight w:val="none"/>
        </w:rPr>
      </w:pPr>
      <w:r>
        <w:rPr>
          <w:rFonts w:hint="default"/>
          <w:color w:val="auto"/>
          <w:highlight w:val="none"/>
        </w:rPr>
      </w:r>
      <w:r/>
    </w:p>
    <w:tbl>
      <w:tblPr>
        <w:tblStyle w:val="692"/>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lang w:eastAsia="zh-CN"/>
              </w:rPr>
              <w:t xml:space="preserve">产品（产品附带的服务）</w:t>
            </w:r>
            <w:r>
              <w:rPr>
                <w:rFonts w:hint="eastAsia" w:ascii="宋体" w:hAnsi="宋体" w:eastAsia="宋体" w:cs="宋体"/>
                <w:color w:val="auto"/>
                <w:sz w:val="24"/>
                <w:highlight w:val="none"/>
              </w:rPr>
              <w:t xml:space="preserve">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货物（包含与货物相关的服务）</w:t>
            </w:r>
            <w:r>
              <w:rPr>
                <w:rFonts w:hint="eastAsia" w:ascii="宋体" w:hAnsi="宋体" w:eastAsia="宋体" w:cs="宋体"/>
                <w:color w:val="auto"/>
                <w:sz w:val="24"/>
                <w:highlight w:val="none"/>
              </w:rPr>
              <w:t xml:space="preserve">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bl>
    <w:p>
      <w:pPr>
        <w:ind w:firstLine="420"/>
        <w:spacing w:line="440" w:lineRule="exact"/>
        <w:rPr>
          <w:rFonts w:ascii="仿宋_GB2312" w:eastAsia="仿宋_GB2312"/>
          <w:color w:val="auto"/>
          <w:sz w:val="24"/>
          <w:highlight w:val="none"/>
        </w:rPr>
      </w:pPr>
      <w:r>
        <w:rPr>
          <w:rFonts w:ascii="仿宋_GB2312" w:eastAsia="仿宋_GB2312"/>
          <w:color w:val="auto"/>
          <w:sz w:val="24"/>
          <w:highlight w:val="none"/>
        </w:rPr>
      </w:r>
      <w:r/>
    </w:p>
    <w:p>
      <w:pPr>
        <w:ind w:firstLine="42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注：该表必须按照招标文件要求逐条如实填写，根据所供产品情况在“偏离说明”项填写正偏离或负偏离及原因，完全符合的填写“无偏离”。</w:t>
      </w:r>
      <w:r/>
    </w:p>
    <w:p>
      <w:pPr>
        <w:ind w:firstLine="16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法定代表人或被授权人签字：</w:t>
      </w:r>
      <w:r/>
    </w:p>
    <w:p>
      <w:pPr>
        <w:ind w:firstLine="16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Theme="minorEastAsia" w:hAnsiTheme="minorEastAsia" w:cstheme="minorEastAsia"/>
          <w:color w:val="auto"/>
          <w:sz w:val="24"/>
          <w:highlight w:val="none"/>
        </w:rPr>
        <w:t xml:space="preserve">：</w:t>
      </w:r>
      <w:r/>
    </w:p>
    <w:p>
      <w:pPr>
        <w:ind w:firstLine="16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p>
      <w:pPr>
        <w:jc w:val="right"/>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w:t>
      </w:r>
      <w:r/>
    </w:p>
    <w:p>
      <w:pPr>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9.服  务  承  诺</w:t>
      </w:r>
      <w:r/>
    </w:p>
    <w:p>
      <w:pPr>
        <w:rPr>
          <w:rFonts w:ascii="仿宋_GB2312" w:eastAsia="仿宋_GB2312"/>
          <w:color w:val="auto"/>
          <w:sz w:val="24"/>
          <w:highlight w:val="none"/>
        </w:rPr>
      </w:pPr>
      <w:r>
        <w:rPr>
          <w:rFonts w:ascii="仿宋_GB2312" w:eastAsia="仿宋_GB2312"/>
          <w:color w:val="auto"/>
          <w:sz w:val="24"/>
          <w:highlight w:val="none"/>
        </w:rPr>
      </w:r>
      <w:r/>
    </w:p>
    <w:p>
      <w:pPr>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如我方中标，郑重承诺如下：</w:t>
      </w:r>
      <w:r/>
    </w:p>
    <w:p>
      <w:pPr>
        <w:ind w:firstLine="42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（1）按照</w:t>
      </w:r>
      <w:r>
        <w:rPr>
          <w:rFonts w:hint="eastAsia" w:ascii="宋体" w:hAnsi="宋体" w:eastAsia="宋体" w:cs="宋体"/>
          <w:color w:val="auto"/>
          <w:sz w:val="24"/>
          <w:highlight w:val="none"/>
          <w:lang w:eastAsia="zh-CN"/>
        </w:rPr>
        <w:t xml:space="preserve">招标</w:t>
      </w:r>
      <w:r>
        <w:rPr>
          <w:rFonts w:hint="eastAsia" w:ascii="宋体" w:hAnsi="宋体" w:eastAsia="宋体" w:cs="宋体"/>
          <w:color w:val="auto"/>
          <w:sz w:val="24"/>
          <w:highlight w:val="none"/>
        </w:rPr>
        <w:t xml:space="preserve">文件的要求，我方将在合同签订后接供货通知后，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日内发货；</w:t>
      </w:r>
      <w:r/>
    </w:p>
    <w:p>
      <w:pPr>
        <w:ind w:firstLine="42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（2）满足招标文件及招标过程中的全部条款和承诺；</w:t>
      </w:r>
      <w:r/>
    </w:p>
    <w:p>
      <w:pPr>
        <w:ind w:firstLine="42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（3）在质量保证期内，用户遇到使用及技术问题，我方为用户提供技术援助电话。联系电话为：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。如电话咨询不能解决时，我方在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小时内采取相应措施，提供上门服务。仍无法解决时，我方在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小时内提供备用产品，确保用户能够正常使用（时间从接到用户报修电话时起算）；如我方不能在承诺时间内采取相应措施或提供备用产品，采购人自行处理，其费用在我方履约保证金中扣付；</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（4）质量保证期满后，我方同样提供免费电话咨询服务，并以优惠价格提供售后服务；</w:t>
      </w:r>
      <w:r/>
    </w:p>
    <w:p>
      <w:pPr>
        <w:ind w:firstLine="46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w:t>
      </w:r>
      <w:r/>
    </w:p>
    <w:p>
      <w:pPr>
        <w:ind w:firstLine="46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法定代表人或被授权人签字：</w:t>
      </w:r>
      <w:r/>
    </w:p>
    <w:p>
      <w:pPr>
        <w:ind w:firstLine="16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Theme="minorEastAsia" w:hAnsiTheme="minorEastAsia" w:cstheme="minorEastAsia"/>
          <w:color w:val="auto"/>
          <w:sz w:val="24"/>
          <w:highlight w:val="none"/>
        </w:rPr>
        <w:t xml:space="preserve">：</w:t>
      </w:r>
      <w:r/>
    </w:p>
    <w:p>
      <w:pPr>
        <w:ind w:firstLine="16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16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p>
      <w:pPr>
        <w:jc w:val="right"/>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ascii="黑体" w:hAnsi="Times New Roman" w:eastAsia="黑体" w:cs="Times New Roman"/>
          <w:b/>
          <w:bCs/>
          <w:color w:val="auto"/>
          <w:sz w:val="32"/>
          <w:szCs w:val="32"/>
          <w:highlight w:val="none"/>
        </w:rPr>
      </w:pPr>
      <w:r>
        <w:rPr>
          <w:rFonts w:hint="eastAsia" w:ascii="黑体" w:hAnsi="Calibri" w:eastAsia="黑体" w:cs="Times New Roman"/>
          <w:b/>
          <w:bCs/>
          <w:color w:val="auto"/>
          <w:sz w:val="32"/>
          <w:szCs w:val="32"/>
          <w:highlight w:val="none"/>
        </w:rPr>
        <w:br w:type="page" w:clear="all"/>
      </w:r>
      <w:r>
        <w:rPr>
          <w:rFonts w:hint="eastAsia" w:ascii="黑体" w:hAnsi="Times New Roman" w:eastAsia="黑体" w:cs="Times New Roman"/>
          <w:b/>
          <w:bCs/>
          <w:color w:val="auto"/>
          <w:sz w:val="32"/>
          <w:szCs w:val="32"/>
          <w:highlight w:val="none"/>
        </w:rPr>
        <w:t xml:space="preserve">10.</w:t>
      </w:r>
      <w:r>
        <w:rPr>
          <w:rFonts w:hint="eastAsia" w:ascii="黑体" w:hAnsi="宋体" w:eastAsia="黑体" w:cs="黑体"/>
          <w:b/>
          <w:color w:val="auto"/>
          <w:sz w:val="32"/>
          <w:szCs w:val="32"/>
          <w:highlight w:val="none"/>
          <w:lang w:eastAsia="zh-CN"/>
        </w:rPr>
        <w:t xml:space="preserve">中小企业声明函</w:t>
      </w:r>
      <w:r>
        <w:rPr>
          <w:rFonts w:hint="eastAsia" w:ascii="黑体" w:hAnsi="宋体" w:eastAsia="黑体" w:cs="黑体"/>
          <w:b/>
          <w:color w:val="auto"/>
          <w:sz w:val="32"/>
          <w:szCs w:val="32"/>
          <w:highlight w:val="none"/>
        </w:rPr>
        <w:t xml:space="preserve">（服务）（分包号：**）</w:t>
      </w:r>
      <w:r/>
    </w:p>
    <w:p>
      <w:pPr>
        <w:ind w:firstLine="480"/>
        <w:spacing w:line="48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组织</w:t>
      </w:r>
      <w:r>
        <w:rPr>
          <w:rFonts w:hint="eastAsia" w:ascii="宋体" w:hAnsi="宋体" w:eastAsia="宋体" w:cs="宋体"/>
          <w:color w:val="auto"/>
          <w:sz w:val="24"/>
          <w:szCs w:val="24"/>
          <w:highlight w:val="none"/>
        </w:rPr>
        <w:t xml:space="preserve">的</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val="en-US" w:eastAsia="zh-CN"/>
        </w:rPr>
        <w:t xml:space="preserve">提供的货物</w:t>
      </w:r>
      <w:r>
        <w:rPr>
          <w:rFonts w:hint="eastAsia" w:ascii="宋体" w:hAnsi="宋体" w:eastAsia="宋体" w:cs="宋体"/>
          <w:color w:val="auto"/>
          <w:sz w:val="24"/>
          <w:szCs w:val="24"/>
          <w:highlight w:val="none"/>
        </w:rPr>
        <w:t xml:space="preserve">全部由符合政策的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w:t>
      </w:r>
      <w:r>
        <w:rPr>
          <w:rFonts w:hint="eastAsia" w:ascii="宋体" w:hAnsi="宋体" w:eastAsia="宋体" w:cs="宋体"/>
          <w:color w:val="000000"/>
          <w:highlight w:val="none"/>
        </w:rPr>
        <w:t xml:space="preserve">制造</w:t>
      </w:r>
      <w:r>
        <w:rPr>
          <w:rFonts w:hint="eastAsia" w:ascii="宋体" w:hAnsi="宋体" w:eastAsia="宋体" w:cs="宋体"/>
          <w:color w:val="auto"/>
          <w:sz w:val="24"/>
          <w:highlight w:val="none"/>
        </w:rPr>
        <w:t xml:space="preserve">。根据《工业和信息化部、国家统计局、国家发展和改革委员会、财政部关于印发中小企业划型标准规定的通知》(工信部联企业[2011]300号)的规定，相关企业（含联合体中的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企业、签订分包意向协议的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企业）的具体情况如下：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行业；制造商为（企业名称），从业人员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中型企业、</w:t>
      </w:r>
      <w:r>
        <w:rPr>
          <w:rFonts w:hint="eastAsia" w:ascii="宋体" w:hAnsi="宋体" w:eastAsia="宋体" w:cs="宋体"/>
          <w:color w:val="auto"/>
          <w:sz w:val="24"/>
          <w:highlight w:val="none"/>
          <w:u w:val="single"/>
        </w:rPr>
        <w:t xml:space="preserve">小型企业、微型企业）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行业；制造商为（企业名称），从业人员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中型企业、</w:t>
      </w:r>
      <w:r>
        <w:rPr>
          <w:rFonts w:hint="eastAsia" w:ascii="宋体" w:hAnsi="宋体" w:eastAsia="宋体" w:cs="宋体"/>
          <w:color w:val="auto"/>
          <w:sz w:val="24"/>
          <w:highlight w:val="none"/>
          <w:u w:val="single"/>
        </w:rPr>
        <w:t xml:space="preserve">小型企业、微型企业）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bookmarkStart w:id="71" w:name="_GoBack"/>
      <w:r/>
      <w:bookmarkEnd w:id="71"/>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552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552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备注1：从业人员、营业收入、资产总额填报上一年度数据，无上一年度数据的新成立企业可不填报。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备注2：供应商如不提供此声明函，价格将不做相应扣除。</w:t>
      </w:r>
      <w:r/>
    </w:p>
    <w:p>
      <w:pPr>
        <w:jc w:val="center"/>
        <w:spacing w:line="560" w:lineRule="exact"/>
        <w:rPr>
          <w:rFonts w:ascii="黑体" w:hAnsi="Times New Roman" w:eastAsia="黑体" w:cs="Times New Roman"/>
          <w:b/>
          <w:bCs/>
          <w:color w:val="auto"/>
          <w:sz w:val="32"/>
          <w:szCs w:val="32"/>
          <w:highlight w:val="none"/>
        </w:rPr>
      </w:pPr>
      <w:r>
        <w:rPr>
          <w:rFonts w:hint="eastAsia" w:ascii="黑体" w:hAnsi="Calibri" w:eastAsia="黑体" w:cs="Times New Roman"/>
          <w:b/>
          <w:bCs/>
          <w:color w:val="auto"/>
          <w:sz w:val="32"/>
          <w:szCs w:val="32"/>
          <w:highlight w:val="none"/>
        </w:rPr>
        <w:br w:type="page" w:clear="all"/>
      </w:r>
      <w:r>
        <w:rPr>
          <w:rFonts w:hint="eastAsia" w:ascii="黑体" w:hAnsi="Times New Roman" w:eastAsia="黑体" w:cs="Times New Roman"/>
          <w:b/>
          <w:bCs/>
          <w:color w:val="auto"/>
          <w:sz w:val="32"/>
          <w:szCs w:val="32"/>
          <w:highlight w:val="none"/>
        </w:rPr>
        <w:t xml:space="preserve">11.残疾人福利性单位声明函（分包号：**）</w:t>
      </w:r>
      <w:r/>
    </w:p>
    <w:p>
      <w:pPr>
        <w:ind w:firstLine="480"/>
        <w:spacing w:line="588" w:lineRule="exact"/>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12.联合体协议（参考格式）（分包号：**）</w:t>
      </w:r>
      <w:r/>
    </w:p>
    <w:p>
      <w:pPr>
        <w:spacing w:line="560" w:lineRule="exact"/>
        <w:rPr>
          <w:rFonts w:ascii="宋体" w:hAnsi="宋体"/>
          <w:color w:val="auto"/>
          <w:sz w:val="24"/>
          <w:highlight w:val="none"/>
        </w:rPr>
      </w:pPr>
      <w:r>
        <w:rPr>
          <w:rFonts w:hint="eastAsia" w:ascii="宋体" w:hAnsi="宋体"/>
          <w:color w:val="auto"/>
          <w:sz w:val="24"/>
          <w:highlight w:val="none"/>
          <w:u w:val="single"/>
        </w:rPr>
        <w:t xml:space="preserve">（联合体中各供应商全称）</w:t>
      </w:r>
      <w:r>
        <w:rPr>
          <w:rFonts w:hint="eastAsia" w:ascii="宋体" w:hAnsi="宋体"/>
          <w:color w:val="auto"/>
          <w:sz w:val="24"/>
          <w:highlight w:val="none"/>
        </w:rPr>
        <w:t xml:space="preserve">在此达成以下协议：</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、我们自愿组成联合体，参加采购编号为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、若我们联合中标、成交，（供应商单位</w:t>
      </w:r>
      <w:r>
        <w:rPr>
          <w:rFonts w:ascii="宋体" w:hAnsi="宋体"/>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rFonts w:ascii="宋体" w:hAnsi="宋体"/>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84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联合体中各供应商全称（公章）： </w:t>
      </w:r>
      <w:r/>
    </w:p>
    <w:p>
      <w:pPr>
        <w:rPr>
          <w:color w:val="auto"/>
          <w:highlight w:val="none"/>
        </w:rPr>
      </w:pPr>
      <w:r>
        <w:rPr>
          <w:color w:val="auto"/>
          <w:highlight w:val="none"/>
        </w:rPr>
      </w:r>
      <w:r/>
    </w:p>
    <w:p>
      <w:pPr>
        <w:ind w:firstLine="384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52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693"/>
        <w:spacing w:line="480" w:lineRule="exact"/>
        <w:rPr>
          <w:rFonts w:hint="default"/>
          <w:color w:val="auto"/>
          <w:highlight w:val="none"/>
        </w:rPr>
      </w:pPr>
      <w:r>
        <w:rPr>
          <w:rFonts w:hint="default"/>
          <w:color w:val="auto"/>
          <w:highlight w:val="none"/>
        </w:rPr>
      </w:r>
      <w:r/>
    </w:p>
    <w:p>
      <w:pPr>
        <w:ind w:right="-105" w:firstLine="480"/>
        <w:jc w:val="center"/>
        <w:spacing w:line="480" w:lineRule="exact"/>
        <w:rPr>
          <w:color w:val="auto"/>
          <w:sz w:val="24"/>
          <w:highlight w:val="none"/>
        </w:rPr>
      </w:pPr>
      <w:r>
        <w:rPr>
          <w:color w:val="auto"/>
          <w:sz w:val="24"/>
          <w:highlight w:val="none"/>
        </w:rPr>
      </w:r>
      <w:r/>
    </w:p>
    <w:p>
      <w:pPr>
        <w:jc w:val="center"/>
        <w:rPr>
          <w:rFonts w:ascii="黑体" w:hAnsi="Times New Roman" w:eastAsia="黑体" w:cs="Times New Roman"/>
          <w:b/>
          <w:bCs/>
          <w:color w:val="auto"/>
          <w:sz w:val="32"/>
          <w:szCs w:val="32"/>
          <w:highlight w:val="none"/>
        </w:rPr>
        <w:outlineLvl w:val="1"/>
      </w:pPr>
      <w:r>
        <w:rPr>
          <w:rFonts w:hint="eastAsia" w:ascii="黑体" w:hAnsi="Calibri" w:eastAsia="黑体" w:cs="Times New Roman"/>
          <w:b/>
          <w:bCs/>
          <w:color w:val="auto"/>
          <w:sz w:val="32"/>
          <w:szCs w:val="32"/>
          <w:highlight w:val="none"/>
        </w:rPr>
        <w:br w:type="page" w:clear="all"/>
      </w:r>
      <w:r>
        <w:rPr>
          <w:rFonts w:hint="eastAsia" w:ascii="黑体" w:hAnsi="Times New Roman" w:eastAsia="黑体" w:cs="Times New Roman"/>
          <w:b/>
          <w:bCs/>
          <w:color w:val="auto"/>
          <w:sz w:val="32"/>
          <w:szCs w:val="32"/>
          <w:highlight w:val="none"/>
        </w:rPr>
        <w:t xml:space="preserve">13.盐城市政府采购事前信用承诺书</w:t>
      </w:r>
      <w:r/>
    </w:p>
    <w:p>
      <w:pPr>
        <w:ind w:firstLine="640"/>
        <w:jc w:val="left"/>
        <w:spacing w:line="499" w:lineRule="atLeas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（三）严格依照国家和省、市关于政府采购的法律、法规、规章、规范性文件，参加政府采购活动；积极履行社会责任，促进廉政建设； </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（四）严格遵守即时信息公示规定，及时维护和更新与本单位相关的信息；</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（六）自觉接受政府、行业组织、社会公众、新闻舆论的监督；</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olor w:val="auto"/>
          <w:sz w:val="24"/>
          <w:highlight w:val="none"/>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color w:val="auto"/>
          <w:sz w:val="24"/>
          <w:highlight w:val="none"/>
        </w:rPr>
        <w:t xml:space="preserve">           日  期：</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4"/>
      <w:bookmarkEnd w:id="63"/>
      <w:bookmarkEnd w:id="64"/>
      <w:bookmarkEnd w:id="65"/>
      <w:bookmarkEnd w:id="66"/>
      <w:bookmarkEnd w:id="67"/>
      <w:bookmarkEnd w:id="68"/>
      <w:bookmarkEnd w:id="69"/>
      <w:bookmarkEnd w:id="70"/>
      <w:r/>
    </w:p>
    <w:p>
      <w:pPr>
        <w:pStyle w:val="717"/>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7"/>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17"/>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1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7"/>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7"/>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7"/>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7"/>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10"/>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Adobe 仿宋 Std R">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6"/>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3"/>
    <w:lvlOverride w:ilvl="0">
      <w:startOverride w:val="2"/>
    </w:lvlOverride>
  </w:num>
  <w:num w:numId="5">
    <w:abstractNumId w:val="2"/>
    <w:lvlOverride w:ilvl="0">
      <w:startOverride w:val="6"/>
    </w:lvlOverride>
  </w:num>
  <w:num w:numId="6">
    <w:abstractNumId w:val="0"/>
    <w:lvlOverride w:ilvl="0">
      <w:startOverride w:val="16"/>
    </w:lvlOverride>
  </w:num>
  <w:num w:numId="7">
    <w:abstractNumId w:val="4"/>
    <w:lvlOverride w:ilvl="0">
      <w:startOverride w:val="23"/>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91"/>
    <w:link w:val="726"/>
    <w:uiPriority w:val="9"/>
    <w:rPr>
      <w:rFonts w:ascii="Arial" w:hAnsi="Arial" w:eastAsia="Arial" w:cs="Arial"/>
      <w:sz w:val="30"/>
      <w:szCs w:val="30"/>
    </w:rPr>
  </w:style>
  <w:style w:type="character" w:styleId="21">
    <w:name w:val="Heading 5 Char"/>
    <w:basedOn w:val="691"/>
    <w:link w:val="686"/>
    <w:uiPriority w:val="9"/>
    <w:rPr>
      <w:rFonts w:ascii="Arial" w:hAnsi="Arial" w:eastAsia="Arial" w:cs="Arial"/>
      <w:b/>
      <w:bCs/>
      <w:sz w:val="24"/>
      <w:szCs w:val="24"/>
    </w:rPr>
  </w:style>
  <w:style w:type="character" w:styleId="23">
    <w:name w:val="Heading 6 Char"/>
    <w:basedOn w:val="691"/>
    <w:link w:val="687"/>
    <w:uiPriority w:val="9"/>
    <w:rPr>
      <w:rFonts w:ascii="Arial" w:hAnsi="Arial" w:eastAsia="Arial" w:cs="Arial"/>
      <w:b/>
      <w:bCs/>
      <w:sz w:val="22"/>
      <w:szCs w:val="22"/>
    </w:rPr>
  </w:style>
  <w:style w:type="character" w:styleId="25">
    <w:name w:val="Heading 7 Char"/>
    <w:basedOn w:val="691"/>
    <w:link w:val="688"/>
    <w:uiPriority w:val="9"/>
    <w:rPr>
      <w:rFonts w:ascii="Arial" w:hAnsi="Arial" w:eastAsia="Arial" w:cs="Arial"/>
      <w:b/>
      <w:bCs/>
      <w:i/>
      <w:iCs/>
      <w:sz w:val="22"/>
      <w:szCs w:val="22"/>
    </w:rPr>
  </w:style>
  <w:style w:type="character" w:styleId="27">
    <w:name w:val="Heading 8 Char"/>
    <w:basedOn w:val="691"/>
    <w:link w:val="689"/>
    <w:uiPriority w:val="9"/>
    <w:rPr>
      <w:rFonts w:ascii="Arial" w:hAnsi="Arial" w:eastAsia="Arial" w:cs="Arial"/>
      <w:i/>
      <w:iCs/>
      <w:sz w:val="22"/>
      <w:szCs w:val="22"/>
    </w:rPr>
  </w:style>
  <w:style w:type="character" w:styleId="29">
    <w:name w:val="Heading 9 Char"/>
    <w:basedOn w:val="691"/>
    <w:link w:val="690"/>
    <w:uiPriority w:val="9"/>
    <w:rPr>
      <w:rFonts w:ascii="Arial" w:hAnsi="Arial" w:eastAsia="Arial" w:cs="Arial"/>
      <w:i/>
      <w:iCs/>
      <w:sz w:val="21"/>
      <w:szCs w:val="21"/>
    </w:rPr>
  </w:style>
  <w:style w:type="character" w:styleId="34">
    <w:name w:val="Title Char"/>
    <w:basedOn w:val="691"/>
    <w:link w:val="718"/>
    <w:uiPriority w:val="10"/>
    <w:rPr>
      <w:sz w:val="48"/>
      <w:szCs w:val="48"/>
    </w:rPr>
  </w:style>
  <w:style w:type="character" w:styleId="36">
    <w:name w:val="Subtitle Char"/>
    <w:basedOn w:val="691"/>
    <w:link w:val="710"/>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character" w:styleId="175">
    <w:name w:val="Footnote Text Char"/>
    <w:link w:val="711"/>
    <w:uiPriority w:val="99"/>
    <w:rPr>
      <w:sz w:val="18"/>
    </w:rPr>
  </w:style>
  <w:style w:type="character" w:styleId="178">
    <w:name w:val="Endnote Text Char"/>
    <w:link w:val="704"/>
    <w:uiPriority w:val="99"/>
    <w:rPr>
      <w:sz w:val="20"/>
    </w:rPr>
  </w:style>
  <w:style w:type="paragraph" w:styleId="189">
    <w:name w:val="TOC Heading"/>
    <w:uiPriority w:val="39"/>
    <w:unhideWhenUsed/>
  </w:style>
  <w:style w:type="paragraph" w:styleId="682" w:default="1">
    <w:name w:val="Normal"/>
    <w:next w:val="69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3">
    <w:name w:val="Heading 2"/>
    <w:basedOn w:val="682"/>
    <w:next w:val="6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4">
    <w:name w:val="Heading 3"/>
    <w:basedOn w:val="682"/>
    <w:next w:val="682"/>
    <w:link w:val="730"/>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2"/>
    <w:next w:val="694"/>
    <w:uiPriority w:val="0"/>
    <w:qFormat/>
    <w:pPr>
      <w:keepLines/>
      <w:keepNext/>
      <w:spacing w:before="280" w:after="290" w:line="376" w:lineRule="auto"/>
      <w:outlineLvl w:val="3"/>
    </w:pPr>
    <w:rPr>
      <w:rFonts w:ascii="Arial" w:hAnsi="Arial" w:eastAsia="黑体" w:cs="Arial"/>
      <w:b/>
      <w:bCs/>
      <w:sz w:val="28"/>
      <w:szCs w:val="28"/>
    </w:rPr>
  </w:style>
  <w:style w:type="paragraph" w:styleId="686">
    <w:name w:val="Heading 5"/>
    <w:basedOn w:val="682"/>
    <w:next w:val="682"/>
    <w:link w:val="732"/>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2"/>
    <w:next w:val="682"/>
    <w:link w:val="733"/>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2"/>
    <w:next w:val="682"/>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2"/>
    <w:next w:val="682"/>
    <w:link w:val="735"/>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2"/>
    <w:next w:val="682"/>
    <w:link w:val="736"/>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694">
    <w:name w:val="Normal Indent"/>
    <w:basedOn w:val="682"/>
    <w:uiPriority w:val="0"/>
    <w:qFormat/>
    <w:pPr>
      <w:ind w:firstLine="420"/>
    </w:pPr>
  </w:style>
  <w:style w:type="paragraph" w:styleId="695">
    <w:name w:val="toc 7"/>
    <w:basedOn w:val="682"/>
    <w:next w:val="682"/>
    <w:uiPriority w:val="39"/>
    <w:unhideWhenUsed/>
    <w:qFormat/>
    <w:pPr>
      <w:ind w:left="1701"/>
      <w:spacing w:after="57"/>
    </w:pPr>
  </w:style>
  <w:style w:type="paragraph" w:styleId="696">
    <w:name w:val="Caption"/>
    <w:basedOn w:val="682"/>
    <w:next w:val="682"/>
    <w:uiPriority w:val="35"/>
    <w:semiHidden/>
    <w:unhideWhenUsed/>
    <w:qFormat/>
    <w:pPr>
      <w:spacing w:line="276" w:lineRule="auto"/>
    </w:pPr>
    <w:rPr>
      <w:b/>
      <w:bCs/>
      <w:color w:val="5b9bd5" w:themeColor="accent1"/>
      <w:sz w:val="18"/>
      <w:szCs w:val="18"/>
    </w:rPr>
  </w:style>
  <w:style w:type="paragraph" w:styleId="697">
    <w:name w:val="Body Text"/>
    <w:basedOn w:val="682"/>
    <w:next w:val="682"/>
    <w:uiPriority w:val="0"/>
    <w:qFormat/>
    <w:rPr>
      <w:rFonts w:ascii="楷体_GB2312" w:hAnsi="Arial" w:eastAsia="楷体_GB2312"/>
      <w:sz w:val="28"/>
      <w:szCs w:val="20"/>
    </w:rPr>
  </w:style>
  <w:style w:type="paragraph" w:styleId="698">
    <w:name w:val="Body Text Indent"/>
    <w:basedOn w:val="682"/>
    <w:next w:val="699"/>
    <w:uiPriority w:val="0"/>
    <w:qFormat/>
    <w:pPr>
      <w:ind w:firstLine="645"/>
    </w:pPr>
    <w:rPr>
      <w:rFonts w:ascii="楷体_GB2312" w:eastAsia="楷体_GB2312"/>
      <w:sz w:val="32"/>
      <w:szCs w:val="32"/>
    </w:rPr>
  </w:style>
  <w:style w:type="paragraph" w:styleId="699">
    <w:name w:val="envelope return"/>
    <w:basedOn w:val="682"/>
    <w:uiPriority w:val="0"/>
    <w:qFormat/>
    <w:rPr>
      <w:rFonts w:ascii="Arial" w:hAnsi="Arial"/>
    </w:rPr>
  </w:style>
  <w:style w:type="paragraph" w:styleId="700">
    <w:name w:val="toc 5"/>
    <w:basedOn w:val="682"/>
    <w:next w:val="682"/>
    <w:uiPriority w:val="39"/>
    <w:unhideWhenUsed/>
    <w:qFormat/>
    <w:pPr>
      <w:ind w:left="1134"/>
      <w:spacing w:after="57"/>
    </w:pPr>
  </w:style>
  <w:style w:type="paragraph" w:styleId="701">
    <w:name w:val="toc 3"/>
    <w:basedOn w:val="682"/>
    <w:next w:val="682"/>
    <w:uiPriority w:val="39"/>
    <w:unhideWhenUsed/>
    <w:qFormat/>
    <w:pPr>
      <w:ind w:left="567"/>
      <w:spacing w:after="57"/>
    </w:pPr>
  </w:style>
  <w:style w:type="paragraph" w:styleId="702">
    <w:name w:val="Plain Text"/>
    <w:basedOn w:val="682"/>
    <w:uiPriority w:val="0"/>
    <w:unhideWhenUsed/>
    <w:qFormat/>
    <w:rPr>
      <w:rFonts w:ascii="宋体" w:hAnsi="Courier New" w:cs="Courier New"/>
      <w:szCs w:val="21"/>
    </w:rPr>
  </w:style>
  <w:style w:type="paragraph" w:styleId="703">
    <w:name w:val="toc 8"/>
    <w:basedOn w:val="682"/>
    <w:next w:val="682"/>
    <w:uiPriority w:val="39"/>
    <w:unhideWhenUsed/>
    <w:qFormat/>
    <w:pPr>
      <w:ind w:left="1984"/>
      <w:spacing w:after="57"/>
    </w:pPr>
  </w:style>
  <w:style w:type="paragraph" w:styleId="704">
    <w:name w:val="endnote text"/>
    <w:basedOn w:val="682"/>
    <w:link w:val="874"/>
    <w:uiPriority w:val="99"/>
    <w:semiHidden/>
    <w:unhideWhenUsed/>
    <w:qFormat/>
    <w:rPr>
      <w:sz w:val="20"/>
    </w:rPr>
  </w:style>
  <w:style w:type="paragraph" w:styleId="705">
    <w:name w:val="Balloon Text"/>
    <w:basedOn w:val="682"/>
    <w:link w:val="890"/>
    <w:uiPriority w:val="99"/>
    <w:semiHidden/>
    <w:unhideWhenUsed/>
    <w:qFormat/>
    <w:rPr>
      <w:sz w:val="18"/>
      <w:szCs w:val="18"/>
    </w:rPr>
  </w:style>
  <w:style w:type="paragraph" w:styleId="706">
    <w:name w:val="Footer"/>
    <w:basedOn w:val="682"/>
    <w:link w:val="877"/>
    <w:uiPriority w:val="0"/>
    <w:qFormat/>
    <w:pPr>
      <w:jc w:val="left"/>
      <w:tabs>
        <w:tab w:val="center" w:pos="4153" w:leader="none"/>
        <w:tab w:val="right" w:pos="8306" w:leader="none"/>
      </w:tabs>
    </w:pPr>
    <w:rPr>
      <w:sz w:val="18"/>
      <w:szCs w:val="18"/>
    </w:rPr>
  </w:style>
  <w:style w:type="paragraph" w:styleId="707">
    <w:name w:val="Header"/>
    <w:basedOn w:val="682"/>
    <w:link w:val="876"/>
    <w:uiPriority w:val="0"/>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2"/>
    <w:next w:val="682"/>
    <w:uiPriority w:val="39"/>
    <w:unhideWhenUsed/>
    <w:qFormat/>
    <w:pPr>
      <w:spacing w:after="57"/>
    </w:pPr>
  </w:style>
  <w:style w:type="paragraph" w:styleId="709">
    <w:name w:val="toc 4"/>
    <w:basedOn w:val="682"/>
    <w:next w:val="682"/>
    <w:uiPriority w:val="39"/>
    <w:unhideWhenUsed/>
    <w:qFormat/>
    <w:pPr>
      <w:ind w:left="850"/>
      <w:spacing w:after="57"/>
    </w:pPr>
  </w:style>
  <w:style w:type="paragraph" w:styleId="710">
    <w:name w:val="Subtitle"/>
    <w:basedOn w:val="682"/>
    <w:next w:val="682"/>
    <w:link w:val="740"/>
    <w:uiPriority w:val="11"/>
    <w:qFormat/>
    <w:pPr>
      <w:spacing w:before="200" w:after="200"/>
    </w:pPr>
    <w:rPr>
      <w:sz w:val="24"/>
    </w:rPr>
  </w:style>
  <w:style w:type="paragraph" w:styleId="711">
    <w:name w:val="footnote text"/>
    <w:basedOn w:val="682"/>
    <w:link w:val="873"/>
    <w:uiPriority w:val="99"/>
    <w:semiHidden/>
    <w:unhideWhenUsed/>
    <w:qFormat/>
    <w:pPr>
      <w:spacing w:after="40"/>
    </w:pPr>
    <w:rPr>
      <w:sz w:val="18"/>
    </w:rPr>
  </w:style>
  <w:style w:type="paragraph" w:styleId="712">
    <w:name w:val="toc 6"/>
    <w:basedOn w:val="682"/>
    <w:next w:val="682"/>
    <w:uiPriority w:val="39"/>
    <w:unhideWhenUsed/>
    <w:qFormat/>
    <w:pPr>
      <w:ind w:left="1417"/>
      <w:spacing w:after="57"/>
    </w:pPr>
  </w:style>
  <w:style w:type="paragraph" w:styleId="713">
    <w:name w:val="index 9"/>
    <w:basedOn w:val="682"/>
    <w:next w:val="682"/>
    <w:uiPriority w:val="0"/>
    <w:qFormat/>
    <w:pPr>
      <w:ind w:left="1600"/>
    </w:pPr>
    <w:rPr>
      <w:rFonts w:ascii="Times New Roman" w:hAnsi="Times New Roman" w:eastAsia="宋体" w:cs="Times New Roman"/>
    </w:rPr>
  </w:style>
  <w:style w:type="paragraph" w:styleId="714">
    <w:name w:val="table of figures"/>
    <w:basedOn w:val="682"/>
    <w:next w:val="682"/>
    <w:uiPriority w:val="99"/>
    <w:unhideWhenUsed/>
    <w:qFormat/>
  </w:style>
  <w:style w:type="paragraph" w:styleId="715">
    <w:name w:val="toc 2"/>
    <w:basedOn w:val="682"/>
    <w:next w:val="682"/>
    <w:uiPriority w:val="39"/>
    <w:unhideWhenUsed/>
    <w:qFormat/>
    <w:pPr>
      <w:ind w:left="283"/>
      <w:spacing w:after="57"/>
    </w:pPr>
  </w:style>
  <w:style w:type="paragraph" w:styleId="716">
    <w:name w:val="toc 9"/>
    <w:basedOn w:val="682"/>
    <w:next w:val="682"/>
    <w:uiPriority w:val="39"/>
    <w:unhideWhenUsed/>
    <w:qFormat/>
    <w:pPr>
      <w:ind w:left="2268"/>
      <w:spacing w:after="57"/>
    </w:pPr>
  </w:style>
  <w:style w:type="paragraph" w:styleId="717">
    <w:name w:val="Normal (Web)"/>
    <w:basedOn w:val="682"/>
    <w:uiPriority w:val="0"/>
    <w:qFormat/>
    <w:pPr>
      <w:jc w:val="left"/>
      <w:spacing w:beforeAutospacing="1" w:afterAutospacing="1"/>
    </w:pPr>
    <w:rPr>
      <w:rFonts w:cs="Times New Roman"/>
      <w:sz w:val="24"/>
    </w:rPr>
  </w:style>
  <w:style w:type="paragraph" w:styleId="718">
    <w:name w:val="Title"/>
    <w:basedOn w:val="682"/>
    <w:next w:val="682"/>
    <w:link w:val="739"/>
    <w:uiPriority w:val="10"/>
    <w:qFormat/>
    <w:pPr>
      <w:contextualSpacing/>
      <w:spacing w:before="300" w:after="200"/>
    </w:pPr>
    <w:rPr>
      <w:sz w:val="48"/>
      <w:szCs w:val="48"/>
    </w:rPr>
  </w:style>
  <w:style w:type="paragraph" w:styleId="719">
    <w:name w:val="Body Text First Indent"/>
    <w:basedOn w:val="697"/>
    <w:uiPriority w:val="0"/>
    <w:qFormat/>
    <w:pPr>
      <w:ind w:firstLine="420"/>
    </w:pPr>
    <w:rPr>
      <w:szCs w:val="24"/>
    </w:rPr>
  </w:style>
  <w:style w:type="paragraph" w:styleId="720">
    <w:name w:val="Body Text First Indent 2"/>
    <w:basedOn w:val="698"/>
    <w:next w:val="682"/>
    <w:uiPriority w:val="0"/>
    <w:qFormat/>
    <w:pPr>
      <w:ind w:firstLine="420"/>
      <w:spacing w:line="360" w:lineRule="auto"/>
    </w:pPr>
    <w:rPr>
      <w:rFonts w:ascii="宋体" w:hAnsi="宋体" w:eastAsia="宋体"/>
      <w:sz w:val="21"/>
      <w:szCs w:val="20"/>
    </w:rPr>
  </w:style>
  <w:style w:type="table" w:styleId="721">
    <w:name w:val="Table Grid"/>
    <w:basedOn w:val="6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basedOn w:val="691"/>
    <w:uiPriority w:val="99"/>
    <w:semiHidden/>
    <w:unhideWhenUsed/>
    <w:qFormat/>
    <w:rPr>
      <w:vertAlign w:val="superscript"/>
    </w:rPr>
  </w:style>
  <w:style w:type="character" w:styleId="723">
    <w:name w:val="page number"/>
    <w:uiPriority w:val="0"/>
    <w:qFormat/>
  </w:style>
  <w:style w:type="character" w:styleId="724">
    <w:name w:val="Hyperlink"/>
    <w:uiPriority w:val="99"/>
    <w:unhideWhenUsed/>
    <w:qFormat/>
    <w:rPr>
      <w:color w:val="0563c1" w:themeColor="hyperlink"/>
      <w:u w:val="single"/>
    </w:rPr>
  </w:style>
  <w:style w:type="character" w:styleId="725">
    <w:name w:val="footnote reference"/>
    <w:basedOn w:val="691"/>
    <w:uiPriority w:val="99"/>
    <w:unhideWhenUsed/>
    <w:qFormat/>
    <w:rPr>
      <w:vertAlign w:val="superscript"/>
    </w:rPr>
  </w:style>
  <w:style w:type="paragraph" w:styleId="726" w:customStyle="1">
    <w:name w:val="Heading 3"/>
    <w:basedOn w:val="682"/>
    <w:next w:val="682"/>
    <w:uiPriority w:val="0"/>
    <w:qFormat/>
    <w:pPr>
      <w:jc w:val="left"/>
      <w:spacing w:before="100" w:beforeAutospacing="1" w:after="100" w:afterAutospacing="1" w:line="600" w:lineRule="exact"/>
    </w:pPr>
    <w:rPr>
      <w:rFonts w:ascii="宋体" w:hAnsi="宋体"/>
      <w:b/>
      <w:sz w:val="27"/>
      <w:szCs w:val="27"/>
    </w:rPr>
  </w:style>
  <w:style w:type="paragraph" w:styleId="727" w:customStyle="1">
    <w:name w:val="正文文本缩进 21"/>
    <w:basedOn w:val="682"/>
    <w:uiPriority w:val="0"/>
    <w:qFormat/>
    <w:pPr>
      <w:ind w:firstLine="480"/>
    </w:pPr>
    <w:rPr>
      <w:rFonts w:ascii="仿宋_GB2312" w:eastAsia="仿宋_GB2312"/>
      <w:sz w:val="24"/>
    </w:rPr>
  </w:style>
  <w:style w:type="character" w:styleId="728" w:customStyle="1">
    <w:name w:val="Heading 1 Char"/>
    <w:basedOn w:val="691"/>
    <w:uiPriority w:val="9"/>
    <w:qFormat/>
    <w:rPr>
      <w:rFonts w:ascii="Arial" w:hAnsi="Arial" w:eastAsia="Arial" w:cs="Arial"/>
      <w:sz w:val="40"/>
      <w:szCs w:val="40"/>
    </w:rPr>
  </w:style>
  <w:style w:type="character" w:styleId="729" w:customStyle="1">
    <w:name w:val="Heading 2 Char"/>
    <w:basedOn w:val="691"/>
    <w:uiPriority w:val="9"/>
    <w:qFormat/>
    <w:rPr>
      <w:rFonts w:ascii="Arial" w:hAnsi="Arial" w:eastAsia="Arial" w:cs="Arial"/>
      <w:sz w:val="34"/>
    </w:rPr>
  </w:style>
  <w:style w:type="character" w:styleId="730" w:customStyle="1">
    <w:name w:val="标题 3 Char"/>
    <w:basedOn w:val="691"/>
    <w:link w:val="684"/>
    <w:uiPriority w:val="9"/>
    <w:qFormat/>
    <w:rPr>
      <w:rFonts w:ascii="Arial" w:hAnsi="Arial" w:eastAsia="Arial" w:cs="Arial"/>
      <w:sz w:val="30"/>
      <w:szCs w:val="30"/>
    </w:rPr>
  </w:style>
  <w:style w:type="character" w:styleId="731" w:customStyle="1">
    <w:name w:val="Heading 4 Char"/>
    <w:basedOn w:val="691"/>
    <w:uiPriority w:val="9"/>
    <w:qFormat/>
    <w:rPr>
      <w:rFonts w:ascii="Arial" w:hAnsi="Arial" w:eastAsia="Arial" w:cs="Arial"/>
      <w:b/>
      <w:bCs/>
      <w:sz w:val="26"/>
      <w:szCs w:val="26"/>
    </w:rPr>
  </w:style>
  <w:style w:type="character" w:styleId="732" w:customStyle="1">
    <w:name w:val="标题 5 Char"/>
    <w:basedOn w:val="691"/>
    <w:link w:val="686"/>
    <w:uiPriority w:val="9"/>
    <w:qFormat/>
    <w:rPr>
      <w:rFonts w:ascii="Arial" w:hAnsi="Arial" w:eastAsia="Arial" w:cs="Arial"/>
      <w:b/>
      <w:bCs/>
      <w:sz w:val="24"/>
      <w:szCs w:val="24"/>
    </w:rPr>
  </w:style>
  <w:style w:type="character" w:styleId="733" w:customStyle="1">
    <w:name w:val="标题 6 Char"/>
    <w:basedOn w:val="691"/>
    <w:link w:val="687"/>
    <w:uiPriority w:val="9"/>
    <w:qFormat/>
    <w:rPr>
      <w:rFonts w:ascii="Arial" w:hAnsi="Arial" w:eastAsia="Arial" w:cs="Arial"/>
      <w:b/>
      <w:bCs/>
      <w:sz w:val="22"/>
      <w:szCs w:val="22"/>
    </w:rPr>
  </w:style>
  <w:style w:type="character" w:styleId="734" w:customStyle="1">
    <w:name w:val="标题 7 Char"/>
    <w:basedOn w:val="691"/>
    <w:link w:val="688"/>
    <w:uiPriority w:val="9"/>
    <w:qFormat/>
    <w:rPr>
      <w:rFonts w:ascii="Arial" w:hAnsi="Arial" w:eastAsia="Arial" w:cs="Arial"/>
      <w:b/>
      <w:bCs/>
      <w:i/>
      <w:iCs/>
      <w:sz w:val="22"/>
      <w:szCs w:val="22"/>
    </w:rPr>
  </w:style>
  <w:style w:type="character" w:styleId="735" w:customStyle="1">
    <w:name w:val="标题 8 Char"/>
    <w:basedOn w:val="691"/>
    <w:link w:val="689"/>
    <w:uiPriority w:val="9"/>
    <w:qFormat/>
    <w:rPr>
      <w:rFonts w:ascii="Arial" w:hAnsi="Arial" w:eastAsia="Arial" w:cs="Arial"/>
      <w:i/>
      <w:iCs/>
      <w:sz w:val="22"/>
      <w:szCs w:val="22"/>
    </w:rPr>
  </w:style>
  <w:style w:type="character" w:styleId="736" w:customStyle="1">
    <w:name w:val="标题 9 Char"/>
    <w:basedOn w:val="691"/>
    <w:link w:val="690"/>
    <w:uiPriority w:val="9"/>
    <w:qFormat/>
    <w:rPr>
      <w:rFonts w:ascii="Arial" w:hAnsi="Arial" w:eastAsia="Arial" w:cs="Arial"/>
      <w:i/>
      <w:iCs/>
      <w:sz w:val="21"/>
      <w:szCs w:val="21"/>
    </w:rPr>
  </w:style>
  <w:style w:type="paragraph" w:styleId="737">
    <w:name w:val="List Paragraph"/>
    <w:basedOn w:val="682"/>
    <w:uiPriority w:val="34"/>
    <w:qFormat/>
    <w:pPr>
      <w:contextualSpacing/>
      <w:ind w:left="720"/>
    </w:pPr>
  </w:style>
  <w:style w:type="paragraph" w:styleId="738">
    <w:name w:val="No Spacing"/>
    <w:uiPriority w:val="1"/>
    <w:qFormat/>
    <w:rPr>
      <w:rFonts w:ascii="Times New Roman" w:hAnsi="Times New Roman" w:eastAsia="宋体" w:cs="Times New Roman"/>
      <w:lang w:val="en-US" w:eastAsia="zh-CN" w:bidi="ar-SA"/>
    </w:rPr>
  </w:style>
  <w:style w:type="character" w:styleId="739" w:customStyle="1">
    <w:name w:val="标题 Char"/>
    <w:basedOn w:val="691"/>
    <w:link w:val="718"/>
    <w:uiPriority w:val="10"/>
    <w:qFormat/>
    <w:rPr>
      <w:sz w:val="48"/>
      <w:szCs w:val="48"/>
    </w:rPr>
  </w:style>
  <w:style w:type="character" w:styleId="740" w:customStyle="1">
    <w:name w:val="副标题 Char"/>
    <w:basedOn w:val="691"/>
    <w:link w:val="710"/>
    <w:uiPriority w:val="11"/>
    <w:qFormat/>
    <w:rPr>
      <w:sz w:val="24"/>
      <w:szCs w:val="24"/>
    </w:rPr>
  </w:style>
  <w:style w:type="paragraph" w:styleId="741">
    <w:name w:val="Quote"/>
    <w:basedOn w:val="682"/>
    <w:next w:val="682"/>
    <w:link w:val="742"/>
    <w:uiPriority w:val="29"/>
    <w:qFormat/>
    <w:pPr>
      <w:ind w:left="720" w:right="720"/>
    </w:pPr>
    <w:rPr>
      <w:i/>
    </w:rPr>
  </w:style>
  <w:style w:type="character" w:styleId="742" w:customStyle="1">
    <w:name w:val="引用 Char"/>
    <w:link w:val="741"/>
    <w:uiPriority w:val="29"/>
    <w:qFormat/>
    <w:rPr>
      <w:i/>
    </w:rPr>
  </w:style>
  <w:style w:type="paragraph" w:styleId="743">
    <w:name w:val="Intense Quote"/>
    <w:basedOn w:val="682"/>
    <w:next w:val="682"/>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
    <w:link w:val="743"/>
    <w:uiPriority w:val="30"/>
    <w:qFormat/>
    <w:rPr>
      <w:i/>
    </w:rPr>
  </w:style>
  <w:style w:type="character" w:styleId="745" w:customStyle="1">
    <w:name w:val="Header Char"/>
    <w:basedOn w:val="691"/>
    <w:uiPriority w:val="99"/>
    <w:qFormat/>
  </w:style>
  <w:style w:type="character" w:styleId="746" w:customStyle="1">
    <w:name w:val="Footer Char"/>
    <w:basedOn w:val="691"/>
    <w:uiPriority w:val="99"/>
    <w:qFormat/>
  </w:style>
  <w:style w:type="character" w:styleId="747" w:customStyle="1">
    <w:name w:val="Caption Char"/>
    <w:uiPriority w:val="99"/>
    <w:qFormat/>
  </w:style>
  <w:style w:type="table" w:styleId="748" w:customStyle="1">
    <w:name w:val="Table Grid Light"/>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Grid Table 3"/>
    <w:basedOn w:val="6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7" w:customStyle="1">
    <w:name w:val="Grid Table 4 - Accent 2"/>
    <w:basedOn w:val="69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8" w:customStyle="1">
    <w:name w:val="Grid Table 4 - Accent 3"/>
    <w:basedOn w:val="69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9" w:customStyle="1">
    <w:name w:val="Grid Table 4 - Accent 4"/>
    <w:basedOn w:val="69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0" w:customStyle="1">
    <w:name w:val="Grid Table 4 - Accent 5"/>
    <w:basedOn w:val="69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1" w:customStyle="1">
    <w:name w:val="Grid Table 4 - Accent 6"/>
    <w:basedOn w:val="69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2" w:customStyle="1">
    <w:name w:val="Grid Table 5 Dark"/>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4" w:customStyle="1">
    <w:name w:val="Grid Table 5 Dark - Accent 2"/>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5" w:customStyle="1">
    <w:name w:val="Grid Table 5 Dark - Accent 3"/>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6" w:customStyle="1">
    <w:name w:val="Grid Table 5 Dark- Accent 4"/>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7" w:customStyle="1">
    <w:name w:val="Grid Table 5 Dark - Accent 5"/>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8" w:customStyle="1">
    <w:name w:val="Grid Table 5 Dark - Accent 6"/>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9" w:customStyle="1">
    <w:name w:val="Grid Table 6 Colorful"/>
    <w:basedOn w:val="6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0" w:customStyle="1">
    <w:name w:val="Grid Table 6 Colorful - Accent 1"/>
    <w:basedOn w:val="69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91" w:customStyle="1">
    <w:name w:val="Grid Table 6 Colorful - Accent 2"/>
    <w:basedOn w:val="6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2" w:customStyle="1">
    <w:name w:val="Grid Table 6 Colorful - Accent 3"/>
    <w:basedOn w:val="69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93" w:customStyle="1">
    <w:name w:val="Grid Table 6 Colorful - Accent 4"/>
    <w:basedOn w:val="6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94" w:customStyle="1">
    <w:name w:val="Grid Table 6 Colorful - Accent 5"/>
    <w:basedOn w:val="69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5" w:customStyle="1">
    <w:name w:val="Grid Table 6 Colorful - Accent 6"/>
    <w:basedOn w:val="69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6" w:customStyle="1">
    <w:name w:val="Grid Table 7 Colorful"/>
    <w:basedOn w:val="6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List Table 2"/>
    <w:basedOn w:val="6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2" w:customStyle="1">
    <w:name w:val="List Table 2 - Accent 2"/>
    <w:basedOn w:val="69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3" w:customStyle="1">
    <w:name w:val="List Table 2 - Accent 3"/>
    <w:basedOn w:val="69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4" w:customStyle="1">
    <w:name w:val="List Table 2 - Accent 4"/>
    <w:basedOn w:val="69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5" w:customStyle="1">
    <w:name w:val="List Table 2 - Accent 5"/>
    <w:basedOn w:val="69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6" w:customStyle="1">
    <w:name w:val="List Table 2 - Accent 6"/>
    <w:basedOn w:val="69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7" w:customStyle="1">
    <w:name w:val="List Table 3"/>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3 - Accent 2"/>
    <w:basedOn w:val="69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4" w:customStyle="1">
    <w:name w:val="List Table 4"/>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4 - Accent 2"/>
    <w:basedOn w:val="69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7" w:customStyle="1">
    <w:name w:val="List Table 4 - Accent 3"/>
    <w:basedOn w:val="69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8" w:customStyle="1">
    <w:name w:val="List Table 4 - Accent 4"/>
    <w:basedOn w:val="69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9" w:customStyle="1">
    <w:name w:val="List Table 4 - Accent 5"/>
    <w:basedOn w:val="69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0" w:customStyle="1">
    <w:name w:val="List Table 4 - Accent 6"/>
    <w:basedOn w:val="69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1" w:customStyle="1">
    <w:name w:val="List Table 5 Dark"/>
    <w:basedOn w:val="6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basedOn w:val="69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basedOn w:val="69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basedOn w:val="69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basedOn w:val="69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basedOn w:val="69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basedOn w:val="69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basedOn w:val="69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basedOn w:val="69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40" w:customStyle="1">
    <w:name w:val="List Table 6 Colorful - Accent 2"/>
    <w:basedOn w:val="69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41" w:customStyle="1">
    <w:name w:val="List Table 6 Colorful - Accent 3"/>
    <w:basedOn w:val="69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42" w:customStyle="1">
    <w:name w:val="List Table 6 Colorful - Accent 4"/>
    <w:basedOn w:val="69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43" w:customStyle="1">
    <w:name w:val="List Table 6 Colorful - Accent 5"/>
    <w:basedOn w:val="69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44" w:customStyle="1">
    <w:name w:val="List Table 6 Colorful - Accent 6"/>
    <w:basedOn w:val="69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45" w:customStyle="1">
    <w:name w:val="List Table 7 Colorful"/>
    <w:basedOn w:val="69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Lined - Accent 2"/>
    <w:basedOn w:val="6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Lined - Accent 3"/>
    <w:basedOn w:val="6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Lined - Accent 4"/>
    <w:basedOn w:val="6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Lined - Accent 5"/>
    <w:basedOn w:val="6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Lined - Accent 6"/>
    <w:basedOn w:val="6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amp; Lined - Accent"/>
    <w:basedOn w:val="6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1" w:customStyle="1">
    <w:name w:val="Bordered &amp; Lined - Accent 2"/>
    <w:basedOn w:val="69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2" w:customStyle="1">
    <w:name w:val="Bordered &amp; Lined - Accent 3"/>
    <w:basedOn w:val="69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Bordered &amp; Lined - Accent 4"/>
    <w:basedOn w:val="69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4" w:customStyle="1">
    <w:name w:val="Bordered &amp; Lined - Accent 5"/>
    <w:basedOn w:val="69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Bordered &amp; Lined - Accent 6"/>
    <w:basedOn w:val="69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w:basedOn w:val="6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8" w:customStyle="1">
    <w:name w:val="Bordered - Accent 2"/>
    <w:basedOn w:val="69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9" w:customStyle="1">
    <w:name w:val="Bordered - Accent 3"/>
    <w:basedOn w:val="69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0" w:customStyle="1">
    <w:name w:val="Bordered - Accent 4"/>
    <w:basedOn w:val="69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1" w:customStyle="1">
    <w:name w:val="Bordered - Accent 5"/>
    <w:basedOn w:val="69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2" w:customStyle="1">
    <w:name w:val="Bordered - Accent 6"/>
    <w:basedOn w:val="69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3" w:customStyle="1">
    <w:name w:val="脚注文本 Char"/>
    <w:link w:val="711"/>
    <w:uiPriority w:val="99"/>
    <w:qFormat/>
    <w:rPr>
      <w:sz w:val="18"/>
    </w:rPr>
  </w:style>
  <w:style w:type="character" w:styleId="874" w:customStyle="1">
    <w:name w:val="尾注文本 Char"/>
    <w:link w:val="704"/>
    <w:uiPriority w:val="99"/>
    <w:qFormat/>
    <w:rPr>
      <w:sz w:val="20"/>
    </w:rPr>
  </w:style>
  <w:style w:type="paragraph" w:styleId="875" w:customStyle="1">
    <w:name w:val="TOC 标题1"/>
    <w:uiPriority w:val="39"/>
    <w:unhideWhenUsed/>
    <w:qFormat/>
    <w:rPr>
      <w:rFonts w:ascii="Times New Roman" w:hAnsi="Times New Roman" w:eastAsia="宋体" w:cs="Times New Roman"/>
      <w:lang w:val="en-US" w:eastAsia="zh-CN" w:bidi="ar-SA"/>
    </w:rPr>
  </w:style>
  <w:style w:type="character" w:styleId="876" w:customStyle="1">
    <w:name w:val="页眉 Char"/>
    <w:basedOn w:val="691"/>
    <w:link w:val="707"/>
    <w:uiPriority w:val="0"/>
    <w:qFormat/>
    <w:rPr>
      <w:rFonts w:asciiTheme="minorHAnsi" w:hAnsiTheme="minorHAnsi" w:eastAsiaTheme="minorEastAsia" w:cstheme="minorBidi"/>
      <w:sz w:val="18"/>
      <w:szCs w:val="18"/>
    </w:rPr>
  </w:style>
  <w:style w:type="character" w:styleId="877" w:customStyle="1">
    <w:name w:val="页脚 Char"/>
    <w:basedOn w:val="691"/>
    <w:link w:val="706"/>
    <w:uiPriority w:val="0"/>
    <w:qFormat/>
    <w:rPr>
      <w:rFonts w:asciiTheme="minorHAnsi" w:hAnsiTheme="minorHAnsi" w:eastAsiaTheme="minorEastAsia" w:cstheme="minorBidi"/>
      <w:sz w:val="18"/>
      <w:szCs w:val="18"/>
    </w:rPr>
  </w:style>
  <w:style w:type="character" w:styleId="878" w:customStyle="1">
    <w:name w:val="NormalCharacter"/>
    <w:uiPriority w:val="0"/>
    <w:qFormat/>
  </w:style>
  <w:style w:type="paragraph" w:styleId="879" w:customStyle="1">
    <w:name w:val="Heading 1"/>
    <w:basedOn w:val="682"/>
    <w:next w:val="682"/>
    <w:uiPriority w:val="0"/>
    <w:qFormat/>
    <w:pPr>
      <w:jc w:val="center"/>
      <w:keepNext/>
    </w:pPr>
    <w:rPr>
      <w:rFonts w:ascii="楷体_GB2312" w:eastAsia="楷体_GB2312"/>
      <w:sz w:val="28"/>
      <w:szCs w:val="28"/>
    </w:rPr>
  </w:style>
  <w:style w:type="paragraph" w:styleId="880" w:customStyle="1">
    <w:name w:val="Heading 4"/>
    <w:basedOn w:val="682"/>
    <w:next w:val="682"/>
    <w:uiPriority w:val="0"/>
    <w:qFormat/>
    <w:pPr>
      <w:keepLines/>
      <w:keepNext/>
      <w:spacing w:before="280" w:after="290" w:line="376" w:lineRule="auto"/>
    </w:pPr>
    <w:rPr>
      <w:rFonts w:ascii="Arial" w:hAnsi="Arial" w:eastAsia="黑体" w:cs="Times New Roman"/>
      <w:b/>
      <w:bCs/>
      <w:sz w:val="28"/>
      <w:szCs w:val="28"/>
    </w:rPr>
  </w:style>
  <w:style w:type="paragraph" w:styleId="881" w:customStyle="1">
    <w:name w:val="Heading 2"/>
    <w:basedOn w:val="682"/>
    <w:next w:val="882"/>
    <w:uiPriority w:val="0"/>
    <w:qFormat/>
    <w:pPr>
      <w:jc w:val="center"/>
      <w:keepLines/>
      <w:keepNext/>
      <w:spacing w:before="260" w:after="260" w:line="416" w:lineRule="auto"/>
    </w:pPr>
    <w:rPr>
      <w:rFonts w:ascii="Arial" w:hAnsi="Arial" w:eastAsia="幼圆" w:cs="Times New Roman"/>
      <w:b/>
      <w:bCs/>
      <w:sz w:val="44"/>
      <w:szCs w:val="44"/>
    </w:rPr>
  </w:style>
  <w:style w:type="paragraph" w:styleId="882" w:customStyle="1">
    <w:name w:val="NormalIndent"/>
    <w:basedOn w:val="682"/>
    <w:uiPriority w:val="0"/>
    <w:qFormat/>
    <w:pPr>
      <w:ind w:firstLine="420"/>
    </w:pPr>
    <w:rPr>
      <w:szCs w:val="20"/>
    </w:rPr>
  </w:style>
  <w:style w:type="paragraph" w:styleId="883" w:customStyle="1">
    <w:name w:val="PlainText"/>
    <w:basedOn w:val="682"/>
    <w:uiPriority w:val="0"/>
    <w:qFormat/>
    <w:rPr>
      <w:rFonts w:ascii="宋体" w:hAnsi="Courier New"/>
    </w:rPr>
  </w:style>
  <w:style w:type="paragraph" w:styleId="884" w:customStyle="1">
    <w:name w:val="WPSOffice手动目录 1"/>
    <w:uiPriority w:val="0"/>
    <w:qFormat/>
    <w:rPr>
      <w:rFonts w:ascii="Times New Roman" w:hAnsi="Times New Roman" w:eastAsia="宋体" w:cs="Times New Roman"/>
      <w:lang w:val="en-US" w:eastAsia="zh-CN" w:bidi="ar-SA"/>
    </w:rPr>
  </w:style>
  <w:style w:type="paragraph" w:styleId="885" w:customStyle="1">
    <w:name w:val="Char"/>
    <w:basedOn w:val="682"/>
    <w:uiPriority w:val="0"/>
    <w:qFormat/>
    <w:pPr>
      <w:ind w:firstLine="200"/>
      <w:tabs>
        <w:tab w:val="left" w:pos="360" w:leader="none"/>
      </w:tabs>
    </w:pPr>
    <w:rPr>
      <w:sz w:val="28"/>
      <w:szCs w:val="30"/>
    </w:rPr>
  </w:style>
  <w:style w:type="paragraph" w:styleId="886" w:customStyle="1">
    <w:name w:val="普通正文"/>
    <w:basedOn w:val="682"/>
    <w:uiPriority w:val="0"/>
    <w:qFormat/>
    <w:pPr>
      <w:ind w:firstLine="480"/>
      <w:jc w:val="left"/>
      <w:spacing w:before="120" w:after="120" w:line="360" w:lineRule="auto"/>
    </w:pPr>
    <w:rPr>
      <w:rFonts w:ascii="Arial" w:hAnsi="Arial"/>
      <w:sz w:val="24"/>
    </w:rPr>
  </w:style>
  <w:style w:type="paragraph" w:styleId="887" w:customStyle="1">
    <w:name w:val="列出段落1"/>
    <w:basedOn w:val="682"/>
    <w:uiPriority w:val="0"/>
    <w:qFormat/>
    <w:pPr>
      <w:contextualSpacing/>
      <w:ind w:left="720"/>
      <w:jc w:val="left"/>
      <w:widowControl/>
    </w:pPr>
    <w:rPr>
      <w:rFonts w:ascii="Calibri" w:hAnsi="Calibri" w:eastAsia="宋体" w:cs="Times New Roman"/>
      <w:sz w:val="24"/>
      <w:lang w:eastAsia="en-US" w:bidi="en-US"/>
    </w:rPr>
  </w:style>
  <w:style w:type="paragraph" w:styleId="888" w:customStyle="1">
    <w:name w:val="正文首行缩进1"/>
    <w:basedOn w:val="889"/>
    <w:uiPriority w:val="99"/>
    <w:unhideWhenUsed/>
    <w:qFormat/>
  </w:style>
  <w:style w:type="paragraph" w:styleId="889" w:customStyle="1">
    <w:name w:val="正文文本1"/>
    <w:basedOn w:val="682"/>
    <w:next w:val="682"/>
    <w:uiPriority w:val="0"/>
    <w:qFormat/>
    <w:rPr>
      <w:rFonts w:cs="Times New Roman"/>
      <w:sz w:val="20"/>
      <w:szCs w:val="20"/>
    </w:rPr>
  </w:style>
  <w:style w:type="character" w:styleId="890" w:customStyle="1">
    <w:name w:val="批注框文本 Char"/>
    <w:basedOn w:val="691"/>
    <w:link w:val="705"/>
    <w:uiPriority w:val="99"/>
    <w:semiHidden/>
    <w:qFormat/>
    <w:rPr>
      <w:rFonts w:asciiTheme="minorHAnsi" w:hAnsiTheme="minorHAnsi" w:eastAsiaTheme="minorEastAsia" w:cstheme="minorBidi"/>
      <w:sz w:val="18"/>
      <w:szCs w:val="18"/>
    </w:rPr>
  </w:style>
  <w:style w:type="paragraph" w:styleId="891" w:customStyle="1">
    <w:name w:val="正文（缩进）"/>
    <w:basedOn w:val="682"/>
    <w:next w:val="682"/>
    <w:uiPriority w:val="0"/>
    <w:qFormat/>
    <w:pPr>
      <w:ind w:firstLine="480"/>
      <w:spacing w:line="360" w:lineRule="auto"/>
      <w:tabs>
        <w:tab w:val="left" w:pos="840" w:leader="none"/>
      </w:tabs>
    </w:pPr>
    <w:rPr>
      <w:rFonts w:ascii="宋体" w:hAnsi="宋体"/>
      <w:sz w:val="24"/>
      <w:szCs w:val="24"/>
    </w:rPr>
  </w:style>
  <w:style w:type="paragraph" w:styleId="892" w:customStyle="1">
    <w:name w:val="正文1"/>
    <w:basedOn w:val="893"/>
    <w:uiPriority w:val="0"/>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893" w:customStyle="1">
    <w:name w:val="样式1"/>
    <w:basedOn w:val="682"/>
    <w:uiPriority w:val="0"/>
    <w:qFormat/>
    <w:pPr>
      <w:ind w:firstLine="420"/>
      <w:spacing w:line="400" w:lineRule="exact"/>
    </w:pPr>
    <w:rPr>
      <w:sz w:val="20"/>
      <w:szCs w:val="20"/>
    </w:rPr>
  </w:style>
  <w:style w:type="paragraph" w:styleId="8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5" w:customStyle="1">
    <w:name w:val="页脚1"/>
    <w:basedOn w:val="682"/>
    <w:uiPriority w:val="99"/>
    <w:unhideWhenUsed/>
    <w:qFormat/>
    <w:pPr>
      <w:jc w:val="left"/>
      <w:tabs>
        <w:tab w:val="center" w:pos="4153" w:leader="none"/>
        <w:tab w:val="right" w:pos="8306" w:leader="none"/>
      </w:tabs>
    </w:pPr>
    <w:rPr>
      <w:sz w:val="18"/>
      <w:szCs w:val="18"/>
    </w:rPr>
  </w:style>
  <w:style w:type="paragraph" w:styleId="896" w:customStyle="1">
    <w:name w:val="正文首行缩进 21"/>
    <w:basedOn w:val="897"/>
    <w:uiPriority w:val="0"/>
    <w:qFormat/>
    <w:pPr>
      <w:ind w:firstLine="420"/>
    </w:pPr>
  </w:style>
  <w:style w:type="paragraph" w:styleId="897" w:customStyle="1">
    <w:name w:val="正文文本缩进1"/>
    <w:basedOn w:val="682"/>
    <w:uiPriority w:val="0"/>
    <w:qFormat/>
    <w:pPr>
      <w:ind w:left="420"/>
      <w:spacing w:after="120"/>
    </w:pPr>
  </w:style>
  <w:style w:type="numbering" w:styleId="12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7" textRotate="1"/>
    <customShpInfo spid="_x0000_s102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275</cp:revision>
  <dcterms:created xsi:type="dcterms:W3CDTF">2014-10-29T12:08:00Z</dcterms:created>
  <dcterms:modified xsi:type="dcterms:W3CDTF">2025-02-14T02:11:25Z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C47023ADC7E44B7E87CA8CAD522D4321_13</vt:lpwstr>
  </property>
  <property fmtid="{D5CDD505-2E9C-101B-9397-08002B2CF9AE}" pid="4" name="KSOTemplateDocerSaveRecord">
    <vt:lpwstr>eyJoZGlkIjoiMTI2OGIwODNmY2IyZWZkMGMyOTg4NjgxYWNjOGMzODYiLCJ1c2VySWQiOiI0NTEzNDM5MTQifQ==</vt:lpwstr>
  </property>
</Properties>
</file>