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BA133">
      <w:pPr>
        <w:spacing w:before="120" w:after="120" w:line="360" w:lineRule="auto"/>
        <w:ind w:firstLine="1687"/>
        <w:jc w:val="left"/>
        <w:rPr>
          <w:rFonts w:ascii="Arial" w:hAnsi="Arial" w:eastAsia="黑体"/>
          <w:b/>
          <w:bCs/>
          <w:sz w:val="84"/>
          <w:szCs w:val="24"/>
        </w:rPr>
      </w:pPr>
    </w:p>
    <w:p w14:paraId="1CD2BFC3">
      <w:pPr>
        <w:jc w:val="center"/>
        <w:rPr>
          <w:b/>
          <w:color w:val="000000" w:themeColor="text1"/>
          <w:sz w:val="96"/>
          <w:szCs w:val="96"/>
          <w14:textFill>
            <w14:solidFill>
              <w14:schemeClr w14:val="tx1"/>
            </w14:solidFill>
          </w14:textFill>
        </w:rPr>
      </w:pPr>
      <w:r>
        <w:rPr>
          <w:rFonts w:hint="eastAsia"/>
          <w:b/>
          <w:color w:val="000000" w:themeColor="text1"/>
          <w:sz w:val="96"/>
          <w:szCs w:val="96"/>
          <w14:textFill>
            <w14:solidFill>
              <w14:schemeClr w14:val="tx1"/>
            </w14:solidFill>
          </w14:textFill>
        </w:rPr>
        <w:t xml:space="preserve">招 标 </w:t>
      </w:r>
      <w:r>
        <w:rPr>
          <w:b/>
          <w:color w:val="000000" w:themeColor="text1"/>
          <w:sz w:val="96"/>
          <w:szCs w:val="96"/>
          <w14:textFill>
            <w14:solidFill>
              <w14:schemeClr w14:val="tx1"/>
            </w14:solidFill>
          </w14:textFill>
        </w:rPr>
        <w:t>文</w:t>
      </w:r>
      <w:r>
        <w:rPr>
          <w:rFonts w:hint="eastAsia"/>
          <w:b/>
          <w:color w:val="000000" w:themeColor="text1"/>
          <w:sz w:val="96"/>
          <w:szCs w:val="96"/>
          <w14:textFill>
            <w14:solidFill>
              <w14:schemeClr w14:val="tx1"/>
            </w14:solidFill>
          </w14:textFill>
        </w:rPr>
        <w:t xml:space="preserve"> </w:t>
      </w:r>
      <w:r>
        <w:rPr>
          <w:b/>
          <w:color w:val="000000" w:themeColor="text1"/>
          <w:sz w:val="96"/>
          <w:szCs w:val="96"/>
          <w14:textFill>
            <w14:solidFill>
              <w14:schemeClr w14:val="tx1"/>
            </w14:solidFill>
          </w14:textFill>
        </w:rPr>
        <w:t>件</w:t>
      </w:r>
    </w:p>
    <w:p w14:paraId="77A725DF">
      <w:pPr>
        <w:spacing w:before="120" w:after="120" w:line="360" w:lineRule="auto"/>
        <w:ind w:firstLine="643"/>
        <w:jc w:val="left"/>
        <w:rPr>
          <w:rFonts w:ascii="Arial" w:hAnsi="Arial"/>
          <w:b/>
          <w:bCs/>
          <w:sz w:val="32"/>
          <w:szCs w:val="24"/>
        </w:rPr>
      </w:pPr>
    </w:p>
    <w:p w14:paraId="64C0C62F">
      <w:pPr>
        <w:spacing w:before="120" w:after="120" w:line="360" w:lineRule="auto"/>
        <w:ind w:firstLine="643"/>
        <w:jc w:val="left"/>
        <w:rPr>
          <w:rFonts w:ascii="Arial" w:hAnsi="Arial"/>
          <w:b/>
          <w:bCs/>
          <w:sz w:val="32"/>
          <w:szCs w:val="24"/>
        </w:rPr>
      </w:pPr>
    </w:p>
    <w:p w14:paraId="17F56B1B">
      <w:pPr>
        <w:spacing w:before="120" w:after="120" w:line="360" w:lineRule="auto"/>
        <w:ind w:firstLine="643"/>
        <w:jc w:val="left"/>
        <w:rPr>
          <w:rFonts w:ascii="Arial" w:hAnsi="Arial"/>
          <w:b/>
          <w:bCs/>
          <w:sz w:val="32"/>
          <w:szCs w:val="24"/>
        </w:rPr>
      </w:pPr>
    </w:p>
    <w:p w14:paraId="2D23DD02">
      <w:pPr>
        <w:spacing w:line="600" w:lineRule="exact"/>
        <w:ind w:firstLine="723"/>
        <w:jc w:val="left"/>
        <w:rPr>
          <w:rFonts w:hint="eastAsia" w:ascii="宋体" w:hAnsi="宋体" w:eastAsia="宋体" w:cs="宋体"/>
          <w:b/>
          <w:bCs/>
          <w:sz w:val="36"/>
          <w:szCs w:val="24"/>
          <w:lang w:eastAsia="zh-CN"/>
        </w:rPr>
      </w:pPr>
      <w:r>
        <w:rPr>
          <w:rFonts w:hint="eastAsia" w:ascii="宋体" w:hAnsi="宋体" w:cs="宋体"/>
          <w:b/>
          <w:bCs/>
          <w:sz w:val="36"/>
          <w:szCs w:val="24"/>
        </w:rPr>
        <w:t>项目编号：</w:t>
      </w:r>
      <w:r>
        <w:rPr>
          <w:rFonts w:hint="eastAsia" w:ascii="宋体" w:hAnsi="宋体" w:cs="宋体"/>
          <w:b/>
          <w:bCs/>
          <w:sz w:val="36"/>
          <w:szCs w:val="24"/>
          <w:lang w:eastAsia="zh-CN"/>
        </w:rPr>
        <w:t>JSZC-320581-HXGW-G2024-0096</w:t>
      </w:r>
    </w:p>
    <w:p w14:paraId="5DCF9106">
      <w:pPr>
        <w:spacing w:line="600" w:lineRule="exact"/>
        <w:ind w:firstLine="723"/>
        <w:rPr>
          <w:rFonts w:hint="eastAsia" w:ascii="宋体" w:hAnsi="宋体" w:cs="宋体"/>
          <w:b/>
          <w:bCs/>
          <w:sz w:val="36"/>
          <w:szCs w:val="24"/>
        </w:rPr>
      </w:pPr>
      <w:r>
        <w:rPr>
          <w:rFonts w:hint="eastAsia" w:ascii="宋体" w:hAnsi="宋体" w:cs="宋体"/>
          <w:b/>
          <w:bCs/>
          <w:sz w:val="36"/>
          <w:szCs w:val="24"/>
        </w:rPr>
        <w:t>项目名称：2024年常熟市农业绿色发展监测项目（硬件设施建设）</w:t>
      </w:r>
    </w:p>
    <w:p w14:paraId="629119F7">
      <w:pPr>
        <w:spacing w:line="600" w:lineRule="exact"/>
        <w:ind w:firstLine="723"/>
        <w:jc w:val="left"/>
        <w:rPr>
          <w:rFonts w:hint="eastAsia" w:ascii="宋体" w:hAnsi="宋体" w:cs="宋体"/>
          <w:b/>
          <w:bCs/>
          <w:sz w:val="36"/>
          <w:szCs w:val="24"/>
        </w:rPr>
      </w:pPr>
      <w:r>
        <w:rPr>
          <w:rFonts w:hint="eastAsia" w:ascii="宋体" w:hAnsi="宋体" w:cs="宋体"/>
          <w:b/>
          <w:bCs/>
          <w:sz w:val="36"/>
          <w:szCs w:val="24"/>
        </w:rPr>
        <w:t>项目属性：货物类项目</w:t>
      </w:r>
    </w:p>
    <w:p w14:paraId="1720AAC5">
      <w:pPr>
        <w:spacing w:line="600" w:lineRule="exact"/>
        <w:ind w:firstLine="723"/>
        <w:jc w:val="left"/>
        <w:rPr>
          <w:rFonts w:hint="eastAsia" w:ascii="宋体" w:hAnsi="宋体" w:cs="宋体"/>
          <w:b/>
          <w:bCs/>
          <w:sz w:val="36"/>
          <w:szCs w:val="24"/>
        </w:rPr>
      </w:pPr>
      <w:r>
        <w:rPr>
          <w:rFonts w:hint="eastAsia" w:ascii="宋体" w:hAnsi="宋体" w:cs="宋体"/>
          <w:b/>
          <w:bCs/>
          <w:sz w:val="36"/>
          <w:szCs w:val="24"/>
        </w:rPr>
        <w:t>标的所属行业：工业</w:t>
      </w:r>
    </w:p>
    <w:p w14:paraId="3C587442">
      <w:pPr>
        <w:ind w:left="2100" w:firstLine="480"/>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p>
    <w:p w14:paraId="5607AA4E">
      <w:pPr>
        <w:spacing w:line="360" w:lineRule="auto"/>
        <w:jc w:val="left"/>
        <w:rPr>
          <w:rFonts w:hint="eastAsia" w:ascii="宋体" w:hAnsi="宋体" w:cs="宋体"/>
          <w:sz w:val="24"/>
          <w:szCs w:val="24"/>
        </w:rPr>
      </w:pPr>
    </w:p>
    <w:p w14:paraId="1AE53490">
      <w:pPr>
        <w:spacing w:line="360" w:lineRule="auto"/>
        <w:jc w:val="left"/>
        <w:rPr>
          <w:rFonts w:hint="eastAsia" w:ascii="宋体" w:hAnsi="宋体" w:cs="宋体"/>
          <w:sz w:val="24"/>
          <w:szCs w:val="24"/>
        </w:rPr>
      </w:pPr>
    </w:p>
    <w:p w14:paraId="2E48B44D">
      <w:pPr>
        <w:spacing w:line="360" w:lineRule="auto"/>
        <w:jc w:val="left"/>
        <w:rPr>
          <w:rFonts w:hint="eastAsia" w:ascii="宋体" w:hAnsi="宋体" w:cs="宋体"/>
          <w:sz w:val="24"/>
          <w:szCs w:val="24"/>
        </w:rPr>
      </w:pPr>
    </w:p>
    <w:p w14:paraId="694E0FE4">
      <w:pPr>
        <w:spacing w:line="360" w:lineRule="auto"/>
        <w:jc w:val="left"/>
        <w:rPr>
          <w:rFonts w:hint="eastAsia" w:ascii="宋体" w:hAnsi="宋体" w:cs="宋体"/>
          <w:sz w:val="24"/>
          <w:szCs w:val="24"/>
        </w:rPr>
      </w:pPr>
    </w:p>
    <w:p w14:paraId="070157BA">
      <w:pPr>
        <w:spacing w:line="360" w:lineRule="auto"/>
        <w:jc w:val="left"/>
        <w:rPr>
          <w:rFonts w:hint="eastAsia" w:ascii="宋体" w:hAnsi="宋体" w:cs="宋体"/>
          <w:sz w:val="24"/>
          <w:szCs w:val="24"/>
        </w:rPr>
      </w:pPr>
    </w:p>
    <w:p w14:paraId="7EF744D5">
      <w:pPr>
        <w:spacing w:line="360" w:lineRule="auto"/>
        <w:jc w:val="left"/>
        <w:rPr>
          <w:rFonts w:hint="eastAsia" w:ascii="宋体" w:hAnsi="宋体" w:cs="宋体"/>
          <w:sz w:val="24"/>
          <w:szCs w:val="24"/>
        </w:rPr>
      </w:pPr>
    </w:p>
    <w:p w14:paraId="345E920A">
      <w:pPr>
        <w:pStyle w:val="14"/>
        <w:rPr>
          <w:rFonts w:hint="eastAsia" w:ascii="宋体" w:hAnsi="宋体" w:eastAsia="宋体" w:cs="宋体"/>
          <w:sz w:val="24"/>
          <w:szCs w:val="24"/>
        </w:rPr>
      </w:pPr>
    </w:p>
    <w:p w14:paraId="22A2F926">
      <w:pPr>
        <w:rPr>
          <w:rFonts w:hint="eastAsia" w:ascii="宋体" w:hAnsi="宋体" w:cs="宋体"/>
        </w:rPr>
      </w:pPr>
    </w:p>
    <w:p w14:paraId="31F1EE6F">
      <w:pPr>
        <w:pStyle w:val="14"/>
        <w:rPr>
          <w:rFonts w:hint="eastAsia" w:ascii="宋体" w:hAnsi="宋体" w:eastAsia="宋体" w:cs="宋体"/>
        </w:rPr>
      </w:pPr>
    </w:p>
    <w:p w14:paraId="10B456B0">
      <w:pPr>
        <w:spacing w:line="360" w:lineRule="auto"/>
        <w:jc w:val="left"/>
        <w:rPr>
          <w:rFonts w:hint="eastAsia" w:ascii="宋体" w:hAnsi="宋体" w:cs="宋体"/>
          <w:sz w:val="24"/>
          <w:szCs w:val="24"/>
        </w:rPr>
      </w:pPr>
    </w:p>
    <w:p w14:paraId="4D59B9D4">
      <w:pPr>
        <w:spacing w:before="120" w:after="120" w:line="360" w:lineRule="auto"/>
        <w:ind w:firstLine="723"/>
        <w:jc w:val="center"/>
        <w:rPr>
          <w:rFonts w:hint="eastAsia" w:ascii="宋体" w:hAnsi="宋体" w:cs="宋体"/>
          <w:b/>
          <w:bCs/>
          <w:sz w:val="40"/>
          <w:szCs w:val="28"/>
        </w:rPr>
      </w:pPr>
      <w:r>
        <w:rPr>
          <w:rFonts w:hint="eastAsia" w:ascii="宋体" w:hAnsi="宋体" w:cs="宋体"/>
          <w:b/>
          <w:bCs/>
          <w:sz w:val="40"/>
          <w:szCs w:val="28"/>
        </w:rPr>
        <w:t>涵熙（苏州）工程顾问有限公司</w:t>
      </w:r>
    </w:p>
    <w:p w14:paraId="210D85A4">
      <w:pPr>
        <w:spacing w:before="120" w:after="120" w:line="360" w:lineRule="auto"/>
        <w:ind w:firstLine="723"/>
        <w:jc w:val="center"/>
        <w:rPr>
          <w:rFonts w:hint="eastAsia" w:ascii="宋体" w:hAnsi="宋体" w:cs="宋体"/>
          <w:sz w:val="32"/>
          <w:szCs w:val="28"/>
          <w:highlight w:val="none"/>
        </w:rPr>
      </w:pPr>
      <w:r>
        <w:rPr>
          <w:rFonts w:hint="eastAsia" w:ascii="宋体" w:hAnsi="宋体" w:cs="宋体"/>
          <w:b/>
          <w:bCs/>
          <w:sz w:val="40"/>
          <w:szCs w:val="28"/>
          <w:highlight w:val="none"/>
        </w:rPr>
        <w:t>2024年</w:t>
      </w:r>
      <w:r>
        <w:rPr>
          <w:rFonts w:hint="eastAsia" w:ascii="宋体" w:hAnsi="宋体" w:cs="宋体"/>
          <w:b/>
          <w:bCs/>
          <w:sz w:val="40"/>
          <w:szCs w:val="28"/>
          <w:highlight w:val="none"/>
          <w:lang w:val="en-US" w:eastAsia="zh-CN"/>
        </w:rPr>
        <w:t>12</w:t>
      </w:r>
      <w:r>
        <w:rPr>
          <w:rFonts w:hint="eastAsia" w:ascii="宋体" w:hAnsi="宋体" w:cs="宋体"/>
          <w:b/>
          <w:bCs/>
          <w:sz w:val="40"/>
          <w:szCs w:val="28"/>
          <w:highlight w:val="none"/>
        </w:rPr>
        <w:t>月</w:t>
      </w:r>
      <w:r>
        <w:rPr>
          <w:rFonts w:hint="eastAsia" w:ascii="宋体" w:hAnsi="宋体" w:cs="宋体"/>
          <w:b/>
          <w:bCs/>
          <w:sz w:val="40"/>
          <w:szCs w:val="28"/>
          <w:highlight w:val="none"/>
          <w:lang w:val="en-US" w:eastAsia="zh-CN"/>
        </w:rPr>
        <w:t>03</w:t>
      </w:r>
      <w:r>
        <w:rPr>
          <w:rFonts w:hint="eastAsia" w:ascii="宋体" w:hAnsi="宋体" w:cs="宋体"/>
          <w:b/>
          <w:bCs/>
          <w:sz w:val="40"/>
          <w:szCs w:val="28"/>
          <w:highlight w:val="none"/>
        </w:rPr>
        <w:t>日</w:t>
      </w:r>
    </w:p>
    <w:p w14:paraId="151338B8">
      <w:pPr>
        <w:pStyle w:val="360"/>
        <w:ind w:firstLine="640"/>
        <w:jc w:val="center"/>
        <w:rPr>
          <w:rFonts w:hint="eastAsia"/>
          <w:b/>
          <w:bCs/>
          <w:color w:val="auto"/>
        </w:rPr>
      </w:pPr>
      <w:r>
        <w:rPr>
          <w:rFonts w:ascii="Times New Roman" w:hAnsi="Times New Roman"/>
          <w:color w:val="auto"/>
          <w:szCs w:val="21"/>
        </w:rPr>
        <w:br w:type="page" w:clear="all"/>
      </w:r>
      <w:bookmarkStart w:id="0" w:name="_Toc120614210"/>
      <w:bookmarkStart w:id="1" w:name="_Toc513029200"/>
      <w:bookmarkStart w:id="2" w:name="_Toc523127445"/>
      <w:bookmarkStart w:id="3" w:name="_Toc479757206"/>
      <w:bookmarkStart w:id="4" w:name="_Toc20823272"/>
      <w:bookmarkStart w:id="5" w:name="_Toc16938516"/>
      <w:r>
        <w:rPr>
          <w:b/>
          <w:bCs/>
          <w:color w:val="auto"/>
          <w:lang w:val="zh-CN"/>
        </w:rPr>
        <w:t>目录</w:t>
      </w:r>
    </w:p>
    <w:p w14:paraId="69F7632E">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ascii="Times New Roman" w:hAnsi="Times New Roman"/>
          <w:sz w:val="22"/>
          <w:szCs w:val="24"/>
        </w:rPr>
        <w:fldChar w:fldCharType="begin"/>
      </w:r>
      <w:r>
        <w:rPr>
          <w:rFonts w:ascii="Times New Roman" w:hAnsi="Times New Roman"/>
          <w:sz w:val="22"/>
          <w:szCs w:val="24"/>
        </w:rPr>
        <w:instrText xml:space="preserve"> TOC \o "1-3" \h \z \u </w:instrText>
      </w:r>
      <w:r>
        <w:rPr>
          <w:rFonts w:ascii="Times New Roman" w:hAnsi="Times New Roman"/>
          <w:sz w:val="22"/>
          <w:szCs w:val="24"/>
        </w:rPr>
        <w:fldChar w:fldCharType="separate"/>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_Toc18381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第一章  投标邀请</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_Toc18381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1</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28D814E0">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_Toc16939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第二章  投标人须知</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_Toc16939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3</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2F13A8F2">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_Toc18002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第三章  合同文本</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_Toc18002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12</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7B8DACF5">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_Toc24646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第四章  采购需求</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_Toc24646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21</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57CDC8F7">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_Toc24222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一、项目说明：</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_Toc24222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21</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7F3D78BD">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_Toc169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二、需求清单：</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_Toc169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21</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21515C21">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_Toc32323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三、技术性能参数要求：</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_Toc32323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22</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259037DC">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_Toc26999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四、运维技术要求：</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_Toc26999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29</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4E15D024">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_Toc30026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五、投标报价要求：</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_Toc30026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30</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69A7A34D">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_Toc26075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六、质量保证和售后服务要求：</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_Toc26075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30</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1E4A28FD">
      <w:pPr>
        <w:pStyle w:val="17"/>
        <w:tabs>
          <w:tab w:val="right" w:leader="dot" w:pos="9660"/>
        </w:tabs>
        <w:spacing w:after="0"/>
        <w:ind w:left="420"/>
        <w:jc w:val="left"/>
        <w:rPr>
          <w:rFonts w:eastAsia="宋体" w:cs="Times New Roman"/>
          <w:i w:val="0"/>
          <w:iCs w:val="0"/>
          <w:color w:val="000000" w:themeColor="text1"/>
          <w:kern w:val="2"/>
          <w:szCs w:val="36"/>
          <w14:textFill>
            <w14:solidFill>
              <w14:schemeClr w14:val="tx1"/>
            </w14:solidFill>
          </w14:textFill>
        </w:rPr>
      </w:pP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HYPERLINK \l _Toc29055 </w:instrText>
      </w:r>
      <w:r>
        <w:rPr>
          <w:rFonts w:eastAsia="宋体" w:cs="Times New Roman"/>
          <w:i w:val="0"/>
          <w:iCs w:val="0"/>
          <w:color w:val="000000" w:themeColor="text1"/>
          <w:kern w:val="2"/>
          <w:szCs w:val="36"/>
          <w14:textFill>
            <w14:solidFill>
              <w14:schemeClr w14:val="tx1"/>
            </w14:solidFill>
          </w14:textFill>
        </w:rPr>
        <w:fldChar w:fldCharType="separate"/>
      </w:r>
      <w:r>
        <w:rPr>
          <w:rFonts w:hint="eastAsia" w:eastAsia="宋体" w:cs="Times New Roman"/>
          <w:i w:val="0"/>
          <w:iCs w:val="0"/>
          <w:color w:val="000000" w:themeColor="text1"/>
          <w:kern w:val="2"/>
          <w:szCs w:val="36"/>
          <w14:textFill>
            <w14:solidFill>
              <w14:schemeClr w14:val="tx1"/>
            </w14:solidFill>
          </w14:textFill>
        </w:rPr>
        <w:t>七、验收及其他要求：</w:t>
      </w:r>
      <w:r>
        <w:rPr>
          <w:rFonts w:eastAsia="宋体" w:cs="Times New Roman"/>
          <w:i w:val="0"/>
          <w:iCs w:val="0"/>
          <w:color w:val="000000" w:themeColor="text1"/>
          <w:kern w:val="2"/>
          <w:szCs w:val="36"/>
          <w14:textFill>
            <w14:solidFill>
              <w14:schemeClr w14:val="tx1"/>
            </w14:solidFill>
          </w14:textFill>
        </w:rPr>
        <w:tab/>
      </w:r>
      <w:r>
        <w:rPr>
          <w:rFonts w:eastAsia="宋体" w:cs="Times New Roman"/>
          <w:i w:val="0"/>
          <w:iCs w:val="0"/>
          <w:color w:val="000000" w:themeColor="text1"/>
          <w:kern w:val="2"/>
          <w:szCs w:val="36"/>
          <w14:textFill>
            <w14:solidFill>
              <w14:schemeClr w14:val="tx1"/>
            </w14:solidFill>
          </w14:textFill>
        </w:rPr>
        <w:fldChar w:fldCharType="begin"/>
      </w:r>
      <w:r>
        <w:rPr>
          <w:rFonts w:eastAsia="宋体" w:cs="Times New Roman"/>
          <w:i w:val="0"/>
          <w:iCs w:val="0"/>
          <w:color w:val="000000" w:themeColor="text1"/>
          <w:kern w:val="2"/>
          <w:szCs w:val="36"/>
          <w14:textFill>
            <w14:solidFill>
              <w14:schemeClr w14:val="tx1"/>
            </w14:solidFill>
          </w14:textFill>
        </w:rPr>
        <w:instrText xml:space="preserve"> PAGEREF _Toc29055 \h </w:instrText>
      </w:r>
      <w:r>
        <w:rPr>
          <w:rFonts w:eastAsia="宋体" w:cs="Times New Roman"/>
          <w:i w:val="0"/>
          <w:iCs w:val="0"/>
          <w:color w:val="000000" w:themeColor="text1"/>
          <w:kern w:val="2"/>
          <w:szCs w:val="36"/>
          <w14:textFill>
            <w14:solidFill>
              <w14:schemeClr w14:val="tx1"/>
            </w14:solidFill>
          </w14:textFill>
        </w:rPr>
        <w:fldChar w:fldCharType="separate"/>
      </w:r>
      <w:r>
        <w:rPr>
          <w:rFonts w:eastAsia="宋体" w:cs="Times New Roman"/>
          <w:i w:val="0"/>
          <w:iCs w:val="0"/>
          <w:color w:val="000000" w:themeColor="text1"/>
          <w:kern w:val="2"/>
          <w:szCs w:val="36"/>
          <w14:textFill>
            <w14:solidFill>
              <w14:schemeClr w14:val="tx1"/>
            </w14:solidFill>
          </w14:textFill>
        </w:rPr>
        <w:t>30</w:t>
      </w:r>
      <w:r>
        <w:rPr>
          <w:rFonts w:eastAsia="宋体" w:cs="Times New Roman"/>
          <w:i w:val="0"/>
          <w:iCs w:val="0"/>
          <w:color w:val="000000" w:themeColor="text1"/>
          <w:kern w:val="2"/>
          <w:szCs w:val="36"/>
          <w14:textFill>
            <w14:solidFill>
              <w14:schemeClr w14:val="tx1"/>
            </w14:solidFill>
          </w14:textFill>
        </w:rPr>
        <w:fldChar w:fldCharType="end"/>
      </w:r>
      <w:r>
        <w:rPr>
          <w:rFonts w:eastAsia="宋体" w:cs="Times New Roman"/>
          <w:i w:val="0"/>
          <w:iCs w:val="0"/>
          <w:color w:val="000000" w:themeColor="text1"/>
          <w:kern w:val="2"/>
          <w:szCs w:val="36"/>
          <w14:textFill>
            <w14:solidFill>
              <w14:schemeClr w14:val="tx1"/>
            </w14:solidFill>
          </w14:textFill>
        </w:rPr>
        <w:fldChar w:fldCharType="end"/>
      </w:r>
    </w:p>
    <w:p w14:paraId="73AF7160">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_Toc3070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第五章  评标方法与评标标准</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_Toc3070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32</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50AC78FB">
      <w:pPr>
        <w:pStyle w:val="25"/>
        <w:tabs>
          <w:tab w:val="right" w:leader="dot" w:pos="9660"/>
        </w:tabs>
        <w:spacing w:before="100" w:beforeAutospacing="1" w:after="100" w:afterAutospacing="1" w:line="360" w:lineRule="exact"/>
        <w:ind w:left="210" w:leftChars="100"/>
        <w:rPr>
          <w:rFonts w:eastAsia="宋体" w:cs="Times New Roman"/>
          <w:b/>
          <w:bCs/>
          <w:caps/>
          <w:color w:val="000000" w:themeColor="text1"/>
          <w:kern w:val="2"/>
          <w:sz w:val="28"/>
          <w:szCs w:val="36"/>
          <w14:textFill>
            <w14:solidFill>
              <w14:schemeClr w14:val="tx1"/>
            </w14:solidFill>
          </w14:textFill>
        </w:rPr>
      </w:pP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HYPERLINK \l _Toc17387 </w:instrText>
      </w:r>
      <w:r>
        <w:rPr>
          <w:rFonts w:eastAsia="宋体" w:cs="Times New Roman"/>
          <w:b/>
          <w:bCs/>
          <w:caps/>
          <w:color w:val="000000" w:themeColor="text1"/>
          <w:kern w:val="2"/>
          <w:sz w:val="28"/>
          <w:szCs w:val="36"/>
          <w14:textFill>
            <w14:solidFill>
              <w14:schemeClr w14:val="tx1"/>
            </w14:solidFill>
          </w14:textFill>
        </w:rPr>
        <w:fldChar w:fldCharType="separate"/>
      </w:r>
      <w:r>
        <w:rPr>
          <w:rFonts w:hint="eastAsia" w:eastAsia="宋体" w:cs="Times New Roman"/>
          <w:b/>
          <w:bCs/>
          <w:caps/>
          <w:color w:val="000000" w:themeColor="text1"/>
          <w:kern w:val="2"/>
          <w:sz w:val="28"/>
          <w:szCs w:val="36"/>
          <w14:textFill>
            <w14:solidFill>
              <w14:schemeClr w14:val="tx1"/>
            </w14:solidFill>
          </w14:textFill>
        </w:rPr>
        <w:t>第六章  投标文件格式</w:t>
      </w:r>
      <w:r>
        <w:rPr>
          <w:rFonts w:eastAsia="宋体" w:cs="Times New Roman"/>
          <w:b/>
          <w:bCs/>
          <w:caps/>
          <w:color w:val="000000" w:themeColor="text1"/>
          <w:kern w:val="2"/>
          <w:sz w:val="28"/>
          <w:szCs w:val="36"/>
          <w14:textFill>
            <w14:solidFill>
              <w14:schemeClr w14:val="tx1"/>
            </w14:solidFill>
          </w14:textFill>
        </w:rPr>
        <w:tab/>
      </w:r>
      <w:r>
        <w:rPr>
          <w:rFonts w:eastAsia="宋体" w:cs="Times New Roman"/>
          <w:b/>
          <w:bCs/>
          <w:caps/>
          <w:color w:val="000000" w:themeColor="text1"/>
          <w:kern w:val="2"/>
          <w:sz w:val="28"/>
          <w:szCs w:val="36"/>
          <w14:textFill>
            <w14:solidFill>
              <w14:schemeClr w14:val="tx1"/>
            </w14:solidFill>
          </w14:textFill>
        </w:rPr>
        <w:fldChar w:fldCharType="begin"/>
      </w:r>
      <w:r>
        <w:rPr>
          <w:rFonts w:eastAsia="宋体" w:cs="Times New Roman"/>
          <w:b/>
          <w:bCs/>
          <w:caps/>
          <w:color w:val="000000" w:themeColor="text1"/>
          <w:kern w:val="2"/>
          <w:sz w:val="28"/>
          <w:szCs w:val="36"/>
          <w14:textFill>
            <w14:solidFill>
              <w14:schemeClr w14:val="tx1"/>
            </w14:solidFill>
          </w14:textFill>
        </w:rPr>
        <w:instrText xml:space="preserve"> PAGEREF _Toc17387 \h </w:instrText>
      </w:r>
      <w:r>
        <w:rPr>
          <w:rFonts w:eastAsia="宋体" w:cs="Times New Roman"/>
          <w:b/>
          <w:bCs/>
          <w:caps/>
          <w:color w:val="000000" w:themeColor="text1"/>
          <w:kern w:val="2"/>
          <w:sz w:val="28"/>
          <w:szCs w:val="36"/>
          <w14:textFill>
            <w14:solidFill>
              <w14:schemeClr w14:val="tx1"/>
            </w14:solidFill>
          </w14:textFill>
        </w:rPr>
        <w:fldChar w:fldCharType="separate"/>
      </w:r>
      <w:r>
        <w:rPr>
          <w:rFonts w:eastAsia="宋体" w:cs="Times New Roman"/>
          <w:b/>
          <w:bCs/>
          <w:caps/>
          <w:color w:val="000000" w:themeColor="text1"/>
          <w:kern w:val="2"/>
          <w:sz w:val="28"/>
          <w:szCs w:val="36"/>
          <w14:textFill>
            <w14:solidFill>
              <w14:schemeClr w14:val="tx1"/>
            </w14:solidFill>
          </w14:textFill>
        </w:rPr>
        <w:t>37</w:t>
      </w:r>
      <w:r>
        <w:rPr>
          <w:rFonts w:eastAsia="宋体" w:cs="Times New Roman"/>
          <w:b/>
          <w:bCs/>
          <w:caps/>
          <w:color w:val="000000" w:themeColor="text1"/>
          <w:kern w:val="2"/>
          <w:sz w:val="28"/>
          <w:szCs w:val="36"/>
          <w14:textFill>
            <w14:solidFill>
              <w14:schemeClr w14:val="tx1"/>
            </w14:solidFill>
          </w14:textFill>
        </w:rPr>
        <w:fldChar w:fldCharType="end"/>
      </w:r>
      <w:r>
        <w:rPr>
          <w:rFonts w:eastAsia="宋体" w:cs="Times New Roman"/>
          <w:b/>
          <w:bCs/>
          <w:caps/>
          <w:color w:val="000000" w:themeColor="text1"/>
          <w:kern w:val="2"/>
          <w:sz w:val="28"/>
          <w:szCs w:val="36"/>
          <w14:textFill>
            <w14:solidFill>
              <w14:schemeClr w14:val="tx1"/>
            </w14:solidFill>
          </w14:textFill>
        </w:rPr>
        <w:fldChar w:fldCharType="end"/>
      </w:r>
    </w:p>
    <w:p w14:paraId="6D55C499">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_Toc1746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 开标一览表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_Toc1746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39</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3B5D5237">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_Toc15173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附件2 报价明细表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_Toc15173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40</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2AB1F79F">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_Toc12008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附件3 技术参数响应及偏离表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_Toc12008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41</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40430A40">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_Toc18368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附件4 投标货物综合说明</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_Toc18368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42</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28FADE10">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_Toc28128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附件5 项目实施方案</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_Toc28128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43</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5C8B8A8C">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_Toc1462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附件6 项目组人员一览表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_Toc1462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44</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6CC5A798">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_Toc19208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附件7 质量保证及售后服务承诺</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_Toc19208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45</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0F8EE11F">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_Toc4679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附件8 业绩一览表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_Toc4679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46</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7F54F2E9">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_Toc32218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附件9 商务要求响应及偏离表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_Toc32218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47</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3DDED667">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_Toc8796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附件10 具备履行合同所必需的人员和专业技术能力的书面声明</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_Toc8796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48</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2BC7189B">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_Toc15759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附件11 参加政府采购活动前 3 年内在经营活动中没有重大违法记录的书面声明</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_Toc15759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49</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59AF5D58">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_Toc22138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附件12 法人授权书</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_Toc22138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50</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5F686E3E">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_Toc32287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附件13 中小企业声明函</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_Toc32287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51</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52EA0A32">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_Toc23091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附件14 残疾人福利性单位声明函</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_Toc23091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53</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7F3CEA5D">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_Toc3680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附件15 投标函</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_Toc3680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54</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14E71663">
      <w:pPr>
        <w:pStyle w:val="31"/>
        <w:tabs>
          <w:tab w:val="right" w:leader="dot" w:pos="9660"/>
        </w:tabs>
        <w:spacing w:after="0" w:line="400" w:lineRule="exact"/>
        <w:ind w:left="525" w:leftChars="250"/>
        <w:jc w:val="left"/>
        <w:rPr>
          <w:rFonts w:eastAsia="宋体" w:cs="Times New Roman"/>
          <w:bCs/>
          <w:smallCaps/>
          <w:color w:val="000000" w:themeColor="text1"/>
          <w:kern w:val="2"/>
          <w:sz w:val="24"/>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_Toc5193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附件16 实质性要求响应及偏离表</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_Toc5193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55</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1CC9E0BB">
      <w:pPr>
        <w:pStyle w:val="31"/>
        <w:tabs>
          <w:tab w:val="right" w:leader="dot" w:pos="9660"/>
        </w:tabs>
        <w:spacing w:after="0" w:line="400" w:lineRule="exact"/>
        <w:ind w:left="525" w:leftChars="250"/>
        <w:jc w:val="left"/>
        <w:rPr>
          <w:rFonts w:eastAsia="宋体" w:cs="Times New Roman"/>
          <w:i w:val="0"/>
          <w:iCs w:val="0"/>
          <w:color w:val="000000" w:themeColor="text1"/>
          <w:kern w:val="2"/>
          <w:szCs w:val="36"/>
          <w14:textFill>
            <w14:solidFill>
              <w14:schemeClr w14:val="tx1"/>
            </w14:solidFill>
          </w14:textFill>
        </w:rPr>
      </w:pP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HYPERLINK \l _Toc26674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hint="eastAsia" w:eastAsia="宋体" w:cs="Times New Roman"/>
          <w:bCs/>
          <w:smallCaps/>
          <w:color w:val="000000" w:themeColor="text1"/>
          <w:kern w:val="2"/>
          <w:sz w:val="24"/>
          <w:szCs w:val="36"/>
          <w14:textFill>
            <w14:solidFill>
              <w14:schemeClr w14:val="tx1"/>
            </w14:solidFill>
          </w14:textFill>
        </w:rPr>
        <w:t>附件17 其他证明文件</w:t>
      </w:r>
      <w:r>
        <w:rPr>
          <w:rFonts w:eastAsia="宋体" w:cs="Times New Roman"/>
          <w:bCs/>
          <w:smallCaps/>
          <w:color w:val="000000" w:themeColor="text1"/>
          <w:kern w:val="2"/>
          <w:sz w:val="24"/>
          <w:szCs w:val="36"/>
          <w14:textFill>
            <w14:solidFill>
              <w14:schemeClr w14:val="tx1"/>
            </w14:solidFill>
          </w14:textFill>
        </w:rPr>
        <w:tab/>
      </w:r>
      <w:r>
        <w:rPr>
          <w:rFonts w:eastAsia="宋体" w:cs="Times New Roman"/>
          <w:bCs/>
          <w:smallCaps/>
          <w:color w:val="000000" w:themeColor="text1"/>
          <w:kern w:val="2"/>
          <w:sz w:val="24"/>
          <w:szCs w:val="36"/>
          <w14:textFill>
            <w14:solidFill>
              <w14:schemeClr w14:val="tx1"/>
            </w14:solidFill>
          </w14:textFill>
        </w:rPr>
        <w:fldChar w:fldCharType="begin"/>
      </w:r>
      <w:r>
        <w:rPr>
          <w:rFonts w:eastAsia="宋体" w:cs="Times New Roman"/>
          <w:bCs/>
          <w:smallCaps/>
          <w:color w:val="000000" w:themeColor="text1"/>
          <w:kern w:val="2"/>
          <w:sz w:val="24"/>
          <w:szCs w:val="36"/>
          <w14:textFill>
            <w14:solidFill>
              <w14:schemeClr w14:val="tx1"/>
            </w14:solidFill>
          </w14:textFill>
        </w:rPr>
        <w:instrText xml:space="preserve"> PAGEREF _Toc26674 \h </w:instrText>
      </w:r>
      <w:r>
        <w:rPr>
          <w:rFonts w:eastAsia="宋体" w:cs="Times New Roman"/>
          <w:bCs/>
          <w:smallCaps/>
          <w:color w:val="000000" w:themeColor="text1"/>
          <w:kern w:val="2"/>
          <w:sz w:val="24"/>
          <w:szCs w:val="36"/>
          <w14:textFill>
            <w14:solidFill>
              <w14:schemeClr w14:val="tx1"/>
            </w14:solidFill>
          </w14:textFill>
        </w:rPr>
        <w:fldChar w:fldCharType="separate"/>
      </w:r>
      <w:r>
        <w:rPr>
          <w:rFonts w:eastAsia="宋体" w:cs="Times New Roman"/>
          <w:bCs/>
          <w:smallCaps/>
          <w:color w:val="000000" w:themeColor="text1"/>
          <w:kern w:val="2"/>
          <w:sz w:val="24"/>
          <w:szCs w:val="36"/>
          <w14:textFill>
            <w14:solidFill>
              <w14:schemeClr w14:val="tx1"/>
            </w14:solidFill>
          </w14:textFill>
        </w:rPr>
        <w:t>56</w:t>
      </w:r>
      <w:r>
        <w:rPr>
          <w:rFonts w:eastAsia="宋体" w:cs="Times New Roman"/>
          <w:bCs/>
          <w:smallCaps/>
          <w:color w:val="000000" w:themeColor="text1"/>
          <w:kern w:val="2"/>
          <w:sz w:val="24"/>
          <w:szCs w:val="36"/>
          <w14:textFill>
            <w14:solidFill>
              <w14:schemeClr w14:val="tx1"/>
            </w14:solidFill>
          </w14:textFill>
        </w:rPr>
        <w:fldChar w:fldCharType="end"/>
      </w:r>
      <w:r>
        <w:rPr>
          <w:rFonts w:eastAsia="宋体" w:cs="Times New Roman"/>
          <w:bCs/>
          <w:smallCaps/>
          <w:color w:val="000000" w:themeColor="text1"/>
          <w:kern w:val="2"/>
          <w:sz w:val="24"/>
          <w:szCs w:val="36"/>
          <w14:textFill>
            <w14:solidFill>
              <w14:schemeClr w14:val="tx1"/>
            </w14:solidFill>
          </w14:textFill>
        </w:rPr>
        <w:fldChar w:fldCharType="end"/>
      </w:r>
    </w:p>
    <w:p w14:paraId="04C72223">
      <w:pPr>
        <w:spacing w:line="440" w:lineRule="exact"/>
        <w:jc w:val="left"/>
        <w:rPr>
          <w:rFonts w:ascii="Times New Roman" w:hAnsi="Times New Roman"/>
          <w:caps/>
          <w:sz w:val="24"/>
          <w:szCs w:val="24"/>
        </w:rPr>
      </w:pPr>
      <w:r>
        <w:rPr>
          <w:rFonts w:ascii="Times New Roman" w:hAnsi="Times New Roman"/>
          <w:caps/>
          <w:szCs w:val="28"/>
        </w:rPr>
        <w:fldChar w:fldCharType="end"/>
      </w:r>
    </w:p>
    <w:p w14:paraId="78153B7C">
      <w:pPr>
        <w:keepNext/>
        <w:ind w:firstLine="880"/>
        <w:jc w:val="center"/>
        <w:outlineLvl w:val="0"/>
        <w:rPr>
          <w:rFonts w:hint="eastAsia" w:ascii="宋体" w:hAnsi="宋体" w:cs="宋体"/>
          <w:b/>
          <w:bCs/>
          <w:sz w:val="40"/>
          <w:szCs w:val="40"/>
        </w:rPr>
        <w:sectPr>
          <w:headerReference r:id="rId3" w:type="default"/>
          <w:footerReference r:id="rId4" w:type="default"/>
          <w:footerReference r:id="rId5" w:type="even"/>
          <w:pgSz w:w="11906" w:h="16838"/>
          <w:pgMar w:top="771" w:right="720" w:bottom="527" w:left="720" w:header="231" w:footer="200" w:gutter="0"/>
          <w:cols w:space="720" w:num="1"/>
          <w:titlePg/>
          <w:docGrid w:linePitch="360" w:charSpace="0"/>
        </w:sectPr>
      </w:pPr>
    </w:p>
    <w:p w14:paraId="5C15F621">
      <w:pPr>
        <w:keepNext/>
        <w:ind w:firstLine="880"/>
        <w:jc w:val="center"/>
        <w:outlineLvl w:val="0"/>
        <w:rPr>
          <w:rFonts w:hint="eastAsia" w:ascii="宋体" w:hAnsi="宋体" w:cs="宋体"/>
          <w:b/>
          <w:bCs/>
          <w:sz w:val="40"/>
          <w:szCs w:val="40"/>
        </w:rPr>
      </w:pPr>
      <w:bookmarkStart w:id="6" w:name="_Toc18381"/>
      <w:r>
        <w:rPr>
          <w:rFonts w:hint="eastAsia" w:ascii="宋体" w:hAnsi="宋体" w:cs="宋体"/>
          <w:b/>
          <w:bCs/>
          <w:sz w:val="40"/>
          <w:szCs w:val="40"/>
        </w:rPr>
        <w:t xml:space="preserve">第一章  </w:t>
      </w:r>
      <w:bookmarkEnd w:id="0"/>
      <w:r>
        <w:rPr>
          <w:rFonts w:hint="eastAsia" w:ascii="宋体" w:hAnsi="宋体" w:cs="宋体"/>
          <w:b/>
          <w:bCs/>
          <w:sz w:val="40"/>
          <w:szCs w:val="40"/>
        </w:rPr>
        <w:t>投标邀请</w:t>
      </w:r>
      <w:bookmarkEnd w:id="6"/>
    </w:p>
    <w:p w14:paraId="6D90AC26">
      <w:pPr>
        <w:spacing w:line="460" w:lineRule="exact"/>
        <w:ind w:firstLine="480"/>
        <w:rPr>
          <w:rFonts w:hint="eastAsia" w:ascii="宋体" w:hAnsi="宋体" w:cs="宋体"/>
          <w:sz w:val="24"/>
          <w:szCs w:val="24"/>
        </w:rPr>
      </w:pPr>
      <w:r>
        <w:rPr>
          <w:rFonts w:hint="eastAsia" w:ascii="宋体" w:hAnsi="宋体" w:cs="宋体"/>
          <w:sz w:val="24"/>
          <w:szCs w:val="24"/>
        </w:rPr>
        <w:t>受常熟市农业农村局的委托，涵熙（苏州）工程顾问有限公司就2024年常熟市农业绿色发展监测项目（硬件设施建设）(</w:t>
      </w:r>
      <w:r>
        <w:rPr>
          <w:rFonts w:hint="eastAsia" w:ascii="宋体" w:hAnsi="宋体" w:cs="宋体"/>
          <w:sz w:val="24"/>
          <w:szCs w:val="24"/>
          <w:lang w:eastAsia="zh-CN"/>
        </w:rPr>
        <w:t>JSZC-320581-HXGW-G2024-0096</w:t>
      </w:r>
      <w:r>
        <w:rPr>
          <w:rFonts w:hint="eastAsia" w:ascii="宋体" w:hAnsi="宋体" w:cs="宋体"/>
          <w:sz w:val="24"/>
          <w:szCs w:val="24"/>
        </w:rPr>
        <w:t>)项目进行公开招标采购，欢迎符合条件的供应商投标。</w:t>
      </w:r>
    </w:p>
    <w:p w14:paraId="0B771957">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cs="宋体"/>
          <w:sz w:val="24"/>
          <w:szCs w:val="24"/>
        </w:rPr>
      </w:pPr>
      <w:r>
        <w:rPr>
          <w:rFonts w:hint="eastAsia" w:ascii="宋体" w:hAnsi="宋体" w:cs="宋体"/>
          <w:sz w:val="24"/>
          <w:szCs w:val="24"/>
        </w:rPr>
        <w:t>项目概况</w:t>
      </w:r>
    </w:p>
    <w:p w14:paraId="748B7605">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cs="宋体"/>
          <w:sz w:val="24"/>
          <w:szCs w:val="24"/>
        </w:rPr>
      </w:pPr>
      <w:r>
        <w:rPr>
          <w:rFonts w:hint="eastAsia" w:ascii="宋体" w:hAnsi="宋体" w:cs="宋体"/>
          <w:sz w:val="24"/>
          <w:szCs w:val="24"/>
          <w:u w:val="single"/>
        </w:rPr>
        <w:t>2024年常熟市农业绿色发展监测项目（硬件设施建设）</w:t>
      </w:r>
      <w:r>
        <w:rPr>
          <w:rFonts w:hint="eastAsia" w:ascii="宋体" w:hAnsi="宋体" w:cs="宋体"/>
          <w:sz w:val="24"/>
          <w:szCs w:val="24"/>
        </w:rPr>
        <w:t>招标项目的潜在投标人应在“苏采云政府采购一体化平台”中参与项目获取招标文件</w:t>
      </w:r>
      <w:r>
        <w:rPr>
          <w:rFonts w:hint="eastAsia" w:ascii="宋体" w:hAnsi="宋体" w:cs="宋体"/>
          <w:sz w:val="24"/>
          <w:szCs w:val="24"/>
          <w:highlight w:val="none"/>
        </w:rPr>
        <w:t>，并于</w:t>
      </w:r>
      <w:r>
        <w:rPr>
          <w:rFonts w:hint="eastAsia" w:ascii="宋体" w:hAnsi="宋体" w:cs="宋体"/>
          <w:sz w:val="24"/>
          <w:szCs w:val="21"/>
          <w:highlight w:val="none"/>
          <w:u w:val="single"/>
        </w:rPr>
        <w:t>2024年</w:t>
      </w:r>
      <w:r>
        <w:rPr>
          <w:rFonts w:hint="eastAsia" w:ascii="宋体" w:hAnsi="宋体" w:cs="宋体"/>
          <w:sz w:val="24"/>
          <w:szCs w:val="21"/>
          <w:highlight w:val="none"/>
          <w:u w:val="single"/>
          <w:lang w:val="en-US" w:eastAsia="zh-CN"/>
        </w:rPr>
        <w:t>12</w:t>
      </w:r>
      <w:r>
        <w:rPr>
          <w:rFonts w:hint="eastAsia" w:ascii="宋体" w:hAnsi="宋体" w:cs="宋体"/>
          <w:sz w:val="24"/>
          <w:szCs w:val="21"/>
          <w:highlight w:val="none"/>
          <w:u w:val="single"/>
        </w:rPr>
        <w:t>月</w:t>
      </w:r>
      <w:r>
        <w:rPr>
          <w:rFonts w:hint="eastAsia" w:ascii="宋体" w:hAnsi="宋体" w:cs="宋体"/>
          <w:sz w:val="24"/>
          <w:szCs w:val="21"/>
          <w:highlight w:val="none"/>
          <w:u w:val="single"/>
          <w:lang w:val="en-US" w:eastAsia="zh-CN"/>
        </w:rPr>
        <w:t>24</w:t>
      </w:r>
      <w:r>
        <w:rPr>
          <w:rFonts w:hint="eastAsia" w:ascii="宋体" w:hAnsi="宋体" w:cs="宋体"/>
          <w:sz w:val="24"/>
          <w:szCs w:val="21"/>
          <w:highlight w:val="none"/>
          <w:u w:val="single"/>
        </w:rPr>
        <w:t>日</w:t>
      </w:r>
      <w:r>
        <w:rPr>
          <w:rFonts w:hint="eastAsia" w:ascii="宋体" w:hAnsi="宋体" w:cs="宋体"/>
          <w:sz w:val="24"/>
          <w:szCs w:val="21"/>
          <w:highlight w:val="none"/>
          <w:u w:val="single"/>
          <w:lang w:val="en-US" w:eastAsia="zh-CN"/>
        </w:rPr>
        <w:t>13</w:t>
      </w:r>
      <w:r>
        <w:rPr>
          <w:rFonts w:hint="eastAsia" w:ascii="宋体" w:hAnsi="宋体" w:cs="宋体"/>
          <w:sz w:val="24"/>
          <w:szCs w:val="21"/>
          <w:highlight w:val="none"/>
          <w:u w:val="single"/>
        </w:rPr>
        <w:t>点</w:t>
      </w:r>
      <w:r>
        <w:rPr>
          <w:rFonts w:hint="eastAsia" w:ascii="宋体" w:hAnsi="宋体" w:cs="宋体"/>
          <w:sz w:val="24"/>
          <w:szCs w:val="21"/>
          <w:highlight w:val="none"/>
          <w:u w:val="single"/>
          <w:lang w:val="en-US" w:eastAsia="zh-CN"/>
        </w:rPr>
        <w:t>0</w:t>
      </w:r>
      <w:r>
        <w:rPr>
          <w:rFonts w:hint="eastAsia" w:ascii="宋体" w:hAnsi="宋体" w:cs="宋体"/>
          <w:sz w:val="24"/>
          <w:szCs w:val="21"/>
          <w:highlight w:val="none"/>
          <w:u w:val="single"/>
        </w:rPr>
        <w:t>0分（北京时</w:t>
      </w:r>
      <w:r>
        <w:rPr>
          <w:rFonts w:hint="eastAsia" w:ascii="宋体" w:hAnsi="宋体" w:cs="宋体"/>
          <w:sz w:val="24"/>
          <w:szCs w:val="21"/>
          <w:u w:val="single"/>
        </w:rPr>
        <w:t>间）</w:t>
      </w:r>
      <w:r>
        <w:rPr>
          <w:rFonts w:hint="eastAsia" w:ascii="宋体" w:hAnsi="宋体" w:cs="宋体"/>
          <w:sz w:val="24"/>
          <w:szCs w:val="21"/>
        </w:rPr>
        <w:t>前按规定提交投标文件。</w:t>
      </w:r>
    </w:p>
    <w:p w14:paraId="0EC7A7EF">
      <w:pPr>
        <w:keepNext/>
        <w:keepLines/>
        <w:spacing w:line="440" w:lineRule="exact"/>
        <w:ind w:firstLine="482"/>
        <w:rPr>
          <w:rFonts w:hint="eastAsia" w:ascii="宋体" w:hAnsi="宋体" w:cs="宋体"/>
          <w:b/>
          <w:bCs/>
          <w:sz w:val="24"/>
          <w:szCs w:val="24"/>
        </w:rPr>
      </w:pPr>
      <w:bookmarkStart w:id="7" w:name="_Toc35393790"/>
      <w:bookmarkStart w:id="8" w:name="_Toc38985263"/>
      <w:bookmarkStart w:id="9" w:name="_Toc28359002"/>
      <w:bookmarkStart w:id="10" w:name="_Toc35393621"/>
      <w:bookmarkStart w:id="11" w:name="_Toc28359079"/>
      <w:bookmarkStart w:id="12" w:name="_Hlk24379207"/>
      <w:r>
        <w:rPr>
          <w:rFonts w:hint="eastAsia" w:ascii="宋体" w:hAnsi="宋体" w:cs="宋体"/>
          <w:b/>
          <w:bCs/>
          <w:sz w:val="24"/>
          <w:szCs w:val="24"/>
        </w:rPr>
        <w:t>一、项目基本情况</w:t>
      </w:r>
      <w:bookmarkEnd w:id="7"/>
      <w:bookmarkEnd w:id="8"/>
      <w:bookmarkEnd w:id="9"/>
      <w:bookmarkEnd w:id="10"/>
      <w:bookmarkEnd w:id="11"/>
    </w:p>
    <w:p w14:paraId="35D55CF0">
      <w:pPr>
        <w:spacing w:line="440" w:lineRule="exact"/>
        <w:ind w:firstLine="480" w:firstLineChars="200"/>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sz w:val="24"/>
          <w:szCs w:val="24"/>
          <w:lang w:eastAsia="zh-CN"/>
        </w:rPr>
        <w:t>JSZC-320581-HXGW-G2024-0096</w:t>
      </w:r>
    </w:p>
    <w:p w14:paraId="427FAE03">
      <w:pPr>
        <w:spacing w:line="440" w:lineRule="exact"/>
        <w:ind w:firstLine="480" w:firstLineChars="200"/>
        <w:rPr>
          <w:rFonts w:hint="eastAsia" w:ascii="宋体" w:hAnsi="宋体" w:cs="宋体"/>
          <w:sz w:val="24"/>
          <w:szCs w:val="24"/>
        </w:rPr>
      </w:pPr>
      <w:r>
        <w:rPr>
          <w:rFonts w:hint="eastAsia" w:ascii="宋体" w:hAnsi="宋体" w:cs="宋体"/>
          <w:sz w:val="24"/>
          <w:szCs w:val="24"/>
        </w:rPr>
        <w:t>项目名称：2024年常熟市农业绿色发展监测项目（硬件设施建设）</w:t>
      </w:r>
    </w:p>
    <w:p w14:paraId="5FF0EE0C">
      <w:pPr>
        <w:spacing w:line="440" w:lineRule="exact"/>
        <w:ind w:firstLine="480" w:firstLineChars="200"/>
        <w:rPr>
          <w:rFonts w:hint="eastAsia" w:ascii="宋体" w:hAnsi="宋体" w:cs="宋体"/>
          <w:sz w:val="24"/>
          <w:szCs w:val="24"/>
        </w:rPr>
      </w:pPr>
      <w:r>
        <w:rPr>
          <w:rFonts w:hint="eastAsia" w:ascii="宋体" w:hAnsi="宋体" w:cs="宋体"/>
          <w:sz w:val="24"/>
          <w:szCs w:val="24"/>
        </w:rPr>
        <w:t>采购人式：公开招标</w:t>
      </w:r>
      <w:bookmarkEnd w:id="12"/>
    </w:p>
    <w:p w14:paraId="6CCAAC1D">
      <w:pPr>
        <w:spacing w:line="440" w:lineRule="exact"/>
        <w:ind w:firstLine="480" w:firstLineChars="200"/>
        <w:rPr>
          <w:rFonts w:hint="eastAsia" w:ascii="宋体" w:hAnsi="宋体" w:cs="宋体"/>
          <w:sz w:val="24"/>
          <w:szCs w:val="24"/>
        </w:rPr>
      </w:pPr>
      <w:r>
        <w:rPr>
          <w:rFonts w:hint="eastAsia" w:ascii="宋体" w:hAnsi="宋体" w:cs="宋体"/>
          <w:sz w:val="24"/>
          <w:szCs w:val="24"/>
        </w:rPr>
        <w:t>预算金额：人民币700000.00元</w:t>
      </w:r>
    </w:p>
    <w:p w14:paraId="63FFEAAB">
      <w:pPr>
        <w:spacing w:line="460" w:lineRule="exact"/>
        <w:ind w:firstLine="480"/>
        <w:rPr>
          <w:rFonts w:hint="eastAsia" w:ascii="宋体" w:hAnsi="宋体" w:cs="宋体"/>
          <w:sz w:val="24"/>
          <w:szCs w:val="24"/>
          <w:highlight w:val="yellow"/>
        </w:rPr>
      </w:pPr>
      <w:bookmarkStart w:id="13" w:name="_Toc28359003"/>
      <w:bookmarkStart w:id="14" w:name="_Toc38985264"/>
      <w:bookmarkStart w:id="15" w:name="_Toc35393791"/>
      <w:bookmarkStart w:id="16" w:name="_Toc28359080"/>
      <w:bookmarkStart w:id="17" w:name="_Toc35393622"/>
      <w:r>
        <w:rPr>
          <w:rFonts w:hint="eastAsia" w:ascii="宋体" w:hAnsi="宋体" w:cs="宋体"/>
          <w:sz w:val="24"/>
          <w:szCs w:val="24"/>
        </w:rPr>
        <w:t>采购需求概况：常熟市农业农村局所需的2024年常熟市农业绿色发展监测项目（硬件设施建设）。</w:t>
      </w:r>
    </w:p>
    <w:p w14:paraId="368E62E8">
      <w:pPr>
        <w:spacing w:line="460" w:lineRule="exact"/>
        <w:ind w:firstLine="480"/>
        <w:rPr>
          <w:rFonts w:hint="eastAsia" w:ascii="宋体" w:hAnsi="宋体" w:cs="宋体"/>
          <w:sz w:val="24"/>
          <w:szCs w:val="24"/>
          <w:highlight w:val="none"/>
        </w:rPr>
      </w:pPr>
      <w:r>
        <w:rPr>
          <w:rFonts w:hint="eastAsia" w:ascii="宋体" w:hAnsi="宋体" w:cs="宋体"/>
          <w:sz w:val="24"/>
          <w:szCs w:val="24"/>
          <w:highlight w:val="none"/>
        </w:rPr>
        <w:t>合同履行期限：</w:t>
      </w:r>
      <w:r>
        <w:rPr>
          <w:rFonts w:hint="eastAsia" w:ascii="宋体" w:hAnsi="宋体" w:cs="宋体"/>
          <w:sz w:val="24"/>
          <w:szCs w:val="24"/>
          <w:highlight w:val="none"/>
          <w:lang w:eastAsia="zh-CN"/>
        </w:rPr>
        <w:t>合同签订并接到通知进场后60天内完成交货、安装并调试完毕</w:t>
      </w:r>
      <w:r>
        <w:rPr>
          <w:rFonts w:hint="eastAsia" w:ascii="宋体" w:hAnsi="宋体" w:cs="宋体"/>
          <w:sz w:val="24"/>
          <w:szCs w:val="24"/>
          <w:highlight w:val="none"/>
        </w:rPr>
        <w:t>。</w:t>
      </w:r>
    </w:p>
    <w:p w14:paraId="0F388752">
      <w:pPr>
        <w:spacing w:line="460" w:lineRule="exact"/>
        <w:ind w:firstLine="480"/>
        <w:rPr>
          <w:rFonts w:hint="eastAsia" w:ascii="宋体" w:hAnsi="宋体" w:cs="宋体"/>
          <w:sz w:val="24"/>
          <w:szCs w:val="24"/>
        </w:rPr>
      </w:pPr>
      <w:r>
        <w:rPr>
          <w:rFonts w:hint="eastAsia" w:ascii="宋体" w:hAnsi="宋体" w:cs="宋体"/>
          <w:sz w:val="24"/>
          <w:szCs w:val="24"/>
        </w:rPr>
        <w:t>本项目不接受联合体投标。</w:t>
      </w:r>
    </w:p>
    <w:p w14:paraId="37C4C562">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二、申请人的资格要求</w:t>
      </w:r>
      <w:bookmarkEnd w:id="13"/>
      <w:bookmarkEnd w:id="14"/>
      <w:bookmarkEnd w:id="15"/>
      <w:bookmarkEnd w:id="16"/>
      <w:bookmarkEnd w:id="17"/>
      <w:bookmarkStart w:id="18" w:name="_Toc35393792"/>
      <w:bookmarkStart w:id="19" w:name="_Toc35393623"/>
      <w:bookmarkStart w:id="20" w:name="_Toc28359004"/>
      <w:bookmarkStart w:id="21" w:name="_Toc28359081"/>
      <w:bookmarkStart w:id="22" w:name="_Toc38985265"/>
    </w:p>
    <w:p w14:paraId="4034107C">
      <w:pPr>
        <w:keepNext/>
        <w:keepLines/>
        <w:spacing w:line="440" w:lineRule="exact"/>
        <w:ind w:firstLine="480"/>
        <w:rPr>
          <w:rFonts w:hint="eastAsia" w:ascii="宋体" w:hAnsi="宋体" w:cs="宋体"/>
          <w:b/>
          <w:bCs/>
          <w:sz w:val="24"/>
          <w:szCs w:val="24"/>
        </w:rPr>
      </w:pPr>
      <w:r>
        <w:rPr>
          <w:rFonts w:hint="eastAsia" w:ascii="宋体" w:hAnsi="宋体" w:cs="宋体"/>
          <w:sz w:val="24"/>
          <w:szCs w:val="24"/>
        </w:rPr>
        <w:t>（一）满足《中华人民共和国政府采购法》第二十二条规定；</w:t>
      </w:r>
    </w:p>
    <w:p w14:paraId="5D40367E">
      <w:pPr>
        <w:spacing w:line="440" w:lineRule="exact"/>
        <w:ind w:firstLine="480" w:firstLineChars="200"/>
        <w:rPr>
          <w:rFonts w:hint="eastAsia" w:ascii="宋体" w:hAnsi="宋体" w:cs="宋体"/>
          <w:sz w:val="24"/>
          <w:szCs w:val="24"/>
        </w:rPr>
      </w:pPr>
      <w:r>
        <w:rPr>
          <w:rFonts w:hint="eastAsia" w:ascii="宋体" w:hAnsi="宋体" w:cs="宋体"/>
          <w:sz w:val="24"/>
          <w:szCs w:val="24"/>
        </w:rPr>
        <w:t>（二）落实政府采购政策需满足的资格要求：</w:t>
      </w:r>
    </w:p>
    <w:p w14:paraId="433A4F30">
      <w:pPr>
        <w:spacing w:line="440" w:lineRule="exact"/>
        <w:ind w:firstLine="482" w:firstLineChars="200"/>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本项目专门面向中小企业采购，所属行业为工业，投标时须提供《中小企业声明函》。</w:t>
      </w:r>
    </w:p>
    <w:p w14:paraId="0B344212">
      <w:pPr>
        <w:spacing w:line="440" w:lineRule="exact"/>
        <w:ind w:firstLine="482" w:firstLineChars="200"/>
        <w:rPr>
          <w:rFonts w:hint="eastAsia" w:ascii="宋体" w:hAnsi="宋体" w:cs="宋体"/>
          <w:sz w:val="24"/>
          <w:szCs w:val="24"/>
        </w:rPr>
      </w:pPr>
      <w:r>
        <w:rPr>
          <w:rFonts w:hint="eastAsia" w:ascii="宋体" w:hAnsi="宋体" w:cs="宋体"/>
          <w:b/>
          <w:bCs/>
          <w:color w:val="000000" w:themeColor="text1"/>
          <w:sz w:val="24"/>
          <w:szCs w:val="24"/>
          <w14:textFill>
            <w14:solidFill>
              <w14:schemeClr w14:val="tx1"/>
            </w14:solidFill>
          </w14:textFill>
        </w:rPr>
        <w:t>注：对残疾人福利性单位、监狱企业视同小型、微型企业，但须按要求提供有关声明函或证明文件。</w:t>
      </w:r>
    </w:p>
    <w:p w14:paraId="3DD856C5">
      <w:pPr>
        <w:keepNext/>
        <w:keepLines/>
        <w:spacing w:line="440" w:lineRule="exact"/>
        <w:ind w:firstLine="480"/>
        <w:rPr>
          <w:rFonts w:hint="eastAsia" w:ascii="宋体" w:hAnsi="宋体" w:cs="宋体"/>
          <w:sz w:val="24"/>
          <w:szCs w:val="24"/>
        </w:rPr>
      </w:pPr>
      <w:r>
        <w:rPr>
          <w:rFonts w:hint="eastAsia" w:ascii="宋体" w:hAnsi="宋体" w:cs="宋体"/>
          <w:sz w:val="24"/>
          <w:szCs w:val="24"/>
        </w:rPr>
        <w:t>（三）本项目的特定资格要求：无。</w:t>
      </w:r>
    </w:p>
    <w:p w14:paraId="13A141D6">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三、获取招标文件</w:t>
      </w:r>
      <w:bookmarkEnd w:id="18"/>
      <w:bookmarkEnd w:id="19"/>
      <w:bookmarkEnd w:id="20"/>
      <w:bookmarkEnd w:id="21"/>
      <w:bookmarkEnd w:id="22"/>
      <w:bookmarkStart w:id="23" w:name="_Toc35393624"/>
      <w:bookmarkStart w:id="24" w:name="_Toc38985266"/>
      <w:bookmarkStart w:id="25" w:name="_Toc28359082"/>
      <w:bookmarkStart w:id="26" w:name="_Toc28359005"/>
      <w:bookmarkStart w:id="27" w:name="_Toc35393793"/>
    </w:p>
    <w:p w14:paraId="57C193AC">
      <w:pPr>
        <w:spacing w:line="440" w:lineRule="exact"/>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sz w:val="24"/>
          <w:szCs w:val="24"/>
          <w:highlight w:val="none"/>
        </w:rPr>
        <w:t>2024年</w:t>
      </w:r>
      <w:r>
        <w:rPr>
          <w:rFonts w:hint="eastAsia" w:ascii="宋体" w:hAnsi="宋体" w:cs="宋体"/>
          <w:sz w:val="24"/>
          <w:szCs w:val="24"/>
          <w:highlight w:val="none"/>
          <w:lang w:val="en-US" w:eastAsia="zh-CN"/>
        </w:rPr>
        <w:t>12</w:t>
      </w:r>
      <w:r>
        <w:rPr>
          <w:rFonts w:hint="eastAsia" w:ascii="宋体" w:hAnsi="宋体" w:cs="宋体"/>
          <w:sz w:val="24"/>
          <w:szCs w:val="24"/>
          <w:highlight w:val="none"/>
        </w:rPr>
        <w:t>月</w:t>
      </w:r>
      <w:r>
        <w:rPr>
          <w:rFonts w:hint="eastAsia" w:ascii="宋体" w:hAnsi="宋体" w:cs="宋体"/>
          <w:sz w:val="24"/>
          <w:szCs w:val="24"/>
          <w:highlight w:val="none"/>
          <w:lang w:val="en-US" w:eastAsia="zh-CN"/>
        </w:rPr>
        <w:t>03</w:t>
      </w:r>
      <w:r>
        <w:rPr>
          <w:rFonts w:hint="eastAsia" w:ascii="宋体" w:hAnsi="宋体" w:cs="宋体"/>
          <w:sz w:val="24"/>
          <w:szCs w:val="24"/>
          <w:highlight w:val="none"/>
        </w:rPr>
        <w:t>日至2024年</w:t>
      </w:r>
      <w:r>
        <w:rPr>
          <w:rFonts w:hint="eastAsia" w:ascii="宋体" w:hAnsi="宋体" w:cs="宋体"/>
          <w:sz w:val="24"/>
          <w:szCs w:val="24"/>
          <w:highlight w:val="none"/>
          <w:lang w:val="en-US" w:eastAsia="zh-CN"/>
        </w:rPr>
        <w:t>12</w:t>
      </w:r>
      <w:r>
        <w:rPr>
          <w:rFonts w:hint="eastAsia" w:ascii="宋体" w:hAnsi="宋体" w:cs="宋体"/>
          <w:sz w:val="24"/>
          <w:szCs w:val="24"/>
          <w:highlight w:val="none"/>
        </w:rPr>
        <w:t>月</w:t>
      </w:r>
      <w:r>
        <w:rPr>
          <w:rFonts w:hint="eastAsia" w:ascii="宋体" w:hAnsi="宋体" w:cs="宋体"/>
          <w:sz w:val="24"/>
          <w:szCs w:val="24"/>
          <w:highlight w:val="none"/>
          <w:lang w:val="en-US" w:eastAsia="zh-CN"/>
        </w:rPr>
        <w:t>10</w:t>
      </w:r>
      <w:r>
        <w:rPr>
          <w:rFonts w:hint="eastAsia" w:ascii="宋体" w:hAnsi="宋体" w:cs="宋体"/>
          <w:sz w:val="24"/>
          <w:szCs w:val="24"/>
          <w:highlight w:val="none"/>
        </w:rPr>
        <w:t>日，每</w:t>
      </w:r>
      <w:r>
        <w:rPr>
          <w:rFonts w:hint="eastAsia" w:ascii="宋体" w:hAnsi="宋体" w:cs="宋体"/>
          <w:sz w:val="24"/>
          <w:szCs w:val="24"/>
        </w:rPr>
        <w:t>天上午00:00-12:00，下午12:00-23:59 （北京时间，法定节假日除外）</w:t>
      </w:r>
    </w:p>
    <w:p w14:paraId="1B13D48E">
      <w:pPr>
        <w:spacing w:line="440" w:lineRule="exact"/>
        <w:ind w:firstLine="480" w:firstLineChars="200"/>
        <w:rPr>
          <w:rFonts w:hint="eastAsia" w:ascii="宋体" w:hAnsi="宋体" w:cs="宋体"/>
          <w:sz w:val="24"/>
          <w:szCs w:val="24"/>
        </w:rPr>
      </w:pPr>
      <w:r>
        <w:rPr>
          <w:rFonts w:hint="eastAsia" w:ascii="宋体" w:hAnsi="宋体" w:cs="宋体"/>
          <w:sz w:val="24"/>
          <w:szCs w:val="24"/>
        </w:rPr>
        <w:t>地点：苏采云政府采购一体化平台</w:t>
      </w:r>
    </w:p>
    <w:p w14:paraId="54C72AB6">
      <w:pPr>
        <w:spacing w:line="440" w:lineRule="exact"/>
        <w:ind w:firstLine="480" w:firstLineChars="200"/>
        <w:rPr>
          <w:rFonts w:hint="eastAsia" w:ascii="宋体" w:hAnsi="宋体" w:cs="宋体"/>
          <w:sz w:val="24"/>
          <w:szCs w:val="24"/>
        </w:rPr>
      </w:pPr>
      <w:r>
        <w:rPr>
          <w:rFonts w:hint="eastAsia" w:ascii="宋体" w:hAnsi="宋体" w:cs="宋体"/>
          <w:sz w:val="24"/>
          <w:szCs w:val="24"/>
        </w:rPr>
        <w:t>方式：在“苏采云政府采购一体化平台”自行免费下载招标文件</w:t>
      </w:r>
    </w:p>
    <w:p w14:paraId="47F19B9E">
      <w:pPr>
        <w:spacing w:line="440" w:lineRule="exact"/>
        <w:ind w:firstLine="480" w:firstLineChars="200"/>
        <w:rPr>
          <w:rFonts w:hint="eastAsia" w:ascii="宋体" w:hAnsi="宋体" w:cs="宋体"/>
          <w:sz w:val="24"/>
          <w:szCs w:val="24"/>
        </w:rPr>
      </w:pPr>
      <w:r>
        <w:rPr>
          <w:rFonts w:hint="eastAsia" w:ascii="宋体" w:hAnsi="宋体" w:cs="宋体"/>
          <w:sz w:val="24"/>
          <w:szCs w:val="24"/>
        </w:rPr>
        <w:t>售价：0.00元</w:t>
      </w:r>
    </w:p>
    <w:p w14:paraId="6F3B00FC">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四、</w:t>
      </w:r>
      <w:bookmarkEnd w:id="23"/>
      <w:bookmarkEnd w:id="24"/>
      <w:bookmarkEnd w:id="25"/>
      <w:bookmarkEnd w:id="26"/>
      <w:bookmarkEnd w:id="27"/>
      <w:r>
        <w:rPr>
          <w:rFonts w:hint="eastAsia" w:ascii="宋体" w:hAnsi="宋体" w:cs="宋体"/>
          <w:b/>
          <w:bCs/>
          <w:sz w:val="24"/>
          <w:szCs w:val="24"/>
        </w:rPr>
        <w:t>提交投标文件截止时间、开标时间和地点</w:t>
      </w:r>
    </w:p>
    <w:p w14:paraId="79C8E57A">
      <w:pPr>
        <w:spacing w:line="440" w:lineRule="exact"/>
        <w:ind w:firstLine="480" w:firstLineChars="200"/>
        <w:rPr>
          <w:rFonts w:hint="eastAsia" w:ascii="宋体" w:hAnsi="宋体" w:cs="宋体"/>
          <w:sz w:val="24"/>
          <w:szCs w:val="24"/>
          <w:highlight w:val="none"/>
        </w:rPr>
      </w:pPr>
      <w:bookmarkStart w:id="28" w:name="_Toc35393625"/>
      <w:bookmarkStart w:id="29" w:name="_Toc28359084"/>
      <w:bookmarkStart w:id="30" w:name="_Toc38985267"/>
      <w:bookmarkStart w:id="31" w:name="_Toc35393794"/>
      <w:bookmarkStart w:id="32" w:name="_Toc28359007"/>
      <w:r>
        <w:rPr>
          <w:rFonts w:hint="eastAsia" w:ascii="宋体" w:hAnsi="宋体" w:cs="宋体"/>
          <w:sz w:val="24"/>
          <w:szCs w:val="24"/>
          <w:highlight w:val="none"/>
        </w:rPr>
        <w:t>时间：2024年</w:t>
      </w:r>
      <w:r>
        <w:rPr>
          <w:rFonts w:hint="eastAsia" w:ascii="宋体" w:hAnsi="宋体" w:cs="宋体"/>
          <w:sz w:val="24"/>
          <w:szCs w:val="24"/>
          <w:highlight w:val="none"/>
          <w:lang w:val="en-US" w:eastAsia="zh-CN"/>
        </w:rPr>
        <w:t>12</w:t>
      </w:r>
      <w:r>
        <w:rPr>
          <w:rFonts w:hint="eastAsia" w:ascii="宋体" w:hAnsi="宋体" w:cs="宋体"/>
          <w:sz w:val="24"/>
          <w:szCs w:val="24"/>
          <w:highlight w:val="none"/>
        </w:rPr>
        <w:t>月</w:t>
      </w:r>
      <w:r>
        <w:rPr>
          <w:rFonts w:hint="eastAsia" w:ascii="宋体" w:hAnsi="宋体" w:cs="宋体"/>
          <w:sz w:val="24"/>
          <w:szCs w:val="24"/>
          <w:highlight w:val="none"/>
          <w:lang w:val="en-US" w:eastAsia="zh-CN"/>
        </w:rPr>
        <w:t>24</w:t>
      </w:r>
      <w:r>
        <w:rPr>
          <w:rFonts w:hint="eastAsia" w:ascii="宋体" w:hAnsi="宋体" w:cs="宋体"/>
          <w:sz w:val="24"/>
          <w:szCs w:val="24"/>
          <w:highlight w:val="none"/>
        </w:rPr>
        <w:t>日</w:t>
      </w:r>
      <w:r>
        <w:rPr>
          <w:rFonts w:hint="eastAsia" w:ascii="宋体" w:hAnsi="宋体" w:cs="宋体"/>
          <w:sz w:val="24"/>
          <w:szCs w:val="24"/>
          <w:highlight w:val="none"/>
          <w:lang w:val="en-US" w:eastAsia="zh-CN"/>
        </w:rPr>
        <w:t>13</w:t>
      </w:r>
      <w:r>
        <w:rPr>
          <w:rFonts w:hint="eastAsia" w:ascii="宋体" w:hAnsi="宋体" w:cs="宋体"/>
          <w:sz w:val="24"/>
          <w:szCs w:val="24"/>
          <w:highlight w:val="none"/>
        </w:rPr>
        <w:t>:</w:t>
      </w:r>
      <w:r>
        <w:rPr>
          <w:rFonts w:hint="eastAsia" w:ascii="宋体" w:hAnsi="宋体" w:cs="宋体"/>
          <w:sz w:val="24"/>
          <w:szCs w:val="24"/>
          <w:highlight w:val="none"/>
          <w:lang w:val="en-US" w:eastAsia="zh-CN"/>
        </w:rPr>
        <w:t>0</w:t>
      </w:r>
      <w:r>
        <w:rPr>
          <w:rFonts w:hint="eastAsia" w:ascii="宋体" w:hAnsi="宋体" w:cs="宋体"/>
          <w:sz w:val="24"/>
          <w:szCs w:val="24"/>
          <w:highlight w:val="none"/>
        </w:rPr>
        <w:t>0（北京时间）</w:t>
      </w:r>
    </w:p>
    <w:p w14:paraId="6DE1E976">
      <w:pPr>
        <w:spacing w:line="440" w:lineRule="exact"/>
        <w:ind w:firstLine="480" w:firstLineChars="200"/>
        <w:rPr>
          <w:rFonts w:hint="eastAsia" w:ascii="宋体" w:hAnsi="宋体" w:cs="宋体"/>
          <w:sz w:val="24"/>
          <w:szCs w:val="24"/>
        </w:rPr>
      </w:pPr>
      <w:r>
        <w:rPr>
          <w:rFonts w:hint="eastAsia" w:ascii="宋体" w:hAnsi="宋体" w:cs="宋体"/>
          <w:sz w:val="24"/>
          <w:szCs w:val="24"/>
        </w:rPr>
        <w:t>地点：苏采云政府采购一体化平台开标大厅</w:t>
      </w:r>
    </w:p>
    <w:p w14:paraId="3A9642BE">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五、</w:t>
      </w:r>
      <w:bookmarkEnd w:id="28"/>
      <w:bookmarkEnd w:id="29"/>
      <w:bookmarkEnd w:id="30"/>
      <w:bookmarkEnd w:id="31"/>
      <w:bookmarkEnd w:id="32"/>
      <w:r>
        <w:rPr>
          <w:rFonts w:hint="eastAsia" w:ascii="宋体" w:hAnsi="宋体" w:cs="宋体"/>
          <w:b/>
          <w:bCs/>
          <w:sz w:val="24"/>
          <w:szCs w:val="24"/>
        </w:rPr>
        <w:t>公告期限</w:t>
      </w:r>
    </w:p>
    <w:p w14:paraId="28AB623E">
      <w:pPr>
        <w:spacing w:line="440" w:lineRule="exact"/>
        <w:ind w:firstLine="480" w:firstLineChars="200"/>
        <w:rPr>
          <w:rFonts w:hint="eastAsia" w:ascii="宋体" w:hAnsi="宋体" w:cs="宋体"/>
          <w:sz w:val="24"/>
          <w:szCs w:val="24"/>
        </w:rPr>
      </w:pPr>
      <w:bookmarkStart w:id="33" w:name="_Toc35393795"/>
      <w:bookmarkStart w:id="34" w:name="_Toc35393626"/>
      <w:bookmarkStart w:id="35" w:name="_Toc38985268"/>
      <w:r>
        <w:rPr>
          <w:rFonts w:hint="eastAsia" w:ascii="宋体" w:hAnsi="宋体" w:cs="宋体"/>
          <w:sz w:val="24"/>
          <w:szCs w:val="24"/>
        </w:rPr>
        <w:t>公告期限：自本公告发布之日起5个工作日。</w:t>
      </w:r>
    </w:p>
    <w:p w14:paraId="6771558B">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六、其他补充事宜</w:t>
      </w:r>
      <w:bookmarkEnd w:id="33"/>
      <w:bookmarkEnd w:id="34"/>
      <w:bookmarkEnd w:id="35"/>
    </w:p>
    <w:p w14:paraId="0CB3DEE1">
      <w:pPr>
        <w:spacing w:line="440" w:lineRule="exact"/>
        <w:ind w:firstLine="480" w:firstLineChars="200"/>
        <w:rPr>
          <w:rFonts w:hint="eastAsia" w:ascii="宋体" w:hAnsi="宋体" w:cs="宋体"/>
          <w:sz w:val="24"/>
          <w:szCs w:val="32"/>
        </w:rPr>
      </w:pPr>
      <w:bookmarkStart w:id="36" w:name="_Toc28359085"/>
      <w:bookmarkStart w:id="37" w:name="_Toc28359008"/>
      <w:bookmarkStart w:id="38" w:name="_Toc35393627"/>
      <w:bookmarkStart w:id="39" w:name="_Toc38985269"/>
      <w:bookmarkStart w:id="40" w:name="_Toc35393796"/>
      <w:r>
        <w:rPr>
          <w:rFonts w:hint="eastAsia" w:ascii="宋体" w:hAnsi="宋体" w:cs="宋体"/>
          <w:sz w:val="24"/>
          <w:szCs w:val="32"/>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6A27315B">
      <w:pPr>
        <w:spacing w:line="440" w:lineRule="exact"/>
        <w:ind w:firstLine="480" w:firstLineChars="200"/>
        <w:rPr>
          <w:rFonts w:hint="eastAsia" w:ascii="宋体" w:hAnsi="宋体" w:cs="宋体"/>
          <w:sz w:val="24"/>
          <w:szCs w:val="32"/>
        </w:rPr>
      </w:pPr>
      <w:r>
        <w:rPr>
          <w:rFonts w:hint="eastAsia" w:ascii="宋体" w:hAnsi="宋体" w:cs="宋体"/>
          <w:sz w:val="24"/>
          <w:szCs w:val="32"/>
        </w:rPr>
        <w:t>2、供应商在“苏采云”系统操作过程中如有疑问，请按以下方式联系：</w:t>
      </w:r>
    </w:p>
    <w:p w14:paraId="40658484">
      <w:pPr>
        <w:spacing w:line="440" w:lineRule="exact"/>
        <w:ind w:firstLine="480" w:firstLineChars="200"/>
        <w:rPr>
          <w:rFonts w:hint="eastAsia" w:ascii="宋体" w:hAnsi="宋体" w:cs="宋体"/>
          <w:sz w:val="24"/>
          <w:szCs w:val="32"/>
        </w:rPr>
      </w:pPr>
      <w:r>
        <w:rPr>
          <w:rFonts w:hint="eastAsia" w:ascii="宋体" w:hAnsi="宋体" w:cs="宋体"/>
          <w:sz w:val="24"/>
          <w:szCs w:val="32"/>
        </w:rPr>
        <w:t>CA技术咨询电话：400-608-6099；电子签章技术咨询电话：15380932027、15371015030、13675197356、13675197221；系统使用指导与咨询电话：13914088964、18261002950，0512-69820854、0519-86722802。</w:t>
      </w:r>
    </w:p>
    <w:p w14:paraId="1F3022AA">
      <w:pPr>
        <w:spacing w:line="440" w:lineRule="exact"/>
        <w:ind w:firstLine="480" w:firstLineChars="200"/>
        <w:rPr>
          <w:rFonts w:hint="eastAsia" w:ascii="宋体" w:hAnsi="宋体" w:cs="宋体"/>
          <w:sz w:val="24"/>
          <w:szCs w:val="32"/>
        </w:rPr>
      </w:pPr>
      <w:r>
        <w:rPr>
          <w:rFonts w:hint="eastAsia" w:ascii="宋体" w:hAnsi="宋体" w:cs="宋体"/>
          <w:sz w:val="24"/>
          <w:szCs w:val="32"/>
        </w:rPr>
        <w:t>3、有关本次采购的事项若存在变动或修改，敬请及时关注“苏州市政府采购网”发布的更正公告</w:t>
      </w:r>
      <w:bookmarkStart w:id="41" w:name="_Hlk87882297"/>
      <w:r>
        <w:rPr>
          <w:rFonts w:hint="eastAsia" w:ascii="宋体" w:hAnsi="宋体" w:cs="宋体"/>
          <w:sz w:val="24"/>
          <w:szCs w:val="32"/>
        </w:rPr>
        <w:t>，并按规定获取相关信息内容。</w:t>
      </w:r>
      <w:bookmarkEnd w:id="41"/>
    </w:p>
    <w:p w14:paraId="20C76980">
      <w:pPr>
        <w:spacing w:line="440" w:lineRule="exact"/>
        <w:ind w:firstLine="480" w:firstLineChars="200"/>
        <w:rPr>
          <w:rFonts w:hint="eastAsia" w:ascii="宋体" w:hAnsi="宋体" w:cs="宋体"/>
          <w:sz w:val="24"/>
          <w:szCs w:val="32"/>
        </w:rPr>
      </w:pPr>
      <w:r>
        <w:rPr>
          <w:rFonts w:hint="eastAsia" w:ascii="宋体" w:hAnsi="宋体" w:cs="宋体"/>
          <w:sz w:val="24"/>
          <w:szCs w:val="32"/>
        </w:rPr>
        <w:t>4、本次采购项目有关时间要求均以北京时间为标准，使用24小时制。</w:t>
      </w:r>
    </w:p>
    <w:p w14:paraId="211F83EC">
      <w:pPr>
        <w:spacing w:line="440" w:lineRule="exact"/>
        <w:ind w:firstLine="480" w:firstLineChars="200"/>
        <w:rPr>
          <w:rFonts w:hint="eastAsia" w:ascii="宋体" w:hAnsi="宋体" w:cs="宋体"/>
          <w:sz w:val="24"/>
          <w:szCs w:val="32"/>
        </w:rPr>
      </w:pPr>
      <w:r>
        <w:rPr>
          <w:rFonts w:hint="eastAsia" w:ascii="宋体" w:hAnsi="宋体" w:cs="宋体"/>
          <w:sz w:val="24"/>
          <w:szCs w:val="32"/>
        </w:rPr>
        <w:t>5、公告媒体：</w:t>
      </w:r>
      <w:r>
        <w:rPr>
          <w:rFonts w:hint="eastAsia" w:ascii="宋体" w:hAnsi="宋体" w:cs="宋体"/>
          <w:sz w:val="24"/>
        </w:rPr>
        <w:t>苏州市政府采购网、江苏政府采购网</w:t>
      </w:r>
      <w:r>
        <w:rPr>
          <w:rFonts w:hint="eastAsia" w:ascii="宋体" w:hAnsi="宋体" w:cs="宋体"/>
          <w:sz w:val="24"/>
          <w:szCs w:val="32"/>
        </w:rPr>
        <w:t>。</w:t>
      </w:r>
    </w:p>
    <w:p w14:paraId="71AE3A2D">
      <w:pPr>
        <w:keepNext/>
        <w:keepLines/>
        <w:spacing w:line="440" w:lineRule="exact"/>
        <w:ind w:firstLine="482"/>
        <w:rPr>
          <w:rFonts w:hint="eastAsia" w:ascii="宋体" w:hAnsi="宋体" w:cs="宋体"/>
          <w:sz w:val="24"/>
          <w:szCs w:val="24"/>
        </w:rPr>
      </w:pPr>
      <w:r>
        <w:rPr>
          <w:rFonts w:hint="eastAsia" w:ascii="宋体" w:hAnsi="宋体" w:cs="宋体"/>
          <w:sz w:val="24"/>
          <w:szCs w:val="32"/>
        </w:rPr>
        <w:t>6、</w:t>
      </w:r>
      <w:r>
        <w:rPr>
          <w:rFonts w:hint="eastAsia" w:ascii="宋体" w:hAnsi="宋体" w:cs="宋体"/>
          <w:sz w:val="24"/>
          <w:szCs w:val="24"/>
        </w:rPr>
        <w:t>本项目不收取投标保证金。</w:t>
      </w:r>
    </w:p>
    <w:p w14:paraId="6E05E2CF">
      <w:pPr>
        <w:keepNext/>
        <w:keepLines/>
        <w:spacing w:line="440" w:lineRule="exact"/>
        <w:ind w:firstLine="482"/>
        <w:rPr>
          <w:rFonts w:hint="eastAsia" w:ascii="宋体" w:hAnsi="宋体" w:cs="宋体"/>
          <w:b/>
          <w:bCs/>
          <w:sz w:val="24"/>
          <w:szCs w:val="24"/>
        </w:rPr>
      </w:pPr>
      <w:r>
        <w:rPr>
          <w:rFonts w:hint="eastAsia" w:ascii="宋体" w:hAnsi="宋体" w:cs="宋体"/>
          <w:b/>
          <w:bCs/>
          <w:sz w:val="24"/>
          <w:szCs w:val="24"/>
        </w:rPr>
        <w:t>七、本次招标联系</w:t>
      </w:r>
      <w:bookmarkEnd w:id="36"/>
      <w:bookmarkEnd w:id="37"/>
      <w:bookmarkEnd w:id="38"/>
      <w:bookmarkEnd w:id="39"/>
      <w:bookmarkEnd w:id="40"/>
      <w:r>
        <w:rPr>
          <w:rFonts w:hint="eastAsia" w:ascii="宋体" w:hAnsi="宋体" w:cs="宋体"/>
          <w:b/>
          <w:bCs/>
          <w:sz w:val="24"/>
          <w:szCs w:val="24"/>
        </w:rPr>
        <w:t>方式</w:t>
      </w:r>
    </w:p>
    <w:p w14:paraId="10146BEB">
      <w:pPr>
        <w:spacing w:line="440" w:lineRule="exact"/>
        <w:ind w:firstLine="480"/>
        <w:rPr>
          <w:rFonts w:hint="eastAsia" w:ascii="宋体" w:hAnsi="宋体" w:cs="宋体"/>
          <w:sz w:val="24"/>
          <w:szCs w:val="24"/>
        </w:rPr>
      </w:pPr>
      <w:r>
        <w:rPr>
          <w:rFonts w:hint="eastAsia" w:ascii="宋体" w:hAnsi="宋体" w:cs="宋体"/>
          <w:sz w:val="24"/>
          <w:szCs w:val="24"/>
        </w:rPr>
        <w:t>1、采购人信息</w:t>
      </w:r>
    </w:p>
    <w:p w14:paraId="4DF54327">
      <w:pPr>
        <w:spacing w:line="440" w:lineRule="exact"/>
        <w:ind w:firstLine="480"/>
        <w:rPr>
          <w:rFonts w:hint="eastAsia" w:ascii="宋体" w:hAnsi="宋体" w:cs="宋体"/>
          <w:sz w:val="24"/>
          <w:szCs w:val="24"/>
        </w:rPr>
      </w:pPr>
      <w:r>
        <w:rPr>
          <w:rFonts w:hint="eastAsia" w:ascii="宋体" w:hAnsi="宋体" w:cs="宋体"/>
          <w:sz w:val="24"/>
          <w:szCs w:val="24"/>
        </w:rPr>
        <w:t>单位名称：常熟市农业农村局</w:t>
      </w:r>
    </w:p>
    <w:p w14:paraId="6B4FFFD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单位地址：常熟市珠江路172号</w:t>
      </w:r>
    </w:p>
    <w:p w14:paraId="0594AE7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联系人：邹敏</w:t>
      </w:r>
    </w:p>
    <w:p w14:paraId="7B88ABD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联系方式：</w:t>
      </w:r>
      <w:bookmarkStart w:id="42" w:name="_Toc28359086"/>
      <w:bookmarkStart w:id="43" w:name="_Toc28359009"/>
      <w:r>
        <w:rPr>
          <w:rFonts w:hint="eastAsia" w:ascii="宋体" w:hAnsi="宋体" w:cs="宋体"/>
          <w:sz w:val="24"/>
          <w:szCs w:val="24"/>
          <w:highlight w:val="none"/>
        </w:rPr>
        <w:t>0512-52883914</w:t>
      </w:r>
    </w:p>
    <w:bookmarkEnd w:id="42"/>
    <w:bookmarkEnd w:id="43"/>
    <w:p w14:paraId="34DCCC6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3E449B76">
      <w:pPr>
        <w:spacing w:line="440" w:lineRule="exact"/>
        <w:ind w:firstLine="480"/>
        <w:rPr>
          <w:rFonts w:hint="eastAsia" w:ascii="宋体" w:hAnsi="宋体" w:cs="宋体"/>
          <w:sz w:val="24"/>
          <w:szCs w:val="24"/>
        </w:rPr>
      </w:pPr>
      <w:bookmarkStart w:id="44" w:name="_Toc28359087"/>
      <w:bookmarkStart w:id="45" w:name="_Toc28359010"/>
      <w:r>
        <w:rPr>
          <w:rFonts w:hint="eastAsia" w:ascii="宋体" w:hAnsi="宋体" w:cs="宋体"/>
          <w:sz w:val="24"/>
          <w:szCs w:val="24"/>
        </w:rPr>
        <w:t>单位名称：涵熙（苏州）工程顾问有限公司</w:t>
      </w:r>
    </w:p>
    <w:p w14:paraId="14047753">
      <w:pPr>
        <w:spacing w:line="440" w:lineRule="exact"/>
        <w:ind w:firstLine="480"/>
        <w:rPr>
          <w:rFonts w:hint="eastAsia" w:ascii="宋体" w:hAnsi="宋体" w:cs="宋体"/>
          <w:sz w:val="24"/>
          <w:szCs w:val="24"/>
        </w:rPr>
      </w:pPr>
      <w:r>
        <w:rPr>
          <w:rFonts w:hint="eastAsia" w:ascii="宋体" w:hAnsi="宋体" w:cs="宋体"/>
          <w:sz w:val="24"/>
          <w:szCs w:val="24"/>
        </w:rPr>
        <w:t>单位地址：常熟市山茶花路10号</w:t>
      </w:r>
    </w:p>
    <w:p w14:paraId="0593F01E">
      <w:pPr>
        <w:spacing w:line="440" w:lineRule="exact"/>
        <w:ind w:firstLine="480"/>
        <w:rPr>
          <w:rFonts w:hint="eastAsia" w:ascii="宋体" w:hAnsi="宋体" w:cs="宋体"/>
          <w:sz w:val="24"/>
          <w:szCs w:val="24"/>
        </w:rPr>
      </w:pPr>
      <w:r>
        <w:rPr>
          <w:rFonts w:hint="eastAsia" w:ascii="宋体" w:hAnsi="宋体" w:cs="宋体"/>
          <w:sz w:val="24"/>
          <w:szCs w:val="24"/>
        </w:rPr>
        <w:t>联系人：王蔼玲</w:t>
      </w:r>
    </w:p>
    <w:p w14:paraId="21D4D0EF">
      <w:pPr>
        <w:spacing w:line="440" w:lineRule="exact"/>
        <w:ind w:firstLine="480"/>
        <w:rPr>
          <w:rFonts w:hint="eastAsia" w:ascii="宋体" w:hAnsi="宋体" w:cs="宋体"/>
          <w:sz w:val="24"/>
          <w:szCs w:val="24"/>
        </w:rPr>
      </w:pPr>
      <w:r>
        <w:rPr>
          <w:rFonts w:hint="eastAsia" w:ascii="宋体" w:hAnsi="宋体" w:cs="宋体"/>
          <w:sz w:val="24"/>
          <w:szCs w:val="24"/>
        </w:rPr>
        <w:t>联系方式：0512-52952666</w:t>
      </w:r>
    </w:p>
    <w:p w14:paraId="3352C6EC">
      <w:pPr>
        <w:spacing w:line="440" w:lineRule="exact"/>
        <w:ind w:firstLine="480"/>
        <w:rPr>
          <w:rFonts w:hint="eastAsia" w:ascii="宋体" w:hAnsi="宋体" w:cs="宋体"/>
          <w:sz w:val="24"/>
          <w:szCs w:val="24"/>
        </w:rPr>
      </w:pPr>
      <w:r>
        <w:rPr>
          <w:rFonts w:hint="eastAsia" w:ascii="宋体" w:hAnsi="宋体" w:cs="宋体"/>
          <w:sz w:val="24"/>
          <w:szCs w:val="24"/>
        </w:rPr>
        <w:t>3、项目联系方式</w:t>
      </w:r>
    </w:p>
    <w:p w14:paraId="52D9A9BC">
      <w:pPr>
        <w:spacing w:line="440" w:lineRule="exact"/>
        <w:ind w:firstLine="480"/>
        <w:rPr>
          <w:rFonts w:hint="eastAsia" w:ascii="宋体" w:hAnsi="宋体" w:cs="宋体"/>
          <w:sz w:val="24"/>
          <w:szCs w:val="24"/>
        </w:rPr>
      </w:pPr>
      <w:r>
        <w:rPr>
          <w:rFonts w:hint="eastAsia" w:ascii="宋体" w:hAnsi="宋体" w:cs="宋体"/>
          <w:sz w:val="24"/>
          <w:szCs w:val="24"/>
        </w:rPr>
        <w:t>项目联系人：王蔼玲</w:t>
      </w:r>
    </w:p>
    <w:p w14:paraId="710D1A62">
      <w:pPr>
        <w:spacing w:line="440" w:lineRule="exact"/>
        <w:ind w:firstLine="480"/>
        <w:rPr>
          <w:rFonts w:hint="eastAsia" w:ascii="宋体" w:hAnsi="宋体" w:cs="宋体"/>
          <w:sz w:val="24"/>
          <w:szCs w:val="24"/>
        </w:rPr>
      </w:pPr>
      <w:r>
        <w:rPr>
          <w:rFonts w:hint="eastAsia" w:ascii="宋体" w:hAnsi="宋体" w:cs="宋体"/>
          <w:sz w:val="24"/>
          <w:szCs w:val="24"/>
        </w:rPr>
        <w:t>电话：0512-52952666</w:t>
      </w:r>
    </w:p>
    <w:p w14:paraId="202A71A1">
      <w:pPr>
        <w:spacing w:line="440" w:lineRule="exact"/>
        <w:ind w:firstLine="480"/>
        <w:rPr>
          <w:rFonts w:hint="eastAsia" w:ascii="宋体" w:hAnsi="宋体" w:cs="宋体"/>
          <w:sz w:val="24"/>
          <w:szCs w:val="24"/>
        </w:rPr>
      </w:pPr>
    </w:p>
    <w:bookmarkEnd w:id="44"/>
    <w:bookmarkEnd w:id="45"/>
    <w:p w14:paraId="094A8B4E">
      <w:pPr>
        <w:widowControl/>
        <w:jc w:val="left"/>
        <w:rPr>
          <w:rFonts w:hint="eastAsia" w:ascii="宋体" w:hAnsi="宋体" w:cs="宋体"/>
          <w:sz w:val="24"/>
          <w:szCs w:val="24"/>
        </w:rPr>
      </w:pPr>
      <w:r>
        <w:rPr>
          <w:rFonts w:hint="eastAsia" w:ascii="宋体" w:hAnsi="宋体" w:cs="宋体"/>
          <w:sz w:val="24"/>
          <w:szCs w:val="24"/>
        </w:rPr>
        <w:br w:type="page"/>
      </w:r>
    </w:p>
    <w:p w14:paraId="41A43C55">
      <w:pPr>
        <w:keepNext/>
        <w:ind w:firstLine="880"/>
        <w:jc w:val="center"/>
        <w:outlineLvl w:val="0"/>
        <w:rPr>
          <w:rFonts w:hint="eastAsia" w:ascii="宋体" w:hAnsi="宋体" w:cs="宋体"/>
          <w:b/>
          <w:bCs/>
          <w:sz w:val="40"/>
          <w:szCs w:val="40"/>
        </w:rPr>
      </w:pPr>
      <w:bookmarkStart w:id="46" w:name="_Toc120614211"/>
      <w:bookmarkStart w:id="47" w:name="_Toc16939"/>
      <w:r>
        <w:rPr>
          <w:rFonts w:hint="eastAsia" w:ascii="宋体" w:hAnsi="宋体" w:cs="宋体"/>
          <w:b/>
          <w:bCs/>
          <w:sz w:val="40"/>
          <w:szCs w:val="40"/>
        </w:rPr>
        <w:t xml:space="preserve">第二章  </w:t>
      </w:r>
      <w:bookmarkEnd w:id="1"/>
      <w:bookmarkEnd w:id="2"/>
      <w:bookmarkEnd w:id="3"/>
      <w:bookmarkEnd w:id="4"/>
      <w:bookmarkEnd w:id="5"/>
      <w:bookmarkEnd w:id="46"/>
      <w:bookmarkStart w:id="48" w:name="_Toc513029202"/>
      <w:bookmarkStart w:id="49" w:name="_Toc20823274"/>
      <w:bookmarkStart w:id="50" w:name="_Toc120614213"/>
      <w:bookmarkStart w:id="51" w:name="_Toc16938518"/>
      <w:r>
        <w:rPr>
          <w:rFonts w:hint="eastAsia" w:ascii="宋体" w:hAnsi="宋体" w:cs="宋体"/>
          <w:b/>
          <w:bCs/>
          <w:sz w:val="40"/>
          <w:szCs w:val="40"/>
        </w:rPr>
        <w:t>投标人须知</w:t>
      </w:r>
      <w:bookmarkEnd w:id="47"/>
      <w:bookmarkEnd w:id="48"/>
      <w:bookmarkEnd w:id="49"/>
      <w:bookmarkEnd w:id="50"/>
      <w:bookmarkEnd w:id="51"/>
    </w:p>
    <w:p w14:paraId="5457422A">
      <w:pPr>
        <w:keepNext/>
        <w:keepLines/>
        <w:spacing w:line="440" w:lineRule="exact"/>
        <w:ind w:firstLine="562"/>
        <w:rPr>
          <w:rFonts w:hint="eastAsia" w:ascii="宋体" w:hAnsi="宋体" w:cs="宋体"/>
          <w:b/>
          <w:bCs/>
          <w:sz w:val="28"/>
          <w:szCs w:val="28"/>
        </w:rPr>
      </w:pPr>
      <w:bookmarkStart w:id="52" w:name="_Toc120614214"/>
      <w:bookmarkStart w:id="53" w:name="_Toc513029203"/>
      <w:bookmarkStart w:id="54" w:name="_Toc20823275"/>
      <w:bookmarkStart w:id="55" w:name="_Toc16938519"/>
      <w:r>
        <w:rPr>
          <w:rFonts w:hint="eastAsia" w:ascii="宋体" w:hAnsi="宋体" w:cs="宋体"/>
          <w:b/>
          <w:bCs/>
          <w:sz w:val="28"/>
          <w:szCs w:val="28"/>
        </w:rPr>
        <w:t>一、总则</w:t>
      </w:r>
      <w:bookmarkEnd w:id="52"/>
      <w:bookmarkEnd w:id="53"/>
      <w:bookmarkEnd w:id="54"/>
      <w:bookmarkEnd w:id="55"/>
    </w:p>
    <w:p w14:paraId="448C1004">
      <w:pPr>
        <w:keepNext/>
        <w:keepLines/>
        <w:spacing w:line="440" w:lineRule="exact"/>
        <w:ind w:firstLine="480"/>
        <w:rPr>
          <w:rFonts w:hint="eastAsia" w:ascii="宋体" w:hAnsi="宋体" w:cs="宋体"/>
          <w:sz w:val="24"/>
          <w:szCs w:val="24"/>
        </w:rPr>
      </w:pPr>
      <w:bookmarkStart w:id="56" w:name="_Hlt16619475"/>
      <w:bookmarkEnd w:id="56"/>
      <w:bookmarkStart w:id="57" w:name="_Toc458694821"/>
      <w:bookmarkStart w:id="58" w:name="_Toc16938520"/>
      <w:bookmarkStart w:id="59" w:name="_Toc513029204"/>
      <w:bookmarkStart w:id="60" w:name="_Toc20823276"/>
      <w:r>
        <w:rPr>
          <w:rFonts w:hint="eastAsia" w:ascii="宋体" w:hAnsi="宋体" w:cs="宋体"/>
          <w:sz w:val="24"/>
          <w:szCs w:val="24"/>
        </w:rPr>
        <w:t>1</w:t>
      </w:r>
      <w:bookmarkEnd w:id="57"/>
      <w:r>
        <w:rPr>
          <w:rFonts w:hint="eastAsia" w:ascii="宋体" w:hAnsi="宋体" w:cs="宋体"/>
          <w:sz w:val="24"/>
          <w:szCs w:val="24"/>
        </w:rPr>
        <w:t>、采购人式</w:t>
      </w:r>
      <w:bookmarkEnd w:id="58"/>
      <w:bookmarkEnd w:id="59"/>
      <w:bookmarkEnd w:id="60"/>
      <w:r>
        <w:rPr>
          <w:rFonts w:hint="eastAsia" w:ascii="宋体" w:hAnsi="宋体" w:cs="宋体"/>
          <w:sz w:val="24"/>
          <w:szCs w:val="24"/>
        </w:rPr>
        <w:t>及适用法律</w:t>
      </w:r>
    </w:p>
    <w:p w14:paraId="1E4E7321">
      <w:pPr>
        <w:spacing w:line="440" w:lineRule="exact"/>
        <w:ind w:firstLine="789" w:firstLineChars="329"/>
        <w:rPr>
          <w:rFonts w:hint="eastAsia" w:ascii="宋体" w:hAnsi="宋体" w:cs="宋体"/>
          <w:sz w:val="24"/>
          <w:szCs w:val="24"/>
        </w:rPr>
      </w:pPr>
      <w:r>
        <w:rPr>
          <w:rFonts w:hint="eastAsia" w:ascii="宋体" w:hAnsi="宋体" w:cs="宋体"/>
          <w:sz w:val="24"/>
          <w:szCs w:val="24"/>
        </w:rPr>
        <w:t>1.1 本次招标采取公开招标方式，本招标文件仅适用于招标公告中所述项目。</w:t>
      </w:r>
    </w:p>
    <w:p w14:paraId="30AA4864">
      <w:pPr>
        <w:spacing w:line="440" w:lineRule="exact"/>
        <w:ind w:firstLine="789" w:firstLineChars="329"/>
        <w:rPr>
          <w:rFonts w:hint="eastAsia" w:ascii="宋体" w:hAnsi="宋体" w:cs="宋体"/>
          <w:sz w:val="24"/>
          <w:szCs w:val="24"/>
        </w:rPr>
      </w:pPr>
      <w:r>
        <w:rPr>
          <w:rFonts w:hint="eastAsia" w:ascii="宋体" w:hAnsi="宋体" w:cs="宋体"/>
          <w:sz w:val="24"/>
          <w:szCs w:val="24"/>
        </w:rPr>
        <w:t>1.2 本次招标及由此产生的合同受中华人民共和国有关的法律法规制约和保护。</w:t>
      </w:r>
    </w:p>
    <w:p w14:paraId="5DA17AB0">
      <w:pPr>
        <w:keepNext/>
        <w:keepLines/>
        <w:spacing w:line="440" w:lineRule="exact"/>
        <w:ind w:firstLine="480"/>
        <w:rPr>
          <w:rFonts w:hint="eastAsia" w:ascii="宋体" w:hAnsi="宋体" w:cs="宋体"/>
          <w:sz w:val="24"/>
          <w:szCs w:val="24"/>
        </w:rPr>
      </w:pPr>
      <w:r>
        <w:rPr>
          <w:rFonts w:hint="eastAsia" w:ascii="宋体" w:hAnsi="宋体" w:cs="宋体"/>
          <w:sz w:val="24"/>
          <w:szCs w:val="24"/>
        </w:rPr>
        <w:t>2、定义</w:t>
      </w:r>
    </w:p>
    <w:p w14:paraId="7EB99836">
      <w:pPr>
        <w:spacing w:line="440" w:lineRule="exact"/>
        <w:ind w:firstLine="789" w:firstLineChars="329"/>
        <w:rPr>
          <w:rFonts w:hint="eastAsia" w:ascii="宋体" w:hAnsi="宋体" w:cs="宋体"/>
          <w:sz w:val="24"/>
          <w:szCs w:val="24"/>
        </w:rPr>
      </w:pPr>
      <w:r>
        <w:rPr>
          <w:rFonts w:hint="eastAsia" w:ascii="宋体" w:hAnsi="宋体" w:cs="宋体"/>
          <w:sz w:val="24"/>
          <w:szCs w:val="24"/>
        </w:rPr>
        <w:t>2.1 “采购人”系指购买本项目货物并接受相关服务的国家机关、事业单位、团体组织。</w:t>
      </w:r>
    </w:p>
    <w:p w14:paraId="79B8BA61">
      <w:pPr>
        <w:spacing w:line="440" w:lineRule="exact"/>
        <w:ind w:firstLine="789" w:firstLineChars="329"/>
        <w:rPr>
          <w:rFonts w:hint="eastAsia" w:ascii="宋体" w:hAnsi="宋体" w:cs="宋体"/>
          <w:sz w:val="24"/>
          <w:szCs w:val="24"/>
        </w:rPr>
      </w:pPr>
      <w:r>
        <w:rPr>
          <w:rFonts w:hint="eastAsia" w:ascii="宋体" w:hAnsi="宋体" w:cs="宋体"/>
          <w:sz w:val="24"/>
          <w:szCs w:val="24"/>
        </w:rPr>
        <w:t>2.2 “采购代理机构”系指依法接受采购人委托，从事货物和服务等政府采购业务的采购代理机构（以下简称“代理机构”）。本项目采购代理机构为涵熙（苏州）工程顾问有限公司。</w:t>
      </w:r>
    </w:p>
    <w:p w14:paraId="2A09DBB6">
      <w:pPr>
        <w:spacing w:line="440" w:lineRule="exact"/>
        <w:ind w:firstLine="789" w:firstLineChars="329"/>
        <w:rPr>
          <w:rFonts w:hint="eastAsia" w:ascii="宋体" w:hAnsi="宋体" w:cs="宋体"/>
          <w:sz w:val="24"/>
          <w:szCs w:val="24"/>
        </w:rPr>
      </w:pPr>
      <w:r>
        <w:rPr>
          <w:rFonts w:hint="eastAsia" w:ascii="宋体" w:hAnsi="宋体" w:cs="宋体"/>
          <w:sz w:val="24"/>
          <w:szCs w:val="24"/>
        </w:rPr>
        <w:t>2.3 “投标人”系指响应招标、参加投标竞争的供应商。</w:t>
      </w:r>
    </w:p>
    <w:p w14:paraId="5D28E8D8">
      <w:pPr>
        <w:keepNext/>
        <w:keepLines/>
        <w:spacing w:line="440" w:lineRule="exact"/>
        <w:ind w:firstLine="480"/>
        <w:rPr>
          <w:rFonts w:hint="eastAsia" w:ascii="宋体" w:hAnsi="宋体" w:cs="宋体"/>
          <w:sz w:val="24"/>
          <w:szCs w:val="24"/>
        </w:rPr>
      </w:pPr>
      <w:bookmarkStart w:id="61" w:name="_Toc20823277"/>
      <w:bookmarkStart w:id="62" w:name="_Toc513029205"/>
      <w:bookmarkStart w:id="63" w:name="_Toc16938521"/>
      <w:r>
        <w:rPr>
          <w:rFonts w:hint="eastAsia" w:ascii="宋体" w:hAnsi="宋体" w:cs="宋体"/>
          <w:sz w:val="24"/>
          <w:szCs w:val="24"/>
        </w:rPr>
        <w:t>3、合格的投标人</w:t>
      </w:r>
      <w:bookmarkEnd w:id="61"/>
      <w:bookmarkEnd w:id="62"/>
      <w:bookmarkEnd w:id="63"/>
    </w:p>
    <w:p w14:paraId="79849B7A">
      <w:pPr>
        <w:spacing w:line="440" w:lineRule="exact"/>
        <w:ind w:firstLine="789" w:firstLineChars="329"/>
        <w:rPr>
          <w:rFonts w:hint="eastAsia" w:ascii="宋体" w:hAnsi="宋体" w:cs="宋体"/>
          <w:sz w:val="24"/>
          <w:szCs w:val="24"/>
        </w:rPr>
      </w:pPr>
      <w:r>
        <w:rPr>
          <w:rFonts w:hint="eastAsia" w:ascii="宋体" w:hAnsi="宋体" w:cs="宋体"/>
          <w:sz w:val="24"/>
          <w:szCs w:val="24"/>
        </w:rPr>
        <w:t>3.1 满足招标公告中供应商的资格要求的规定，详见《第一章 投标邀请》中投标人资格要求。</w:t>
      </w:r>
    </w:p>
    <w:p w14:paraId="199AF1D3">
      <w:pPr>
        <w:spacing w:line="440" w:lineRule="exact"/>
        <w:ind w:firstLine="789" w:firstLineChars="329"/>
        <w:rPr>
          <w:rFonts w:hint="eastAsia" w:ascii="宋体" w:hAnsi="宋体" w:cs="宋体"/>
          <w:sz w:val="24"/>
          <w:szCs w:val="24"/>
        </w:rPr>
      </w:pPr>
      <w:r>
        <w:rPr>
          <w:rFonts w:hint="eastAsia" w:ascii="宋体" w:hAnsi="宋体" w:cs="宋体"/>
          <w:sz w:val="24"/>
          <w:szCs w:val="24"/>
        </w:rPr>
        <w:t>3.2 满足本文件实质性要求和条件的规定。</w:t>
      </w:r>
    </w:p>
    <w:p w14:paraId="2EDF8AC5">
      <w:pPr>
        <w:keepNext/>
        <w:keepLines/>
        <w:spacing w:line="440" w:lineRule="exact"/>
        <w:ind w:firstLine="480"/>
        <w:rPr>
          <w:rFonts w:hint="eastAsia" w:ascii="宋体" w:hAnsi="宋体" w:cs="宋体"/>
          <w:sz w:val="24"/>
          <w:szCs w:val="24"/>
        </w:rPr>
      </w:pPr>
      <w:bookmarkStart w:id="64" w:name="_Toc20823279"/>
      <w:bookmarkStart w:id="65" w:name="_Toc513029207"/>
      <w:bookmarkStart w:id="66" w:name="_Toc462564067"/>
      <w:bookmarkStart w:id="67" w:name="_Toc16938523"/>
      <w:r>
        <w:rPr>
          <w:rFonts w:hint="eastAsia" w:ascii="宋体" w:hAnsi="宋体" w:cs="宋体"/>
          <w:sz w:val="24"/>
          <w:szCs w:val="24"/>
        </w:rPr>
        <w:t>4、投标费用</w:t>
      </w:r>
      <w:bookmarkEnd w:id="64"/>
      <w:bookmarkEnd w:id="65"/>
      <w:bookmarkEnd w:id="66"/>
      <w:bookmarkEnd w:id="67"/>
    </w:p>
    <w:p w14:paraId="0DECD999">
      <w:pPr>
        <w:spacing w:line="440" w:lineRule="exact"/>
        <w:ind w:firstLine="789" w:firstLineChars="329"/>
        <w:rPr>
          <w:rFonts w:hint="eastAsia" w:ascii="宋体" w:hAnsi="宋体" w:cs="宋体"/>
          <w:sz w:val="24"/>
          <w:szCs w:val="24"/>
        </w:rPr>
      </w:pPr>
      <w:r>
        <w:rPr>
          <w:rFonts w:hint="eastAsia" w:ascii="宋体" w:hAnsi="宋体" w:cs="宋体"/>
          <w:sz w:val="24"/>
          <w:szCs w:val="24"/>
        </w:rPr>
        <w:t>4.1 无论投标过程中的做法和结果如何，投标人应自行承担所有与准备和参加投标有关的全部费用。</w:t>
      </w:r>
    </w:p>
    <w:p w14:paraId="2B81501B">
      <w:pPr>
        <w:spacing w:line="440" w:lineRule="exact"/>
        <w:ind w:firstLine="793" w:firstLineChars="329"/>
        <w:rPr>
          <w:rFonts w:hint="eastAsia" w:ascii="宋体" w:hAnsi="宋体" w:cs="宋体"/>
          <w:b/>
          <w:bCs/>
          <w:sz w:val="24"/>
          <w:szCs w:val="24"/>
        </w:rPr>
      </w:pPr>
      <w:r>
        <w:rPr>
          <w:rFonts w:hint="eastAsia" w:ascii="宋体" w:hAnsi="宋体" w:cs="宋体"/>
          <w:b/>
          <w:bCs/>
          <w:sz w:val="24"/>
          <w:szCs w:val="24"/>
        </w:rPr>
        <w:t>4.2 本次招标不收取采购文件工本费</w:t>
      </w:r>
    </w:p>
    <w:p w14:paraId="37CFF116">
      <w:pPr>
        <w:spacing w:line="440" w:lineRule="exact"/>
        <w:ind w:firstLine="793" w:firstLineChars="329"/>
        <w:rPr>
          <w:rFonts w:hint="eastAsia" w:ascii="宋体" w:hAnsi="宋体" w:cs="宋体"/>
          <w:b/>
          <w:bCs/>
          <w:sz w:val="24"/>
          <w:szCs w:val="24"/>
        </w:rPr>
      </w:pPr>
      <w:r>
        <w:rPr>
          <w:rFonts w:hint="eastAsia" w:ascii="宋体" w:hAnsi="宋体" w:cs="宋体"/>
          <w:b/>
          <w:bCs/>
          <w:sz w:val="24"/>
          <w:szCs w:val="24"/>
        </w:rPr>
        <w:t>4.3 采购代理服务费用：</w:t>
      </w:r>
    </w:p>
    <w:p w14:paraId="4D2A0E52">
      <w:pPr>
        <w:spacing w:line="440" w:lineRule="exact"/>
        <w:ind w:firstLine="790" w:firstLineChars="328"/>
        <w:rPr>
          <w:rFonts w:hint="eastAsia" w:ascii="宋体" w:hAnsi="宋体" w:cs="宋体"/>
          <w:b/>
          <w:bCs/>
          <w:sz w:val="24"/>
          <w:szCs w:val="24"/>
        </w:rPr>
      </w:pPr>
      <w:r>
        <w:rPr>
          <w:rFonts w:hint="eastAsia" w:ascii="宋体" w:hAnsi="宋体" w:cs="宋体"/>
          <w:b/>
          <w:bCs/>
          <w:sz w:val="24"/>
          <w:szCs w:val="24"/>
        </w:rPr>
        <w:t>本项目中标服务费由中标人支付，在采购代理机构发中标通知书时由中标人向采购代理机构支付中标服务费7350.00元整（人民币柒仟叁佰伍拾元整），一次性付清。</w:t>
      </w:r>
    </w:p>
    <w:p w14:paraId="23ED6632">
      <w:pPr>
        <w:keepNext/>
        <w:keepLines/>
        <w:spacing w:line="440" w:lineRule="exact"/>
        <w:ind w:firstLine="480"/>
        <w:rPr>
          <w:rFonts w:hint="eastAsia" w:ascii="宋体" w:hAnsi="宋体" w:cs="宋体"/>
          <w:sz w:val="24"/>
          <w:szCs w:val="24"/>
        </w:rPr>
      </w:pPr>
      <w:r>
        <w:rPr>
          <w:rFonts w:hint="eastAsia" w:ascii="宋体" w:hAnsi="宋体" w:cs="宋体"/>
          <w:sz w:val="24"/>
          <w:szCs w:val="24"/>
        </w:rPr>
        <w:t>5、招标文件的约束力</w:t>
      </w:r>
    </w:p>
    <w:p w14:paraId="55759E1F">
      <w:pPr>
        <w:spacing w:line="440" w:lineRule="exact"/>
        <w:ind w:firstLine="789" w:firstLineChars="329"/>
        <w:rPr>
          <w:rFonts w:hint="eastAsia" w:ascii="宋体" w:hAnsi="宋体" w:cs="宋体"/>
          <w:sz w:val="24"/>
          <w:szCs w:val="24"/>
        </w:rPr>
      </w:pPr>
      <w:r>
        <w:rPr>
          <w:rFonts w:hint="eastAsia" w:ascii="宋体" w:hAnsi="宋体" w:cs="宋体"/>
          <w:sz w:val="24"/>
          <w:szCs w:val="24"/>
        </w:rPr>
        <w:t>5.1 投标人一旦参加本项目采购活动，即被认为接受了本招标文件的规定和约束。</w:t>
      </w:r>
    </w:p>
    <w:p w14:paraId="717CA25C">
      <w:pPr>
        <w:keepNext/>
        <w:keepLines/>
        <w:spacing w:line="440" w:lineRule="exact"/>
        <w:ind w:firstLine="562"/>
        <w:rPr>
          <w:rFonts w:hint="eastAsia" w:ascii="宋体" w:hAnsi="宋体" w:cs="宋体"/>
          <w:b/>
          <w:bCs/>
          <w:sz w:val="28"/>
          <w:szCs w:val="28"/>
        </w:rPr>
      </w:pPr>
      <w:bookmarkStart w:id="68" w:name="_Toc16938525"/>
      <w:bookmarkStart w:id="69" w:name="_Toc20823281"/>
      <w:bookmarkStart w:id="70" w:name="_Toc120614215"/>
      <w:bookmarkStart w:id="71" w:name="_Toc513029209"/>
      <w:r>
        <w:rPr>
          <w:rFonts w:hint="eastAsia" w:ascii="宋体" w:hAnsi="宋体" w:cs="宋体"/>
          <w:b/>
          <w:bCs/>
          <w:sz w:val="28"/>
          <w:szCs w:val="28"/>
        </w:rPr>
        <w:t>二、招标文件</w:t>
      </w:r>
      <w:bookmarkEnd w:id="68"/>
      <w:bookmarkEnd w:id="69"/>
      <w:bookmarkEnd w:id="70"/>
      <w:bookmarkEnd w:id="71"/>
    </w:p>
    <w:p w14:paraId="764DED30">
      <w:pPr>
        <w:keepNext/>
        <w:keepLines/>
        <w:spacing w:line="440" w:lineRule="exact"/>
        <w:ind w:firstLine="480"/>
        <w:rPr>
          <w:rFonts w:hint="eastAsia" w:ascii="宋体" w:hAnsi="宋体" w:cs="宋体"/>
          <w:sz w:val="24"/>
          <w:szCs w:val="24"/>
        </w:rPr>
      </w:pPr>
      <w:bookmarkStart w:id="72" w:name="_Toc16938526"/>
      <w:bookmarkStart w:id="73" w:name="_Toc513029210"/>
      <w:bookmarkStart w:id="74" w:name="_Toc20823282"/>
      <w:r>
        <w:rPr>
          <w:rFonts w:hint="eastAsia" w:ascii="宋体" w:hAnsi="宋体" w:cs="宋体"/>
          <w:sz w:val="24"/>
          <w:szCs w:val="24"/>
        </w:rPr>
        <w:t>1、招标文件构成</w:t>
      </w:r>
      <w:bookmarkEnd w:id="72"/>
      <w:bookmarkEnd w:id="73"/>
      <w:bookmarkEnd w:id="74"/>
    </w:p>
    <w:p w14:paraId="51BD4432">
      <w:pPr>
        <w:spacing w:line="440" w:lineRule="exact"/>
        <w:ind w:firstLine="789" w:firstLineChars="329"/>
        <w:rPr>
          <w:rFonts w:hint="eastAsia" w:ascii="宋体" w:hAnsi="宋体" w:cs="宋体"/>
          <w:sz w:val="24"/>
          <w:szCs w:val="24"/>
        </w:rPr>
      </w:pPr>
      <w:r>
        <w:rPr>
          <w:rFonts w:hint="eastAsia" w:ascii="宋体" w:hAnsi="宋体" w:cs="宋体"/>
          <w:bCs/>
          <w:sz w:val="24"/>
          <w:szCs w:val="24"/>
        </w:rPr>
        <w:t>1.1</w:t>
      </w:r>
      <w:r>
        <w:rPr>
          <w:rFonts w:hint="eastAsia" w:ascii="宋体" w:hAnsi="宋体" w:cs="宋体"/>
          <w:sz w:val="24"/>
          <w:szCs w:val="24"/>
        </w:rPr>
        <w:t xml:space="preserve"> 招标文件由以下部分组成：</w:t>
      </w:r>
    </w:p>
    <w:p w14:paraId="31458C47">
      <w:pPr>
        <w:spacing w:line="440" w:lineRule="exact"/>
        <w:ind w:firstLine="789" w:firstLineChars="329"/>
        <w:rPr>
          <w:rFonts w:hint="eastAsia" w:ascii="宋体" w:hAnsi="宋体" w:cs="宋体"/>
          <w:sz w:val="24"/>
          <w:szCs w:val="24"/>
        </w:rPr>
      </w:pPr>
      <w:r>
        <w:rPr>
          <w:rFonts w:hint="eastAsia" w:ascii="宋体" w:hAnsi="宋体" w:cs="宋体"/>
          <w:sz w:val="24"/>
          <w:szCs w:val="24"/>
        </w:rPr>
        <w:t>（1）投标邀请</w:t>
      </w:r>
    </w:p>
    <w:p w14:paraId="4EAC38F2">
      <w:pPr>
        <w:spacing w:line="440" w:lineRule="exact"/>
        <w:ind w:firstLine="789" w:firstLineChars="329"/>
        <w:rPr>
          <w:rFonts w:hint="eastAsia" w:ascii="宋体" w:hAnsi="宋体" w:cs="宋体"/>
          <w:sz w:val="24"/>
          <w:szCs w:val="24"/>
        </w:rPr>
      </w:pPr>
      <w:r>
        <w:rPr>
          <w:rFonts w:hint="eastAsia" w:ascii="宋体" w:hAnsi="宋体" w:cs="宋体"/>
          <w:sz w:val="24"/>
          <w:szCs w:val="24"/>
        </w:rPr>
        <w:t>（2）投标人须知</w:t>
      </w:r>
    </w:p>
    <w:p w14:paraId="57717748">
      <w:pPr>
        <w:spacing w:line="440" w:lineRule="exact"/>
        <w:ind w:firstLine="789" w:firstLineChars="329"/>
        <w:rPr>
          <w:rFonts w:hint="eastAsia" w:ascii="宋体" w:hAnsi="宋体" w:cs="宋体"/>
          <w:sz w:val="24"/>
          <w:szCs w:val="24"/>
        </w:rPr>
      </w:pPr>
      <w:r>
        <w:rPr>
          <w:rFonts w:hint="eastAsia" w:ascii="宋体" w:hAnsi="宋体" w:cs="宋体"/>
          <w:sz w:val="24"/>
          <w:szCs w:val="24"/>
        </w:rPr>
        <w:t>（3）合同文本</w:t>
      </w:r>
    </w:p>
    <w:p w14:paraId="1008BC5F">
      <w:pPr>
        <w:spacing w:line="440" w:lineRule="exact"/>
        <w:ind w:firstLine="789" w:firstLineChars="329"/>
        <w:rPr>
          <w:rFonts w:hint="eastAsia" w:ascii="宋体" w:hAnsi="宋体" w:cs="宋体"/>
          <w:sz w:val="24"/>
          <w:szCs w:val="24"/>
        </w:rPr>
      </w:pPr>
      <w:r>
        <w:rPr>
          <w:rFonts w:hint="eastAsia" w:ascii="宋体" w:hAnsi="宋体" w:cs="宋体"/>
          <w:sz w:val="24"/>
          <w:szCs w:val="24"/>
        </w:rPr>
        <w:t>（4）采购需求</w:t>
      </w:r>
    </w:p>
    <w:p w14:paraId="4A2EBD6A">
      <w:pPr>
        <w:spacing w:line="440" w:lineRule="exact"/>
        <w:ind w:firstLine="789" w:firstLineChars="329"/>
        <w:rPr>
          <w:rFonts w:hint="eastAsia" w:ascii="宋体" w:hAnsi="宋体" w:cs="宋体"/>
          <w:sz w:val="24"/>
          <w:szCs w:val="24"/>
        </w:rPr>
      </w:pPr>
      <w:r>
        <w:rPr>
          <w:rFonts w:hint="eastAsia" w:ascii="宋体" w:hAnsi="宋体" w:cs="宋体"/>
          <w:sz w:val="24"/>
          <w:szCs w:val="24"/>
        </w:rPr>
        <w:t>（5）评标方法与评标标准</w:t>
      </w:r>
    </w:p>
    <w:p w14:paraId="6D1539A0">
      <w:pPr>
        <w:spacing w:line="440" w:lineRule="exact"/>
        <w:ind w:firstLine="789" w:firstLineChars="329"/>
        <w:rPr>
          <w:rFonts w:hint="eastAsia" w:ascii="宋体" w:hAnsi="宋体" w:cs="宋体"/>
          <w:sz w:val="24"/>
          <w:szCs w:val="24"/>
        </w:rPr>
      </w:pPr>
      <w:r>
        <w:rPr>
          <w:rFonts w:hint="eastAsia" w:ascii="宋体" w:hAnsi="宋体" w:cs="宋体"/>
          <w:sz w:val="24"/>
          <w:szCs w:val="24"/>
        </w:rPr>
        <w:t>（6）投标文件格式</w:t>
      </w:r>
    </w:p>
    <w:p w14:paraId="1E4777EA">
      <w:pPr>
        <w:spacing w:line="440" w:lineRule="exact"/>
        <w:ind w:firstLine="789" w:firstLineChars="329"/>
        <w:rPr>
          <w:rFonts w:hint="eastAsia" w:ascii="宋体" w:hAnsi="宋体" w:cs="宋体"/>
          <w:sz w:val="24"/>
          <w:szCs w:val="24"/>
        </w:rPr>
      </w:pPr>
      <w:r>
        <w:rPr>
          <w:rFonts w:hint="eastAsia" w:ascii="宋体" w:hAnsi="宋体" w:cs="宋体"/>
          <w:sz w:val="24"/>
          <w:szCs w:val="24"/>
        </w:rPr>
        <w:t>请仔细检查招标文件是否齐全，如有缺漏请立即与代理机构联系解决。</w:t>
      </w:r>
    </w:p>
    <w:p w14:paraId="27276725">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8E9432">
      <w:pPr>
        <w:spacing w:line="440" w:lineRule="exact"/>
        <w:ind w:firstLine="789" w:firstLineChars="329"/>
        <w:rPr>
          <w:rFonts w:hint="eastAsia" w:ascii="宋体" w:hAnsi="宋体" w:cs="宋体"/>
          <w:sz w:val="24"/>
          <w:szCs w:val="24"/>
        </w:rPr>
      </w:pPr>
      <w:r>
        <w:rPr>
          <w:rFonts w:hint="eastAsia" w:ascii="宋体" w:hAnsi="宋体" w:cs="宋体"/>
          <w:sz w:val="24"/>
          <w:szCs w:val="24"/>
        </w:rPr>
        <w:t>1.3 招标文件及其更正事项如不是直接从指定媒体地址下载获得的，采购人或代理机构对招标文件及其补遗的真实性、完整性不承担任何责任。</w:t>
      </w:r>
    </w:p>
    <w:p w14:paraId="4969993A">
      <w:pPr>
        <w:keepNext/>
        <w:keepLines/>
        <w:spacing w:line="440" w:lineRule="exact"/>
        <w:ind w:firstLine="480"/>
        <w:rPr>
          <w:rFonts w:hint="eastAsia" w:ascii="宋体" w:hAnsi="宋体" w:cs="宋体"/>
          <w:sz w:val="24"/>
          <w:szCs w:val="24"/>
        </w:rPr>
      </w:pPr>
      <w:bookmarkStart w:id="75" w:name="_Toc20823283"/>
      <w:bookmarkStart w:id="76" w:name="_Toc513029211"/>
      <w:bookmarkStart w:id="77" w:name="_Toc462564070"/>
      <w:bookmarkStart w:id="78" w:name="_Toc16938527"/>
      <w:r>
        <w:rPr>
          <w:rFonts w:hint="eastAsia" w:ascii="宋体" w:hAnsi="宋体" w:cs="宋体"/>
          <w:sz w:val="24"/>
          <w:szCs w:val="24"/>
        </w:rPr>
        <w:t>2、招标文件的澄清、修改</w:t>
      </w:r>
    </w:p>
    <w:p w14:paraId="7E8BFF4D">
      <w:pPr>
        <w:spacing w:line="440" w:lineRule="exact"/>
        <w:ind w:firstLine="789" w:firstLineChars="329"/>
        <w:rPr>
          <w:rFonts w:hint="eastAsia" w:ascii="宋体" w:hAnsi="宋体" w:cs="宋体"/>
          <w:b/>
          <w:bCs/>
          <w:sz w:val="24"/>
          <w:szCs w:val="24"/>
        </w:rPr>
      </w:pPr>
      <w:r>
        <w:rPr>
          <w:rFonts w:hint="eastAsia" w:ascii="宋体" w:hAnsi="宋体" w:cs="宋体"/>
          <w:bCs/>
          <w:sz w:val="24"/>
          <w:szCs w:val="24"/>
        </w:rPr>
        <w:t>2.1 出于实际需要或澄清投标人问题的情况下，代理机构可对已发出的招标文件进行必要的澄清或者修改，并将在指定媒体上发布。</w:t>
      </w:r>
      <w:r>
        <w:rPr>
          <w:rFonts w:hint="eastAsia" w:ascii="宋体" w:hAnsi="宋体" w:cs="宋体"/>
          <w:b/>
          <w:bCs/>
          <w:sz w:val="24"/>
          <w:szCs w:val="24"/>
        </w:rPr>
        <w:t>各投标人应在投标截止时间前关注政府采购信息发布媒体上“补充通知”栏，按规定获取相关信息内容，否则其投标风险由投标人承担。</w:t>
      </w:r>
    </w:p>
    <w:p w14:paraId="60A3DDFC">
      <w:pPr>
        <w:spacing w:line="440" w:lineRule="exact"/>
        <w:ind w:firstLine="789" w:firstLineChars="329"/>
        <w:rPr>
          <w:rFonts w:hint="eastAsia" w:ascii="宋体" w:hAnsi="宋体" w:cs="宋体"/>
          <w:sz w:val="24"/>
          <w:szCs w:val="24"/>
        </w:rPr>
      </w:pPr>
      <w:r>
        <w:rPr>
          <w:rFonts w:hint="eastAsia" w:ascii="宋体" w:hAnsi="宋体" w:cs="宋体"/>
          <w:sz w:val="24"/>
          <w:szCs w:val="24"/>
        </w:rPr>
        <w:t>2.2 代理机构有权按照法定的要求顺延投标截止时间和开标时间。</w:t>
      </w:r>
    </w:p>
    <w:p w14:paraId="055C30CB">
      <w:pPr>
        <w:spacing w:line="440" w:lineRule="exact"/>
        <w:ind w:firstLine="789" w:firstLineChars="329"/>
        <w:rPr>
          <w:rFonts w:hint="eastAsia" w:ascii="宋体" w:hAnsi="宋体" w:cs="宋体"/>
          <w:sz w:val="24"/>
          <w:szCs w:val="24"/>
        </w:rPr>
      </w:pPr>
      <w:r>
        <w:rPr>
          <w:rFonts w:hint="eastAsia" w:ascii="宋体" w:hAnsi="宋体" w:cs="宋体"/>
          <w:sz w:val="24"/>
          <w:szCs w:val="24"/>
        </w:rPr>
        <w:t>2.3 有关澄清或者修改的内容将作为招标文件的组成部分，对所有投标人具有约束力。</w:t>
      </w:r>
    </w:p>
    <w:bookmarkEnd w:id="75"/>
    <w:bookmarkEnd w:id="76"/>
    <w:bookmarkEnd w:id="77"/>
    <w:bookmarkEnd w:id="78"/>
    <w:p w14:paraId="6D549B2A">
      <w:pPr>
        <w:keepNext/>
        <w:keepLines/>
        <w:spacing w:line="440" w:lineRule="exact"/>
        <w:ind w:firstLine="562"/>
        <w:rPr>
          <w:rFonts w:hint="eastAsia" w:ascii="宋体" w:hAnsi="宋体" w:cs="宋体"/>
          <w:b/>
          <w:bCs/>
          <w:sz w:val="28"/>
          <w:szCs w:val="28"/>
        </w:rPr>
      </w:pPr>
      <w:bookmarkStart w:id="79" w:name="_Toc20823285"/>
      <w:bookmarkStart w:id="80" w:name="_Toc16938529"/>
      <w:bookmarkStart w:id="81" w:name="_Toc120614216"/>
      <w:bookmarkStart w:id="82" w:name="_Toc462564072"/>
      <w:bookmarkStart w:id="83" w:name="_Toc513029213"/>
      <w:r>
        <w:rPr>
          <w:rFonts w:hint="eastAsia" w:ascii="宋体" w:hAnsi="宋体" w:cs="宋体"/>
          <w:b/>
          <w:bCs/>
          <w:sz w:val="28"/>
          <w:szCs w:val="28"/>
        </w:rPr>
        <w:t>三、投标文件的编制</w:t>
      </w:r>
      <w:bookmarkEnd w:id="79"/>
      <w:bookmarkEnd w:id="80"/>
      <w:bookmarkEnd w:id="81"/>
      <w:bookmarkEnd w:id="82"/>
      <w:bookmarkEnd w:id="83"/>
    </w:p>
    <w:p w14:paraId="0B7930E7">
      <w:pPr>
        <w:keepNext/>
        <w:keepLines/>
        <w:spacing w:line="440" w:lineRule="exact"/>
        <w:ind w:firstLine="480"/>
        <w:rPr>
          <w:rFonts w:hint="eastAsia" w:ascii="宋体" w:hAnsi="宋体" w:cs="宋体"/>
          <w:b/>
          <w:sz w:val="24"/>
          <w:szCs w:val="24"/>
        </w:rPr>
      </w:pPr>
      <w:bookmarkStart w:id="84" w:name="_Toc513029214"/>
      <w:bookmarkStart w:id="85" w:name="_Toc16938530"/>
      <w:bookmarkStart w:id="86" w:name="_Toc20823286"/>
      <w:bookmarkStart w:id="87" w:name="_Toc462564073"/>
      <w:r>
        <w:rPr>
          <w:rFonts w:hint="eastAsia" w:ascii="宋体" w:hAnsi="宋体" w:cs="宋体"/>
          <w:sz w:val="24"/>
          <w:szCs w:val="24"/>
        </w:rPr>
        <w:t>1、投标文件的语言及度量衡单位</w:t>
      </w:r>
      <w:bookmarkEnd w:id="84"/>
      <w:bookmarkEnd w:id="85"/>
      <w:bookmarkEnd w:id="86"/>
      <w:bookmarkEnd w:id="87"/>
    </w:p>
    <w:p w14:paraId="5410A6C9">
      <w:pPr>
        <w:spacing w:line="440" w:lineRule="exact"/>
        <w:ind w:firstLine="789" w:firstLineChars="329"/>
        <w:rPr>
          <w:rFonts w:hint="eastAsia" w:ascii="宋体" w:hAnsi="宋体" w:cs="宋体"/>
          <w:sz w:val="24"/>
          <w:szCs w:val="24"/>
        </w:rPr>
      </w:pPr>
      <w:r>
        <w:rPr>
          <w:rFonts w:hint="eastAsia" w:ascii="宋体" w:hAnsi="宋体" w:cs="宋体"/>
          <w:sz w:val="24"/>
          <w:szCs w:val="24"/>
        </w:rPr>
        <w:t>1.1 投标人提交的投标文件以及投标人与代理机构就有关投标的所有来往通知、函件和文件均应使用</w:t>
      </w:r>
      <w:r>
        <w:rPr>
          <w:rFonts w:hint="eastAsia" w:ascii="宋体" w:hAnsi="宋体" w:cs="宋体"/>
          <w:b/>
          <w:bCs/>
          <w:sz w:val="24"/>
          <w:szCs w:val="24"/>
        </w:rPr>
        <w:t>简体中文</w:t>
      </w:r>
      <w:r>
        <w:rPr>
          <w:rFonts w:hint="eastAsia" w:ascii="宋体" w:hAnsi="宋体" w:cs="宋体"/>
          <w:sz w:val="24"/>
          <w:szCs w:val="24"/>
        </w:rPr>
        <w:t>。</w:t>
      </w:r>
    </w:p>
    <w:p w14:paraId="3E7503B5">
      <w:pPr>
        <w:spacing w:line="440" w:lineRule="exact"/>
        <w:ind w:firstLine="789" w:firstLineChars="329"/>
        <w:rPr>
          <w:rFonts w:hint="eastAsia" w:ascii="宋体" w:hAnsi="宋体" w:cs="宋体"/>
          <w:sz w:val="24"/>
          <w:szCs w:val="21"/>
        </w:rPr>
      </w:pPr>
      <w:r>
        <w:rPr>
          <w:rFonts w:hint="eastAsia" w:ascii="宋体" w:hAnsi="宋体" w:cs="宋体"/>
          <w:sz w:val="24"/>
          <w:szCs w:val="24"/>
        </w:rPr>
        <w:t>1.2 除技术性能另有规定外，投标文件所使用的度量衡单位，均须采用国家法定计量单位。</w:t>
      </w:r>
    </w:p>
    <w:p w14:paraId="2776CC9F">
      <w:pPr>
        <w:keepNext/>
        <w:keepLines/>
        <w:spacing w:line="440" w:lineRule="exact"/>
        <w:ind w:firstLine="480"/>
        <w:rPr>
          <w:rFonts w:hint="eastAsia" w:ascii="宋体" w:hAnsi="宋体" w:cs="宋体"/>
          <w:sz w:val="24"/>
          <w:szCs w:val="24"/>
        </w:rPr>
      </w:pPr>
      <w:bookmarkStart w:id="88" w:name="_Toc20823287"/>
      <w:bookmarkStart w:id="89" w:name="_Toc16938531"/>
      <w:bookmarkStart w:id="90" w:name="_Toc513029215"/>
      <w:bookmarkStart w:id="91" w:name="_Toc462564074"/>
      <w:r>
        <w:rPr>
          <w:rFonts w:hint="eastAsia" w:ascii="宋体" w:hAnsi="宋体" w:cs="宋体"/>
          <w:sz w:val="24"/>
          <w:szCs w:val="24"/>
        </w:rPr>
        <w:t>2、投标文件构成</w:t>
      </w:r>
      <w:bookmarkEnd w:id="88"/>
      <w:bookmarkEnd w:id="89"/>
      <w:bookmarkEnd w:id="90"/>
      <w:bookmarkEnd w:id="91"/>
    </w:p>
    <w:p w14:paraId="08003C86">
      <w:pPr>
        <w:spacing w:line="440" w:lineRule="exact"/>
        <w:ind w:firstLine="789" w:firstLineChars="329"/>
        <w:rPr>
          <w:rFonts w:hint="eastAsia" w:ascii="宋体" w:hAnsi="宋体" w:cs="宋体"/>
          <w:sz w:val="24"/>
          <w:szCs w:val="24"/>
        </w:rPr>
      </w:pPr>
      <w:r>
        <w:rPr>
          <w:rFonts w:hint="eastAsia" w:ascii="宋体" w:hAnsi="宋体" w:cs="宋体"/>
          <w:sz w:val="24"/>
          <w:szCs w:val="24"/>
        </w:rPr>
        <w:t>2.1 投标人编写的投标文件应包括资格证明文件、开标一览表、报价明细表、投标函、服务（或商务）要求响应及偏离表、项目实施方案、其他证明文件等部分。</w:t>
      </w:r>
    </w:p>
    <w:p w14:paraId="10A74D37">
      <w:pPr>
        <w:spacing w:line="440" w:lineRule="exact"/>
        <w:ind w:firstLine="789" w:firstLineChars="329"/>
        <w:rPr>
          <w:rFonts w:hint="eastAsia" w:ascii="宋体" w:hAnsi="宋体" w:cs="宋体"/>
          <w:sz w:val="24"/>
          <w:szCs w:val="24"/>
        </w:rPr>
      </w:pPr>
      <w:r>
        <w:rPr>
          <w:rFonts w:hint="eastAsia" w:ascii="宋体" w:hAnsi="宋体" w:cs="宋体"/>
          <w:sz w:val="24"/>
          <w:szCs w:val="24"/>
        </w:rPr>
        <w:t>2.2 如标书制作工具中格式和内容与指定媒体发布的招标文件不一致，请以指定媒体发布的招标文件为准。</w:t>
      </w:r>
    </w:p>
    <w:p w14:paraId="037A914A">
      <w:pPr>
        <w:keepNext/>
        <w:keepLines/>
        <w:spacing w:line="440" w:lineRule="exact"/>
        <w:ind w:firstLine="480"/>
        <w:rPr>
          <w:rFonts w:hint="eastAsia" w:ascii="宋体" w:hAnsi="宋体" w:cs="宋体"/>
          <w:sz w:val="24"/>
          <w:szCs w:val="24"/>
        </w:rPr>
      </w:pPr>
      <w:bookmarkStart w:id="92" w:name="_Hlt26954838"/>
      <w:bookmarkEnd w:id="92"/>
      <w:bookmarkStart w:id="93" w:name="_Hlt26668975"/>
      <w:bookmarkEnd w:id="93"/>
      <w:bookmarkStart w:id="94" w:name="_Hlt26670360"/>
      <w:bookmarkEnd w:id="94"/>
      <w:bookmarkStart w:id="95" w:name="_Toc49090509"/>
      <w:bookmarkStart w:id="96" w:name="_Toc14577357"/>
      <w:bookmarkStart w:id="97" w:name="_Toc513029219"/>
      <w:bookmarkStart w:id="98" w:name="_Toc49090507"/>
      <w:bookmarkStart w:id="99" w:name="_Toc513029216"/>
      <w:bookmarkStart w:id="100" w:name="_Toc14577354"/>
      <w:bookmarkStart w:id="101" w:name="_Toc14577355"/>
      <w:bookmarkStart w:id="102" w:name="_Toc49090508"/>
      <w:r>
        <w:rPr>
          <w:rFonts w:hint="eastAsia" w:ascii="宋体" w:hAnsi="宋体" w:cs="宋体"/>
          <w:sz w:val="24"/>
          <w:szCs w:val="24"/>
        </w:rPr>
        <w:t>3、证明投标人及投标标的符合招标文件规定的文件</w:t>
      </w:r>
      <w:bookmarkEnd w:id="95"/>
      <w:bookmarkEnd w:id="96"/>
      <w:bookmarkEnd w:id="97"/>
    </w:p>
    <w:bookmarkEnd w:id="98"/>
    <w:bookmarkEnd w:id="99"/>
    <w:bookmarkEnd w:id="100"/>
    <w:p w14:paraId="26EC666F">
      <w:pPr>
        <w:spacing w:line="440" w:lineRule="exact"/>
        <w:ind w:firstLine="789" w:firstLineChars="329"/>
        <w:rPr>
          <w:rFonts w:hint="eastAsia" w:ascii="宋体" w:hAnsi="宋体" w:cs="宋体"/>
          <w:sz w:val="24"/>
          <w:szCs w:val="24"/>
        </w:rPr>
      </w:pPr>
      <w:r>
        <w:rPr>
          <w:rFonts w:hint="eastAsia" w:ascii="宋体" w:hAnsi="宋体" w:cs="宋体"/>
          <w:sz w:val="24"/>
          <w:szCs w:val="24"/>
        </w:rPr>
        <w:t>3.1 投标人应按照招标文件要求提交证明文件，证明其及投标标的符合招标文件规定。</w:t>
      </w:r>
    </w:p>
    <w:p w14:paraId="522E5F4F">
      <w:pPr>
        <w:spacing w:line="440" w:lineRule="exact"/>
        <w:ind w:firstLine="789" w:firstLineChars="329"/>
        <w:rPr>
          <w:rFonts w:hint="eastAsia" w:ascii="宋体" w:hAnsi="宋体" w:cs="宋体"/>
          <w:sz w:val="24"/>
          <w:szCs w:val="24"/>
        </w:rPr>
      </w:pPr>
      <w:r>
        <w:rPr>
          <w:rFonts w:hint="eastAsia" w:ascii="宋体" w:hAnsi="宋体" w:cs="宋体"/>
          <w:sz w:val="24"/>
          <w:szCs w:val="24"/>
        </w:rPr>
        <w:t>3.2招标文件对证明文件无明确形式要求的，证明文件可以以文字资料、图纸和数据等形式提交。</w:t>
      </w:r>
    </w:p>
    <w:bookmarkEnd w:id="101"/>
    <w:bookmarkEnd w:id="102"/>
    <w:p w14:paraId="3A162923">
      <w:pPr>
        <w:keepNext/>
        <w:keepLines/>
        <w:spacing w:line="440" w:lineRule="exact"/>
        <w:ind w:firstLine="480"/>
        <w:rPr>
          <w:rFonts w:hint="eastAsia" w:ascii="宋体" w:hAnsi="宋体" w:cs="宋体"/>
          <w:sz w:val="24"/>
          <w:szCs w:val="24"/>
        </w:rPr>
      </w:pPr>
      <w:r>
        <w:rPr>
          <w:rFonts w:hint="eastAsia" w:ascii="宋体" w:hAnsi="宋体" w:cs="宋体"/>
          <w:sz w:val="24"/>
          <w:szCs w:val="24"/>
        </w:rPr>
        <w:t>4、投标函和开标一览表</w:t>
      </w:r>
    </w:p>
    <w:p w14:paraId="0C46709F">
      <w:pPr>
        <w:spacing w:line="440" w:lineRule="exact"/>
        <w:ind w:firstLine="789" w:firstLineChars="329"/>
        <w:rPr>
          <w:rFonts w:hint="eastAsia" w:ascii="宋体" w:hAnsi="宋体" w:cs="宋体"/>
          <w:sz w:val="24"/>
          <w:szCs w:val="24"/>
        </w:rPr>
      </w:pPr>
      <w:r>
        <w:rPr>
          <w:rFonts w:hint="eastAsia" w:ascii="宋体" w:hAnsi="宋体" w:cs="宋体"/>
          <w:sz w:val="24"/>
          <w:szCs w:val="24"/>
        </w:rPr>
        <w:t>4.1 投标人应按照招标文件中提供的格式完整、正确填写投标函、开标一览表。</w:t>
      </w:r>
    </w:p>
    <w:p w14:paraId="57652310">
      <w:pPr>
        <w:spacing w:line="440" w:lineRule="exact"/>
        <w:ind w:firstLine="789" w:firstLineChars="329"/>
        <w:rPr>
          <w:rFonts w:hint="eastAsia" w:ascii="宋体" w:hAnsi="宋体" w:cs="宋体"/>
          <w:sz w:val="24"/>
          <w:szCs w:val="24"/>
        </w:rPr>
      </w:pPr>
      <w:r>
        <w:rPr>
          <w:rFonts w:hint="eastAsia" w:ascii="宋体" w:hAnsi="宋体" w:cs="宋体"/>
          <w:sz w:val="24"/>
          <w:szCs w:val="24"/>
        </w:rPr>
        <w:t>4.2 对于采用货币报价的项目，开标一览表中的投标总报价应与报价明细表中的投标总报价一致，如不一致不作为无效投标处理，但评标时按开标一览表中价格为准。</w:t>
      </w:r>
    </w:p>
    <w:p w14:paraId="57DB2E07">
      <w:pPr>
        <w:keepNext/>
        <w:keepLines/>
        <w:spacing w:line="440" w:lineRule="exact"/>
        <w:ind w:firstLine="480"/>
        <w:rPr>
          <w:rFonts w:hint="eastAsia" w:ascii="宋体" w:hAnsi="宋体" w:cs="宋体"/>
          <w:sz w:val="24"/>
          <w:szCs w:val="24"/>
        </w:rPr>
      </w:pPr>
      <w:r>
        <w:rPr>
          <w:rFonts w:hint="eastAsia" w:ascii="宋体" w:hAnsi="宋体" w:cs="宋体"/>
          <w:sz w:val="24"/>
          <w:szCs w:val="24"/>
        </w:rPr>
        <w:t>5、报价明细表</w:t>
      </w:r>
    </w:p>
    <w:p w14:paraId="2AB5FB35">
      <w:pPr>
        <w:spacing w:line="440" w:lineRule="exact"/>
        <w:ind w:firstLine="789" w:firstLineChars="329"/>
        <w:rPr>
          <w:rFonts w:hint="eastAsia" w:ascii="宋体" w:hAnsi="宋体" w:cs="宋体"/>
          <w:sz w:val="24"/>
          <w:szCs w:val="24"/>
        </w:rPr>
      </w:pPr>
      <w:r>
        <w:rPr>
          <w:rFonts w:hint="eastAsia" w:ascii="宋体" w:hAnsi="宋体" w:cs="宋体"/>
          <w:sz w:val="24"/>
          <w:szCs w:val="24"/>
        </w:rPr>
        <w:t>5.1 投标人应按照招标文件规定格式填报报价明细表。</w:t>
      </w:r>
    </w:p>
    <w:p w14:paraId="78DEFDD0">
      <w:pPr>
        <w:spacing w:line="440" w:lineRule="exact"/>
        <w:ind w:firstLine="789" w:firstLineChars="329"/>
        <w:rPr>
          <w:rFonts w:hint="eastAsia" w:ascii="宋体" w:hAnsi="宋体" w:cs="宋体"/>
          <w:sz w:val="24"/>
          <w:szCs w:val="24"/>
        </w:rPr>
      </w:pPr>
      <w:r>
        <w:rPr>
          <w:rFonts w:hint="eastAsia" w:ascii="宋体" w:hAnsi="宋体" w:cs="宋体"/>
          <w:sz w:val="24"/>
          <w:szCs w:val="24"/>
        </w:rPr>
        <w:t>5.2 投标货币。投标文件中的单价和总价无特殊规定的采用人民币报价，以元为单位标注。招标文件中另有规定的按规定执行。</w:t>
      </w:r>
    </w:p>
    <w:p w14:paraId="7B087365">
      <w:pPr>
        <w:keepNext/>
        <w:keepLines/>
        <w:spacing w:line="440" w:lineRule="exact"/>
        <w:ind w:firstLine="480"/>
        <w:rPr>
          <w:rFonts w:hint="eastAsia" w:ascii="宋体" w:hAnsi="宋体" w:cs="宋体"/>
          <w:sz w:val="24"/>
          <w:szCs w:val="24"/>
        </w:rPr>
      </w:pPr>
      <w:bookmarkStart w:id="103" w:name="_Hlt26670482"/>
      <w:bookmarkEnd w:id="103"/>
      <w:bookmarkStart w:id="104" w:name="_Hlt26670486"/>
      <w:bookmarkEnd w:id="104"/>
      <w:bookmarkStart w:id="105" w:name="_Hlt26954846"/>
      <w:bookmarkEnd w:id="105"/>
      <w:bookmarkStart w:id="106" w:name="_Hlt26954731"/>
      <w:bookmarkEnd w:id="106"/>
      <w:bookmarkStart w:id="107" w:name="_Hlt26954848"/>
      <w:bookmarkEnd w:id="107"/>
      <w:bookmarkStart w:id="108" w:name="_Hlk155763835"/>
      <w:r>
        <w:rPr>
          <w:rFonts w:hint="eastAsia" w:ascii="宋体" w:hAnsi="宋体" w:cs="宋体"/>
          <w:sz w:val="24"/>
          <w:szCs w:val="24"/>
        </w:rPr>
        <w:t>6、技术参数、商务要求响应及偏离表</w:t>
      </w:r>
    </w:p>
    <w:p w14:paraId="32C0BF9A">
      <w:pPr>
        <w:spacing w:line="440" w:lineRule="exact"/>
        <w:ind w:firstLine="789" w:firstLineChars="329"/>
        <w:rPr>
          <w:rFonts w:hint="eastAsia" w:ascii="宋体" w:hAnsi="宋体" w:cs="宋体"/>
          <w:sz w:val="24"/>
          <w:szCs w:val="24"/>
          <w:lang w:val="zh-CN"/>
        </w:rPr>
      </w:pPr>
      <w:r>
        <w:rPr>
          <w:rFonts w:hint="eastAsia" w:ascii="宋体" w:hAnsi="宋体" w:cs="宋体"/>
          <w:sz w:val="24"/>
          <w:szCs w:val="24"/>
        </w:rPr>
        <w:t>6.1</w:t>
      </w:r>
      <w:r>
        <w:rPr>
          <w:rFonts w:hint="eastAsia" w:ascii="宋体" w:hAnsi="宋体" w:cs="宋体"/>
          <w:sz w:val="24"/>
          <w:szCs w:val="24"/>
          <w:lang w:val="zh-CN"/>
        </w:rPr>
        <w:t xml:space="preserve"> 投标人需对招标文件中的技术参数与商务要求逐项作出响应或偏离，并说明原因。</w:t>
      </w:r>
    </w:p>
    <w:p w14:paraId="6F2EBCF3">
      <w:pPr>
        <w:spacing w:line="440" w:lineRule="exact"/>
        <w:ind w:firstLine="789" w:firstLineChars="329"/>
        <w:rPr>
          <w:rFonts w:hint="eastAsia" w:ascii="宋体" w:hAnsi="宋体" w:cs="宋体"/>
          <w:sz w:val="24"/>
          <w:szCs w:val="24"/>
          <w:lang w:val="zh-CN"/>
        </w:rPr>
      </w:pPr>
      <w:r>
        <w:rPr>
          <w:rFonts w:hint="eastAsia" w:ascii="宋体" w:hAnsi="宋体" w:cs="宋体"/>
          <w:sz w:val="24"/>
          <w:szCs w:val="24"/>
        </w:rPr>
        <w:t>6.2</w:t>
      </w:r>
      <w:r>
        <w:rPr>
          <w:rFonts w:hint="eastAsia" w:ascii="宋体" w:hAnsi="宋体" w:cs="宋体"/>
          <w:sz w:val="24"/>
          <w:szCs w:val="24"/>
          <w:lang w:val="zh-CN"/>
        </w:rPr>
        <w:t xml:space="preserve"> 投标人需按照招标文件要求，在投标文件中提供与服务要求和商务要求相关的证明材料。</w:t>
      </w:r>
      <w:bookmarkEnd w:id="108"/>
      <w:r>
        <w:rPr>
          <w:rFonts w:hint="eastAsia" w:ascii="宋体" w:hAnsi="宋体" w:cs="宋体"/>
          <w:sz w:val="24"/>
          <w:szCs w:val="24"/>
          <w:lang w:val="zh-CN"/>
        </w:rPr>
        <w:t>（如有）</w:t>
      </w:r>
    </w:p>
    <w:p w14:paraId="61EDF0E2">
      <w:pPr>
        <w:keepNext/>
        <w:keepLines/>
        <w:spacing w:line="440" w:lineRule="exact"/>
        <w:ind w:firstLine="480"/>
        <w:rPr>
          <w:rFonts w:hint="eastAsia" w:ascii="宋体" w:hAnsi="宋体" w:cs="宋体"/>
          <w:sz w:val="24"/>
          <w:szCs w:val="24"/>
        </w:rPr>
      </w:pPr>
      <w:r>
        <w:rPr>
          <w:rFonts w:hint="eastAsia" w:ascii="宋体" w:hAnsi="宋体" w:cs="宋体"/>
          <w:sz w:val="24"/>
          <w:szCs w:val="24"/>
        </w:rPr>
        <w:t>7、投标货物综合说明、项目实施方案、项目组人员一览表、质量保证及售后服务承诺、业绩情况</w:t>
      </w:r>
    </w:p>
    <w:p w14:paraId="235C4FE9">
      <w:pPr>
        <w:spacing w:line="440" w:lineRule="exact"/>
        <w:ind w:firstLine="789" w:firstLineChars="329"/>
        <w:rPr>
          <w:rFonts w:hint="eastAsia" w:ascii="宋体" w:hAnsi="宋体" w:cs="宋体"/>
          <w:sz w:val="24"/>
          <w:szCs w:val="24"/>
        </w:rPr>
      </w:pPr>
      <w:r>
        <w:rPr>
          <w:rFonts w:hint="eastAsia" w:ascii="宋体" w:hAnsi="宋体" w:cs="宋体"/>
          <w:sz w:val="24"/>
          <w:szCs w:val="24"/>
        </w:rPr>
        <w:t>7.1 投标人需根据招标文件要求提供有关投标货物综合说明、项目实施方案、项目组人员一览表、质量保证及售后服务承诺等。</w:t>
      </w:r>
    </w:p>
    <w:p w14:paraId="606E1D6D">
      <w:pPr>
        <w:spacing w:line="440" w:lineRule="exact"/>
        <w:ind w:firstLine="789" w:firstLineChars="329"/>
        <w:rPr>
          <w:rFonts w:hint="eastAsia" w:ascii="宋体" w:hAnsi="宋体" w:cs="宋体"/>
          <w:sz w:val="24"/>
          <w:szCs w:val="24"/>
        </w:rPr>
      </w:pPr>
      <w:r>
        <w:rPr>
          <w:rFonts w:hint="eastAsia" w:ascii="宋体" w:hAnsi="宋体" w:cs="宋体"/>
          <w:sz w:val="24"/>
          <w:szCs w:val="24"/>
        </w:rPr>
        <w:t>7.2 投标人需根据招标文件要求提供实施的类似项目业绩情况。</w:t>
      </w:r>
      <w:bookmarkStart w:id="109" w:name="_Toc49090510"/>
      <w:bookmarkStart w:id="110" w:name="_Toc14577359"/>
    </w:p>
    <w:p w14:paraId="0718F6A2">
      <w:pPr>
        <w:keepNext/>
        <w:keepLines/>
        <w:spacing w:line="440" w:lineRule="exact"/>
        <w:ind w:firstLine="480"/>
        <w:rPr>
          <w:rFonts w:hint="eastAsia" w:ascii="宋体" w:hAnsi="宋体" w:cs="宋体"/>
          <w:sz w:val="24"/>
          <w:szCs w:val="24"/>
        </w:rPr>
      </w:pPr>
      <w:r>
        <w:rPr>
          <w:rFonts w:hint="eastAsia" w:ascii="宋体" w:hAnsi="宋体" w:cs="宋体"/>
          <w:sz w:val="24"/>
          <w:szCs w:val="24"/>
        </w:rPr>
        <w:t>8、其他</w:t>
      </w:r>
    </w:p>
    <w:p w14:paraId="76C97581">
      <w:pPr>
        <w:spacing w:line="440" w:lineRule="exact"/>
        <w:ind w:firstLine="789" w:firstLineChars="329"/>
        <w:rPr>
          <w:rFonts w:hint="eastAsia" w:ascii="宋体" w:hAnsi="宋体" w:cs="宋体"/>
          <w:sz w:val="24"/>
          <w:szCs w:val="24"/>
        </w:rPr>
      </w:pPr>
      <w:r>
        <w:rPr>
          <w:rFonts w:hint="eastAsia" w:ascii="宋体" w:hAnsi="宋体" w:cs="宋体"/>
          <w:sz w:val="24"/>
          <w:szCs w:val="24"/>
        </w:rPr>
        <w:t>8.1 投标人需根据招标文件要求提供的其他证明材料。</w:t>
      </w:r>
    </w:p>
    <w:bookmarkEnd w:id="109"/>
    <w:bookmarkEnd w:id="110"/>
    <w:p w14:paraId="00050CF3">
      <w:pPr>
        <w:keepNext/>
        <w:keepLines/>
        <w:spacing w:line="440" w:lineRule="exact"/>
        <w:ind w:firstLine="480"/>
        <w:rPr>
          <w:rFonts w:hint="eastAsia" w:ascii="宋体" w:hAnsi="宋体" w:cs="宋体"/>
          <w:sz w:val="24"/>
          <w:szCs w:val="24"/>
        </w:rPr>
      </w:pPr>
      <w:bookmarkStart w:id="111" w:name="_Toc49090511"/>
      <w:bookmarkStart w:id="112" w:name="_Toc14577360"/>
      <w:r>
        <w:rPr>
          <w:rFonts w:hint="eastAsia" w:ascii="宋体" w:hAnsi="宋体" w:cs="宋体"/>
          <w:sz w:val="24"/>
          <w:szCs w:val="24"/>
        </w:rPr>
        <w:t>9、投标有效期</w:t>
      </w:r>
      <w:bookmarkEnd w:id="111"/>
      <w:bookmarkEnd w:id="112"/>
    </w:p>
    <w:p w14:paraId="56922C59">
      <w:pPr>
        <w:spacing w:line="440" w:lineRule="exact"/>
        <w:ind w:firstLine="789" w:firstLineChars="329"/>
        <w:rPr>
          <w:rFonts w:hint="eastAsia" w:ascii="宋体" w:hAnsi="宋体" w:cs="宋体"/>
          <w:bCs/>
          <w:sz w:val="24"/>
          <w:szCs w:val="24"/>
        </w:rPr>
      </w:pPr>
      <w:r>
        <w:rPr>
          <w:rFonts w:hint="eastAsia" w:ascii="宋体" w:hAnsi="宋体" w:cs="宋体"/>
          <w:sz w:val="24"/>
          <w:szCs w:val="24"/>
        </w:rPr>
        <w:t>9.1投标有效期为代理机构</w:t>
      </w:r>
      <w:r>
        <w:rPr>
          <w:rFonts w:hint="eastAsia" w:ascii="宋体" w:hAnsi="宋体" w:cs="宋体"/>
          <w:bCs/>
          <w:sz w:val="24"/>
          <w:szCs w:val="24"/>
        </w:rPr>
        <w:t>规定的开标之日后</w:t>
      </w:r>
      <w:r>
        <w:rPr>
          <w:rFonts w:hint="eastAsia" w:ascii="宋体" w:hAnsi="宋体" w:cs="宋体"/>
          <w:b/>
          <w:sz w:val="24"/>
          <w:szCs w:val="24"/>
          <w:u w:val="single"/>
        </w:rPr>
        <w:t>六十（60）天</w:t>
      </w:r>
      <w:r>
        <w:rPr>
          <w:rFonts w:hint="eastAsia" w:ascii="宋体" w:hAnsi="宋体" w:cs="宋体"/>
          <w:bCs/>
          <w:sz w:val="24"/>
          <w:szCs w:val="24"/>
        </w:rPr>
        <w:t>。投标有效期比规定短的将被视为未实质性响应招标文件而予以拒绝。</w:t>
      </w:r>
    </w:p>
    <w:p w14:paraId="41E689DC">
      <w:pPr>
        <w:keepNext/>
        <w:keepLines/>
        <w:spacing w:line="440" w:lineRule="exact"/>
        <w:ind w:firstLine="480"/>
        <w:rPr>
          <w:rFonts w:hint="eastAsia" w:ascii="宋体" w:hAnsi="宋体" w:cs="宋体"/>
          <w:sz w:val="24"/>
          <w:szCs w:val="24"/>
        </w:rPr>
      </w:pPr>
      <w:r>
        <w:rPr>
          <w:rFonts w:hint="eastAsia" w:ascii="宋体" w:hAnsi="宋体" w:cs="宋体"/>
          <w:sz w:val="24"/>
          <w:szCs w:val="24"/>
        </w:rPr>
        <w:t>10、投标有效期的延长</w:t>
      </w:r>
    </w:p>
    <w:p w14:paraId="78434A85">
      <w:pPr>
        <w:spacing w:line="440" w:lineRule="exact"/>
        <w:ind w:firstLine="789" w:firstLineChars="329"/>
        <w:rPr>
          <w:rFonts w:hint="eastAsia" w:ascii="宋体" w:hAnsi="宋体" w:cs="宋体"/>
          <w:sz w:val="24"/>
          <w:szCs w:val="24"/>
        </w:rPr>
      </w:pPr>
      <w:r>
        <w:rPr>
          <w:rFonts w:hint="eastAsia" w:ascii="宋体" w:hAnsi="宋体" w:cs="宋体"/>
          <w:sz w:val="24"/>
          <w:szCs w:val="24"/>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B2C1957">
      <w:pPr>
        <w:keepNext/>
        <w:keepLines/>
        <w:spacing w:line="440" w:lineRule="exact"/>
        <w:ind w:firstLine="562"/>
        <w:rPr>
          <w:rFonts w:hint="eastAsia" w:ascii="宋体" w:hAnsi="宋体" w:cs="宋体"/>
          <w:b/>
          <w:bCs/>
          <w:sz w:val="28"/>
          <w:szCs w:val="28"/>
        </w:rPr>
      </w:pPr>
      <w:bookmarkStart w:id="113" w:name="_Hlt26954739"/>
      <w:bookmarkEnd w:id="113"/>
      <w:bookmarkStart w:id="114" w:name="_Hlt26954852"/>
      <w:bookmarkEnd w:id="114"/>
      <w:bookmarkStart w:id="115" w:name="_Toc120614217"/>
      <w:bookmarkStart w:id="116" w:name="_Toc16938540"/>
      <w:bookmarkStart w:id="117" w:name="_Toc513029224"/>
      <w:bookmarkStart w:id="118" w:name="_Toc20823296"/>
      <w:r>
        <w:rPr>
          <w:rFonts w:hint="eastAsia" w:ascii="宋体" w:hAnsi="宋体" w:cs="宋体"/>
          <w:b/>
          <w:bCs/>
          <w:sz w:val="28"/>
          <w:szCs w:val="28"/>
        </w:rPr>
        <w:t>四、投标文件的递交</w:t>
      </w:r>
      <w:bookmarkEnd w:id="115"/>
      <w:bookmarkEnd w:id="116"/>
      <w:bookmarkEnd w:id="117"/>
      <w:bookmarkEnd w:id="118"/>
    </w:p>
    <w:p w14:paraId="1CDFC3D6">
      <w:pPr>
        <w:keepNext/>
        <w:keepLines/>
        <w:spacing w:line="440" w:lineRule="exact"/>
        <w:ind w:firstLine="480" w:firstLineChars="200"/>
        <w:rPr>
          <w:rFonts w:hint="eastAsia" w:ascii="宋体" w:hAnsi="宋体" w:cs="宋体"/>
          <w:sz w:val="24"/>
          <w:szCs w:val="24"/>
        </w:rPr>
      </w:pPr>
      <w:bookmarkStart w:id="119" w:name="_Toc16938541"/>
      <w:bookmarkStart w:id="120" w:name="_Toc20823297"/>
      <w:bookmarkStart w:id="121" w:name="_Toc513029225"/>
      <w:bookmarkStart w:id="122" w:name="_Toc462564084"/>
      <w:r>
        <w:rPr>
          <w:rFonts w:hint="eastAsia" w:ascii="宋体" w:hAnsi="宋体" w:cs="宋体"/>
          <w:sz w:val="24"/>
          <w:szCs w:val="24"/>
        </w:rPr>
        <w:t>1、电子投标文件</w:t>
      </w:r>
      <w:bookmarkEnd w:id="119"/>
      <w:bookmarkEnd w:id="120"/>
      <w:bookmarkEnd w:id="121"/>
      <w:bookmarkEnd w:id="122"/>
      <w:r>
        <w:rPr>
          <w:rFonts w:hint="eastAsia" w:ascii="宋体" w:hAnsi="宋体" w:cs="宋体"/>
          <w:sz w:val="24"/>
          <w:szCs w:val="24"/>
        </w:rPr>
        <w:t>的递交</w:t>
      </w:r>
    </w:p>
    <w:p w14:paraId="775BF0B2">
      <w:pPr>
        <w:spacing w:line="440" w:lineRule="exact"/>
        <w:ind w:firstLine="789" w:firstLineChars="329"/>
        <w:rPr>
          <w:rFonts w:hint="eastAsia" w:ascii="宋体" w:hAnsi="宋体" w:cs="宋体"/>
          <w:sz w:val="24"/>
          <w:szCs w:val="24"/>
        </w:rPr>
      </w:pPr>
      <w:r>
        <w:rPr>
          <w:rFonts w:hint="eastAsia" w:ascii="宋体" w:hAnsi="宋体" w:cs="宋体"/>
          <w:sz w:val="24"/>
          <w:szCs w:val="24"/>
        </w:rPr>
        <w:t>1.1投标人应当按照《苏采云系统供应商操作手册》规定，在投标截止时间前制作并上传电子投标文件。</w:t>
      </w:r>
      <w:bookmarkStart w:id="123" w:name="_Toc16938542"/>
      <w:bookmarkStart w:id="124" w:name="_Toc513029226"/>
      <w:bookmarkStart w:id="125" w:name="_Toc20823298"/>
    </w:p>
    <w:p w14:paraId="622EB136">
      <w:pPr>
        <w:keepNext/>
        <w:keepLines/>
        <w:spacing w:line="440" w:lineRule="exact"/>
        <w:ind w:firstLine="480"/>
        <w:rPr>
          <w:rFonts w:hint="eastAsia" w:ascii="宋体" w:hAnsi="宋体" w:cs="宋体"/>
          <w:bCs/>
          <w:sz w:val="24"/>
          <w:szCs w:val="24"/>
        </w:rPr>
      </w:pPr>
      <w:r>
        <w:rPr>
          <w:rFonts w:hint="eastAsia" w:ascii="宋体" w:hAnsi="宋体" w:cs="宋体"/>
          <w:bCs/>
          <w:sz w:val="24"/>
          <w:szCs w:val="24"/>
        </w:rPr>
        <w:t>2、投标截止日期</w:t>
      </w:r>
      <w:bookmarkEnd w:id="123"/>
      <w:bookmarkEnd w:id="124"/>
      <w:bookmarkEnd w:id="125"/>
    </w:p>
    <w:p w14:paraId="442A19F3">
      <w:pPr>
        <w:spacing w:line="440" w:lineRule="exact"/>
        <w:ind w:firstLine="789" w:firstLineChars="329"/>
        <w:rPr>
          <w:rFonts w:hint="eastAsia" w:ascii="宋体" w:hAnsi="宋体" w:cs="宋体"/>
          <w:bCs/>
          <w:iCs/>
          <w:sz w:val="24"/>
          <w:szCs w:val="24"/>
          <w:u w:val="single"/>
        </w:rPr>
      </w:pPr>
      <w:r>
        <w:rPr>
          <w:rFonts w:hint="eastAsia" w:ascii="宋体" w:hAnsi="宋体" w:cs="宋体"/>
          <w:iCs/>
          <w:sz w:val="24"/>
          <w:szCs w:val="24"/>
          <w:u w:val="single"/>
        </w:rPr>
        <w:t>2.1</w:t>
      </w:r>
      <w:r>
        <w:rPr>
          <w:rFonts w:hint="eastAsia" w:ascii="宋体" w:hAnsi="宋体" w:cs="宋体"/>
          <w:bCs/>
          <w:iCs/>
          <w:sz w:val="24"/>
          <w:szCs w:val="24"/>
          <w:u w:val="single"/>
        </w:rPr>
        <w:t xml:space="preserve"> 投标人上传电子投标文件的时间不得迟于招标公告中规定的投标截止时间。</w:t>
      </w:r>
    </w:p>
    <w:p w14:paraId="4B8B266B">
      <w:pPr>
        <w:spacing w:line="440" w:lineRule="exact"/>
        <w:ind w:firstLine="480"/>
        <w:rPr>
          <w:rFonts w:hint="eastAsia" w:ascii="宋体" w:hAnsi="宋体" w:cs="宋体"/>
          <w:bCs/>
          <w:sz w:val="24"/>
          <w:szCs w:val="24"/>
        </w:rPr>
      </w:pPr>
      <w:r>
        <w:rPr>
          <w:rFonts w:hint="eastAsia" w:ascii="宋体" w:hAnsi="宋体" w:cs="宋体"/>
          <w:bCs/>
          <w:sz w:val="24"/>
          <w:szCs w:val="24"/>
        </w:rPr>
        <w:t>投标人应充分考虑到网络环境、网络带宽等风险因素，如因投标人自身原因造成的电子投标文件上传不成功的按照本招标文件第二章第27.1.2条规定做无效投标处理。</w:t>
      </w:r>
    </w:p>
    <w:p w14:paraId="67C4759A">
      <w:pPr>
        <w:spacing w:line="440" w:lineRule="exact"/>
        <w:ind w:firstLine="789" w:firstLineChars="329"/>
        <w:rPr>
          <w:rFonts w:hint="eastAsia" w:ascii="宋体" w:hAnsi="宋体" w:cs="宋体"/>
          <w:bCs/>
          <w:sz w:val="24"/>
          <w:szCs w:val="24"/>
        </w:rPr>
      </w:pPr>
      <w:r>
        <w:rPr>
          <w:rFonts w:hint="eastAsia" w:ascii="宋体" w:hAnsi="宋体" w:cs="宋体"/>
          <w:sz w:val="24"/>
          <w:szCs w:val="24"/>
        </w:rPr>
        <w:t>2.2</w:t>
      </w:r>
      <w:r>
        <w:rPr>
          <w:rFonts w:hint="eastAsia" w:ascii="宋体" w:hAnsi="宋体" w:cs="宋体"/>
          <w:bCs/>
          <w:sz w:val="24"/>
          <w:szCs w:val="24"/>
        </w:rPr>
        <w:t xml:space="preserve"> 代理机构可以按照规定，通过修改招标文件酌情延长投标截止日期，在此情况下，投标人的所有权利和义务以及投标人受制的截止日期均应以延长后新的截止日期为准。</w:t>
      </w:r>
    </w:p>
    <w:p w14:paraId="5D3A28DD">
      <w:pPr>
        <w:keepNext/>
        <w:keepLines/>
        <w:spacing w:line="440" w:lineRule="exact"/>
        <w:ind w:firstLine="480"/>
        <w:rPr>
          <w:rFonts w:hint="eastAsia" w:ascii="宋体" w:hAnsi="宋体" w:cs="宋体"/>
          <w:sz w:val="24"/>
          <w:szCs w:val="24"/>
        </w:rPr>
      </w:pPr>
      <w:bookmarkStart w:id="126" w:name="_Toc513029227"/>
      <w:bookmarkStart w:id="127" w:name="_Toc20823299"/>
      <w:bookmarkStart w:id="128" w:name="_Toc16938543"/>
      <w:r>
        <w:rPr>
          <w:rFonts w:hint="eastAsia" w:ascii="宋体" w:hAnsi="宋体" w:cs="宋体"/>
          <w:sz w:val="24"/>
          <w:szCs w:val="24"/>
        </w:rPr>
        <w:t>3、投标文件</w:t>
      </w:r>
      <w:bookmarkEnd w:id="126"/>
      <w:bookmarkEnd w:id="127"/>
      <w:bookmarkEnd w:id="128"/>
      <w:r>
        <w:rPr>
          <w:rFonts w:hint="eastAsia" w:ascii="宋体" w:hAnsi="宋体" w:cs="宋体"/>
          <w:sz w:val="24"/>
          <w:szCs w:val="24"/>
        </w:rPr>
        <w:t>的拒收</w:t>
      </w:r>
    </w:p>
    <w:p w14:paraId="786BFD44">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3.1 代理机构拒绝接收在其规定的投标截止时间后上传的任何投标文件。</w:t>
      </w:r>
    </w:p>
    <w:p w14:paraId="6673A0D8">
      <w:pPr>
        <w:keepNext/>
        <w:keepLines/>
        <w:spacing w:line="440" w:lineRule="exact"/>
        <w:ind w:firstLine="480"/>
        <w:rPr>
          <w:rFonts w:hint="eastAsia" w:ascii="宋体" w:hAnsi="宋体" w:cs="宋体"/>
          <w:sz w:val="24"/>
          <w:szCs w:val="24"/>
        </w:rPr>
      </w:pPr>
      <w:bookmarkStart w:id="129" w:name="_Toc513029228"/>
      <w:bookmarkStart w:id="130" w:name="_Toc20823300"/>
      <w:bookmarkStart w:id="131" w:name="_Toc16938544"/>
      <w:r>
        <w:rPr>
          <w:rFonts w:hint="eastAsia" w:ascii="宋体" w:hAnsi="宋体" w:cs="宋体"/>
          <w:sz w:val="24"/>
          <w:szCs w:val="24"/>
        </w:rPr>
        <w:t>4、投标文件的撤回和修改</w:t>
      </w:r>
      <w:bookmarkEnd w:id="129"/>
      <w:bookmarkEnd w:id="130"/>
      <w:bookmarkEnd w:id="131"/>
    </w:p>
    <w:p w14:paraId="3CB1537B">
      <w:pPr>
        <w:spacing w:line="440" w:lineRule="exact"/>
        <w:ind w:firstLine="789" w:firstLineChars="329"/>
        <w:rPr>
          <w:rFonts w:hint="eastAsia" w:ascii="宋体" w:hAnsi="宋体" w:cs="宋体"/>
          <w:sz w:val="24"/>
          <w:szCs w:val="24"/>
        </w:rPr>
      </w:pPr>
      <w:r>
        <w:rPr>
          <w:rFonts w:hint="eastAsia" w:ascii="宋体" w:hAnsi="宋体" w:cs="宋体"/>
          <w:sz w:val="24"/>
          <w:szCs w:val="24"/>
        </w:rPr>
        <w:t>4.1 投标文件的撤回</w:t>
      </w:r>
    </w:p>
    <w:p w14:paraId="737220D5">
      <w:pPr>
        <w:spacing w:line="440" w:lineRule="exact"/>
        <w:ind w:firstLine="960" w:firstLineChars="400"/>
        <w:rPr>
          <w:rFonts w:hint="eastAsia" w:ascii="宋体" w:hAnsi="宋体" w:cs="宋体"/>
          <w:sz w:val="24"/>
          <w:szCs w:val="24"/>
        </w:rPr>
      </w:pPr>
      <w:r>
        <w:rPr>
          <w:rFonts w:hint="eastAsia" w:ascii="宋体" w:hAnsi="宋体" w:cs="宋体"/>
          <w:sz w:val="24"/>
          <w:szCs w:val="24"/>
        </w:rPr>
        <w:t>4.1.1 电子投标文件的撤回</w:t>
      </w:r>
    </w:p>
    <w:p w14:paraId="5D1238AE">
      <w:pPr>
        <w:spacing w:line="440" w:lineRule="exact"/>
        <w:ind w:firstLine="480"/>
        <w:rPr>
          <w:rFonts w:hint="eastAsia" w:ascii="宋体" w:hAnsi="宋体" w:cs="宋体"/>
          <w:sz w:val="24"/>
          <w:szCs w:val="24"/>
        </w:rPr>
      </w:pPr>
      <w:r>
        <w:rPr>
          <w:rFonts w:hint="eastAsia" w:ascii="宋体" w:hAnsi="宋体" w:cs="宋体"/>
          <w:sz w:val="24"/>
          <w:szCs w:val="24"/>
        </w:rPr>
        <w:t>投标人可在投标截止时间前，撤回其电子投标文件，具体操作方法见《苏采云系统供应商操作手册》。</w:t>
      </w:r>
    </w:p>
    <w:p w14:paraId="61804C82">
      <w:pPr>
        <w:spacing w:line="440" w:lineRule="exact"/>
        <w:ind w:firstLine="960" w:firstLineChars="400"/>
        <w:rPr>
          <w:rFonts w:hint="eastAsia" w:ascii="宋体" w:hAnsi="宋体" w:cs="宋体"/>
          <w:sz w:val="24"/>
          <w:szCs w:val="24"/>
        </w:rPr>
      </w:pPr>
      <w:r>
        <w:rPr>
          <w:rFonts w:hint="eastAsia" w:ascii="宋体" w:hAnsi="宋体" w:cs="宋体"/>
          <w:sz w:val="24"/>
          <w:szCs w:val="24"/>
        </w:rPr>
        <w:t>4.1.2 投标人撤回电子投标文件，则认为其不再参与本项目投标活动。</w:t>
      </w:r>
    </w:p>
    <w:p w14:paraId="7219F933">
      <w:pPr>
        <w:spacing w:line="440" w:lineRule="exact"/>
        <w:ind w:firstLine="789" w:firstLineChars="329"/>
        <w:rPr>
          <w:rFonts w:hint="eastAsia" w:ascii="宋体" w:hAnsi="宋体" w:cs="宋体"/>
          <w:sz w:val="24"/>
          <w:szCs w:val="24"/>
        </w:rPr>
      </w:pPr>
      <w:r>
        <w:rPr>
          <w:rFonts w:hint="eastAsia" w:ascii="宋体" w:hAnsi="宋体" w:cs="宋体"/>
          <w:sz w:val="24"/>
          <w:szCs w:val="24"/>
        </w:rPr>
        <w:t>4.2 投标文件的修改</w:t>
      </w:r>
    </w:p>
    <w:p w14:paraId="4EB1F819">
      <w:pPr>
        <w:spacing w:line="440" w:lineRule="exact"/>
        <w:ind w:firstLine="960" w:firstLineChars="400"/>
        <w:rPr>
          <w:rFonts w:hint="eastAsia" w:ascii="宋体" w:hAnsi="宋体" w:cs="宋体"/>
          <w:sz w:val="24"/>
          <w:szCs w:val="24"/>
        </w:rPr>
      </w:pPr>
      <w:r>
        <w:rPr>
          <w:rFonts w:hint="eastAsia" w:ascii="宋体" w:hAnsi="宋体" w:cs="宋体"/>
          <w:sz w:val="24"/>
          <w:szCs w:val="24"/>
        </w:rPr>
        <w:t>4.2.1投标人可在投标截止时间前，对其电子投标文件进行修改，具体操作方法见《苏采云系统供应商操作手册》。</w:t>
      </w:r>
    </w:p>
    <w:p w14:paraId="78E70BEF">
      <w:pPr>
        <w:spacing w:line="440" w:lineRule="exact"/>
        <w:ind w:firstLine="960" w:firstLineChars="400"/>
        <w:rPr>
          <w:rFonts w:hint="eastAsia" w:ascii="宋体" w:hAnsi="宋体" w:cs="宋体"/>
          <w:sz w:val="24"/>
          <w:szCs w:val="24"/>
        </w:rPr>
      </w:pPr>
      <w:r>
        <w:rPr>
          <w:rFonts w:hint="eastAsia" w:ascii="宋体" w:hAnsi="宋体" w:cs="宋体"/>
          <w:sz w:val="24"/>
          <w:szCs w:val="24"/>
        </w:rPr>
        <w:t>4.2.2 在投标截止时间之后，投标人不得对其电子投标文件作任何修改。</w:t>
      </w:r>
    </w:p>
    <w:p w14:paraId="216247CC">
      <w:pPr>
        <w:spacing w:line="440" w:lineRule="exact"/>
        <w:ind w:firstLine="789" w:firstLineChars="329"/>
        <w:rPr>
          <w:rFonts w:hint="eastAsia" w:ascii="宋体" w:hAnsi="宋体" w:cs="宋体"/>
          <w:sz w:val="24"/>
          <w:szCs w:val="24"/>
        </w:rPr>
      </w:pPr>
      <w:r>
        <w:rPr>
          <w:rFonts w:hint="eastAsia" w:ascii="宋体" w:hAnsi="宋体" w:cs="宋体"/>
          <w:sz w:val="24"/>
          <w:szCs w:val="24"/>
        </w:rPr>
        <w:t>4.3 在投标截止时间至招标文件中规定的投标有效期满之间的这段时间内，投标人不得撤回其投标。</w:t>
      </w:r>
    </w:p>
    <w:p w14:paraId="6032001A">
      <w:pPr>
        <w:keepNext/>
        <w:keepLines/>
        <w:spacing w:line="440" w:lineRule="exact"/>
        <w:ind w:firstLine="562"/>
        <w:rPr>
          <w:rFonts w:hint="eastAsia" w:ascii="宋体" w:hAnsi="宋体" w:cs="宋体"/>
          <w:b/>
          <w:bCs/>
          <w:sz w:val="28"/>
          <w:szCs w:val="28"/>
        </w:rPr>
      </w:pPr>
      <w:bookmarkStart w:id="132" w:name="_Toc120614218"/>
      <w:bookmarkStart w:id="133" w:name="_Toc16938545"/>
      <w:bookmarkStart w:id="134" w:name="_Toc20823301"/>
      <w:bookmarkStart w:id="135" w:name="_Toc513029229"/>
      <w:r>
        <w:rPr>
          <w:rFonts w:hint="eastAsia" w:ascii="宋体" w:hAnsi="宋体" w:cs="宋体"/>
          <w:b/>
          <w:bCs/>
          <w:sz w:val="28"/>
          <w:szCs w:val="28"/>
        </w:rPr>
        <w:t>五、开标与评标</w:t>
      </w:r>
      <w:bookmarkEnd w:id="132"/>
      <w:bookmarkEnd w:id="133"/>
      <w:bookmarkEnd w:id="134"/>
      <w:bookmarkEnd w:id="135"/>
    </w:p>
    <w:p w14:paraId="563B09E4">
      <w:pPr>
        <w:keepNext/>
        <w:keepLines/>
        <w:spacing w:line="440" w:lineRule="exact"/>
        <w:ind w:firstLine="480"/>
        <w:rPr>
          <w:rFonts w:hint="eastAsia" w:ascii="宋体" w:hAnsi="宋体" w:cs="宋体"/>
          <w:sz w:val="24"/>
          <w:szCs w:val="24"/>
        </w:rPr>
      </w:pPr>
      <w:bookmarkStart w:id="136" w:name="_Toc20823302"/>
      <w:bookmarkStart w:id="137" w:name="_Toc16938546"/>
      <w:bookmarkStart w:id="138" w:name="_Toc513029230"/>
      <w:r>
        <w:rPr>
          <w:rFonts w:hint="eastAsia" w:ascii="宋体" w:hAnsi="宋体" w:cs="宋体"/>
          <w:sz w:val="24"/>
          <w:szCs w:val="24"/>
        </w:rPr>
        <w:t>1、开标</w:t>
      </w:r>
      <w:bookmarkEnd w:id="136"/>
      <w:bookmarkEnd w:id="137"/>
      <w:bookmarkEnd w:id="138"/>
    </w:p>
    <w:p w14:paraId="61F87573">
      <w:pPr>
        <w:spacing w:line="440" w:lineRule="exact"/>
        <w:ind w:firstLine="789" w:firstLineChars="329"/>
        <w:rPr>
          <w:rFonts w:hint="eastAsia" w:ascii="宋体" w:hAnsi="宋体" w:cs="宋体"/>
          <w:sz w:val="24"/>
          <w:szCs w:val="24"/>
        </w:rPr>
      </w:pPr>
      <w:r>
        <w:rPr>
          <w:rFonts w:hint="eastAsia" w:ascii="宋体" w:hAnsi="宋体" w:cs="宋体"/>
          <w:sz w:val="24"/>
          <w:szCs w:val="24"/>
        </w:rPr>
        <w:t>1.1 代理机构将在招标公告中规定的时间和地点组织公开开标。投标人应当按照《苏采云系统供应商操作手册》规定，参加开标活动和在苏采云系统规定的时间内对投标文件进行解密。</w:t>
      </w:r>
    </w:p>
    <w:p w14:paraId="0F3208E0">
      <w:pPr>
        <w:spacing w:line="440" w:lineRule="exact"/>
        <w:ind w:firstLine="789" w:firstLineChars="329"/>
        <w:rPr>
          <w:rFonts w:hint="eastAsia" w:ascii="宋体" w:hAnsi="宋体" w:cs="宋体"/>
          <w:sz w:val="24"/>
          <w:szCs w:val="24"/>
        </w:rPr>
      </w:pPr>
      <w:r>
        <w:rPr>
          <w:rFonts w:hint="eastAsia" w:ascii="宋体" w:hAnsi="宋体" w:cs="宋体"/>
          <w:sz w:val="24"/>
          <w:szCs w:val="24"/>
        </w:rPr>
        <w:t>1.2开标仪式由代理机构组织。苏采云系统将自动对项目进行开标，并宣布各投标人名称和投标价格。</w:t>
      </w:r>
    </w:p>
    <w:p w14:paraId="6D423BD6">
      <w:pPr>
        <w:spacing w:line="440" w:lineRule="exact"/>
        <w:ind w:firstLine="789" w:firstLineChars="329"/>
        <w:rPr>
          <w:rFonts w:hint="eastAsia" w:ascii="宋体" w:hAnsi="宋体" w:cs="宋体"/>
          <w:sz w:val="24"/>
          <w:szCs w:val="24"/>
        </w:rPr>
      </w:pPr>
      <w:r>
        <w:rPr>
          <w:rFonts w:hint="eastAsia" w:ascii="宋体" w:hAnsi="宋体" w:cs="宋体"/>
          <w:sz w:val="24"/>
          <w:szCs w:val="24"/>
        </w:rPr>
        <w:t>1.3投标人在开标过程中涉及到的投标文件解密、开标结果确认等工作，应按照《苏采云系统供应商操作手册》规定执行。</w:t>
      </w:r>
    </w:p>
    <w:p w14:paraId="5A0F62FB">
      <w:pPr>
        <w:spacing w:line="440" w:lineRule="exact"/>
        <w:ind w:firstLine="789" w:firstLineChars="329"/>
        <w:rPr>
          <w:rFonts w:hint="eastAsia" w:ascii="宋体" w:hAnsi="宋体" w:cs="宋体"/>
          <w:sz w:val="24"/>
          <w:szCs w:val="24"/>
        </w:rPr>
      </w:pPr>
      <w:r>
        <w:rPr>
          <w:rFonts w:hint="eastAsia" w:ascii="宋体" w:hAnsi="宋体" w:cs="宋体"/>
          <w:sz w:val="24"/>
          <w:szCs w:val="24"/>
        </w:rPr>
        <w:t>1.4投标人如果对开标过程和开标记录有疑义，应当根据《操作手册》规定提出，如苏采云系统中《开标记录表》宣布后5分钟内未提出的，视同认可开标结果。</w:t>
      </w:r>
    </w:p>
    <w:p w14:paraId="7ACEFDD4">
      <w:pPr>
        <w:keepNext/>
        <w:keepLines/>
        <w:spacing w:line="440" w:lineRule="exact"/>
        <w:ind w:firstLine="480"/>
        <w:rPr>
          <w:rFonts w:hint="eastAsia" w:ascii="宋体" w:hAnsi="宋体" w:cs="宋体"/>
          <w:sz w:val="24"/>
          <w:szCs w:val="24"/>
        </w:rPr>
      </w:pPr>
      <w:bookmarkStart w:id="139" w:name="_Toc16938547"/>
      <w:bookmarkStart w:id="140" w:name="_Toc20823303"/>
      <w:bookmarkStart w:id="141" w:name="_Toc513029231"/>
      <w:r>
        <w:rPr>
          <w:rFonts w:hint="eastAsia" w:ascii="宋体" w:hAnsi="宋体" w:cs="宋体"/>
          <w:sz w:val="24"/>
          <w:szCs w:val="24"/>
        </w:rPr>
        <w:t>2、评标委员会</w:t>
      </w:r>
    </w:p>
    <w:p w14:paraId="0652E530">
      <w:pPr>
        <w:spacing w:line="440" w:lineRule="exact"/>
        <w:ind w:firstLine="789" w:firstLineChars="329"/>
        <w:rPr>
          <w:rFonts w:hint="eastAsia" w:ascii="宋体" w:hAnsi="宋体" w:cs="宋体"/>
          <w:sz w:val="24"/>
          <w:szCs w:val="24"/>
        </w:rPr>
      </w:pPr>
      <w:r>
        <w:rPr>
          <w:rFonts w:hint="eastAsia" w:ascii="宋体" w:hAnsi="宋体" w:cs="宋体"/>
          <w:sz w:val="24"/>
          <w:szCs w:val="24"/>
        </w:rPr>
        <w:t>2.1 开标后，代理机构将立即组织评标委员会（以下简称评委会）进行评标。</w:t>
      </w:r>
    </w:p>
    <w:p w14:paraId="006CA63D">
      <w:pPr>
        <w:spacing w:line="440" w:lineRule="exact"/>
        <w:ind w:firstLine="789" w:firstLineChars="329"/>
        <w:rPr>
          <w:rFonts w:hint="eastAsia" w:ascii="宋体" w:hAnsi="宋体" w:cs="宋体"/>
          <w:sz w:val="24"/>
          <w:szCs w:val="24"/>
        </w:rPr>
      </w:pPr>
      <w:r>
        <w:rPr>
          <w:rFonts w:hint="eastAsia" w:ascii="宋体" w:hAnsi="宋体" w:cs="宋体"/>
          <w:sz w:val="24"/>
          <w:szCs w:val="24"/>
        </w:rPr>
        <w:t>2.2 评委会由采购人代表和有关技术、经济等方面的专家组成，且人员构成符合政府采购有关规定。</w:t>
      </w:r>
    </w:p>
    <w:p w14:paraId="6B4DC260">
      <w:pPr>
        <w:spacing w:line="440" w:lineRule="exact"/>
        <w:ind w:firstLine="789" w:firstLineChars="329"/>
        <w:rPr>
          <w:rFonts w:hint="eastAsia" w:ascii="宋体" w:hAnsi="宋体" w:cs="宋体"/>
          <w:sz w:val="24"/>
          <w:szCs w:val="24"/>
        </w:rPr>
      </w:pPr>
      <w:r>
        <w:rPr>
          <w:rFonts w:hint="eastAsia" w:ascii="宋体" w:hAnsi="宋体" w:cs="宋体"/>
          <w:sz w:val="24"/>
          <w:szCs w:val="24"/>
        </w:rPr>
        <w:t>2.3评委会独立工作，负责评审所有投标文件并确定中标侯选人。</w:t>
      </w:r>
    </w:p>
    <w:p w14:paraId="7E03C0AD">
      <w:pPr>
        <w:keepNext/>
        <w:keepLines/>
        <w:spacing w:line="440" w:lineRule="exact"/>
        <w:ind w:firstLine="480"/>
        <w:rPr>
          <w:rFonts w:hint="eastAsia" w:ascii="宋体" w:hAnsi="宋体" w:cs="宋体"/>
          <w:sz w:val="24"/>
          <w:szCs w:val="24"/>
        </w:rPr>
      </w:pPr>
      <w:r>
        <w:rPr>
          <w:rFonts w:hint="eastAsia" w:ascii="宋体" w:hAnsi="宋体" w:cs="宋体"/>
          <w:sz w:val="24"/>
          <w:szCs w:val="24"/>
        </w:rPr>
        <w:t>3．评标过程的保密与公正</w:t>
      </w:r>
    </w:p>
    <w:bookmarkEnd w:id="139"/>
    <w:bookmarkEnd w:id="140"/>
    <w:bookmarkEnd w:id="141"/>
    <w:p w14:paraId="70A39F2F">
      <w:pPr>
        <w:spacing w:line="440" w:lineRule="exact"/>
        <w:ind w:firstLine="789" w:firstLineChars="329"/>
        <w:rPr>
          <w:rFonts w:hint="eastAsia" w:ascii="宋体" w:hAnsi="宋体" w:cs="宋体"/>
          <w:bCs/>
          <w:sz w:val="24"/>
          <w:szCs w:val="24"/>
        </w:rPr>
      </w:pPr>
      <w:r>
        <w:rPr>
          <w:rFonts w:hint="eastAsia" w:ascii="宋体" w:hAnsi="宋体" w:cs="宋体"/>
          <w:sz w:val="24"/>
          <w:szCs w:val="24"/>
        </w:rPr>
        <w:t>3.1</w:t>
      </w:r>
      <w:r>
        <w:rPr>
          <w:rFonts w:hint="eastAsia" w:ascii="宋体" w:hAnsi="宋体" w:cs="宋体"/>
          <w:bCs/>
          <w:sz w:val="24"/>
          <w:szCs w:val="24"/>
        </w:rPr>
        <w:t>凡是与审查、澄清、评价和比较投标的有关资料以及授标建议等，采购人、评委、代理机构均不得向投标人或与评标无关的其他人员透露。</w:t>
      </w:r>
    </w:p>
    <w:p w14:paraId="6928747D">
      <w:pPr>
        <w:spacing w:line="440" w:lineRule="exact"/>
        <w:ind w:firstLine="789" w:firstLineChars="329"/>
        <w:rPr>
          <w:rFonts w:hint="eastAsia" w:ascii="宋体" w:hAnsi="宋体" w:cs="宋体"/>
          <w:sz w:val="24"/>
          <w:szCs w:val="24"/>
        </w:rPr>
      </w:pPr>
      <w:r>
        <w:rPr>
          <w:rFonts w:hint="eastAsia" w:ascii="宋体" w:hAnsi="宋体" w:cs="宋体"/>
          <w:sz w:val="24"/>
          <w:szCs w:val="24"/>
        </w:rPr>
        <w:t>3.2在评标过程中，投标人不得以任何行为影响评标过程，否则其投标文件将被作为无效投标文件。</w:t>
      </w:r>
    </w:p>
    <w:p w14:paraId="529B33CC">
      <w:pPr>
        <w:spacing w:line="440" w:lineRule="exact"/>
        <w:ind w:firstLine="789" w:firstLineChars="329"/>
        <w:rPr>
          <w:rFonts w:hint="eastAsia" w:ascii="宋体" w:hAnsi="宋体" w:cs="宋体"/>
          <w:sz w:val="24"/>
          <w:szCs w:val="24"/>
        </w:rPr>
      </w:pPr>
      <w:r>
        <w:rPr>
          <w:rFonts w:hint="eastAsia" w:ascii="宋体" w:hAnsi="宋体" w:cs="宋体"/>
          <w:sz w:val="24"/>
          <w:szCs w:val="24"/>
        </w:rPr>
        <w:t>3.3 代理机构和评委会不向未中标的投标人解释未中标原因，也不公布评标过程中的相关细节。</w:t>
      </w:r>
    </w:p>
    <w:p w14:paraId="58AEB219">
      <w:pPr>
        <w:spacing w:line="440" w:lineRule="exact"/>
        <w:ind w:firstLine="789" w:firstLineChars="329"/>
        <w:rPr>
          <w:rFonts w:hint="eastAsia" w:ascii="宋体" w:hAnsi="宋体" w:cs="宋体"/>
          <w:sz w:val="24"/>
          <w:szCs w:val="24"/>
        </w:rPr>
      </w:pPr>
      <w:r>
        <w:rPr>
          <w:rFonts w:hint="eastAsia" w:ascii="宋体" w:hAnsi="宋体" w:cs="宋体"/>
          <w:sz w:val="24"/>
          <w:szCs w:val="24"/>
        </w:rPr>
        <w:t>3.4 采用综合评分法的项目，未中标的投标人可于中标结果公告期限届满之日起通过苏采云系统查看自己的评审得分及排序情况。</w:t>
      </w:r>
    </w:p>
    <w:p w14:paraId="3E1D4F2E">
      <w:pPr>
        <w:keepNext/>
        <w:keepLines/>
        <w:spacing w:line="440" w:lineRule="exact"/>
        <w:ind w:firstLine="480"/>
        <w:rPr>
          <w:rFonts w:hint="eastAsia" w:ascii="宋体" w:hAnsi="宋体" w:cs="宋体"/>
          <w:sz w:val="24"/>
          <w:szCs w:val="24"/>
        </w:rPr>
      </w:pPr>
      <w:bookmarkStart w:id="142" w:name="_Toc513029232"/>
      <w:bookmarkStart w:id="143" w:name="_Toc20823304"/>
      <w:bookmarkStart w:id="144" w:name="_Toc16938548"/>
      <w:r>
        <w:rPr>
          <w:rFonts w:hint="eastAsia" w:ascii="宋体" w:hAnsi="宋体" w:cs="宋体"/>
          <w:sz w:val="24"/>
          <w:szCs w:val="24"/>
        </w:rPr>
        <w:t>4. 投标文件的澄清</w:t>
      </w:r>
      <w:bookmarkEnd w:id="142"/>
      <w:bookmarkEnd w:id="143"/>
      <w:bookmarkEnd w:id="144"/>
    </w:p>
    <w:p w14:paraId="5496A4A8">
      <w:pPr>
        <w:spacing w:line="440" w:lineRule="exact"/>
        <w:ind w:firstLine="789" w:firstLineChars="329"/>
        <w:rPr>
          <w:rFonts w:hint="eastAsia" w:ascii="宋体" w:hAnsi="宋体" w:cs="宋体"/>
          <w:sz w:val="24"/>
          <w:szCs w:val="24"/>
        </w:rPr>
      </w:pPr>
      <w:bookmarkStart w:id="145" w:name="_Toc16938549"/>
      <w:bookmarkStart w:id="146" w:name="_Toc513029233"/>
      <w:bookmarkStart w:id="147" w:name="_Toc20823305"/>
      <w:r>
        <w:rPr>
          <w:rFonts w:hint="eastAsia" w:ascii="宋体" w:hAnsi="宋体" w:cs="宋体"/>
          <w:sz w:val="24"/>
          <w:szCs w:val="24"/>
        </w:rPr>
        <w:t>4.1评标期间，评委会对投标文件中含义不明确、同类问题表述不一致或者有明显文字和计算错误的内容 ，有权要求投标人作出必要的澄清、说明或者补正。</w:t>
      </w:r>
    </w:p>
    <w:p w14:paraId="78F33355">
      <w:pPr>
        <w:spacing w:line="440" w:lineRule="exact"/>
        <w:ind w:firstLine="789" w:firstLineChars="329"/>
        <w:rPr>
          <w:rFonts w:hint="eastAsia" w:ascii="宋体" w:hAnsi="宋体" w:cs="宋体"/>
          <w:sz w:val="24"/>
          <w:szCs w:val="24"/>
        </w:rPr>
      </w:pPr>
      <w:r>
        <w:rPr>
          <w:rFonts w:hint="eastAsia" w:ascii="宋体" w:hAnsi="宋体" w:cs="宋体"/>
          <w:sz w:val="24"/>
          <w:szCs w:val="24"/>
        </w:rPr>
        <w:t>投标人的澄清、说明或者补正不得超出投标文件的范围或者改变投标文件的实质性内容。</w:t>
      </w:r>
    </w:p>
    <w:p w14:paraId="145A3525">
      <w:pPr>
        <w:spacing w:line="440" w:lineRule="exact"/>
        <w:ind w:firstLine="789" w:firstLineChars="329"/>
        <w:rPr>
          <w:rFonts w:hint="eastAsia" w:ascii="宋体" w:hAnsi="宋体" w:cs="宋体"/>
          <w:sz w:val="24"/>
          <w:szCs w:val="24"/>
        </w:rPr>
      </w:pPr>
      <w:r>
        <w:rPr>
          <w:rFonts w:hint="eastAsia" w:ascii="宋体" w:hAnsi="宋体" w:cs="宋体"/>
          <w:sz w:val="24"/>
          <w:szCs w:val="24"/>
        </w:rPr>
        <w:t>评标委员会并非对每个投标人都做澄清要求。</w:t>
      </w:r>
    </w:p>
    <w:p w14:paraId="3C2BEE55">
      <w:pPr>
        <w:spacing w:line="440" w:lineRule="exact"/>
        <w:ind w:firstLine="789" w:firstLineChars="329"/>
        <w:rPr>
          <w:rFonts w:hint="eastAsia" w:ascii="宋体" w:hAnsi="宋体" w:cs="宋体"/>
          <w:sz w:val="24"/>
          <w:szCs w:val="24"/>
        </w:rPr>
      </w:pPr>
      <w:r>
        <w:rPr>
          <w:rFonts w:hint="eastAsia" w:ascii="宋体" w:hAnsi="宋体" w:cs="宋体"/>
          <w:sz w:val="24"/>
          <w:szCs w:val="24"/>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35635C95">
      <w:pPr>
        <w:spacing w:line="440" w:lineRule="exact"/>
        <w:ind w:firstLine="789" w:firstLineChars="329"/>
        <w:rPr>
          <w:rFonts w:hint="eastAsia" w:ascii="宋体" w:hAnsi="宋体" w:cs="宋体"/>
          <w:sz w:val="24"/>
          <w:szCs w:val="24"/>
        </w:rPr>
      </w:pPr>
      <w:r>
        <w:rPr>
          <w:rFonts w:hint="eastAsia" w:ascii="宋体" w:hAnsi="宋体" w:cs="宋体"/>
          <w:sz w:val="24"/>
          <w:szCs w:val="24"/>
        </w:rPr>
        <w:t>4.3 接到评委会澄清、说明和补正要求的投标人如未按规定做出澄清、说明和补正，其风险由投标人自行承担。</w:t>
      </w:r>
    </w:p>
    <w:p w14:paraId="2664E984">
      <w:pPr>
        <w:keepNext/>
        <w:keepLines/>
        <w:spacing w:line="440" w:lineRule="exact"/>
        <w:ind w:firstLine="480"/>
        <w:rPr>
          <w:rFonts w:hint="eastAsia" w:ascii="宋体" w:hAnsi="宋体" w:cs="宋体"/>
          <w:sz w:val="24"/>
          <w:szCs w:val="24"/>
        </w:rPr>
      </w:pPr>
      <w:r>
        <w:rPr>
          <w:rFonts w:hint="eastAsia" w:ascii="宋体" w:hAnsi="宋体" w:cs="宋体"/>
          <w:sz w:val="24"/>
          <w:szCs w:val="24"/>
        </w:rPr>
        <w:t>5. 对投标文件的初审</w:t>
      </w:r>
      <w:bookmarkEnd w:id="145"/>
      <w:bookmarkEnd w:id="146"/>
      <w:bookmarkEnd w:id="147"/>
    </w:p>
    <w:p w14:paraId="420571B7">
      <w:pPr>
        <w:spacing w:line="440" w:lineRule="exact"/>
        <w:ind w:firstLine="789" w:firstLineChars="329"/>
        <w:rPr>
          <w:rFonts w:hint="eastAsia" w:ascii="宋体" w:hAnsi="宋体" w:cs="宋体"/>
          <w:bCs/>
          <w:sz w:val="24"/>
          <w:szCs w:val="24"/>
        </w:rPr>
      </w:pPr>
      <w:r>
        <w:rPr>
          <w:rFonts w:hint="eastAsia" w:ascii="宋体" w:hAnsi="宋体" w:cs="宋体"/>
          <w:sz w:val="24"/>
          <w:szCs w:val="24"/>
        </w:rPr>
        <w:t>5.1</w:t>
      </w:r>
      <w:r>
        <w:rPr>
          <w:rFonts w:hint="eastAsia" w:ascii="宋体" w:hAnsi="宋体" w:cs="宋体"/>
          <w:bCs/>
          <w:sz w:val="24"/>
          <w:szCs w:val="24"/>
        </w:rPr>
        <w:t>投标文件初审分为资格审查和符合性审查。</w:t>
      </w:r>
    </w:p>
    <w:p w14:paraId="539CAA6A">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5.1.1 资格审查：依据法律法规和招标文件的规定，由采购人对投标文件中的资格证明文件进行审查。资格审查的结论，采购人以书面形式向评委会进行反馈。</w:t>
      </w:r>
    </w:p>
    <w:p w14:paraId="27E0F2DF">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采购人在进行资格性审查的同时，将在信用中国 （ https://www.creditchina.gov.cn/ ）查询投标人的信用记录，以确定投标人是否具备投标资格,查询结果留存并归档。</w:t>
      </w:r>
    </w:p>
    <w:p w14:paraId="3DFD1AD6">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01D2E47">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5.1.2 符合性审查：依据招标文件的规定，由评委会从投标文件的有效性、完整性和对招标文件的响应程度进行审查，以确定是否对招标文件的实质性要求作出响应。</w:t>
      </w:r>
    </w:p>
    <w:p w14:paraId="419763BF">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5.1.3 未通过资格审查或符合性审查的投标人，代理机构将在苏采云系统中告知未通过资格审查或符合性审查的原因，评审结束后，代理机构将不再告知未通过资格审查或符合性审查的原因。</w:t>
      </w:r>
    </w:p>
    <w:p w14:paraId="145444AC">
      <w:pPr>
        <w:spacing w:line="440" w:lineRule="exact"/>
        <w:ind w:firstLine="789" w:firstLineChars="329"/>
        <w:rPr>
          <w:rFonts w:hint="eastAsia" w:ascii="宋体" w:hAnsi="宋体" w:cs="宋体"/>
          <w:sz w:val="24"/>
          <w:szCs w:val="24"/>
        </w:rPr>
      </w:pPr>
      <w:r>
        <w:rPr>
          <w:rFonts w:hint="eastAsia" w:ascii="宋体" w:hAnsi="宋体" w:cs="宋体"/>
          <w:sz w:val="24"/>
          <w:szCs w:val="24"/>
        </w:rPr>
        <w:t>5.2在详细评标之前，评委会将首先审查每份投标文件是否实质性响应了招标文件的要求。实质性响应的投标应该是与招标文件要求的全部条款、条件和规格相符，没有重大偏离或保留的投标。</w:t>
      </w:r>
    </w:p>
    <w:p w14:paraId="21D0DA37">
      <w:pPr>
        <w:spacing w:line="440" w:lineRule="exact"/>
        <w:ind w:firstLine="480"/>
        <w:rPr>
          <w:rFonts w:hint="eastAsia" w:ascii="宋体" w:hAnsi="宋体" w:cs="宋体"/>
          <w:bCs/>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rPr>
        <w:t>评委决定投标文件的响应性只根据投标文件本身的内容，而不寻求外部的证据。</w:t>
      </w:r>
    </w:p>
    <w:p w14:paraId="7424E15A">
      <w:pPr>
        <w:spacing w:line="440" w:lineRule="exact"/>
        <w:ind w:firstLine="789" w:firstLineChars="329"/>
        <w:rPr>
          <w:rFonts w:hint="eastAsia" w:ascii="宋体" w:hAnsi="宋体" w:cs="宋体"/>
          <w:bCs/>
          <w:sz w:val="24"/>
          <w:szCs w:val="24"/>
        </w:rPr>
      </w:pPr>
      <w:r>
        <w:rPr>
          <w:rFonts w:hint="eastAsia" w:ascii="宋体" w:hAnsi="宋体" w:cs="宋体"/>
          <w:sz w:val="24"/>
          <w:szCs w:val="24"/>
        </w:rPr>
        <w:t>5.3</w:t>
      </w:r>
      <w:r>
        <w:rPr>
          <w:rFonts w:hint="eastAsia" w:ascii="宋体" w:hAnsi="宋体" w:cs="宋体"/>
          <w:bCs/>
          <w:sz w:val="24"/>
          <w:szCs w:val="24"/>
        </w:rPr>
        <w:t>如果投标文件实质上没有响应招标文件的要求，评委会将予以拒绝，投标人不得通过修改或撤销不合要求的偏离或保留而使其投标成为实质性响应的投标。</w:t>
      </w:r>
    </w:p>
    <w:p w14:paraId="2B52B42E">
      <w:pPr>
        <w:spacing w:line="440" w:lineRule="exact"/>
        <w:ind w:firstLine="789" w:firstLineChars="329"/>
        <w:rPr>
          <w:rFonts w:hint="eastAsia" w:ascii="宋体" w:hAnsi="宋体" w:cs="宋体"/>
          <w:bCs/>
          <w:sz w:val="24"/>
          <w:szCs w:val="24"/>
        </w:rPr>
      </w:pPr>
      <w:r>
        <w:rPr>
          <w:rFonts w:hint="eastAsia" w:ascii="宋体" w:hAnsi="宋体" w:cs="宋体"/>
          <w:sz w:val="24"/>
          <w:szCs w:val="24"/>
        </w:rPr>
        <w:t>5.4</w:t>
      </w:r>
      <w:r>
        <w:rPr>
          <w:rFonts w:hint="eastAsia" w:ascii="宋体" w:hAnsi="宋体" w:cs="宋体"/>
          <w:bCs/>
          <w:sz w:val="24"/>
          <w:szCs w:val="24"/>
        </w:rPr>
        <w:t>评委会将对确定为实质性响应的投标进行进一步审核，看其是否有计算上或累加上的算术错误，修正错误的原则如下：</w:t>
      </w:r>
    </w:p>
    <w:p w14:paraId="008525FE">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（1）投标文件中开标一览表内容与投标文件中相应内容不一致的，以开标一览表为准。</w:t>
      </w:r>
    </w:p>
    <w:p w14:paraId="351C305B">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（2）大写金额和小写金额不一致的，以大写金额为准。</w:t>
      </w:r>
    </w:p>
    <w:p w14:paraId="51FE94FA">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（3）单价金额小数点或者百分比有明显错位的，以开标一览表的总价为准，并修改单价。</w:t>
      </w:r>
    </w:p>
    <w:p w14:paraId="68DEAA7B">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（4）总价金额与按单价汇总金额不一致的，以单价金额计算结果为准。</w:t>
      </w:r>
    </w:p>
    <w:p w14:paraId="58E099B9">
      <w:pPr>
        <w:spacing w:line="440" w:lineRule="exact"/>
        <w:ind w:firstLine="960" w:firstLineChars="400"/>
        <w:rPr>
          <w:rFonts w:hint="eastAsia" w:ascii="宋体" w:hAnsi="宋体" w:cs="宋体"/>
          <w:bCs/>
          <w:sz w:val="24"/>
          <w:szCs w:val="24"/>
        </w:rPr>
      </w:pPr>
      <w:r>
        <w:rPr>
          <w:rFonts w:hint="eastAsia" w:ascii="宋体" w:hAnsi="宋体" w:cs="宋体"/>
          <w:bCs/>
          <w:sz w:val="24"/>
          <w:szCs w:val="24"/>
        </w:rPr>
        <w:t>同时出现两种以上错误的，按照前款规定的顺序修正。</w:t>
      </w:r>
    </w:p>
    <w:p w14:paraId="5942A2F6">
      <w:pPr>
        <w:spacing w:line="440" w:lineRule="exact"/>
        <w:ind w:firstLine="789" w:firstLineChars="329"/>
        <w:rPr>
          <w:rFonts w:hint="eastAsia" w:ascii="宋体" w:hAnsi="宋体" w:cs="宋体"/>
          <w:bCs/>
          <w:sz w:val="24"/>
          <w:szCs w:val="24"/>
        </w:rPr>
      </w:pPr>
      <w:r>
        <w:rPr>
          <w:rFonts w:hint="eastAsia" w:ascii="宋体" w:hAnsi="宋体" w:cs="宋体"/>
          <w:sz w:val="24"/>
          <w:szCs w:val="24"/>
        </w:rPr>
        <w:t>5.5</w:t>
      </w:r>
      <w:r>
        <w:rPr>
          <w:rFonts w:hint="eastAsia" w:ascii="宋体" w:hAnsi="宋体" w:cs="宋体"/>
          <w:bCs/>
          <w:sz w:val="24"/>
          <w:szCs w:val="24"/>
        </w:rPr>
        <w:t>评委会将按上述修正错误的方法调整投标文件中的投标报价，并通过</w:t>
      </w:r>
      <w:r>
        <w:rPr>
          <w:rFonts w:hint="eastAsia" w:ascii="宋体" w:hAnsi="宋体" w:cs="宋体"/>
          <w:sz w:val="24"/>
          <w:szCs w:val="24"/>
        </w:rPr>
        <w:t>苏采云系统</w:t>
      </w:r>
      <w:r>
        <w:rPr>
          <w:rFonts w:hint="eastAsia" w:ascii="宋体" w:hAnsi="宋体" w:cs="宋体"/>
          <w:bCs/>
          <w:sz w:val="24"/>
          <w:szCs w:val="24"/>
        </w:rPr>
        <w:t>告知投标人，调整后的价格应对投标人具有约束力。如果投标人不接受修正后的价格，则其投标将被拒绝。</w:t>
      </w:r>
    </w:p>
    <w:p w14:paraId="3C797DB5">
      <w:pPr>
        <w:spacing w:line="440" w:lineRule="exact"/>
        <w:ind w:firstLine="789" w:firstLineChars="329"/>
        <w:rPr>
          <w:rFonts w:hint="eastAsia" w:ascii="宋体" w:hAnsi="宋体" w:cs="宋体"/>
          <w:sz w:val="24"/>
          <w:szCs w:val="24"/>
        </w:rPr>
      </w:pPr>
      <w:bookmarkStart w:id="148" w:name="_Toc16938550"/>
      <w:bookmarkStart w:id="149" w:name="_Toc20823306"/>
      <w:bookmarkStart w:id="150" w:name="_Toc513029234"/>
      <w:r>
        <w:rPr>
          <w:rFonts w:hint="eastAsia" w:ascii="宋体" w:hAnsi="宋体" w:cs="宋体"/>
          <w:sz w:val="24"/>
          <w:szCs w:val="24"/>
        </w:rPr>
        <w:t>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DE7EAA3">
      <w:pPr>
        <w:spacing w:line="440" w:lineRule="exact"/>
        <w:ind w:firstLine="789" w:firstLineChars="329"/>
        <w:rPr>
          <w:rFonts w:hint="eastAsia" w:ascii="宋体" w:hAnsi="宋体" w:cs="宋体"/>
          <w:sz w:val="24"/>
          <w:szCs w:val="24"/>
        </w:rPr>
      </w:pPr>
      <w:r>
        <w:rPr>
          <w:rFonts w:hint="eastAsia" w:ascii="宋体" w:hAnsi="宋体" w:cs="宋体"/>
          <w:sz w:val="24"/>
          <w:szCs w:val="24"/>
        </w:rPr>
        <w:t>非单一产品采购项目，招标文件中将载明其中的核心产品。多家投标人提供的核心产品品牌相同的，按前两款规定处理。</w:t>
      </w:r>
    </w:p>
    <w:p w14:paraId="061E7CE7">
      <w:pPr>
        <w:spacing w:line="440" w:lineRule="exact"/>
        <w:ind w:firstLine="789" w:firstLineChars="329"/>
        <w:rPr>
          <w:rFonts w:hint="eastAsia" w:ascii="宋体" w:hAnsi="宋体" w:cs="宋体"/>
          <w:sz w:val="24"/>
          <w:szCs w:val="24"/>
        </w:rPr>
      </w:pPr>
      <w:r>
        <w:rPr>
          <w:rFonts w:hint="eastAsia" w:ascii="宋体" w:hAnsi="宋体" w:cs="宋体"/>
          <w:sz w:val="24"/>
          <w:szCs w:val="24"/>
        </w:rPr>
        <w:t>5.7投标人在开、评标全过程中应保持通讯畅通，及时登录苏采云系统查阅、答复相关信息，并安排专人与代理机构及</w:t>
      </w:r>
      <w:r>
        <w:rPr>
          <w:rFonts w:hint="eastAsia" w:ascii="宋体" w:hAnsi="宋体" w:cs="宋体"/>
          <w:bCs/>
          <w:sz w:val="24"/>
          <w:szCs w:val="24"/>
        </w:rPr>
        <w:t>评委会</w:t>
      </w:r>
      <w:r>
        <w:rPr>
          <w:rFonts w:hint="eastAsia" w:ascii="宋体" w:hAnsi="宋体" w:cs="宋体"/>
          <w:sz w:val="24"/>
          <w:szCs w:val="24"/>
        </w:rPr>
        <w:t>联系。</w:t>
      </w:r>
    </w:p>
    <w:p w14:paraId="0D5CAEFE">
      <w:pPr>
        <w:keepNext/>
        <w:keepLines/>
        <w:spacing w:line="440" w:lineRule="exact"/>
        <w:ind w:firstLine="480"/>
        <w:rPr>
          <w:rFonts w:hint="eastAsia" w:ascii="宋体" w:hAnsi="宋体" w:cs="宋体"/>
          <w:sz w:val="24"/>
          <w:szCs w:val="24"/>
        </w:rPr>
      </w:pPr>
      <w:r>
        <w:rPr>
          <w:rFonts w:hint="eastAsia" w:ascii="宋体" w:hAnsi="宋体" w:cs="宋体"/>
          <w:sz w:val="24"/>
          <w:szCs w:val="24"/>
        </w:rPr>
        <w:t>6</w:t>
      </w:r>
      <w:bookmarkEnd w:id="148"/>
      <w:bookmarkEnd w:id="149"/>
      <w:bookmarkEnd w:id="150"/>
      <w:r>
        <w:rPr>
          <w:rFonts w:hint="eastAsia" w:ascii="宋体" w:hAnsi="宋体" w:cs="宋体"/>
          <w:sz w:val="24"/>
          <w:szCs w:val="24"/>
        </w:rPr>
        <w:t>.无效投标条款和废标条款</w:t>
      </w:r>
    </w:p>
    <w:p w14:paraId="4205E623">
      <w:pPr>
        <w:spacing w:line="440" w:lineRule="exact"/>
        <w:ind w:firstLine="789" w:firstLineChars="329"/>
        <w:rPr>
          <w:rFonts w:hint="eastAsia" w:ascii="宋体" w:hAnsi="宋体" w:cs="宋体"/>
          <w:sz w:val="24"/>
          <w:szCs w:val="24"/>
        </w:rPr>
      </w:pPr>
      <w:bookmarkStart w:id="151" w:name="_Toc513029235"/>
      <w:bookmarkStart w:id="152" w:name="_Toc16938551"/>
      <w:bookmarkStart w:id="153" w:name="_Toc20823307"/>
      <w:r>
        <w:rPr>
          <w:rFonts w:hint="eastAsia" w:ascii="宋体" w:hAnsi="宋体" w:cs="宋体"/>
          <w:sz w:val="24"/>
          <w:szCs w:val="24"/>
        </w:rPr>
        <w:t>6.1无效投标条款</w:t>
      </w:r>
    </w:p>
    <w:p w14:paraId="396E4F56">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6.1.1 投标人在苏采云系统规定的时间内未成功解密电子投标文件的。</w:t>
      </w:r>
    </w:p>
    <w:p w14:paraId="075BCE58">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6.1.2 投标人未按照招标文件要求上传电子投标文件的。</w:t>
      </w:r>
    </w:p>
    <w:p w14:paraId="1BA3239D">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6.1.3同一投标人提交两个（含两个）以上不同的投标报价的。</w:t>
      </w:r>
    </w:p>
    <w:p w14:paraId="1FF598D7">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6.1.4投标人不具备招标文件中规定资格要求的。</w:t>
      </w:r>
    </w:p>
    <w:p w14:paraId="0037325F">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6.1.5投标人的报价超过了采购预算或最高限价的。</w:t>
      </w:r>
    </w:p>
    <w:p w14:paraId="39D48CB1">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6.1.6未通过符合性审查的。</w:t>
      </w:r>
    </w:p>
    <w:p w14:paraId="38F69626">
      <w:pPr>
        <w:spacing w:line="440" w:lineRule="exact"/>
        <w:ind w:firstLine="1027" w:firstLineChars="428"/>
        <w:rPr>
          <w:rFonts w:hint="eastAsia" w:ascii="宋体" w:hAnsi="宋体" w:cs="宋体"/>
          <w:iCs/>
          <w:color w:val="000000"/>
          <w:sz w:val="24"/>
          <w:szCs w:val="24"/>
        </w:rPr>
      </w:pPr>
      <w:r>
        <w:rPr>
          <w:rFonts w:hint="eastAsia" w:ascii="宋体" w:hAnsi="宋体" w:cs="宋体"/>
          <w:bCs/>
          <w:sz w:val="24"/>
          <w:szCs w:val="24"/>
        </w:rPr>
        <w:t>6.1.7不符合招标文件中规定的实质性要求和条件的</w:t>
      </w:r>
      <w:r>
        <w:rPr>
          <w:rFonts w:hint="eastAsia" w:ascii="宋体" w:hAnsi="宋体" w:cs="宋体"/>
          <w:iCs/>
          <w:color w:val="000000"/>
          <w:sz w:val="24"/>
          <w:szCs w:val="24"/>
        </w:rPr>
        <w:t>（</w:t>
      </w:r>
      <w:r>
        <w:rPr>
          <w:rFonts w:hint="eastAsia" w:ascii="宋体" w:hAnsi="宋体" w:cs="宋体"/>
          <w:b/>
          <w:bCs/>
          <w:iCs/>
          <w:color w:val="000000"/>
          <w:sz w:val="24"/>
          <w:szCs w:val="24"/>
        </w:rPr>
        <w:t>本招标文件中标“★”的相关要求为实质性要求和条件）</w:t>
      </w:r>
      <w:r>
        <w:rPr>
          <w:rFonts w:hint="eastAsia" w:ascii="宋体" w:hAnsi="宋体" w:cs="宋体"/>
          <w:iCs/>
          <w:color w:val="000000"/>
          <w:sz w:val="24"/>
          <w:szCs w:val="24"/>
        </w:rPr>
        <w:t>。</w:t>
      </w:r>
    </w:p>
    <w:p w14:paraId="4BDDC046">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6.1.8 投标人在信用中国 （ https://www.creditchina.gov.cn/ ）等网站存在下列依法拒绝投标人参加政府采购的失信信息的。</w:t>
      </w:r>
    </w:p>
    <w:p w14:paraId="690A5622">
      <w:pPr>
        <w:spacing w:line="440" w:lineRule="exact"/>
        <w:ind w:firstLine="720" w:firstLineChars="300"/>
        <w:rPr>
          <w:rFonts w:hint="eastAsia" w:ascii="宋体" w:hAnsi="宋体" w:cs="宋体"/>
          <w:sz w:val="24"/>
          <w:szCs w:val="24"/>
        </w:rPr>
      </w:pPr>
      <w:r>
        <w:rPr>
          <w:rFonts w:hint="eastAsia" w:ascii="宋体" w:hAnsi="宋体" w:cs="宋体"/>
          <w:sz w:val="24"/>
          <w:szCs w:val="24"/>
        </w:rPr>
        <w:t>（1）政府采购严重违法记录，即投标人被全国各级财政部门列入“政府采购严重违法失信行为记录名单”，且在处罚有效期内的。</w:t>
      </w:r>
    </w:p>
    <w:p w14:paraId="7469B825">
      <w:pPr>
        <w:spacing w:line="440" w:lineRule="exact"/>
        <w:ind w:firstLine="720" w:firstLineChars="300"/>
        <w:rPr>
          <w:rFonts w:hint="eastAsia" w:ascii="宋体" w:hAnsi="宋体" w:cs="宋体"/>
          <w:sz w:val="24"/>
          <w:szCs w:val="24"/>
        </w:rPr>
      </w:pPr>
      <w:r>
        <w:rPr>
          <w:rFonts w:hint="eastAsia" w:ascii="宋体" w:hAnsi="宋体" w:cs="宋体"/>
          <w:sz w:val="24"/>
          <w:szCs w:val="24"/>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4DE4CB3A">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6.1.9  投标文件含有采购人不能接受的附加条件的。</w:t>
      </w:r>
    </w:p>
    <w:p w14:paraId="72B6778E">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4E61D1D9">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8690A5">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6.1.12 投标文件未按照招标文件要求加盖CA电子公章的。</w:t>
      </w:r>
    </w:p>
    <w:p w14:paraId="17E19E13">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6.1.13其他法律、法规及本招标文件规定的属无效投标的情形。</w:t>
      </w:r>
    </w:p>
    <w:p w14:paraId="55FC752F">
      <w:pPr>
        <w:spacing w:line="440" w:lineRule="exact"/>
        <w:ind w:left="479" w:firstLine="240" w:firstLineChars="100"/>
        <w:rPr>
          <w:rFonts w:hint="eastAsia" w:ascii="宋体" w:hAnsi="宋体" w:cs="宋体"/>
          <w:bCs/>
          <w:sz w:val="24"/>
          <w:szCs w:val="24"/>
        </w:rPr>
      </w:pPr>
      <w:r>
        <w:rPr>
          <w:rFonts w:hint="eastAsia" w:ascii="宋体" w:hAnsi="宋体" w:cs="宋体"/>
          <w:bCs/>
          <w:sz w:val="24"/>
          <w:szCs w:val="24"/>
        </w:rPr>
        <w:t>6.2废标条款</w:t>
      </w:r>
    </w:p>
    <w:p w14:paraId="1AC19C66">
      <w:pPr>
        <w:spacing w:line="440" w:lineRule="exact"/>
        <w:ind w:left="479" w:firstLine="480" w:firstLineChars="200"/>
        <w:rPr>
          <w:rFonts w:hint="eastAsia" w:ascii="宋体" w:hAnsi="宋体" w:cs="宋体"/>
          <w:bCs/>
          <w:sz w:val="24"/>
          <w:szCs w:val="24"/>
        </w:rPr>
      </w:pPr>
      <w:r>
        <w:rPr>
          <w:rFonts w:hint="eastAsia" w:ascii="宋体" w:hAnsi="宋体" w:cs="宋体"/>
          <w:bCs/>
          <w:sz w:val="24"/>
          <w:szCs w:val="24"/>
        </w:rPr>
        <w:t>6.2.1符合专业条件的供应商或者对招标文件作实质响应的供应商不足三家的。</w:t>
      </w:r>
    </w:p>
    <w:p w14:paraId="0BE7FA96">
      <w:pPr>
        <w:spacing w:line="440" w:lineRule="exact"/>
        <w:ind w:left="479" w:firstLine="480" w:firstLineChars="200"/>
        <w:rPr>
          <w:rFonts w:hint="eastAsia" w:ascii="宋体" w:hAnsi="宋体" w:cs="宋体"/>
          <w:bCs/>
          <w:sz w:val="24"/>
          <w:szCs w:val="24"/>
        </w:rPr>
      </w:pPr>
      <w:r>
        <w:rPr>
          <w:rFonts w:hint="eastAsia" w:ascii="宋体" w:hAnsi="宋体" w:cs="宋体"/>
          <w:bCs/>
          <w:sz w:val="24"/>
          <w:szCs w:val="24"/>
        </w:rPr>
        <w:t>6.2.2出现影响采购公正的违法、违规行为的。</w:t>
      </w:r>
    </w:p>
    <w:p w14:paraId="567E8423">
      <w:pPr>
        <w:spacing w:line="440" w:lineRule="exact"/>
        <w:ind w:left="479" w:firstLine="480" w:firstLineChars="200"/>
        <w:rPr>
          <w:rFonts w:hint="eastAsia" w:ascii="宋体" w:hAnsi="宋体" w:cs="宋体"/>
          <w:bCs/>
          <w:sz w:val="24"/>
          <w:szCs w:val="24"/>
        </w:rPr>
      </w:pPr>
      <w:r>
        <w:rPr>
          <w:rFonts w:hint="eastAsia" w:ascii="宋体" w:hAnsi="宋体" w:cs="宋体"/>
          <w:bCs/>
          <w:sz w:val="24"/>
          <w:szCs w:val="24"/>
        </w:rPr>
        <w:t>6.2.3因重大变故，采购任务取消的。</w:t>
      </w:r>
    </w:p>
    <w:p w14:paraId="09D5895C">
      <w:pPr>
        <w:spacing w:line="440" w:lineRule="exact"/>
        <w:ind w:left="479" w:firstLine="480" w:firstLineChars="200"/>
        <w:rPr>
          <w:rFonts w:hint="eastAsia" w:ascii="宋体" w:hAnsi="宋体" w:cs="宋体"/>
          <w:bCs/>
          <w:sz w:val="24"/>
          <w:szCs w:val="24"/>
        </w:rPr>
      </w:pPr>
      <w:r>
        <w:rPr>
          <w:rFonts w:hint="eastAsia" w:ascii="宋体" w:hAnsi="宋体" w:cs="宋体"/>
          <w:bCs/>
          <w:sz w:val="24"/>
          <w:szCs w:val="24"/>
        </w:rPr>
        <w:t>6.2.4评标委员会认定招标文件存在歧义、重大缺陷导致评审工作无法进行。</w:t>
      </w:r>
    </w:p>
    <w:p w14:paraId="4F21B09E">
      <w:pPr>
        <w:spacing w:line="440" w:lineRule="exact"/>
        <w:ind w:left="479" w:firstLine="480" w:firstLineChars="200"/>
        <w:rPr>
          <w:rFonts w:hint="eastAsia" w:ascii="宋体" w:hAnsi="宋体" w:cs="宋体"/>
          <w:bCs/>
          <w:sz w:val="24"/>
          <w:szCs w:val="24"/>
        </w:rPr>
      </w:pPr>
      <w:r>
        <w:rPr>
          <w:rFonts w:hint="eastAsia" w:ascii="宋体" w:hAnsi="宋体" w:cs="宋体"/>
          <w:bCs/>
          <w:sz w:val="24"/>
          <w:szCs w:val="24"/>
        </w:rPr>
        <w:t>6.2.5 因</w:t>
      </w:r>
      <w:r>
        <w:rPr>
          <w:rFonts w:hint="eastAsia" w:ascii="宋体" w:hAnsi="宋体" w:cs="宋体"/>
          <w:sz w:val="24"/>
          <w:szCs w:val="24"/>
        </w:rPr>
        <w:t>苏采云系统</w:t>
      </w:r>
      <w:r>
        <w:rPr>
          <w:rFonts w:hint="eastAsia" w:ascii="宋体" w:hAnsi="宋体" w:cs="宋体"/>
          <w:bCs/>
          <w:sz w:val="24"/>
          <w:szCs w:val="24"/>
        </w:rPr>
        <w:t>系统故障原因造成开标不成功的。</w:t>
      </w:r>
    </w:p>
    <w:p w14:paraId="1B535A21">
      <w:pPr>
        <w:spacing w:line="440" w:lineRule="exact"/>
        <w:ind w:left="479" w:firstLine="240" w:firstLineChars="100"/>
        <w:rPr>
          <w:rFonts w:hint="eastAsia" w:ascii="宋体" w:hAnsi="宋体" w:cs="宋体"/>
          <w:bCs/>
          <w:sz w:val="24"/>
          <w:szCs w:val="24"/>
        </w:rPr>
      </w:pPr>
      <w:r>
        <w:rPr>
          <w:rFonts w:hint="eastAsia" w:ascii="宋体" w:hAnsi="宋体" w:cs="宋体"/>
          <w:bCs/>
          <w:sz w:val="24"/>
          <w:szCs w:val="24"/>
        </w:rPr>
        <w:t>6.3 投标截止时间结束后参加投标的供应商不足三家的处理：</w:t>
      </w:r>
    </w:p>
    <w:p w14:paraId="7BB35D6E">
      <w:pPr>
        <w:spacing w:line="440" w:lineRule="exact"/>
        <w:ind w:firstLine="1027" w:firstLineChars="428"/>
        <w:rPr>
          <w:rFonts w:hint="eastAsia" w:ascii="宋体" w:hAnsi="宋体" w:cs="宋体"/>
          <w:bCs/>
          <w:sz w:val="24"/>
          <w:szCs w:val="24"/>
        </w:rPr>
      </w:pPr>
      <w:r>
        <w:rPr>
          <w:rFonts w:hint="eastAsia" w:ascii="宋体" w:hAnsi="宋体" w:cs="宋体"/>
          <w:bCs/>
          <w:sz w:val="24"/>
          <w:szCs w:val="24"/>
        </w:rPr>
        <w:t>6.3.1如出现投标截止时间结束后参加投标的供应商或者在评标期间对招标文件做出实质响应的供应商不足三家情况，按政府采购相关规定执行。</w:t>
      </w:r>
    </w:p>
    <w:p w14:paraId="7E519333">
      <w:pPr>
        <w:keepNext/>
        <w:keepLines/>
        <w:spacing w:line="440" w:lineRule="exact"/>
        <w:ind w:firstLine="562"/>
        <w:rPr>
          <w:rFonts w:hint="eastAsia" w:ascii="宋体" w:hAnsi="宋体" w:cs="宋体"/>
          <w:b/>
          <w:bCs/>
          <w:sz w:val="28"/>
          <w:szCs w:val="28"/>
        </w:rPr>
      </w:pPr>
      <w:bookmarkStart w:id="154" w:name="_Toc120614219"/>
      <w:r>
        <w:rPr>
          <w:rFonts w:hint="eastAsia" w:ascii="宋体" w:hAnsi="宋体" w:cs="宋体"/>
          <w:b/>
          <w:bCs/>
          <w:sz w:val="28"/>
          <w:szCs w:val="28"/>
        </w:rPr>
        <w:t>六、</w:t>
      </w:r>
      <w:bookmarkEnd w:id="151"/>
      <w:bookmarkEnd w:id="152"/>
      <w:bookmarkEnd w:id="153"/>
      <w:r>
        <w:rPr>
          <w:rFonts w:hint="eastAsia" w:ascii="宋体" w:hAnsi="宋体" w:cs="宋体"/>
          <w:b/>
          <w:bCs/>
          <w:sz w:val="28"/>
          <w:szCs w:val="28"/>
        </w:rPr>
        <w:t>定标</w:t>
      </w:r>
      <w:bookmarkEnd w:id="154"/>
    </w:p>
    <w:p w14:paraId="5B56559B">
      <w:pPr>
        <w:keepNext/>
        <w:keepLines/>
        <w:spacing w:line="440" w:lineRule="exact"/>
        <w:ind w:firstLine="480"/>
        <w:rPr>
          <w:rFonts w:hint="eastAsia" w:ascii="宋体" w:hAnsi="宋体" w:cs="宋体"/>
          <w:bCs/>
          <w:sz w:val="24"/>
          <w:szCs w:val="24"/>
        </w:rPr>
      </w:pPr>
      <w:bookmarkStart w:id="155" w:name="_Toc513029238"/>
      <w:bookmarkStart w:id="156" w:name="_Toc20823310"/>
      <w:bookmarkStart w:id="157" w:name="_Toc16938554"/>
      <w:r>
        <w:rPr>
          <w:rFonts w:hint="eastAsia" w:ascii="宋体" w:hAnsi="宋体" w:cs="宋体"/>
          <w:bCs/>
          <w:sz w:val="24"/>
          <w:szCs w:val="24"/>
        </w:rPr>
        <w:t>1、</w:t>
      </w:r>
      <w:bookmarkEnd w:id="155"/>
      <w:r>
        <w:rPr>
          <w:rFonts w:hint="eastAsia" w:ascii="宋体" w:hAnsi="宋体" w:cs="宋体"/>
          <w:bCs/>
          <w:sz w:val="24"/>
          <w:szCs w:val="24"/>
        </w:rPr>
        <w:t>确定</w:t>
      </w:r>
      <w:bookmarkEnd w:id="156"/>
      <w:bookmarkEnd w:id="157"/>
      <w:r>
        <w:rPr>
          <w:rFonts w:hint="eastAsia" w:ascii="宋体" w:hAnsi="宋体" w:cs="宋体"/>
          <w:bCs/>
          <w:sz w:val="24"/>
          <w:szCs w:val="24"/>
        </w:rPr>
        <w:t>中标单位</w:t>
      </w:r>
    </w:p>
    <w:p w14:paraId="5E841261">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 xml:space="preserve">1.1中标候选人的选取原则和数量见招标文件第五章规定。 </w:t>
      </w:r>
    </w:p>
    <w:p w14:paraId="389B98DF">
      <w:pPr>
        <w:spacing w:line="440" w:lineRule="exact"/>
        <w:ind w:firstLine="789" w:firstLineChars="329"/>
        <w:rPr>
          <w:rFonts w:hint="eastAsia" w:ascii="宋体" w:hAnsi="宋体" w:cs="宋体"/>
          <w:bCs/>
          <w:sz w:val="24"/>
          <w:szCs w:val="24"/>
        </w:rPr>
      </w:pPr>
      <w:r>
        <w:rPr>
          <w:rFonts w:hint="eastAsia" w:ascii="宋体" w:hAnsi="宋体" w:cs="宋体"/>
          <w:bCs/>
          <w:sz w:val="24"/>
          <w:szCs w:val="24"/>
        </w:rPr>
        <w:t>1.2 采购人应根据评委会推荐的中标候选人确定中标人。</w:t>
      </w:r>
    </w:p>
    <w:p w14:paraId="2C5F7CB9">
      <w:pPr>
        <w:spacing w:line="440" w:lineRule="exact"/>
        <w:ind w:firstLine="789" w:firstLineChars="329"/>
        <w:rPr>
          <w:rFonts w:hint="eastAsia" w:ascii="宋体" w:hAnsi="宋体" w:cs="宋体"/>
          <w:sz w:val="24"/>
          <w:szCs w:val="24"/>
        </w:rPr>
      </w:pPr>
      <w:r>
        <w:rPr>
          <w:rFonts w:hint="eastAsia" w:ascii="宋体" w:hAnsi="宋体" w:cs="宋体"/>
          <w:bCs/>
          <w:sz w:val="24"/>
          <w:szCs w:val="24"/>
        </w:rPr>
        <w:t xml:space="preserve">1.3 </w:t>
      </w:r>
      <w:r>
        <w:rPr>
          <w:rFonts w:hint="eastAsia" w:ascii="宋体" w:hAnsi="宋体" w:cs="宋体"/>
          <w:sz w:val="24"/>
          <w:szCs w:val="24"/>
        </w:rPr>
        <w:t>代理机构将在指定媒体上发布中标公告，公告期限为1个工作日。</w:t>
      </w:r>
    </w:p>
    <w:p w14:paraId="725A9CA5">
      <w:pPr>
        <w:spacing w:line="440" w:lineRule="exact"/>
        <w:ind w:firstLine="789" w:firstLineChars="329"/>
        <w:rPr>
          <w:rFonts w:hint="eastAsia" w:ascii="宋体" w:hAnsi="宋体" w:cs="宋体"/>
          <w:sz w:val="24"/>
          <w:szCs w:val="24"/>
        </w:rPr>
      </w:pPr>
      <w:r>
        <w:rPr>
          <w:rFonts w:hint="eastAsia" w:ascii="宋体" w:hAnsi="宋体" w:cs="宋体"/>
          <w:sz w:val="24"/>
          <w:szCs w:val="24"/>
        </w:rPr>
        <w:t>1.4  若有充分证据证明，中标人出现下列情况之一的，一经查实，将被取消中标资格：</w:t>
      </w:r>
    </w:p>
    <w:p w14:paraId="70511262">
      <w:pPr>
        <w:spacing w:line="440" w:lineRule="exact"/>
        <w:ind w:firstLine="1027" w:firstLineChars="428"/>
        <w:rPr>
          <w:rFonts w:hint="eastAsia" w:ascii="宋体" w:hAnsi="宋体" w:cs="宋体"/>
          <w:sz w:val="24"/>
          <w:szCs w:val="24"/>
        </w:rPr>
      </w:pPr>
      <w:r>
        <w:rPr>
          <w:rFonts w:hint="eastAsia" w:ascii="宋体" w:hAnsi="宋体" w:cs="宋体"/>
          <w:sz w:val="24"/>
          <w:szCs w:val="24"/>
        </w:rPr>
        <w:t>1.4.1提供虚假材料谋取中标的。</w:t>
      </w:r>
    </w:p>
    <w:p w14:paraId="5FF65246">
      <w:pPr>
        <w:spacing w:line="440" w:lineRule="exact"/>
        <w:ind w:firstLine="1027" w:firstLineChars="428"/>
        <w:rPr>
          <w:rFonts w:hint="eastAsia" w:ascii="宋体" w:hAnsi="宋体" w:cs="宋体"/>
          <w:sz w:val="24"/>
          <w:szCs w:val="24"/>
        </w:rPr>
      </w:pPr>
      <w:r>
        <w:rPr>
          <w:rFonts w:hint="eastAsia" w:ascii="宋体" w:hAnsi="宋体" w:cs="宋体"/>
          <w:sz w:val="24"/>
          <w:szCs w:val="24"/>
        </w:rPr>
        <w:t>1.4.2向采购人、代理机构行贿或者提供其他不正当利益的。</w:t>
      </w:r>
    </w:p>
    <w:p w14:paraId="543F6ADD">
      <w:pPr>
        <w:spacing w:line="440" w:lineRule="exact"/>
        <w:ind w:firstLine="1027" w:firstLineChars="428"/>
        <w:rPr>
          <w:rFonts w:hint="eastAsia" w:ascii="宋体" w:hAnsi="宋体" w:cs="宋体"/>
          <w:sz w:val="24"/>
          <w:szCs w:val="24"/>
        </w:rPr>
      </w:pPr>
      <w:r>
        <w:rPr>
          <w:rFonts w:hint="eastAsia" w:ascii="宋体" w:hAnsi="宋体" w:cs="宋体"/>
          <w:sz w:val="24"/>
          <w:szCs w:val="24"/>
        </w:rPr>
        <w:t>1.4.3属于本文件规定的无效条件，但在评标过程中又未被评委会发现的。</w:t>
      </w:r>
    </w:p>
    <w:p w14:paraId="51208631">
      <w:pPr>
        <w:spacing w:line="440" w:lineRule="exact"/>
        <w:ind w:firstLine="1027" w:firstLineChars="428"/>
        <w:rPr>
          <w:rFonts w:hint="eastAsia" w:ascii="宋体" w:hAnsi="宋体" w:cs="宋体"/>
          <w:sz w:val="24"/>
          <w:szCs w:val="24"/>
        </w:rPr>
      </w:pPr>
      <w:r>
        <w:rPr>
          <w:rFonts w:hint="eastAsia" w:ascii="宋体" w:hAnsi="宋体" w:cs="宋体"/>
          <w:sz w:val="24"/>
          <w:szCs w:val="24"/>
        </w:rPr>
        <w:t>1.4.4与采购人或者其他供应商恶意串通的。</w:t>
      </w:r>
    </w:p>
    <w:p w14:paraId="6F65FC09">
      <w:pPr>
        <w:spacing w:line="440" w:lineRule="exact"/>
        <w:ind w:firstLine="1027" w:firstLineChars="428"/>
        <w:rPr>
          <w:rFonts w:hint="eastAsia" w:ascii="宋体" w:hAnsi="宋体" w:cs="宋体"/>
          <w:sz w:val="24"/>
          <w:szCs w:val="24"/>
        </w:rPr>
      </w:pPr>
      <w:r>
        <w:rPr>
          <w:rFonts w:hint="eastAsia" w:ascii="宋体" w:hAnsi="宋体" w:cs="宋体"/>
          <w:sz w:val="24"/>
          <w:szCs w:val="24"/>
        </w:rPr>
        <w:t>1.4.5采取不正当手段诋毁、排挤其他供应商的。</w:t>
      </w:r>
    </w:p>
    <w:p w14:paraId="30137C9A">
      <w:pPr>
        <w:spacing w:line="440" w:lineRule="exact"/>
        <w:ind w:firstLine="789" w:firstLineChars="329"/>
        <w:rPr>
          <w:rFonts w:hint="eastAsia" w:ascii="宋体" w:hAnsi="宋体" w:cs="宋体"/>
          <w:sz w:val="24"/>
          <w:szCs w:val="24"/>
        </w:rPr>
      </w:pPr>
      <w:bookmarkStart w:id="158" w:name="_Toc200451960"/>
      <w:r>
        <w:rPr>
          <w:rFonts w:hint="eastAsia" w:ascii="宋体" w:hAnsi="宋体" w:cs="宋体"/>
          <w:sz w:val="24"/>
          <w:szCs w:val="24"/>
        </w:rPr>
        <w:t>1.5. 有下列情形之一的，视为投标人串通投标，投标无效：</w:t>
      </w:r>
    </w:p>
    <w:p w14:paraId="43EDBE29">
      <w:pPr>
        <w:spacing w:line="440" w:lineRule="exact"/>
        <w:ind w:firstLine="1027" w:firstLineChars="428"/>
        <w:rPr>
          <w:rFonts w:hint="eastAsia" w:ascii="宋体" w:hAnsi="宋体" w:cs="宋体"/>
          <w:sz w:val="24"/>
          <w:szCs w:val="24"/>
        </w:rPr>
      </w:pPr>
      <w:r>
        <w:rPr>
          <w:rFonts w:hint="eastAsia" w:ascii="宋体" w:hAnsi="宋体" w:cs="宋体"/>
          <w:sz w:val="24"/>
          <w:szCs w:val="24"/>
        </w:rPr>
        <w:t>1.5.1不同投标人的投标文件由同一单位或者个人编制；</w:t>
      </w:r>
    </w:p>
    <w:p w14:paraId="1524E731">
      <w:pPr>
        <w:spacing w:line="440" w:lineRule="exact"/>
        <w:ind w:firstLine="1027" w:firstLineChars="428"/>
        <w:rPr>
          <w:rFonts w:hint="eastAsia" w:ascii="宋体" w:hAnsi="宋体" w:cs="宋体"/>
          <w:sz w:val="24"/>
          <w:szCs w:val="24"/>
        </w:rPr>
      </w:pPr>
      <w:r>
        <w:rPr>
          <w:rFonts w:hint="eastAsia" w:ascii="宋体" w:hAnsi="宋体" w:cs="宋体"/>
          <w:sz w:val="24"/>
          <w:szCs w:val="24"/>
        </w:rPr>
        <w:t>1.5.2不同投标人委托同一单位或者个人办理投标事宜；</w:t>
      </w:r>
    </w:p>
    <w:p w14:paraId="6B4EAF7A">
      <w:pPr>
        <w:spacing w:line="440" w:lineRule="exact"/>
        <w:ind w:firstLine="1027" w:firstLineChars="428"/>
        <w:rPr>
          <w:rFonts w:hint="eastAsia" w:ascii="宋体" w:hAnsi="宋体" w:cs="宋体"/>
          <w:sz w:val="24"/>
          <w:szCs w:val="24"/>
        </w:rPr>
      </w:pPr>
      <w:r>
        <w:rPr>
          <w:rFonts w:hint="eastAsia" w:ascii="宋体" w:hAnsi="宋体" w:cs="宋体"/>
          <w:sz w:val="24"/>
          <w:szCs w:val="24"/>
        </w:rPr>
        <w:t>1.5.3 不同投标人的投标文件载明的项目管理成员或者联系人员为同一人；</w:t>
      </w:r>
    </w:p>
    <w:p w14:paraId="134ACF48">
      <w:pPr>
        <w:spacing w:line="440" w:lineRule="exact"/>
        <w:ind w:firstLine="1027" w:firstLineChars="428"/>
        <w:rPr>
          <w:rFonts w:hint="eastAsia" w:ascii="宋体" w:hAnsi="宋体" w:cs="宋体"/>
          <w:sz w:val="24"/>
          <w:szCs w:val="24"/>
        </w:rPr>
      </w:pPr>
      <w:r>
        <w:rPr>
          <w:rFonts w:hint="eastAsia" w:ascii="宋体" w:hAnsi="宋体" w:cs="宋体"/>
          <w:sz w:val="24"/>
          <w:szCs w:val="24"/>
        </w:rPr>
        <w:t>1.5.4不同投标人的投标文件异常一致或者投标报价呈规律性差异；</w:t>
      </w:r>
    </w:p>
    <w:p w14:paraId="6F302C42">
      <w:pPr>
        <w:keepNext/>
        <w:keepLines/>
        <w:spacing w:line="440" w:lineRule="exact"/>
        <w:ind w:firstLine="480"/>
        <w:rPr>
          <w:rFonts w:hint="eastAsia" w:ascii="宋体" w:hAnsi="宋体" w:cs="宋体"/>
          <w:bCs/>
          <w:sz w:val="24"/>
          <w:szCs w:val="24"/>
        </w:rPr>
      </w:pPr>
      <w:r>
        <w:rPr>
          <w:rFonts w:hint="eastAsia" w:ascii="宋体" w:hAnsi="宋体" w:cs="宋体"/>
          <w:bCs/>
          <w:sz w:val="24"/>
          <w:szCs w:val="24"/>
        </w:rPr>
        <w:t>2、质疑处理</w:t>
      </w:r>
      <w:bookmarkEnd w:id="158"/>
    </w:p>
    <w:p w14:paraId="3D06F41D">
      <w:pPr>
        <w:spacing w:line="440" w:lineRule="exact"/>
        <w:ind w:firstLine="789" w:firstLineChars="329"/>
        <w:rPr>
          <w:rFonts w:hint="eastAsia" w:ascii="宋体" w:hAnsi="宋体" w:cs="宋体"/>
          <w:sz w:val="24"/>
          <w:szCs w:val="24"/>
        </w:rPr>
      </w:pPr>
      <w:r>
        <w:rPr>
          <w:rFonts w:hint="eastAsia" w:ascii="宋体" w:hAnsi="宋体" w:cs="宋体"/>
          <w:sz w:val="24"/>
          <w:szCs w:val="24"/>
        </w:rPr>
        <w:t>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cs="宋体"/>
          <w:sz w:val="24"/>
          <w:szCs w:val="24"/>
        </w:rPr>
        <w:t>获取采购文件后打印留存的《投标供应商确认函》等</w:t>
      </w:r>
      <w:bookmarkEnd w:id="159"/>
      <w:r>
        <w:rPr>
          <w:rFonts w:hint="eastAsia" w:ascii="宋体" w:hAnsi="宋体" w:cs="宋体"/>
          <w:sz w:val="24"/>
          <w:szCs w:val="24"/>
        </w:rPr>
        <w:t>必要的证明材料与质疑函一起递交，否则不予受理。</w:t>
      </w:r>
    </w:p>
    <w:p w14:paraId="7995065E">
      <w:pPr>
        <w:spacing w:line="440" w:lineRule="exact"/>
        <w:ind w:firstLine="789" w:firstLineChars="329"/>
        <w:rPr>
          <w:rFonts w:hint="eastAsia" w:ascii="宋体" w:hAnsi="宋体" w:cs="宋体"/>
          <w:sz w:val="24"/>
          <w:szCs w:val="24"/>
        </w:rPr>
      </w:pPr>
      <w:r>
        <w:rPr>
          <w:rFonts w:hint="eastAsia" w:ascii="宋体" w:hAnsi="宋体" w:cs="宋体"/>
          <w:sz w:val="24"/>
          <w:szCs w:val="24"/>
        </w:rPr>
        <w:t>2.2供应商认为采购文件、采购过程和采购结果使自己的权益受到损害的，可以在知道或应知其权益受到损害之日起七个工作日内，以书面形式提出质疑。上述应知其权益受到损害之日，是指：</w:t>
      </w:r>
    </w:p>
    <w:p w14:paraId="2DBECBFE">
      <w:pPr>
        <w:spacing w:line="440" w:lineRule="exact"/>
        <w:ind w:firstLine="1027" w:firstLineChars="428"/>
        <w:rPr>
          <w:rFonts w:hint="eastAsia" w:ascii="宋体" w:hAnsi="宋体" w:cs="宋体"/>
          <w:sz w:val="24"/>
          <w:szCs w:val="24"/>
        </w:rPr>
      </w:pPr>
      <w:r>
        <w:rPr>
          <w:rFonts w:hint="eastAsia" w:ascii="宋体" w:hAnsi="宋体" w:cs="宋体"/>
          <w:sz w:val="24"/>
          <w:szCs w:val="24"/>
        </w:rPr>
        <w:t>2.2.1对可以质疑的采购文件提出质疑的，为收到采购文件之日或者采购文件公告期限届满之日；</w:t>
      </w:r>
    </w:p>
    <w:p w14:paraId="16B9A275">
      <w:pPr>
        <w:spacing w:line="440" w:lineRule="exact"/>
        <w:ind w:firstLine="1027" w:firstLineChars="428"/>
        <w:rPr>
          <w:rFonts w:hint="eastAsia" w:ascii="宋体" w:hAnsi="宋体" w:cs="宋体"/>
          <w:sz w:val="24"/>
          <w:szCs w:val="24"/>
        </w:rPr>
      </w:pPr>
      <w:r>
        <w:rPr>
          <w:rFonts w:hint="eastAsia" w:ascii="宋体" w:hAnsi="宋体" w:cs="宋体"/>
          <w:sz w:val="24"/>
          <w:szCs w:val="24"/>
        </w:rPr>
        <w:t>2.2.2对采购过程提出质疑的，为各采购程序环节结束之日；</w:t>
      </w:r>
    </w:p>
    <w:p w14:paraId="3135AC8E">
      <w:pPr>
        <w:spacing w:line="440" w:lineRule="exact"/>
        <w:ind w:firstLine="1027" w:firstLineChars="428"/>
        <w:rPr>
          <w:rFonts w:hint="eastAsia" w:ascii="宋体" w:hAnsi="宋体" w:cs="宋体"/>
          <w:sz w:val="24"/>
          <w:szCs w:val="24"/>
        </w:rPr>
      </w:pPr>
      <w:r>
        <w:rPr>
          <w:rFonts w:hint="eastAsia" w:ascii="宋体" w:hAnsi="宋体" w:cs="宋体"/>
          <w:sz w:val="24"/>
          <w:szCs w:val="24"/>
        </w:rPr>
        <w:t>2.2.3对中标或者成交结果提出质疑的，为中标或者成交结果公告期限届满之日。</w:t>
      </w:r>
    </w:p>
    <w:p w14:paraId="709389FE">
      <w:pPr>
        <w:spacing w:line="440" w:lineRule="exact"/>
        <w:ind w:firstLine="1027" w:firstLineChars="428"/>
        <w:rPr>
          <w:rFonts w:hint="eastAsia"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192A9BDC">
      <w:pPr>
        <w:spacing w:line="440" w:lineRule="exact"/>
        <w:ind w:firstLine="789" w:firstLineChars="329"/>
        <w:rPr>
          <w:rFonts w:hint="eastAsia" w:ascii="宋体" w:hAnsi="宋体" w:cs="宋体"/>
          <w:sz w:val="24"/>
          <w:szCs w:val="24"/>
        </w:rPr>
      </w:pPr>
      <w:r>
        <w:rPr>
          <w:rFonts w:hint="eastAsia" w:ascii="宋体" w:hAnsi="宋体" w:cs="宋体"/>
          <w:sz w:val="24"/>
          <w:szCs w:val="24"/>
        </w:rPr>
        <w:t>2.3质疑函必须按照本招标文件中《质疑函范本》要求的格式和内容进行填写。供应商如组成联合体参加投标，则《质疑函范本》中要求签字、盖章、加盖公章之处，联合体各方均须按要求签字、盖章、加盖公章。</w:t>
      </w:r>
    </w:p>
    <w:p w14:paraId="45569313">
      <w:pPr>
        <w:pBdr>
          <w:top w:val="none" w:color="000000" w:sz="0" w:space="0"/>
          <w:left w:val="none" w:color="000000" w:sz="0" w:space="0"/>
          <w:bottom w:val="none" w:color="000000" w:sz="0" w:space="0"/>
          <w:right w:val="none" w:color="000000" w:sz="0" w:space="0"/>
        </w:pBdr>
        <w:spacing w:line="440" w:lineRule="exact"/>
        <w:ind w:firstLine="787" w:firstLineChars="328"/>
        <w:rPr>
          <w:rFonts w:hint="eastAsia" w:ascii="宋体" w:hAnsi="宋体" w:cs="宋体"/>
          <w:sz w:val="24"/>
          <w:szCs w:val="24"/>
        </w:rPr>
      </w:pPr>
      <w:r>
        <w:rPr>
          <w:rFonts w:hint="eastAsia" w:ascii="宋体" w:hAnsi="宋体" w:cs="宋体"/>
          <w:sz w:val="24"/>
        </w:rPr>
        <w:t>2.4代理机构只接收以纸质原件形式送达的质疑</w:t>
      </w:r>
      <w:r>
        <w:rPr>
          <w:rFonts w:hint="eastAsia" w:ascii="宋体" w:hAnsi="宋体" w:cs="宋体"/>
          <w:b/>
          <w:bCs/>
          <w:sz w:val="24"/>
          <w:szCs w:val="24"/>
        </w:rPr>
        <w:t>（采购人和代理机构不接受未填写快递运单的快件），</w:t>
      </w:r>
      <w:r>
        <w:rPr>
          <w:rFonts w:hint="eastAsia" w:ascii="宋体" w:hAnsi="宋体" w:cs="宋体"/>
          <w:sz w:val="24"/>
        </w:rPr>
        <w:t>质疑接收单位为涵熙（苏州）工程顾问有限公司，联系地址：常熟市山茶花路10号。质疑接收人及联系方式见招标文件“第一章 投标邀请”。潜在投标人提出书面质疑必须有理、有据，不得捏造事实、提供虚假材料进行恶意质疑。否则，一经查实，将报请监管部门对该供应商进行相应的处罚。</w:t>
      </w:r>
    </w:p>
    <w:p w14:paraId="5A735D6B">
      <w:pPr>
        <w:spacing w:line="440" w:lineRule="exact"/>
        <w:ind w:firstLine="789" w:firstLineChars="329"/>
        <w:rPr>
          <w:rFonts w:hint="eastAsia" w:ascii="宋体" w:hAnsi="宋体" w:cs="宋体"/>
          <w:sz w:val="24"/>
          <w:szCs w:val="24"/>
        </w:rPr>
      </w:pPr>
      <w:r>
        <w:rPr>
          <w:rFonts w:hint="eastAsia" w:ascii="宋体" w:hAnsi="宋体" w:cs="宋体"/>
          <w:sz w:val="24"/>
          <w:szCs w:val="24"/>
        </w:rPr>
        <w:t>2.5 以下情形的质疑不予受理</w:t>
      </w:r>
    </w:p>
    <w:p w14:paraId="7BF1D992">
      <w:pPr>
        <w:spacing w:line="440" w:lineRule="exact"/>
        <w:ind w:firstLine="1027" w:firstLineChars="428"/>
        <w:rPr>
          <w:rFonts w:hint="eastAsia" w:ascii="宋体" w:hAnsi="宋体" w:cs="宋体"/>
          <w:sz w:val="24"/>
          <w:szCs w:val="24"/>
        </w:rPr>
      </w:pPr>
      <w:r>
        <w:rPr>
          <w:rFonts w:hint="eastAsia" w:ascii="宋体" w:hAnsi="宋体" w:cs="宋体"/>
          <w:sz w:val="24"/>
          <w:szCs w:val="24"/>
        </w:rPr>
        <w:t>2.5.1 内容不符合《政府采购质疑和投诉办法》第十二条规定的质疑。</w:t>
      </w:r>
    </w:p>
    <w:p w14:paraId="6B2CA633">
      <w:pPr>
        <w:spacing w:line="440" w:lineRule="exact"/>
        <w:ind w:firstLine="1027" w:firstLineChars="428"/>
        <w:rPr>
          <w:rFonts w:hint="eastAsia" w:ascii="宋体" w:hAnsi="宋体" w:cs="宋体"/>
          <w:sz w:val="24"/>
          <w:szCs w:val="24"/>
        </w:rPr>
      </w:pPr>
      <w:r>
        <w:rPr>
          <w:rFonts w:hint="eastAsia" w:ascii="宋体" w:hAnsi="宋体" w:cs="宋体"/>
          <w:sz w:val="24"/>
          <w:szCs w:val="24"/>
        </w:rPr>
        <w:t>2.5.2 超出政府采购法定期限的质疑。</w:t>
      </w:r>
    </w:p>
    <w:p w14:paraId="1A01804D">
      <w:pPr>
        <w:spacing w:line="440" w:lineRule="exact"/>
        <w:ind w:firstLine="1027" w:firstLineChars="428"/>
        <w:rPr>
          <w:rFonts w:hint="eastAsia" w:ascii="宋体" w:hAnsi="宋体" w:cs="宋体"/>
          <w:sz w:val="24"/>
          <w:szCs w:val="24"/>
        </w:rPr>
      </w:pPr>
      <w:r>
        <w:rPr>
          <w:rFonts w:hint="eastAsia" w:ascii="宋体" w:hAnsi="宋体" w:cs="宋体"/>
          <w:sz w:val="24"/>
          <w:szCs w:val="24"/>
        </w:rPr>
        <w:t>2.5.3 以传真、电子邮件等方式递交的非原件形式的质疑。</w:t>
      </w:r>
    </w:p>
    <w:p w14:paraId="2503984F">
      <w:pPr>
        <w:spacing w:line="440" w:lineRule="exact"/>
        <w:ind w:firstLine="1027" w:firstLineChars="428"/>
        <w:rPr>
          <w:rFonts w:hint="eastAsia" w:ascii="宋体" w:hAnsi="宋体" w:cs="宋体"/>
          <w:sz w:val="24"/>
          <w:szCs w:val="24"/>
        </w:rPr>
      </w:pPr>
      <w:r>
        <w:rPr>
          <w:rFonts w:hint="eastAsia" w:ascii="宋体" w:hAnsi="宋体" w:cs="宋体"/>
          <w:sz w:val="24"/>
          <w:szCs w:val="24"/>
        </w:rPr>
        <w:t>2.5.4 未参加投标活动的供应商或在投标活动中自身权益未受到损害的供应商所提出的质疑。</w:t>
      </w:r>
    </w:p>
    <w:p w14:paraId="3C0BB8D2">
      <w:pPr>
        <w:spacing w:line="440" w:lineRule="exact"/>
        <w:ind w:firstLine="1027" w:firstLineChars="428"/>
        <w:rPr>
          <w:rFonts w:hint="eastAsia" w:ascii="宋体" w:hAnsi="宋体" w:cs="宋体"/>
          <w:sz w:val="24"/>
          <w:szCs w:val="24"/>
        </w:rPr>
      </w:pPr>
      <w:r>
        <w:rPr>
          <w:rFonts w:hint="eastAsia" w:ascii="宋体" w:hAnsi="宋体" w:cs="宋体"/>
          <w:sz w:val="24"/>
          <w:szCs w:val="24"/>
        </w:rPr>
        <w:t>2.5.5供应商组成联合体参加投标，联合体中任何一方或多方未按要求签字、盖章、加盖公章的质疑。</w:t>
      </w:r>
    </w:p>
    <w:p w14:paraId="0435C728">
      <w:pPr>
        <w:spacing w:line="440" w:lineRule="exact"/>
        <w:ind w:firstLine="789" w:firstLineChars="329"/>
        <w:rPr>
          <w:rFonts w:hint="eastAsia" w:ascii="宋体" w:hAnsi="宋体" w:cs="宋体"/>
          <w:sz w:val="24"/>
          <w:szCs w:val="24"/>
        </w:rPr>
      </w:pPr>
      <w:r>
        <w:rPr>
          <w:rFonts w:hint="eastAsia" w:ascii="宋体" w:hAnsi="宋体" w:cs="宋体"/>
          <w:sz w:val="24"/>
          <w:szCs w:val="24"/>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E7E4E37">
      <w:pPr>
        <w:keepNext/>
        <w:keepLines/>
        <w:spacing w:line="440" w:lineRule="exact"/>
        <w:ind w:firstLine="480" w:firstLineChars="200"/>
        <w:rPr>
          <w:rFonts w:hint="eastAsia" w:ascii="宋体" w:hAnsi="宋体" w:cs="宋体"/>
          <w:bCs/>
          <w:sz w:val="24"/>
          <w:szCs w:val="24"/>
        </w:rPr>
      </w:pPr>
      <w:r>
        <w:rPr>
          <w:rFonts w:hint="eastAsia" w:ascii="宋体" w:hAnsi="宋体" w:cs="宋体"/>
          <w:bCs/>
          <w:sz w:val="24"/>
          <w:szCs w:val="24"/>
        </w:rPr>
        <w:t>3、中标通知书</w:t>
      </w:r>
    </w:p>
    <w:p w14:paraId="11101E68">
      <w:pPr>
        <w:spacing w:line="440" w:lineRule="exact"/>
        <w:ind w:firstLine="789" w:firstLineChars="329"/>
        <w:rPr>
          <w:rFonts w:hint="eastAsia" w:ascii="宋体" w:hAnsi="宋体" w:cs="宋体"/>
          <w:sz w:val="24"/>
          <w:szCs w:val="24"/>
        </w:rPr>
      </w:pPr>
      <w:r>
        <w:rPr>
          <w:rFonts w:hint="eastAsia" w:ascii="宋体" w:hAnsi="宋体" w:cs="宋体"/>
          <w:sz w:val="24"/>
          <w:szCs w:val="24"/>
        </w:rPr>
        <w:t>3.l</w:t>
      </w:r>
      <w:r>
        <w:rPr>
          <w:rFonts w:hint="eastAsia" w:ascii="宋体" w:hAnsi="宋体" w:cs="宋体"/>
          <w:b/>
          <w:sz w:val="24"/>
          <w:szCs w:val="24"/>
        </w:rPr>
        <w:t xml:space="preserve"> </w:t>
      </w:r>
      <w:r>
        <w:rPr>
          <w:rFonts w:hint="eastAsia" w:ascii="宋体" w:hAnsi="宋体" w:cs="宋体"/>
          <w:sz w:val="24"/>
          <w:szCs w:val="24"/>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D1AE83A">
      <w:pPr>
        <w:spacing w:line="440" w:lineRule="exact"/>
        <w:ind w:firstLine="789" w:firstLineChars="329"/>
        <w:rPr>
          <w:rFonts w:hint="eastAsia" w:ascii="宋体" w:hAnsi="宋体" w:cs="宋体"/>
          <w:sz w:val="24"/>
          <w:szCs w:val="24"/>
        </w:rPr>
      </w:pPr>
      <w:r>
        <w:rPr>
          <w:rFonts w:hint="eastAsia" w:ascii="宋体" w:hAnsi="宋体" w:cs="宋体"/>
          <w:sz w:val="24"/>
          <w:szCs w:val="24"/>
        </w:rPr>
        <w:t>3.2中标通知书将是合同的一个组成部分。对采购人和中标供应商均具有法律效力。中标通知书发出后，采购人改变中标结果的，或者中标供应商放弃中标项目的，应当依法承担法律责任。</w:t>
      </w:r>
    </w:p>
    <w:p w14:paraId="2D5AF481">
      <w:pPr>
        <w:keepNext/>
        <w:keepLines/>
        <w:spacing w:line="440" w:lineRule="exact"/>
        <w:ind w:firstLine="562"/>
        <w:rPr>
          <w:rFonts w:hint="eastAsia" w:ascii="宋体" w:hAnsi="宋体" w:cs="宋体"/>
          <w:b/>
          <w:bCs/>
          <w:sz w:val="28"/>
          <w:szCs w:val="28"/>
        </w:rPr>
      </w:pPr>
      <w:bookmarkStart w:id="160" w:name="_Toc120614220"/>
      <w:bookmarkStart w:id="161" w:name="_Toc16938552"/>
      <w:bookmarkStart w:id="162" w:name="_Toc20823308"/>
      <w:bookmarkStart w:id="163" w:name="_Toc513029236"/>
      <w:r>
        <w:rPr>
          <w:rFonts w:hint="eastAsia" w:ascii="宋体" w:hAnsi="宋体" w:cs="宋体"/>
          <w:b/>
          <w:bCs/>
          <w:sz w:val="28"/>
          <w:szCs w:val="28"/>
        </w:rPr>
        <w:t>七、授予合同</w:t>
      </w:r>
      <w:bookmarkEnd w:id="160"/>
    </w:p>
    <w:bookmarkEnd w:id="161"/>
    <w:bookmarkEnd w:id="162"/>
    <w:bookmarkEnd w:id="163"/>
    <w:p w14:paraId="5DDE683B">
      <w:pPr>
        <w:keepNext/>
        <w:keepLines/>
        <w:spacing w:line="440" w:lineRule="exact"/>
        <w:ind w:firstLine="480"/>
        <w:rPr>
          <w:rFonts w:hint="eastAsia" w:ascii="宋体" w:hAnsi="宋体" w:cs="宋体"/>
          <w:bCs/>
          <w:sz w:val="24"/>
          <w:szCs w:val="24"/>
        </w:rPr>
      </w:pPr>
      <w:bookmarkStart w:id="164" w:name="_Toc20823309"/>
      <w:bookmarkStart w:id="165" w:name="_Toc16938553"/>
      <w:bookmarkStart w:id="166" w:name="_Toc513029237"/>
      <w:r>
        <w:rPr>
          <w:rFonts w:hint="eastAsia" w:ascii="宋体" w:hAnsi="宋体" w:cs="宋体"/>
          <w:bCs/>
          <w:sz w:val="24"/>
          <w:szCs w:val="24"/>
        </w:rPr>
        <w:t>1、签订合同</w:t>
      </w:r>
    </w:p>
    <w:p w14:paraId="1577E211">
      <w:pPr>
        <w:spacing w:line="440" w:lineRule="exact"/>
        <w:ind w:firstLine="789" w:firstLineChars="329"/>
        <w:rPr>
          <w:rFonts w:hint="eastAsia" w:ascii="宋体" w:hAnsi="宋体" w:cs="宋体"/>
          <w:sz w:val="24"/>
          <w:szCs w:val="24"/>
        </w:rPr>
      </w:pPr>
      <w:r>
        <w:rPr>
          <w:rFonts w:hint="eastAsia" w:ascii="宋体" w:hAnsi="宋体" w:cs="宋体"/>
          <w:sz w:val="24"/>
          <w:szCs w:val="24"/>
        </w:rPr>
        <w:t>1.l中标人应当在中标通知书发出之日起三十日内，按照招标文件确定的事项与采购人签订政府采购合同。</w:t>
      </w:r>
    </w:p>
    <w:p w14:paraId="22DC6646">
      <w:pPr>
        <w:spacing w:line="440" w:lineRule="exact"/>
        <w:ind w:firstLine="789" w:firstLineChars="329"/>
        <w:rPr>
          <w:rFonts w:hint="eastAsia" w:ascii="宋体" w:hAnsi="宋体" w:cs="宋体"/>
          <w:sz w:val="24"/>
          <w:szCs w:val="24"/>
        </w:rPr>
      </w:pPr>
      <w:r>
        <w:rPr>
          <w:rFonts w:hint="eastAsia" w:ascii="宋体" w:hAnsi="宋体" w:cs="宋体"/>
          <w:sz w:val="24"/>
          <w:szCs w:val="24"/>
        </w:rPr>
        <w:t>1.2</w:t>
      </w:r>
      <w:r>
        <w:rPr>
          <w:rFonts w:hint="eastAsia" w:ascii="宋体" w:hAnsi="宋体" w:cs="宋体"/>
          <w:b/>
          <w:sz w:val="24"/>
          <w:szCs w:val="24"/>
        </w:rPr>
        <w:t xml:space="preserve"> </w:t>
      </w:r>
      <w:r>
        <w:rPr>
          <w:rFonts w:hint="eastAsia" w:ascii="宋体" w:hAnsi="宋体" w:cs="宋体"/>
          <w:sz w:val="24"/>
          <w:szCs w:val="24"/>
        </w:rPr>
        <w:t>招标文件、中标人的投标文件及招标过程中有关澄清、承诺文件均应作为合同附件。</w:t>
      </w:r>
    </w:p>
    <w:p w14:paraId="0D553A5E">
      <w:pPr>
        <w:spacing w:line="440" w:lineRule="exact"/>
        <w:ind w:firstLine="789" w:firstLineChars="329"/>
        <w:rPr>
          <w:rFonts w:hint="eastAsia" w:ascii="宋体" w:hAnsi="宋体" w:cs="宋体"/>
          <w:sz w:val="24"/>
          <w:szCs w:val="24"/>
        </w:rPr>
      </w:pPr>
      <w:r>
        <w:rPr>
          <w:rFonts w:hint="eastAsia" w:ascii="宋体" w:hAnsi="宋体" w:cs="宋体"/>
          <w:sz w:val="24"/>
          <w:szCs w:val="24"/>
        </w:rPr>
        <w:t>1.3 签订合同后，</w:t>
      </w:r>
      <w:r>
        <w:rPr>
          <w:rFonts w:hint="eastAsia" w:ascii="宋体" w:hAnsi="宋体" w:cs="宋体"/>
          <w:iCs/>
          <w:sz w:val="24"/>
          <w:szCs w:val="24"/>
        </w:rPr>
        <w:t>中标人不得将合同标的进行转包</w:t>
      </w:r>
      <w:r>
        <w:rPr>
          <w:rFonts w:hint="eastAsia" w:ascii="宋体" w:hAnsi="宋体" w:cs="宋体"/>
          <w:sz w:val="24"/>
          <w:szCs w:val="24"/>
        </w:rPr>
        <w:t>。未经采购人同意，中标人也不得采用分包的形式履行合同，否则采购人有权终止合同。转包或分包造成采购人损失的，中标人应承担相应赔偿责任。</w:t>
      </w:r>
    </w:p>
    <w:p w14:paraId="0AC4DCFD">
      <w:pPr>
        <w:keepNext/>
        <w:keepLines/>
        <w:spacing w:line="440" w:lineRule="exact"/>
        <w:ind w:firstLine="480"/>
        <w:rPr>
          <w:rFonts w:hint="eastAsia" w:ascii="宋体" w:hAnsi="宋体" w:cs="宋体"/>
          <w:bCs/>
          <w:sz w:val="24"/>
          <w:szCs w:val="24"/>
        </w:rPr>
      </w:pPr>
      <w:r>
        <w:rPr>
          <w:rFonts w:hint="eastAsia" w:ascii="宋体" w:hAnsi="宋体" w:cs="宋体"/>
          <w:bCs/>
          <w:sz w:val="24"/>
          <w:szCs w:val="24"/>
        </w:rPr>
        <w:t>2、服务（包含与项目有关的服务）的追加</w:t>
      </w:r>
    </w:p>
    <w:p w14:paraId="481C6894">
      <w:pPr>
        <w:spacing w:line="440" w:lineRule="exact"/>
        <w:ind w:firstLine="1027" w:firstLineChars="428"/>
        <w:rPr>
          <w:rFonts w:hint="eastAsia" w:ascii="宋体" w:hAnsi="宋体" w:cs="宋体"/>
          <w:sz w:val="24"/>
          <w:szCs w:val="24"/>
        </w:rPr>
      </w:pPr>
      <w:r>
        <w:rPr>
          <w:rFonts w:hint="eastAsia" w:ascii="宋体" w:hAnsi="宋体" w:cs="宋体"/>
          <w:sz w:val="24"/>
          <w:szCs w:val="24"/>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64"/>
    <w:bookmarkEnd w:id="165"/>
    <w:bookmarkEnd w:id="166"/>
    <w:p w14:paraId="353DAFF4">
      <w:pPr>
        <w:keepNext/>
        <w:keepLines/>
        <w:spacing w:line="440" w:lineRule="exact"/>
        <w:ind w:firstLine="480"/>
        <w:rPr>
          <w:rFonts w:hint="eastAsia" w:ascii="宋体" w:hAnsi="宋体" w:cs="宋体"/>
          <w:bCs/>
          <w:sz w:val="24"/>
          <w:szCs w:val="24"/>
        </w:rPr>
      </w:pPr>
      <w:bookmarkStart w:id="167" w:name="_Toc20823314"/>
      <w:bookmarkStart w:id="168" w:name="_Toc479757207"/>
      <w:bookmarkStart w:id="169" w:name="_Toc120614221"/>
      <w:bookmarkStart w:id="170" w:name="_Toc513029242"/>
      <w:bookmarkStart w:id="171" w:name="_Toc16938558"/>
      <w:r>
        <w:rPr>
          <w:rFonts w:hint="eastAsia" w:ascii="宋体" w:hAnsi="宋体" w:cs="宋体"/>
          <w:bCs/>
          <w:sz w:val="24"/>
          <w:szCs w:val="24"/>
        </w:rPr>
        <w:t>3、政府采购信用融资政策</w:t>
      </w:r>
    </w:p>
    <w:p w14:paraId="0ECEE9D3">
      <w:pPr>
        <w:spacing w:line="440" w:lineRule="exact"/>
        <w:ind w:firstLine="1027" w:firstLineChars="428"/>
        <w:rPr>
          <w:rFonts w:hint="eastAsia" w:ascii="宋体" w:hAnsi="宋体" w:cs="宋体"/>
          <w:sz w:val="24"/>
          <w:szCs w:val="24"/>
        </w:rPr>
      </w:pPr>
      <w:r>
        <w:rPr>
          <w:rFonts w:hint="eastAsia" w:ascii="宋体" w:hAnsi="宋体" w:cs="宋体"/>
          <w:sz w:val="24"/>
          <w:szCs w:val="24"/>
        </w:rPr>
        <w:t>3.1 中标供应商可凭政府采购合同办理融资贷款，详情请见苏州市政府采购网“政府采购合同信用融资”专栏。</w:t>
      </w:r>
    </w:p>
    <w:p w14:paraId="68E623CF">
      <w:pPr>
        <w:keepNext/>
        <w:keepLines/>
        <w:spacing w:line="440" w:lineRule="exact"/>
        <w:ind w:firstLine="480"/>
        <w:rPr>
          <w:rFonts w:hint="eastAsia" w:ascii="宋体" w:hAnsi="宋体" w:cs="宋体"/>
          <w:bCs/>
          <w:sz w:val="24"/>
          <w:szCs w:val="24"/>
        </w:rPr>
      </w:pPr>
      <w:r>
        <w:rPr>
          <w:rFonts w:hint="eastAsia" w:ascii="宋体" w:hAnsi="宋体" w:cs="宋体"/>
          <w:bCs/>
          <w:sz w:val="24"/>
          <w:szCs w:val="24"/>
        </w:rPr>
        <w:t>4、合同公示</w:t>
      </w:r>
    </w:p>
    <w:p w14:paraId="08149FFB">
      <w:pPr>
        <w:spacing w:line="440" w:lineRule="exact"/>
        <w:ind w:firstLine="1027" w:firstLineChars="428"/>
        <w:rPr>
          <w:rFonts w:hint="eastAsia" w:ascii="宋体" w:hAnsi="宋体" w:cs="宋体"/>
          <w:sz w:val="24"/>
          <w:szCs w:val="24"/>
        </w:rPr>
      </w:pPr>
      <w:r>
        <w:rPr>
          <w:rFonts w:hint="eastAsia" w:ascii="宋体" w:hAnsi="宋体" w:cs="宋体"/>
          <w:sz w:val="24"/>
          <w:szCs w:val="24"/>
        </w:rPr>
        <w:t>4.1采购合同将在签订之日起2个工作日内在指定媒体公示，涉及国家秘密、商业秘密的内容除外。</w:t>
      </w:r>
    </w:p>
    <w:p w14:paraId="455A4720">
      <w:pPr>
        <w:rPr>
          <w:rFonts w:hint="eastAsia" w:ascii="宋体" w:hAnsi="宋体" w:cs="宋体"/>
        </w:rPr>
      </w:pPr>
      <w:r>
        <w:rPr>
          <w:rFonts w:hint="eastAsia" w:ascii="宋体" w:hAnsi="宋体" w:cs="宋体"/>
        </w:rPr>
        <w:br w:type="page"/>
      </w:r>
    </w:p>
    <w:p w14:paraId="36521BEF">
      <w:pPr>
        <w:keepNext/>
        <w:ind w:firstLine="880"/>
        <w:jc w:val="center"/>
        <w:outlineLvl w:val="0"/>
        <w:rPr>
          <w:rFonts w:hint="eastAsia" w:ascii="宋体" w:hAnsi="宋体" w:cs="宋体"/>
          <w:b/>
          <w:bCs/>
          <w:sz w:val="40"/>
          <w:szCs w:val="40"/>
        </w:rPr>
      </w:pPr>
      <w:bookmarkStart w:id="172" w:name="_Toc18002"/>
      <w:r>
        <w:rPr>
          <w:rFonts w:hint="eastAsia" w:ascii="宋体" w:hAnsi="宋体" w:cs="宋体"/>
          <w:b/>
          <w:bCs/>
          <w:sz w:val="40"/>
          <w:szCs w:val="40"/>
        </w:rPr>
        <w:t>第三章  合同</w:t>
      </w:r>
      <w:bookmarkEnd w:id="167"/>
      <w:bookmarkEnd w:id="168"/>
      <w:bookmarkEnd w:id="169"/>
      <w:bookmarkEnd w:id="170"/>
      <w:bookmarkEnd w:id="171"/>
      <w:r>
        <w:rPr>
          <w:rFonts w:hint="eastAsia" w:ascii="宋体" w:hAnsi="宋体" w:cs="宋体"/>
          <w:b/>
          <w:bCs/>
          <w:sz w:val="40"/>
          <w:szCs w:val="40"/>
        </w:rPr>
        <w:t>文本</w:t>
      </w:r>
      <w:bookmarkEnd w:id="172"/>
    </w:p>
    <w:p w14:paraId="74BB5363">
      <w:pPr>
        <w:spacing w:before="240" w:beforeLines="100"/>
        <w:ind w:right="105" w:rightChars="50" w:firstLine="6720" w:firstLineChars="2800"/>
        <w:rPr>
          <w:rFonts w:hint="eastAsia" w:ascii="宋体" w:hAnsi="宋体" w:cs="宋体"/>
          <w:b/>
          <w:bCs/>
          <w:sz w:val="72"/>
          <w:szCs w:val="72"/>
        </w:rPr>
      </w:pPr>
      <w:bookmarkStart w:id="173" w:name="_Hlt16619369"/>
      <w:bookmarkEnd w:id="173"/>
      <w:bookmarkStart w:id="174" w:name="_Hlt16619350"/>
      <w:bookmarkStart w:id="175" w:name="_Toc120614244"/>
      <w:bookmarkStart w:id="176" w:name="_Toc16938590"/>
      <w:bookmarkStart w:id="177" w:name="_Toc20823346"/>
      <w:bookmarkStart w:id="178" w:name="_Toc479757211"/>
      <w:bookmarkStart w:id="179" w:name="_Toc462564139"/>
      <w:r>
        <w:rPr>
          <w:rFonts w:hint="eastAsia" w:ascii="宋体" w:hAnsi="宋体" w:cs="宋体"/>
          <w:sz w:val="24"/>
          <w:szCs w:val="24"/>
        </w:rPr>
        <w:t>合同编号：</w:t>
      </w:r>
    </w:p>
    <w:p w14:paraId="2FAA61FA">
      <w:pPr>
        <w:spacing w:before="240" w:beforeLines="100"/>
        <w:ind w:right="105" w:rightChars="50" w:firstLine="2530" w:firstLineChars="350"/>
        <w:rPr>
          <w:rFonts w:hint="eastAsia" w:ascii="宋体" w:hAnsi="宋体" w:cs="宋体"/>
          <w:b/>
          <w:bCs/>
          <w:sz w:val="72"/>
          <w:szCs w:val="72"/>
        </w:rPr>
      </w:pPr>
    </w:p>
    <w:p w14:paraId="7E772623">
      <w:pPr>
        <w:spacing w:before="240" w:beforeLines="100"/>
        <w:ind w:right="105" w:rightChars="50" w:firstLine="2530" w:firstLineChars="350"/>
        <w:rPr>
          <w:rFonts w:hint="eastAsia" w:ascii="宋体" w:hAnsi="宋体" w:cs="宋体"/>
          <w:b/>
          <w:bCs/>
          <w:sz w:val="72"/>
          <w:szCs w:val="72"/>
        </w:rPr>
      </w:pPr>
      <w:r>
        <w:rPr>
          <w:rFonts w:hint="eastAsia" w:ascii="宋体" w:hAnsi="宋体" w:cs="宋体"/>
          <w:b/>
          <w:bCs/>
          <w:sz w:val="72"/>
          <w:szCs w:val="72"/>
        </w:rPr>
        <w:t>政府采购合同</w:t>
      </w:r>
    </w:p>
    <w:p w14:paraId="10B8C18F">
      <w:pPr>
        <w:spacing w:line="420" w:lineRule="exact"/>
        <w:ind w:firstLine="1807" w:firstLineChars="250"/>
        <w:rPr>
          <w:rFonts w:hint="eastAsia" w:ascii="宋体" w:hAnsi="宋体" w:cs="宋体"/>
          <w:b/>
          <w:bCs/>
          <w:sz w:val="72"/>
          <w:szCs w:val="72"/>
        </w:rPr>
      </w:pPr>
    </w:p>
    <w:p w14:paraId="54BC886C">
      <w:pPr>
        <w:spacing w:line="420" w:lineRule="exact"/>
        <w:ind w:firstLine="1807" w:firstLineChars="250"/>
        <w:rPr>
          <w:rFonts w:hint="eastAsia" w:ascii="宋体" w:hAnsi="宋体" w:cs="宋体"/>
          <w:b/>
          <w:bCs/>
          <w:sz w:val="72"/>
          <w:szCs w:val="72"/>
        </w:rPr>
      </w:pPr>
    </w:p>
    <w:p w14:paraId="6E6D8173">
      <w:pPr>
        <w:autoSpaceDE w:val="0"/>
        <w:autoSpaceDN w:val="0"/>
        <w:adjustRightInd w:val="0"/>
        <w:spacing w:line="480" w:lineRule="exact"/>
        <w:ind w:firstLine="200"/>
        <w:jc w:val="center"/>
        <w:rPr>
          <w:rFonts w:hint="eastAsia" w:ascii="宋体" w:hAnsi="宋体" w:cs="宋体"/>
          <w:b/>
          <w:sz w:val="28"/>
          <w:szCs w:val="28"/>
        </w:rPr>
      </w:pPr>
      <w:r>
        <w:rPr>
          <w:rFonts w:hint="eastAsia" w:ascii="宋体" w:hAnsi="宋体" w:cs="宋体"/>
          <w:b/>
          <w:sz w:val="28"/>
          <w:szCs w:val="28"/>
        </w:rPr>
        <w:t>第一部分 合同书</w:t>
      </w:r>
    </w:p>
    <w:p w14:paraId="0039688F">
      <w:pPr>
        <w:widowControl/>
        <w:spacing w:before="120" w:after="160" w:line="22" w:lineRule="atLeast"/>
        <w:rPr>
          <w:rFonts w:hint="eastAsia" w:ascii="宋体" w:hAnsi="宋体" w:cs="宋体"/>
          <w:bCs/>
          <w:sz w:val="24"/>
          <w:szCs w:val="24"/>
        </w:rPr>
      </w:pPr>
    </w:p>
    <w:p w14:paraId="1F193D34">
      <w:pPr>
        <w:widowControl/>
        <w:spacing w:before="120" w:after="160" w:line="22" w:lineRule="atLeast"/>
        <w:jc w:val="center"/>
        <w:rPr>
          <w:rFonts w:hint="eastAsia" w:ascii="宋体" w:hAnsi="宋体" w:cs="宋体"/>
          <w:b/>
          <w:bCs/>
          <w:sz w:val="36"/>
          <w:szCs w:val="36"/>
          <w:u w:val="single"/>
        </w:rPr>
      </w:pPr>
      <w:r>
        <w:rPr>
          <w:rFonts w:hint="eastAsia" w:ascii="宋体" w:hAnsi="宋体" w:cs="宋体"/>
          <w:b/>
          <w:bCs/>
          <w:sz w:val="36"/>
          <w:szCs w:val="36"/>
        </w:rPr>
        <w:t>项目名称：</w:t>
      </w:r>
      <w:r>
        <w:rPr>
          <w:rFonts w:hint="eastAsia" w:ascii="宋体" w:hAnsi="宋体" w:cs="宋体"/>
          <w:sz w:val="36"/>
          <w:szCs w:val="36"/>
          <w:u w:val="single"/>
        </w:rPr>
        <w:t>2024年常熟市农业绿色发展监测项目（硬件设施建设）</w:t>
      </w:r>
    </w:p>
    <w:p w14:paraId="0EA1FB5F">
      <w:pPr>
        <w:widowControl/>
        <w:spacing w:before="120" w:after="160" w:line="22" w:lineRule="atLeast"/>
        <w:ind w:firstLine="1807" w:firstLineChars="500"/>
        <w:rPr>
          <w:rFonts w:hint="eastAsia" w:ascii="宋体" w:hAnsi="宋体" w:eastAsia="宋体" w:cs="宋体"/>
          <w:b/>
          <w:bCs/>
          <w:sz w:val="36"/>
          <w:szCs w:val="36"/>
          <w:lang w:eastAsia="zh-CN"/>
        </w:rPr>
      </w:pPr>
      <w:r>
        <w:rPr>
          <w:rFonts w:hint="eastAsia" w:ascii="宋体" w:hAnsi="宋体" w:cs="宋体"/>
          <w:b/>
          <w:bCs/>
          <w:sz w:val="36"/>
          <w:szCs w:val="36"/>
        </w:rPr>
        <w:t>项目编号：</w:t>
      </w:r>
      <w:r>
        <w:rPr>
          <w:rFonts w:hint="eastAsia" w:ascii="宋体" w:hAnsi="宋体" w:cs="宋体"/>
          <w:sz w:val="36"/>
          <w:szCs w:val="36"/>
          <w:u w:val="single"/>
          <w:lang w:eastAsia="zh-CN"/>
        </w:rPr>
        <w:t>JSZC-320581-HXGW-G2024-0096</w:t>
      </w:r>
    </w:p>
    <w:p w14:paraId="3D42A622">
      <w:pPr>
        <w:spacing w:line="420" w:lineRule="exact"/>
        <w:ind w:firstLine="1807" w:firstLineChars="250"/>
        <w:rPr>
          <w:rFonts w:hint="eastAsia" w:ascii="宋体" w:hAnsi="宋体" w:cs="宋体"/>
          <w:b/>
          <w:bCs/>
          <w:sz w:val="72"/>
          <w:szCs w:val="72"/>
        </w:rPr>
      </w:pPr>
    </w:p>
    <w:p w14:paraId="6980B9D2">
      <w:pPr>
        <w:spacing w:before="120" w:line="480" w:lineRule="auto"/>
        <w:ind w:left="960" w:firstLine="840" w:firstLineChars="350"/>
        <w:rPr>
          <w:rFonts w:hint="eastAsia" w:ascii="宋体" w:hAnsi="宋体" w:cs="宋体"/>
          <w:bCs/>
          <w:sz w:val="24"/>
          <w:szCs w:val="24"/>
        </w:rPr>
      </w:pPr>
    </w:p>
    <w:p w14:paraId="68261F3B">
      <w:pPr>
        <w:spacing w:before="120" w:line="480" w:lineRule="auto"/>
        <w:ind w:left="960" w:firstLine="840" w:firstLineChars="350"/>
        <w:rPr>
          <w:rFonts w:hint="eastAsia" w:ascii="宋体" w:hAnsi="宋体" w:cs="宋体"/>
          <w:bCs/>
          <w:sz w:val="24"/>
          <w:szCs w:val="24"/>
        </w:rPr>
      </w:pPr>
    </w:p>
    <w:p w14:paraId="166F6B29">
      <w:pPr>
        <w:spacing w:before="120" w:line="480" w:lineRule="auto"/>
        <w:ind w:left="960" w:firstLine="840" w:firstLineChars="350"/>
        <w:rPr>
          <w:rFonts w:hint="eastAsia" w:ascii="宋体" w:hAnsi="宋体" w:cs="宋体"/>
          <w:bCs/>
          <w:sz w:val="24"/>
          <w:szCs w:val="24"/>
        </w:rPr>
      </w:pPr>
    </w:p>
    <w:p w14:paraId="6DB99F05">
      <w:pPr>
        <w:spacing w:before="120" w:line="480" w:lineRule="auto"/>
        <w:ind w:left="960" w:firstLine="840" w:firstLineChars="350"/>
        <w:rPr>
          <w:rFonts w:hint="eastAsia" w:ascii="宋体" w:hAnsi="宋体" w:cs="宋体"/>
          <w:bCs/>
          <w:sz w:val="24"/>
          <w:szCs w:val="24"/>
          <w:u w:val="single"/>
        </w:rPr>
      </w:pPr>
      <w:r>
        <w:rPr>
          <w:rFonts w:hint="eastAsia" w:ascii="宋体" w:hAnsi="宋体" w:cs="宋体"/>
          <w:bCs/>
          <w:sz w:val="24"/>
          <w:szCs w:val="24"/>
        </w:rPr>
        <w:t>甲方（采  购  人）：</w:t>
      </w:r>
      <w:r>
        <w:rPr>
          <w:rFonts w:hint="eastAsia" w:ascii="宋体" w:hAnsi="宋体" w:cs="宋体"/>
          <w:bCs/>
          <w:sz w:val="24"/>
          <w:szCs w:val="24"/>
          <w:u w:val="single"/>
        </w:rPr>
        <w:t xml:space="preserve">                                   </w:t>
      </w:r>
    </w:p>
    <w:p w14:paraId="4C630F3C">
      <w:pPr>
        <w:spacing w:before="120" w:line="480" w:lineRule="auto"/>
        <w:ind w:left="960" w:firstLine="840" w:firstLineChars="350"/>
        <w:rPr>
          <w:rFonts w:hint="eastAsia" w:ascii="宋体" w:hAnsi="宋体" w:cs="宋体"/>
          <w:bCs/>
          <w:sz w:val="24"/>
          <w:szCs w:val="24"/>
          <w:u w:val="single"/>
        </w:rPr>
      </w:pPr>
      <w:r>
        <w:rPr>
          <w:rFonts w:hint="eastAsia" w:ascii="宋体" w:hAnsi="宋体" w:cs="宋体"/>
          <w:bCs/>
          <w:sz w:val="24"/>
          <w:szCs w:val="24"/>
        </w:rPr>
        <w:t>乙方（中  标  人）：</w:t>
      </w:r>
      <w:r>
        <w:rPr>
          <w:rFonts w:hint="eastAsia" w:ascii="宋体" w:hAnsi="宋体" w:cs="宋体"/>
          <w:bCs/>
          <w:sz w:val="24"/>
          <w:szCs w:val="24"/>
          <w:u w:val="single"/>
        </w:rPr>
        <w:t xml:space="preserve">                                   </w:t>
      </w:r>
    </w:p>
    <w:p w14:paraId="64C6F07E">
      <w:pPr>
        <w:spacing w:before="120" w:line="480" w:lineRule="auto"/>
        <w:ind w:left="960" w:firstLine="840" w:firstLineChars="350"/>
        <w:rPr>
          <w:rFonts w:hint="eastAsia" w:ascii="宋体" w:hAnsi="宋体" w:cs="宋体"/>
          <w:bCs/>
          <w:sz w:val="24"/>
          <w:szCs w:val="24"/>
          <w:u w:val="single"/>
        </w:rPr>
      </w:pPr>
      <w:r>
        <w:rPr>
          <w:rFonts w:hint="eastAsia" w:ascii="宋体" w:hAnsi="宋体" w:cs="宋体"/>
          <w:bCs/>
          <w:sz w:val="24"/>
          <w:szCs w:val="24"/>
        </w:rPr>
        <w:t>信用融资回款账户：</w:t>
      </w:r>
      <w:r>
        <w:rPr>
          <w:rFonts w:hint="eastAsia" w:ascii="宋体" w:hAnsi="宋体" w:cs="宋体"/>
          <w:bCs/>
          <w:sz w:val="24"/>
          <w:szCs w:val="24"/>
          <w:u w:val="single"/>
        </w:rPr>
        <w:t xml:space="preserve">                                   </w:t>
      </w:r>
    </w:p>
    <w:p w14:paraId="6691B529">
      <w:pPr>
        <w:spacing w:before="120" w:line="480" w:lineRule="auto"/>
        <w:ind w:left="960" w:firstLine="840" w:firstLineChars="350"/>
        <w:rPr>
          <w:rFonts w:hint="eastAsia" w:ascii="宋体" w:hAnsi="宋体" w:cs="宋体"/>
          <w:bCs/>
          <w:sz w:val="24"/>
          <w:szCs w:val="24"/>
        </w:rPr>
      </w:pPr>
      <w:r>
        <w:rPr>
          <w:rFonts w:hint="eastAsia" w:ascii="宋体" w:hAnsi="宋体" w:cs="宋体"/>
          <w:bCs/>
          <w:sz w:val="24"/>
          <w:szCs w:val="24"/>
        </w:rPr>
        <w:t>开户银行：</w:t>
      </w:r>
      <w:r>
        <w:rPr>
          <w:rFonts w:hint="eastAsia" w:ascii="宋体" w:hAnsi="宋体" w:cs="宋体"/>
          <w:bCs/>
          <w:sz w:val="24"/>
          <w:szCs w:val="24"/>
          <w:u w:val="single"/>
        </w:rPr>
        <w:t xml:space="preserve">                                   </w:t>
      </w:r>
    </w:p>
    <w:p w14:paraId="24E7DD75">
      <w:pPr>
        <w:spacing w:before="120" w:line="480" w:lineRule="auto"/>
        <w:ind w:firstLine="1800" w:firstLineChars="750"/>
        <w:rPr>
          <w:rFonts w:hint="eastAsia" w:ascii="宋体" w:hAnsi="宋体" w:cs="宋体"/>
          <w:bCs/>
          <w:sz w:val="24"/>
          <w:szCs w:val="24"/>
          <w:u w:val="single"/>
        </w:rPr>
      </w:pPr>
      <w:r>
        <w:rPr>
          <w:rFonts w:hint="eastAsia" w:ascii="宋体" w:hAnsi="宋体" w:cs="宋体"/>
          <w:bCs/>
          <w:sz w:val="24"/>
          <w:szCs w:val="24"/>
        </w:rPr>
        <w:t>签 订 地：</w:t>
      </w:r>
      <w:r>
        <w:rPr>
          <w:rFonts w:hint="eastAsia" w:ascii="宋体" w:hAnsi="宋体" w:cs="宋体"/>
          <w:bCs/>
          <w:sz w:val="24"/>
          <w:szCs w:val="24"/>
          <w:u w:val="single"/>
        </w:rPr>
        <w:t xml:space="preserve">            常熟市                </w:t>
      </w:r>
    </w:p>
    <w:p w14:paraId="6AA57F81">
      <w:pPr>
        <w:spacing w:before="120" w:line="480" w:lineRule="auto"/>
        <w:ind w:firstLine="1800" w:firstLineChars="750"/>
        <w:rPr>
          <w:rFonts w:hint="eastAsia" w:ascii="宋体" w:hAnsi="宋体" w:cs="宋体"/>
          <w:bCs/>
          <w:sz w:val="24"/>
          <w:szCs w:val="24"/>
          <w:u w:val="single"/>
        </w:rPr>
      </w:pPr>
      <w:r>
        <w:rPr>
          <w:rFonts w:hint="eastAsia" w:ascii="宋体" w:hAnsi="宋体" w:cs="宋体"/>
          <w:sz w:val="24"/>
          <w:szCs w:val="24"/>
        </w:rPr>
        <w:t>签订日期：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6BFEA7FE">
      <w:pPr>
        <w:rPr>
          <w:rFonts w:hint="eastAsia" w:ascii="宋体" w:hAnsi="宋体" w:cs="宋体"/>
          <w:sz w:val="24"/>
          <w:szCs w:val="24"/>
          <w:u w:val="single"/>
          <w:lang w:val="zh-CN"/>
        </w:rPr>
      </w:pPr>
      <w:r>
        <w:rPr>
          <w:rFonts w:hint="eastAsia" w:ascii="宋体" w:hAnsi="宋体" w:cs="宋体"/>
          <w:sz w:val="24"/>
          <w:szCs w:val="24"/>
          <w:u w:val="single"/>
          <w:lang w:val="zh-CN"/>
        </w:rPr>
        <w:br w:type="page"/>
      </w:r>
    </w:p>
    <w:p w14:paraId="1475B242">
      <w:pPr>
        <w:spacing w:line="440" w:lineRule="exact"/>
        <w:ind w:firstLine="480" w:firstLineChars="200"/>
        <w:rPr>
          <w:rFonts w:hint="eastAsia" w:ascii="宋体" w:hAnsi="宋体" w:cs="宋体"/>
          <w:sz w:val="24"/>
          <w:szCs w:val="24"/>
        </w:rPr>
      </w:pPr>
      <w:r>
        <w:rPr>
          <w:rFonts w:hint="eastAsia" w:ascii="宋体" w:hAnsi="宋体" w:cs="宋体"/>
          <w:sz w:val="24"/>
          <w:szCs w:val="24"/>
          <w:u w:val="single"/>
          <w:lang w:val="zh-CN"/>
        </w:rPr>
        <w:t xml:space="preserve">        </w:t>
      </w:r>
      <w:r>
        <w:rPr>
          <w:rFonts w:hint="eastAsia" w:ascii="宋体" w:hAnsi="宋体" w:cs="宋体"/>
          <w:sz w:val="24"/>
          <w:szCs w:val="24"/>
          <w:lang w:val="zh-CN"/>
        </w:rPr>
        <w:t>年</w:t>
      </w:r>
      <w:r>
        <w:rPr>
          <w:rFonts w:hint="eastAsia" w:ascii="宋体" w:hAnsi="宋体" w:cs="宋体"/>
          <w:sz w:val="24"/>
          <w:szCs w:val="24"/>
          <w:u w:val="single"/>
          <w:lang w:val="zh-CN"/>
        </w:rPr>
        <w:t xml:space="preserve">    </w:t>
      </w:r>
      <w:r>
        <w:rPr>
          <w:rFonts w:hint="eastAsia" w:ascii="宋体" w:hAnsi="宋体" w:cs="宋体"/>
          <w:sz w:val="24"/>
          <w:szCs w:val="24"/>
          <w:lang w:val="zh-CN"/>
        </w:rPr>
        <w:t>月</w:t>
      </w:r>
      <w:r>
        <w:rPr>
          <w:rFonts w:hint="eastAsia" w:ascii="宋体" w:hAnsi="宋体" w:cs="宋体"/>
          <w:sz w:val="24"/>
          <w:szCs w:val="24"/>
          <w:u w:val="single"/>
          <w:lang w:val="zh-CN"/>
        </w:rPr>
        <w:t xml:space="preserve">    </w:t>
      </w:r>
      <w:r>
        <w:rPr>
          <w:rFonts w:hint="eastAsia" w:ascii="宋体" w:hAnsi="宋体" w:cs="宋体"/>
          <w:sz w:val="24"/>
          <w:szCs w:val="24"/>
          <w:lang w:val="zh-CN"/>
        </w:rPr>
        <w:t>日</w:t>
      </w:r>
      <w:r>
        <w:rPr>
          <w:rFonts w:hint="eastAsia" w:ascii="宋体" w:hAnsi="宋体" w:cs="宋体"/>
          <w:sz w:val="24"/>
          <w:szCs w:val="24"/>
        </w:rPr>
        <w:t>，</w:t>
      </w:r>
      <w:r>
        <w:rPr>
          <w:rFonts w:hint="eastAsia" w:ascii="宋体" w:hAnsi="宋体" w:cs="宋体"/>
          <w:sz w:val="24"/>
          <w:szCs w:val="24"/>
          <w:u w:val="single"/>
        </w:rPr>
        <w:t xml:space="preserve">   （采购人名称）   </w:t>
      </w:r>
      <w:r>
        <w:rPr>
          <w:rFonts w:hint="eastAsia" w:ascii="宋体" w:hAnsi="宋体" w:cs="宋体"/>
          <w:sz w:val="24"/>
          <w:szCs w:val="24"/>
        </w:rPr>
        <w:t>以</w:t>
      </w:r>
      <w:r>
        <w:rPr>
          <w:rFonts w:hint="eastAsia" w:ascii="宋体" w:hAnsi="宋体" w:cs="宋体"/>
          <w:sz w:val="24"/>
          <w:szCs w:val="24"/>
          <w:u w:val="single"/>
        </w:rPr>
        <w:t xml:space="preserve"> </w:t>
      </w:r>
      <w:r>
        <w:rPr>
          <w:rFonts w:hint="eastAsia" w:ascii="宋体" w:hAnsi="宋体" w:cs="宋体"/>
          <w:b/>
          <w:bCs/>
          <w:sz w:val="24"/>
          <w:szCs w:val="24"/>
          <w:u w:val="single"/>
        </w:rPr>
        <w:t>公开招标</w:t>
      </w:r>
      <w:r>
        <w:rPr>
          <w:rFonts w:hint="eastAsia" w:ascii="宋体" w:hAnsi="宋体" w:cs="宋体"/>
          <w:sz w:val="24"/>
          <w:szCs w:val="24"/>
          <w:u w:val="single"/>
        </w:rPr>
        <w:t xml:space="preserve"> </w:t>
      </w:r>
      <w:r>
        <w:rPr>
          <w:rFonts w:hint="eastAsia" w:ascii="宋体" w:hAnsi="宋体" w:cs="宋体"/>
          <w:sz w:val="24"/>
          <w:szCs w:val="24"/>
        </w:rPr>
        <w:t>对</w:t>
      </w:r>
      <w:r>
        <w:rPr>
          <w:rFonts w:hint="eastAsia" w:ascii="宋体" w:hAnsi="宋体" w:cs="宋体"/>
          <w:sz w:val="24"/>
          <w:szCs w:val="24"/>
          <w:u w:val="single"/>
        </w:rPr>
        <w:t xml:space="preserve">   （同前页项目名称）   </w:t>
      </w:r>
      <w:r>
        <w:rPr>
          <w:rFonts w:hint="eastAsia" w:ascii="宋体" w:hAnsi="宋体" w:cs="宋体"/>
          <w:sz w:val="24"/>
          <w:szCs w:val="24"/>
        </w:rPr>
        <w:t>项目进行了采购。经</w:t>
      </w:r>
      <w:r>
        <w:rPr>
          <w:rFonts w:hint="eastAsia" w:ascii="宋体" w:hAnsi="宋体" w:cs="宋体"/>
          <w:sz w:val="24"/>
          <w:szCs w:val="24"/>
          <w:u w:val="single"/>
        </w:rPr>
        <w:t>评标委员会</w:t>
      </w:r>
      <w:r>
        <w:rPr>
          <w:rFonts w:hint="eastAsia" w:ascii="宋体" w:hAnsi="宋体" w:cs="宋体"/>
          <w:sz w:val="24"/>
          <w:szCs w:val="24"/>
        </w:rPr>
        <w:t>评定，</w:t>
      </w:r>
      <w:r>
        <w:rPr>
          <w:rFonts w:hint="eastAsia" w:ascii="宋体" w:hAnsi="宋体" w:cs="宋体"/>
          <w:sz w:val="24"/>
          <w:szCs w:val="24"/>
          <w:u w:val="single"/>
        </w:rPr>
        <w:t xml:space="preserve">   （中标人名称） </w:t>
      </w:r>
      <w:r>
        <w:rPr>
          <w:rFonts w:hint="eastAsia" w:ascii="宋体" w:hAnsi="宋体" w:cs="宋体"/>
          <w:sz w:val="24"/>
          <w:szCs w:val="24"/>
        </w:rPr>
        <w:t>为该项目中标人。现于中标通知书发出之日起三十日内，按照采购文件确定的事项签订本合同。</w:t>
      </w:r>
    </w:p>
    <w:p w14:paraId="799EA459">
      <w:pPr>
        <w:spacing w:line="440" w:lineRule="exact"/>
        <w:ind w:firstLine="480" w:firstLineChars="200"/>
        <w:rPr>
          <w:rFonts w:hint="eastAsia" w:ascii="宋体" w:hAnsi="宋体" w:cs="宋体"/>
          <w:sz w:val="24"/>
          <w:szCs w:val="24"/>
        </w:rPr>
      </w:pPr>
      <w:bookmarkStart w:id="180" w:name="_Hlk63008672"/>
      <w:bookmarkStart w:id="181" w:name="_Hlk63008690"/>
      <w:r>
        <w:rPr>
          <w:rFonts w:hint="eastAsia" w:ascii="宋体" w:hAnsi="宋体" w:cs="宋体"/>
          <w:sz w:val="24"/>
          <w:szCs w:val="24"/>
        </w:rPr>
        <w:t>根据《中华人民共和国政府采购法》及其实施条例、《中华人民共和国民法典》</w:t>
      </w:r>
      <w:bookmarkEnd w:id="180"/>
      <w:r>
        <w:rPr>
          <w:rFonts w:hint="eastAsia" w:ascii="宋体" w:hAnsi="宋体" w:cs="宋体"/>
          <w:sz w:val="24"/>
          <w:szCs w:val="24"/>
        </w:rPr>
        <w:t>等法律法规的规定</w:t>
      </w:r>
      <w:bookmarkEnd w:id="181"/>
      <w:r>
        <w:rPr>
          <w:rFonts w:hint="eastAsia" w:ascii="宋体" w:hAnsi="宋体" w:cs="宋体"/>
          <w:sz w:val="24"/>
          <w:szCs w:val="24"/>
          <w:lang w:val="zh-CN"/>
        </w:rPr>
        <w:t>，按照平等、自愿、公平和诚实信用的原则，经</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常熟市农业农村局  </w:t>
      </w:r>
      <w:r>
        <w:rPr>
          <w:rFonts w:hint="eastAsia" w:ascii="宋体" w:hAnsi="宋体" w:cs="宋体"/>
          <w:sz w:val="24"/>
          <w:szCs w:val="24"/>
          <w:lang w:val="zh-CN"/>
        </w:rPr>
        <w:t>（以下简称：甲方）和</w:t>
      </w:r>
      <w:r>
        <w:rPr>
          <w:rFonts w:hint="eastAsia" w:ascii="宋体" w:hAnsi="宋体" w:cs="宋体"/>
          <w:sz w:val="24"/>
          <w:szCs w:val="24"/>
          <w:u w:val="single"/>
        </w:rPr>
        <w:t xml:space="preserve"> （中标人名称） </w:t>
      </w:r>
      <w:r>
        <w:rPr>
          <w:rFonts w:hint="eastAsia" w:ascii="宋体" w:hAnsi="宋体" w:cs="宋体"/>
          <w:sz w:val="24"/>
          <w:szCs w:val="24"/>
          <w:lang w:val="zh-CN"/>
        </w:rPr>
        <w:t>（以下简称：乙方）协商一致，约定以下合同</w:t>
      </w:r>
      <w:r>
        <w:rPr>
          <w:rFonts w:hint="eastAsia" w:ascii="宋体" w:hAnsi="宋体" w:cs="宋体"/>
          <w:sz w:val="24"/>
          <w:szCs w:val="24"/>
        </w:rPr>
        <w:t>条款，以兹共同遵守、全面履行。</w:t>
      </w:r>
    </w:p>
    <w:p w14:paraId="314E2043">
      <w:pPr>
        <w:spacing w:line="440" w:lineRule="exact"/>
        <w:rPr>
          <w:rFonts w:hint="eastAsia" w:ascii="宋体" w:hAnsi="宋体" w:cs="宋体"/>
          <w:sz w:val="24"/>
          <w:szCs w:val="24"/>
        </w:rPr>
      </w:pPr>
      <w:bookmarkStart w:id="182" w:name="_Toc28855"/>
      <w:bookmarkStart w:id="183" w:name="_Toc15367"/>
      <w:bookmarkStart w:id="184" w:name="_Toc20421"/>
      <w:bookmarkStart w:id="185" w:name="_Toc19273"/>
      <w:bookmarkStart w:id="186" w:name="_Toc22967"/>
      <w:r>
        <w:rPr>
          <w:rFonts w:hint="eastAsia" w:ascii="宋体" w:hAnsi="宋体" w:cs="宋体"/>
          <w:b/>
          <w:sz w:val="24"/>
          <w:szCs w:val="24"/>
        </w:rPr>
        <w:t>1.1 合同组成部分</w:t>
      </w:r>
      <w:bookmarkEnd w:id="182"/>
      <w:bookmarkEnd w:id="183"/>
      <w:bookmarkEnd w:id="184"/>
      <w:bookmarkEnd w:id="185"/>
      <w:bookmarkEnd w:id="186"/>
    </w:p>
    <w:p w14:paraId="25620AF3">
      <w:pPr>
        <w:spacing w:line="440" w:lineRule="exact"/>
        <w:ind w:firstLine="480" w:firstLineChars="200"/>
        <w:rPr>
          <w:rFonts w:hint="eastAsia"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A0BA334">
      <w:pPr>
        <w:spacing w:line="440" w:lineRule="exact"/>
        <w:ind w:firstLine="480" w:firstLineChars="200"/>
        <w:rPr>
          <w:rFonts w:hint="eastAsia" w:ascii="宋体" w:hAnsi="宋体" w:cs="宋体"/>
          <w:sz w:val="24"/>
          <w:szCs w:val="24"/>
        </w:rPr>
      </w:pPr>
      <w:r>
        <w:rPr>
          <w:rFonts w:hint="eastAsia" w:ascii="宋体" w:hAnsi="宋体" w:cs="宋体"/>
          <w:sz w:val="24"/>
          <w:szCs w:val="24"/>
        </w:rPr>
        <w:t>1.1.1 本合同及其补充合同、变更协议。</w:t>
      </w:r>
    </w:p>
    <w:p w14:paraId="72AD932F">
      <w:pPr>
        <w:spacing w:line="440" w:lineRule="exact"/>
        <w:ind w:firstLine="480" w:firstLineChars="200"/>
        <w:rPr>
          <w:rFonts w:hint="eastAsia" w:ascii="宋体" w:hAnsi="宋体" w:cs="宋体"/>
          <w:sz w:val="24"/>
          <w:szCs w:val="24"/>
        </w:rPr>
      </w:pPr>
      <w:r>
        <w:rPr>
          <w:rFonts w:hint="eastAsia" w:ascii="宋体" w:hAnsi="宋体" w:cs="宋体"/>
          <w:sz w:val="24"/>
          <w:szCs w:val="24"/>
        </w:rPr>
        <w:t>1.1.2 中标通知书。</w:t>
      </w:r>
    </w:p>
    <w:p w14:paraId="0D5782C5">
      <w:pPr>
        <w:spacing w:line="440" w:lineRule="exact"/>
        <w:ind w:firstLine="480" w:firstLineChars="200"/>
        <w:rPr>
          <w:rFonts w:hint="eastAsia" w:ascii="宋体" w:hAnsi="宋体" w:cs="宋体"/>
          <w:sz w:val="24"/>
          <w:szCs w:val="24"/>
        </w:rPr>
      </w:pPr>
      <w:r>
        <w:rPr>
          <w:rFonts w:hint="eastAsia" w:ascii="宋体" w:hAnsi="宋体" w:cs="宋体"/>
          <w:sz w:val="24"/>
          <w:szCs w:val="24"/>
        </w:rPr>
        <w:t>1.1.3 投标文件（含澄清或者说明文件）。</w:t>
      </w:r>
    </w:p>
    <w:p w14:paraId="0BB84920">
      <w:pPr>
        <w:spacing w:line="440" w:lineRule="exact"/>
        <w:ind w:firstLine="480" w:firstLineChars="200"/>
        <w:rPr>
          <w:rFonts w:hint="eastAsia" w:ascii="宋体" w:hAnsi="宋体" w:cs="宋体"/>
          <w:sz w:val="24"/>
          <w:szCs w:val="24"/>
        </w:rPr>
      </w:pPr>
      <w:r>
        <w:rPr>
          <w:rFonts w:hint="eastAsia" w:ascii="宋体" w:hAnsi="宋体" w:cs="宋体"/>
          <w:sz w:val="24"/>
          <w:szCs w:val="24"/>
        </w:rPr>
        <w:t>1.1.4 招标文件（含澄清或者修改文件）。</w:t>
      </w:r>
    </w:p>
    <w:p w14:paraId="463BB35C">
      <w:pPr>
        <w:spacing w:line="440" w:lineRule="exact"/>
        <w:ind w:firstLine="480" w:firstLineChars="200"/>
        <w:rPr>
          <w:rFonts w:hint="eastAsia" w:ascii="宋体" w:hAnsi="宋体" w:cs="宋体"/>
          <w:sz w:val="24"/>
          <w:szCs w:val="24"/>
        </w:rPr>
      </w:pPr>
      <w:r>
        <w:rPr>
          <w:rFonts w:hint="eastAsia" w:ascii="宋体" w:hAnsi="宋体" w:cs="宋体"/>
          <w:sz w:val="24"/>
          <w:szCs w:val="24"/>
        </w:rPr>
        <w:t>1.1.5 其他相关采购文件。</w:t>
      </w:r>
    </w:p>
    <w:p w14:paraId="76D15E3E">
      <w:pPr>
        <w:spacing w:line="440" w:lineRule="exact"/>
        <w:rPr>
          <w:rFonts w:hint="eastAsia" w:ascii="宋体" w:hAnsi="宋体" w:cs="宋体"/>
          <w:b/>
          <w:sz w:val="24"/>
          <w:szCs w:val="24"/>
        </w:rPr>
      </w:pPr>
      <w:bookmarkStart w:id="187" w:name="_Toc6773"/>
      <w:bookmarkStart w:id="188" w:name="_Toc22185"/>
      <w:bookmarkStart w:id="189" w:name="_Toc2918"/>
      <w:bookmarkStart w:id="190" w:name="_Toc6311"/>
      <w:bookmarkStart w:id="191" w:name="_Toc18585"/>
      <w:r>
        <w:rPr>
          <w:rFonts w:hint="eastAsia" w:ascii="宋体" w:hAnsi="宋体" w:cs="宋体"/>
          <w:b/>
          <w:sz w:val="24"/>
          <w:szCs w:val="24"/>
        </w:rPr>
        <w:t xml:space="preserve">1.2 </w:t>
      </w:r>
      <w:bookmarkEnd w:id="187"/>
      <w:bookmarkEnd w:id="188"/>
      <w:bookmarkEnd w:id="189"/>
      <w:bookmarkEnd w:id="190"/>
      <w:bookmarkEnd w:id="191"/>
      <w:bookmarkStart w:id="192" w:name="_Toc30506"/>
      <w:bookmarkStart w:id="193" w:name="_Toc14993"/>
      <w:bookmarkStart w:id="194" w:name="_Toc30158"/>
      <w:bookmarkStart w:id="195" w:name="_Toc26916"/>
      <w:bookmarkStart w:id="196" w:name="_Toc3654"/>
      <w:r>
        <w:rPr>
          <w:rFonts w:hint="eastAsia" w:ascii="宋体" w:hAnsi="宋体" w:cs="宋体"/>
          <w:b/>
          <w:sz w:val="24"/>
          <w:szCs w:val="24"/>
        </w:rPr>
        <w:t>货物及服务名称、数量及价款</w:t>
      </w:r>
    </w:p>
    <w:tbl>
      <w:tblPr>
        <w:tblStyle w:val="38"/>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706"/>
        <w:gridCol w:w="1560"/>
        <w:gridCol w:w="992"/>
        <w:gridCol w:w="1418"/>
        <w:gridCol w:w="1701"/>
      </w:tblGrid>
      <w:tr w14:paraId="062C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1413" w:type="dxa"/>
            <w:vAlign w:val="center"/>
          </w:tcPr>
          <w:p w14:paraId="3F057D2B">
            <w:pPr>
              <w:spacing w:line="440" w:lineRule="exact"/>
              <w:jc w:val="center"/>
              <w:rPr>
                <w:rFonts w:hint="eastAsia" w:ascii="宋体" w:hAnsi="宋体" w:cs="宋体"/>
              </w:rPr>
            </w:pPr>
            <w:r>
              <w:rPr>
                <w:rFonts w:hint="eastAsia" w:ascii="宋体" w:hAnsi="宋体" w:cs="宋体"/>
              </w:rPr>
              <w:t>货物名称</w:t>
            </w:r>
          </w:p>
        </w:tc>
        <w:tc>
          <w:tcPr>
            <w:tcW w:w="1706" w:type="dxa"/>
            <w:vAlign w:val="center"/>
          </w:tcPr>
          <w:p w14:paraId="05D985F9">
            <w:pPr>
              <w:spacing w:line="440" w:lineRule="exact"/>
              <w:jc w:val="center"/>
              <w:rPr>
                <w:rFonts w:hint="eastAsia" w:ascii="宋体" w:hAnsi="宋体" w:cs="宋体"/>
              </w:rPr>
            </w:pPr>
            <w:r>
              <w:rPr>
                <w:rFonts w:hint="eastAsia" w:ascii="宋体" w:hAnsi="宋体" w:cs="宋体"/>
              </w:rPr>
              <w:t>商标品牌</w:t>
            </w:r>
          </w:p>
        </w:tc>
        <w:tc>
          <w:tcPr>
            <w:tcW w:w="1560" w:type="dxa"/>
            <w:vAlign w:val="center"/>
          </w:tcPr>
          <w:p w14:paraId="47041A17">
            <w:pPr>
              <w:spacing w:line="440" w:lineRule="exact"/>
              <w:jc w:val="center"/>
              <w:rPr>
                <w:rFonts w:hint="eastAsia" w:ascii="宋体" w:hAnsi="宋体" w:cs="宋体"/>
              </w:rPr>
            </w:pPr>
            <w:r>
              <w:rPr>
                <w:rFonts w:hint="eastAsia" w:ascii="宋体" w:hAnsi="宋体" w:cs="宋体"/>
              </w:rPr>
              <w:t>规格型号</w:t>
            </w:r>
          </w:p>
        </w:tc>
        <w:tc>
          <w:tcPr>
            <w:tcW w:w="992" w:type="dxa"/>
            <w:vAlign w:val="center"/>
          </w:tcPr>
          <w:p w14:paraId="35A35265">
            <w:pPr>
              <w:spacing w:line="440" w:lineRule="exact"/>
              <w:jc w:val="center"/>
              <w:rPr>
                <w:rFonts w:hint="eastAsia" w:ascii="宋体" w:hAnsi="宋体" w:cs="宋体"/>
              </w:rPr>
            </w:pPr>
            <w:r>
              <w:rPr>
                <w:rFonts w:hint="eastAsia" w:ascii="宋体" w:hAnsi="宋体" w:cs="宋体"/>
              </w:rPr>
              <w:t>数量</w:t>
            </w:r>
          </w:p>
        </w:tc>
        <w:tc>
          <w:tcPr>
            <w:tcW w:w="1418" w:type="dxa"/>
            <w:vAlign w:val="center"/>
          </w:tcPr>
          <w:p w14:paraId="337BC072">
            <w:pPr>
              <w:spacing w:line="440" w:lineRule="exact"/>
              <w:jc w:val="center"/>
              <w:rPr>
                <w:rFonts w:hint="eastAsia" w:ascii="宋体" w:hAnsi="宋体" w:cs="宋体"/>
              </w:rPr>
            </w:pPr>
            <w:r>
              <w:rPr>
                <w:rFonts w:hint="eastAsia" w:ascii="宋体" w:hAnsi="宋体" w:cs="宋体"/>
              </w:rPr>
              <w:t>单价（元）</w:t>
            </w:r>
          </w:p>
        </w:tc>
        <w:tc>
          <w:tcPr>
            <w:tcW w:w="1701" w:type="dxa"/>
            <w:vAlign w:val="center"/>
          </w:tcPr>
          <w:p w14:paraId="4F80FBCC">
            <w:pPr>
              <w:spacing w:line="440" w:lineRule="exact"/>
              <w:ind w:hanging="2"/>
              <w:jc w:val="center"/>
              <w:rPr>
                <w:rFonts w:hint="eastAsia" w:ascii="宋体" w:hAnsi="宋体" w:cs="宋体"/>
              </w:rPr>
            </w:pPr>
            <w:r>
              <w:rPr>
                <w:rFonts w:hint="eastAsia" w:ascii="宋体" w:hAnsi="宋体" w:cs="宋体"/>
              </w:rPr>
              <w:t>分类总价（元）</w:t>
            </w:r>
          </w:p>
        </w:tc>
      </w:tr>
      <w:tr w14:paraId="586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1413" w:type="dxa"/>
            <w:vAlign w:val="center"/>
          </w:tcPr>
          <w:p w14:paraId="03C7F3E5">
            <w:pPr>
              <w:spacing w:line="440" w:lineRule="exact"/>
              <w:jc w:val="center"/>
              <w:rPr>
                <w:rFonts w:hint="eastAsia" w:ascii="宋体" w:hAnsi="宋体" w:cs="宋体"/>
              </w:rPr>
            </w:pPr>
          </w:p>
        </w:tc>
        <w:tc>
          <w:tcPr>
            <w:tcW w:w="1706" w:type="dxa"/>
            <w:vAlign w:val="center"/>
          </w:tcPr>
          <w:p w14:paraId="612BE1BE">
            <w:pPr>
              <w:spacing w:line="440" w:lineRule="exact"/>
              <w:jc w:val="center"/>
              <w:rPr>
                <w:rFonts w:hint="eastAsia" w:ascii="宋体" w:hAnsi="宋体" w:cs="宋体"/>
              </w:rPr>
            </w:pPr>
          </w:p>
        </w:tc>
        <w:tc>
          <w:tcPr>
            <w:tcW w:w="1560" w:type="dxa"/>
            <w:vAlign w:val="center"/>
          </w:tcPr>
          <w:p w14:paraId="660381CB">
            <w:pPr>
              <w:spacing w:line="440" w:lineRule="exact"/>
              <w:jc w:val="center"/>
              <w:rPr>
                <w:rFonts w:hint="eastAsia" w:ascii="宋体" w:hAnsi="宋体" w:cs="宋体"/>
              </w:rPr>
            </w:pPr>
          </w:p>
        </w:tc>
        <w:tc>
          <w:tcPr>
            <w:tcW w:w="992" w:type="dxa"/>
            <w:vAlign w:val="center"/>
          </w:tcPr>
          <w:p w14:paraId="00395C0A">
            <w:pPr>
              <w:spacing w:line="440" w:lineRule="exact"/>
              <w:jc w:val="center"/>
              <w:rPr>
                <w:rFonts w:hint="eastAsia" w:ascii="宋体" w:hAnsi="宋体" w:cs="宋体"/>
              </w:rPr>
            </w:pPr>
          </w:p>
        </w:tc>
        <w:tc>
          <w:tcPr>
            <w:tcW w:w="1418" w:type="dxa"/>
            <w:vAlign w:val="center"/>
          </w:tcPr>
          <w:p w14:paraId="685C32C6">
            <w:pPr>
              <w:spacing w:line="440" w:lineRule="exact"/>
              <w:jc w:val="center"/>
              <w:rPr>
                <w:rFonts w:hint="eastAsia" w:ascii="宋体" w:hAnsi="宋体" w:cs="宋体"/>
              </w:rPr>
            </w:pPr>
          </w:p>
        </w:tc>
        <w:tc>
          <w:tcPr>
            <w:tcW w:w="1701" w:type="dxa"/>
            <w:vAlign w:val="center"/>
          </w:tcPr>
          <w:p w14:paraId="5B2C5F7F">
            <w:pPr>
              <w:spacing w:line="440" w:lineRule="exact"/>
              <w:ind w:hanging="2"/>
              <w:jc w:val="center"/>
              <w:rPr>
                <w:rFonts w:hint="eastAsia" w:ascii="宋体" w:hAnsi="宋体" w:cs="宋体"/>
              </w:rPr>
            </w:pPr>
          </w:p>
        </w:tc>
      </w:tr>
      <w:tr w14:paraId="0827A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1413" w:type="dxa"/>
            <w:vAlign w:val="center"/>
          </w:tcPr>
          <w:p w14:paraId="20B479AB">
            <w:pPr>
              <w:spacing w:line="440" w:lineRule="exact"/>
              <w:jc w:val="center"/>
              <w:rPr>
                <w:rFonts w:hint="eastAsia" w:ascii="宋体" w:hAnsi="宋体" w:cs="宋体"/>
              </w:rPr>
            </w:pPr>
          </w:p>
        </w:tc>
        <w:tc>
          <w:tcPr>
            <w:tcW w:w="1706" w:type="dxa"/>
            <w:vAlign w:val="center"/>
          </w:tcPr>
          <w:p w14:paraId="51C7C979">
            <w:pPr>
              <w:spacing w:line="440" w:lineRule="exact"/>
              <w:jc w:val="center"/>
              <w:rPr>
                <w:rFonts w:hint="eastAsia" w:ascii="宋体" w:hAnsi="宋体" w:cs="宋体"/>
              </w:rPr>
            </w:pPr>
          </w:p>
        </w:tc>
        <w:tc>
          <w:tcPr>
            <w:tcW w:w="1560" w:type="dxa"/>
            <w:vAlign w:val="center"/>
          </w:tcPr>
          <w:p w14:paraId="35B4D086">
            <w:pPr>
              <w:spacing w:line="440" w:lineRule="exact"/>
              <w:jc w:val="center"/>
              <w:rPr>
                <w:rFonts w:hint="eastAsia" w:ascii="宋体" w:hAnsi="宋体" w:cs="宋体"/>
              </w:rPr>
            </w:pPr>
          </w:p>
        </w:tc>
        <w:tc>
          <w:tcPr>
            <w:tcW w:w="992" w:type="dxa"/>
            <w:vAlign w:val="center"/>
          </w:tcPr>
          <w:p w14:paraId="7EE04354">
            <w:pPr>
              <w:spacing w:line="440" w:lineRule="exact"/>
              <w:jc w:val="center"/>
              <w:rPr>
                <w:rFonts w:hint="eastAsia" w:ascii="宋体" w:hAnsi="宋体" w:cs="宋体"/>
              </w:rPr>
            </w:pPr>
          </w:p>
        </w:tc>
        <w:tc>
          <w:tcPr>
            <w:tcW w:w="1418" w:type="dxa"/>
            <w:vAlign w:val="center"/>
          </w:tcPr>
          <w:p w14:paraId="4D304EC3">
            <w:pPr>
              <w:spacing w:line="440" w:lineRule="exact"/>
              <w:jc w:val="center"/>
              <w:rPr>
                <w:rFonts w:hint="eastAsia" w:ascii="宋体" w:hAnsi="宋体" w:cs="宋体"/>
              </w:rPr>
            </w:pPr>
          </w:p>
        </w:tc>
        <w:tc>
          <w:tcPr>
            <w:tcW w:w="1701" w:type="dxa"/>
            <w:vAlign w:val="center"/>
          </w:tcPr>
          <w:p w14:paraId="4BA096E4">
            <w:pPr>
              <w:spacing w:line="440" w:lineRule="exact"/>
              <w:ind w:hanging="2"/>
              <w:jc w:val="center"/>
              <w:rPr>
                <w:rFonts w:hint="eastAsia" w:ascii="宋体" w:hAnsi="宋体" w:cs="宋体"/>
              </w:rPr>
            </w:pPr>
          </w:p>
        </w:tc>
      </w:tr>
      <w:tr w14:paraId="15DC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1413" w:type="dxa"/>
            <w:vAlign w:val="center"/>
          </w:tcPr>
          <w:p w14:paraId="453EE96D">
            <w:pPr>
              <w:spacing w:line="440" w:lineRule="exact"/>
              <w:jc w:val="center"/>
              <w:rPr>
                <w:rFonts w:hint="eastAsia" w:ascii="宋体" w:hAnsi="宋体" w:cs="宋体"/>
              </w:rPr>
            </w:pPr>
          </w:p>
        </w:tc>
        <w:tc>
          <w:tcPr>
            <w:tcW w:w="1706" w:type="dxa"/>
            <w:vAlign w:val="center"/>
          </w:tcPr>
          <w:p w14:paraId="1BCED37B">
            <w:pPr>
              <w:spacing w:line="440" w:lineRule="exact"/>
              <w:jc w:val="center"/>
              <w:rPr>
                <w:rFonts w:hint="eastAsia" w:ascii="宋体" w:hAnsi="宋体" w:cs="宋体"/>
              </w:rPr>
            </w:pPr>
          </w:p>
        </w:tc>
        <w:tc>
          <w:tcPr>
            <w:tcW w:w="1560" w:type="dxa"/>
            <w:vAlign w:val="center"/>
          </w:tcPr>
          <w:p w14:paraId="6E81C798">
            <w:pPr>
              <w:spacing w:line="440" w:lineRule="exact"/>
              <w:jc w:val="center"/>
              <w:rPr>
                <w:rFonts w:hint="eastAsia" w:ascii="宋体" w:hAnsi="宋体" w:cs="宋体"/>
              </w:rPr>
            </w:pPr>
          </w:p>
        </w:tc>
        <w:tc>
          <w:tcPr>
            <w:tcW w:w="992" w:type="dxa"/>
            <w:vAlign w:val="center"/>
          </w:tcPr>
          <w:p w14:paraId="6404D488">
            <w:pPr>
              <w:spacing w:line="440" w:lineRule="exact"/>
              <w:jc w:val="center"/>
              <w:rPr>
                <w:rFonts w:hint="eastAsia" w:ascii="宋体" w:hAnsi="宋体" w:cs="宋体"/>
              </w:rPr>
            </w:pPr>
          </w:p>
        </w:tc>
        <w:tc>
          <w:tcPr>
            <w:tcW w:w="1418" w:type="dxa"/>
            <w:vAlign w:val="center"/>
          </w:tcPr>
          <w:p w14:paraId="7F4B5B08">
            <w:pPr>
              <w:spacing w:line="440" w:lineRule="exact"/>
              <w:jc w:val="center"/>
              <w:rPr>
                <w:rFonts w:hint="eastAsia" w:ascii="宋体" w:hAnsi="宋体" w:cs="宋体"/>
              </w:rPr>
            </w:pPr>
          </w:p>
        </w:tc>
        <w:tc>
          <w:tcPr>
            <w:tcW w:w="1701" w:type="dxa"/>
            <w:vAlign w:val="center"/>
          </w:tcPr>
          <w:p w14:paraId="5DA69AFB">
            <w:pPr>
              <w:spacing w:line="440" w:lineRule="exact"/>
              <w:ind w:hanging="2"/>
              <w:jc w:val="center"/>
              <w:rPr>
                <w:rFonts w:hint="eastAsia" w:ascii="宋体" w:hAnsi="宋体" w:cs="宋体"/>
              </w:rPr>
            </w:pPr>
          </w:p>
        </w:tc>
      </w:tr>
      <w:tr w14:paraId="44E6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trPr>
        <w:tc>
          <w:tcPr>
            <w:tcW w:w="1418" w:type="dxa"/>
            <w:vAlign w:val="center"/>
          </w:tcPr>
          <w:p w14:paraId="1EF9C4A2">
            <w:pPr>
              <w:spacing w:line="440" w:lineRule="exact"/>
              <w:rPr>
                <w:rFonts w:hint="eastAsia" w:ascii="宋体" w:hAnsi="宋体" w:cs="宋体"/>
              </w:rPr>
            </w:pPr>
          </w:p>
        </w:tc>
        <w:tc>
          <w:tcPr>
            <w:tcW w:w="1701" w:type="dxa"/>
            <w:vAlign w:val="center"/>
          </w:tcPr>
          <w:p w14:paraId="73EC8ECE">
            <w:pPr>
              <w:spacing w:line="440" w:lineRule="exact"/>
              <w:rPr>
                <w:rFonts w:hint="eastAsia" w:ascii="宋体" w:hAnsi="宋体" w:cs="宋体"/>
              </w:rPr>
            </w:pPr>
          </w:p>
        </w:tc>
        <w:tc>
          <w:tcPr>
            <w:tcW w:w="1560" w:type="dxa"/>
            <w:vAlign w:val="center"/>
          </w:tcPr>
          <w:p w14:paraId="53B7524C">
            <w:pPr>
              <w:spacing w:line="440" w:lineRule="exact"/>
              <w:rPr>
                <w:rFonts w:hint="eastAsia" w:ascii="宋体" w:hAnsi="宋体" w:cs="宋体"/>
              </w:rPr>
            </w:pPr>
          </w:p>
        </w:tc>
        <w:tc>
          <w:tcPr>
            <w:tcW w:w="992" w:type="dxa"/>
            <w:vAlign w:val="center"/>
          </w:tcPr>
          <w:p w14:paraId="026D4F5B">
            <w:pPr>
              <w:spacing w:line="440" w:lineRule="exact"/>
              <w:jc w:val="center"/>
              <w:rPr>
                <w:rFonts w:hint="eastAsia" w:ascii="宋体" w:hAnsi="宋体" w:cs="宋体"/>
              </w:rPr>
            </w:pPr>
          </w:p>
        </w:tc>
        <w:tc>
          <w:tcPr>
            <w:tcW w:w="1418" w:type="dxa"/>
            <w:vAlign w:val="center"/>
          </w:tcPr>
          <w:p w14:paraId="19D342F4">
            <w:pPr>
              <w:spacing w:line="440" w:lineRule="exact"/>
              <w:jc w:val="center"/>
              <w:rPr>
                <w:rFonts w:hint="eastAsia" w:ascii="宋体" w:hAnsi="宋体" w:cs="宋体"/>
              </w:rPr>
            </w:pPr>
          </w:p>
        </w:tc>
        <w:tc>
          <w:tcPr>
            <w:tcW w:w="1701" w:type="dxa"/>
            <w:vAlign w:val="center"/>
          </w:tcPr>
          <w:p w14:paraId="361BD748">
            <w:pPr>
              <w:spacing w:line="440" w:lineRule="exact"/>
              <w:jc w:val="center"/>
              <w:rPr>
                <w:rFonts w:hint="eastAsia" w:ascii="宋体" w:hAnsi="宋体" w:cs="宋体"/>
              </w:rPr>
            </w:pPr>
          </w:p>
        </w:tc>
      </w:tr>
      <w:tr w14:paraId="3D48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4679" w:type="dxa"/>
            <w:gridSpan w:val="3"/>
            <w:vAlign w:val="center"/>
          </w:tcPr>
          <w:p w14:paraId="181C05B8">
            <w:pPr>
              <w:spacing w:line="440" w:lineRule="exact"/>
              <w:rPr>
                <w:rFonts w:hint="eastAsia" w:ascii="宋体" w:hAnsi="宋体" w:cs="宋体"/>
              </w:rPr>
            </w:pPr>
          </w:p>
        </w:tc>
        <w:tc>
          <w:tcPr>
            <w:tcW w:w="992" w:type="dxa"/>
            <w:vAlign w:val="center"/>
          </w:tcPr>
          <w:p w14:paraId="39B53621">
            <w:pPr>
              <w:spacing w:line="440" w:lineRule="exact"/>
              <w:jc w:val="center"/>
              <w:rPr>
                <w:rFonts w:hint="eastAsia" w:ascii="宋体" w:hAnsi="宋体" w:cs="宋体"/>
              </w:rPr>
            </w:pPr>
          </w:p>
        </w:tc>
        <w:tc>
          <w:tcPr>
            <w:tcW w:w="1418" w:type="dxa"/>
            <w:vAlign w:val="center"/>
          </w:tcPr>
          <w:p w14:paraId="0F66DA1E">
            <w:pPr>
              <w:spacing w:line="440" w:lineRule="exact"/>
              <w:jc w:val="center"/>
              <w:rPr>
                <w:rFonts w:hint="eastAsia" w:ascii="宋体" w:hAnsi="宋体" w:cs="宋体"/>
              </w:rPr>
            </w:pPr>
          </w:p>
        </w:tc>
        <w:tc>
          <w:tcPr>
            <w:tcW w:w="1701" w:type="dxa"/>
            <w:vAlign w:val="center"/>
          </w:tcPr>
          <w:p w14:paraId="20DD05B8">
            <w:pPr>
              <w:spacing w:line="440" w:lineRule="exact"/>
              <w:jc w:val="center"/>
              <w:rPr>
                <w:rFonts w:hint="eastAsia" w:ascii="宋体" w:hAnsi="宋体" w:cs="宋体"/>
              </w:rPr>
            </w:pPr>
          </w:p>
        </w:tc>
      </w:tr>
      <w:tr w14:paraId="78A6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8790" w:type="dxa"/>
            <w:gridSpan w:val="6"/>
            <w:tcBorders>
              <w:top w:val="single" w:color="auto" w:sz="2" w:space="0"/>
            </w:tcBorders>
            <w:vAlign w:val="center"/>
          </w:tcPr>
          <w:p w14:paraId="24F9BB75">
            <w:pPr>
              <w:spacing w:line="440" w:lineRule="exact"/>
              <w:rPr>
                <w:rFonts w:hint="eastAsia" w:ascii="宋体" w:hAnsi="宋体" w:cs="宋体"/>
              </w:rPr>
            </w:pPr>
            <w:r>
              <w:rPr>
                <w:rFonts w:hint="eastAsia" w:ascii="宋体" w:hAnsi="宋体" w:cs="宋体"/>
                <w:b/>
                <w:bCs/>
                <w:sz w:val="28"/>
              </w:rPr>
              <w:t>合同总价：</w:t>
            </w:r>
          </w:p>
        </w:tc>
      </w:tr>
    </w:tbl>
    <w:p w14:paraId="524E277A">
      <w:pPr>
        <w:spacing w:line="440" w:lineRule="exact"/>
        <w:ind w:firstLine="480" w:firstLineChars="200"/>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元（大写：人民币</w:t>
      </w:r>
      <w:r>
        <w:rPr>
          <w:rFonts w:hint="eastAsia" w:ascii="宋体" w:hAnsi="宋体" w:cs="宋体"/>
          <w:sz w:val="24"/>
          <w:szCs w:val="24"/>
          <w:u w:val="single"/>
        </w:rPr>
        <w:t xml:space="preserve">                 </w:t>
      </w:r>
      <w:r>
        <w:rPr>
          <w:rFonts w:hint="eastAsia" w:ascii="宋体" w:hAnsi="宋体" w:cs="宋体"/>
          <w:sz w:val="24"/>
          <w:szCs w:val="24"/>
        </w:rPr>
        <w:t>元）。本合同为固定总价合同。</w:t>
      </w:r>
    </w:p>
    <w:p w14:paraId="470CE5CF">
      <w:pPr>
        <w:spacing w:line="440" w:lineRule="exact"/>
        <w:rPr>
          <w:rFonts w:hint="eastAsia" w:ascii="宋体" w:hAnsi="宋体" w:cs="宋体"/>
          <w:b/>
          <w:sz w:val="24"/>
          <w:szCs w:val="24"/>
        </w:rPr>
      </w:pPr>
      <w:r>
        <w:rPr>
          <w:rFonts w:hint="eastAsia" w:ascii="宋体" w:hAnsi="宋体" w:cs="宋体"/>
          <w:b/>
          <w:sz w:val="24"/>
          <w:szCs w:val="24"/>
        </w:rPr>
        <w:t>1.3 付款方式和发票开具方式</w:t>
      </w:r>
      <w:bookmarkEnd w:id="192"/>
      <w:bookmarkEnd w:id="193"/>
      <w:bookmarkEnd w:id="194"/>
      <w:bookmarkEnd w:id="195"/>
      <w:bookmarkEnd w:id="196"/>
    </w:p>
    <w:p w14:paraId="2AEE4E3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1.3.1本合同项下所有款项均以人民币支付。</w:t>
      </w:r>
    </w:p>
    <w:p w14:paraId="0A94179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1.3.2付款方式：</w:t>
      </w:r>
    </w:p>
    <w:p w14:paraId="00DE9BF5">
      <w:pPr>
        <w:spacing w:line="46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rPr>
        <w:t>①合同签订</w:t>
      </w:r>
      <w:r>
        <w:rPr>
          <w:rFonts w:hint="eastAsia" w:ascii="宋体" w:hAnsi="宋体" w:cs="宋体"/>
          <w:sz w:val="24"/>
          <w:szCs w:val="24"/>
          <w:highlight w:val="none"/>
          <w:lang w:eastAsia="zh-CN"/>
        </w:rPr>
        <w:t>后</w:t>
      </w:r>
      <w:r>
        <w:rPr>
          <w:rFonts w:hint="eastAsia" w:ascii="宋体" w:hAnsi="宋体" w:cs="宋体"/>
          <w:sz w:val="24"/>
          <w:szCs w:val="24"/>
          <w:highlight w:val="none"/>
          <w:lang w:val="en-US" w:eastAsia="zh-CN"/>
        </w:rPr>
        <w:t>两个月</w:t>
      </w:r>
      <w:r>
        <w:rPr>
          <w:rFonts w:hint="eastAsia" w:ascii="宋体" w:hAnsi="宋体" w:cs="宋体"/>
          <w:sz w:val="24"/>
          <w:szCs w:val="24"/>
          <w:highlight w:val="none"/>
          <w:lang w:eastAsia="zh-CN"/>
        </w:rPr>
        <w:t>内</w:t>
      </w:r>
      <w:r>
        <w:rPr>
          <w:rFonts w:hint="eastAsia" w:ascii="宋体" w:hAnsi="宋体" w:cs="宋体"/>
          <w:sz w:val="24"/>
          <w:szCs w:val="24"/>
          <w:highlight w:val="none"/>
        </w:rPr>
        <w:t>，甲方向乙方支付合同总价的</w:t>
      </w:r>
      <w:r>
        <w:rPr>
          <w:rFonts w:hint="eastAsia" w:ascii="宋体" w:hAnsi="宋体" w:cs="宋体"/>
          <w:sz w:val="24"/>
          <w:szCs w:val="24"/>
          <w:highlight w:val="none"/>
          <w:lang w:eastAsia="zh-CN"/>
        </w:rPr>
        <w:t>50%作为</w:t>
      </w:r>
      <w:r>
        <w:rPr>
          <w:rFonts w:hint="eastAsia" w:ascii="宋体" w:hAnsi="宋体" w:cs="宋体"/>
          <w:sz w:val="24"/>
          <w:szCs w:val="24"/>
          <w:highlight w:val="none"/>
        </w:rPr>
        <w:t>预付款；</w:t>
      </w:r>
    </w:p>
    <w:p w14:paraId="14A2C899">
      <w:pPr>
        <w:spacing w:line="460" w:lineRule="exact"/>
        <w:ind w:firstLine="720" w:firstLineChars="300"/>
        <w:rPr>
          <w:rFonts w:hint="eastAsia" w:ascii="宋体" w:hAnsi="宋体" w:eastAsia="宋体" w:cs="宋体"/>
          <w:sz w:val="24"/>
          <w:szCs w:val="24"/>
          <w:highlight w:val="none"/>
          <w:lang w:eastAsia="zh-CN"/>
        </w:rPr>
      </w:pPr>
      <w:r>
        <w:rPr>
          <w:rFonts w:hint="eastAsia" w:ascii="宋体" w:hAnsi="宋体" w:cs="宋体"/>
          <w:sz w:val="24"/>
          <w:szCs w:val="24"/>
          <w:highlight w:val="none"/>
        </w:rPr>
        <w:t>②通过采购人验收合格后的</w:t>
      </w:r>
      <w:r>
        <w:rPr>
          <w:rFonts w:hint="eastAsia" w:ascii="宋体" w:hAnsi="宋体" w:cs="宋体"/>
          <w:sz w:val="24"/>
          <w:szCs w:val="24"/>
          <w:highlight w:val="none"/>
          <w:lang w:val="en-US" w:eastAsia="zh-CN"/>
        </w:rPr>
        <w:t>六</w:t>
      </w:r>
      <w:r>
        <w:rPr>
          <w:rFonts w:hint="eastAsia" w:ascii="宋体" w:hAnsi="宋体" w:cs="宋体"/>
          <w:sz w:val="24"/>
          <w:szCs w:val="24"/>
          <w:highlight w:val="none"/>
        </w:rPr>
        <w:t>个月内，甲方向乙方支付至合同总价的</w:t>
      </w:r>
      <w:r>
        <w:rPr>
          <w:rFonts w:hint="eastAsia" w:ascii="宋体" w:hAnsi="宋体" w:cs="宋体"/>
          <w:sz w:val="24"/>
          <w:szCs w:val="24"/>
          <w:highlight w:val="none"/>
          <w:lang w:val="en-US" w:eastAsia="zh-CN"/>
        </w:rPr>
        <w:t>10</w:t>
      </w:r>
      <w:r>
        <w:rPr>
          <w:rFonts w:hint="eastAsia" w:ascii="宋体" w:hAnsi="宋体" w:cs="宋体"/>
          <w:sz w:val="24"/>
          <w:szCs w:val="24"/>
          <w:highlight w:val="none"/>
        </w:rPr>
        <w:t>0%</w:t>
      </w:r>
      <w:r>
        <w:rPr>
          <w:rFonts w:hint="eastAsia" w:ascii="宋体" w:hAnsi="宋体" w:cs="宋体"/>
          <w:sz w:val="24"/>
          <w:szCs w:val="24"/>
          <w:highlight w:val="none"/>
          <w:lang w:eastAsia="zh-CN"/>
        </w:rPr>
        <w:t>。</w:t>
      </w:r>
    </w:p>
    <w:p w14:paraId="09D5DCF6">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1.3.3 发票开具方式：</w:t>
      </w:r>
      <w:r>
        <w:rPr>
          <w:rFonts w:hint="eastAsia" w:ascii="宋体" w:hAnsi="宋体" w:cs="宋体"/>
          <w:sz w:val="24"/>
          <w:szCs w:val="24"/>
          <w:highlight w:val="none"/>
          <w:u w:val="single"/>
        </w:rPr>
        <w:t xml:space="preserve">   增值税专用发票或增值税普通发票（具体以甲方要求为准）   </w:t>
      </w:r>
      <w:r>
        <w:rPr>
          <w:rFonts w:hint="eastAsia" w:ascii="宋体" w:hAnsi="宋体" w:cs="宋体"/>
          <w:sz w:val="24"/>
          <w:szCs w:val="24"/>
          <w:highlight w:val="none"/>
        </w:rPr>
        <w:t>。</w:t>
      </w:r>
      <w:bookmarkStart w:id="197" w:name="_Toc32071"/>
      <w:bookmarkStart w:id="198" w:name="_Toc2846"/>
      <w:bookmarkStart w:id="199" w:name="_Toc19304"/>
    </w:p>
    <w:p w14:paraId="2BDBAEA3">
      <w:pPr>
        <w:spacing w:line="440" w:lineRule="exact"/>
        <w:ind w:firstLine="482" w:firstLineChars="200"/>
        <w:rPr>
          <w:rFonts w:hint="eastAsia" w:ascii="宋体" w:hAnsi="宋体" w:cs="宋体"/>
          <w:b/>
          <w:sz w:val="24"/>
          <w:szCs w:val="24"/>
        </w:rPr>
      </w:pPr>
      <w:r>
        <w:rPr>
          <w:rFonts w:hint="eastAsia" w:ascii="宋体" w:hAnsi="宋体" w:cs="宋体"/>
          <w:b/>
          <w:bCs/>
          <w:sz w:val="24"/>
          <w:szCs w:val="24"/>
        </w:rPr>
        <w:t>注：（1）</w:t>
      </w:r>
      <w:r>
        <w:rPr>
          <w:rFonts w:hint="eastAsia" w:ascii="宋体" w:hAnsi="宋体" w:cs="宋体"/>
          <w:b/>
          <w:sz w:val="24"/>
          <w:szCs w:val="24"/>
        </w:rPr>
        <w:t>在签订合同时，乙方明确表示无需预付款或者主动要求降低预付款比例的，可不适用上述规定①, 但应当由乙方书面提出并作为采购档案保存。</w:t>
      </w:r>
    </w:p>
    <w:p w14:paraId="569F513F">
      <w:pPr>
        <w:numPr>
          <w:ilvl w:val="0"/>
          <w:numId w:val="5"/>
        </w:numPr>
        <w:spacing w:line="440" w:lineRule="exact"/>
        <w:ind w:firstLine="964" w:firstLineChars="4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sz w:val="24"/>
          <w:szCs w:val="24"/>
        </w:rPr>
        <w:t>以上每次付款前，乙方均应提供符合甲方要求的同等金额的合法有效发票。否则，</w:t>
      </w:r>
      <w:r>
        <w:rPr>
          <w:rFonts w:hint="eastAsia" w:ascii="宋体" w:hAnsi="宋体" w:cs="宋体"/>
          <w:b/>
          <w:bCs/>
          <w:sz w:val="24"/>
          <w:szCs w:val="24"/>
          <w:highlight w:val="none"/>
        </w:rPr>
        <w:t>甲方有权顺延付款时间，且不承担任何违约或赔偿责</w:t>
      </w:r>
      <w:r>
        <w:rPr>
          <w:rFonts w:hint="eastAsia" w:ascii="宋体" w:hAnsi="宋体" w:cs="宋体"/>
          <w:b/>
          <w:bCs/>
          <w:color w:val="000000" w:themeColor="text1"/>
          <w:sz w:val="24"/>
          <w:szCs w:val="24"/>
          <w:highlight w:val="none"/>
          <w14:textFill>
            <w14:solidFill>
              <w14:schemeClr w14:val="tx1"/>
            </w14:solidFill>
          </w14:textFill>
        </w:rPr>
        <w:t>任。</w:t>
      </w:r>
    </w:p>
    <w:p w14:paraId="21D25AF7">
      <w:pPr>
        <w:numPr>
          <w:ilvl w:val="0"/>
          <w:numId w:val="5"/>
        </w:numPr>
        <w:spacing w:line="440" w:lineRule="exact"/>
        <w:ind w:firstLine="964" w:firstLineChars="400"/>
        <w:rPr>
          <w:rFonts w:hint="eastAsia" w:ascii="宋体" w:hAnsi="宋体" w:cs="宋体"/>
          <w:b/>
          <w:bCs/>
          <w:sz w:val="24"/>
          <w:szCs w:val="24"/>
          <w:highlight w:val="none"/>
        </w:rPr>
      </w:pPr>
      <w:r>
        <w:rPr>
          <w:rFonts w:hint="eastAsia" w:ascii="宋体" w:hAnsi="宋体" w:cs="宋体"/>
          <w:b/>
          <w:bCs/>
          <w:sz w:val="24"/>
          <w:szCs w:val="24"/>
          <w:highlight w:val="none"/>
        </w:rPr>
        <w:t>本项目支付方式支持数字人民币方式。</w:t>
      </w:r>
    </w:p>
    <w:p w14:paraId="727458A0">
      <w:pPr>
        <w:spacing w:line="440" w:lineRule="exact"/>
        <w:rPr>
          <w:rFonts w:hint="eastAsia" w:ascii="宋体" w:hAnsi="宋体" w:cs="宋体"/>
          <w:b/>
          <w:sz w:val="24"/>
          <w:szCs w:val="24"/>
          <w:highlight w:val="none"/>
        </w:rPr>
      </w:pPr>
      <w:r>
        <w:rPr>
          <w:rFonts w:hint="eastAsia" w:ascii="宋体" w:hAnsi="宋体" w:cs="宋体"/>
          <w:b/>
          <w:sz w:val="24"/>
          <w:szCs w:val="24"/>
          <w:highlight w:val="none"/>
        </w:rPr>
        <w:t>1.4 交货时间和地点</w:t>
      </w:r>
      <w:bookmarkEnd w:id="197"/>
      <w:bookmarkEnd w:id="198"/>
      <w:bookmarkEnd w:id="199"/>
    </w:p>
    <w:p w14:paraId="5172E91F">
      <w:pPr>
        <w:spacing w:line="44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1.4.1 交货时间：</w:t>
      </w:r>
      <w:r>
        <w:rPr>
          <w:rFonts w:hint="eastAsia" w:ascii="宋体" w:hAnsi="宋体" w:cs="宋体"/>
          <w:sz w:val="24"/>
          <w:szCs w:val="24"/>
          <w:highlight w:val="none"/>
          <w:u w:val="single"/>
          <w:lang w:eastAsia="zh-CN"/>
        </w:rPr>
        <w:t>合同签订并接到通知进场后60天内完成交货、安装并调试完毕</w:t>
      </w:r>
      <w:r>
        <w:rPr>
          <w:rFonts w:hint="eastAsia" w:ascii="宋体" w:hAnsi="宋体" w:cs="宋体"/>
          <w:sz w:val="24"/>
          <w:szCs w:val="24"/>
          <w:highlight w:val="none"/>
          <w:u w:val="single"/>
        </w:rPr>
        <w:t>。</w:t>
      </w:r>
    </w:p>
    <w:p w14:paraId="175E9205">
      <w:pPr>
        <w:spacing w:line="44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1.4.2 交付地点：</w:t>
      </w:r>
      <w:r>
        <w:rPr>
          <w:rFonts w:hint="eastAsia" w:ascii="宋体" w:hAnsi="宋体" w:cs="宋体"/>
          <w:sz w:val="24"/>
          <w:szCs w:val="24"/>
          <w:highlight w:val="none"/>
          <w:u w:val="single"/>
        </w:rPr>
        <w:t>常熟市范围内。乙方负责办理货物的运输、装卸和保险，一切费用均由乙方承担。</w:t>
      </w:r>
    </w:p>
    <w:p w14:paraId="62B3FC52">
      <w:pPr>
        <w:spacing w:line="420" w:lineRule="exact"/>
        <w:rPr>
          <w:rFonts w:hint="eastAsia" w:ascii="宋体" w:hAnsi="宋体" w:cs="宋体"/>
          <w:b/>
          <w:sz w:val="24"/>
        </w:rPr>
      </w:pPr>
      <w:r>
        <w:rPr>
          <w:rFonts w:hint="eastAsia" w:ascii="宋体" w:hAnsi="宋体" w:cs="宋体"/>
          <w:b/>
          <w:sz w:val="24"/>
        </w:rPr>
        <w:t>1.5</w:t>
      </w:r>
      <w:r>
        <w:rPr>
          <w:rFonts w:hint="eastAsia" w:ascii="宋体" w:hAnsi="宋体" w:cs="宋体"/>
          <w:b/>
          <w:bCs/>
          <w:sz w:val="24"/>
        </w:rPr>
        <w:t>双方权利和义务</w:t>
      </w:r>
    </w:p>
    <w:p w14:paraId="48E0C396">
      <w:pPr>
        <w:spacing w:line="440" w:lineRule="exact"/>
        <w:ind w:firstLine="482" w:firstLineChars="200"/>
        <w:rPr>
          <w:rFonts w:hint="eastAsia" w:ascii="宋体" w:hAnsi="宋体" w:cs="宋体"/>
          <w:b/>
          <w:bCs/>
          <w:sz w:val="24"/>
        </w:rPr>
      </w:pPr>
      <w:r>
        <w:rPr>
          <w:rFonts w:hint="eastAsia" w:ascii="宋体" w:hAnsi="宋体" w:cs="宋体"/>
          <w:b/>
          <w:bCs/>
          <w:sz w:val="24"/>
        </w:rPr>
        <w:t>1.5.1甲方权利义务</w:t>
      </w:r>
    </w:p>
    <w:p w14:paraId="6CF16698">
      <w:pPr>
        <w:spacing w:line="440" w:lineRule="exact"/>
        <w:ind w:firstLine="480" w:firstLineChars="200"/>
        <w:rPr>
          <w:rFonts w:hint="eastAsia" w:ascii="宋体" w:hAnsi="宋体" w:cs="宋体"/>
          <w:sz w:val="24"/>
        </w:rPr>
      </w:pPr>
      <w:r>
        <w:rPr>
          <w:rFonts w:hint="eastAsia" w:ascii="宋体" w:hAnsi="宋体" w:cs="宋体"/>
          <w:sz w:val="24"/>
        </w:rPr>
        <w:t>（1）负责提供场地和有关设备的安装位置；</w:t>
      </w:r>
    </w:p>
    <w:p w14:paraId="5300E6ED">
      <w:pPr>
        <w:spacing w:line="440" w:lineRule="exact"/>
        <w:ind w:firstLine="480" w:firstLineChars="200"/>
        <w:rPr>
          <w:rFonts w:hint="eastAsia" w:ascii="宋体" w:hAnsi="宋体" w:cs="宋体"/>
          <w:sz w:val="24"/>
        </w:rPr>
      </w:pPr>
      <w:r>
        <w:rPr>
          <w:rFonts w:hint="eastAsia" w:ascii="宋体" w:hAnsi="宋体" w:cs="宋体"/>
          <w:sz w:val="24"/>
        </w:rPr>
        <w:t>（2）提供符合安装施工调试要求的电源和水源等；</w:t>
      </w:r>
    </w:p>
    <w:p w14:paraId="3491D73F">
      <w:pPr>
        <w:spacing w:line="440" w:lineRule="exact"/>
        <w:ind w:firstLine="480" w:firstLineChars="200"/>
        <w:rPr>
          <w:rFonts w:hint="eastAsia" w:ascii="宋体" w:hAnsi="宋体" w:cs="宋体"/>
          <w:sz w:val="24"/>
        </w:rPr>
      </w:pPr>
      <w:r>
        <w:rPr>
          <w:rFonts w:hint="eastAsia" w:ascii="宋体" w:hAnsi="宋体" w:cs="宋体"/>
          <w:sz w:val="24"/>
        </w:rPr>
        <w:t>（3）配合乙方做好与安装调试有关的辅助性事务；</w:t>
      </w:r>
    </w:p>
    <w:p w14:paraId="089ADCC2">
      <w:pPr>
        <w:spacing w:line="440" w:lineRule="exact"/>
        <w:ind w:firstLine="480" w:firstLineChars="200"/>
        <w:rPr>
          <w:rFonts w:hint="eastAsia" w:ascii="宋体" w:hAnsi="宋体" w:cs="宋体"/>
          <w:sz w:val="24"/>
        </w:rPr>
      </w:pPr>
      <w:r>
        <w:rPr>
          <w:rFonts w:hint="eastAsia" w:ascii="宋体" w:hAnsi="宋体" w:cs="宋体"/>
          <w:sz w:val="24"/>
        </w:rPr>
        <w:t>（4）对乙方的安装调试工作进行监督管理。</w:t>
      </w:r>
    </w:p>
    <w:p w14:paraId="50151D2D">
      <w:pPr>
        <w:spacing w:line="420" w:lineRule="exact"/>
        <w:ind w:firstLine="480" w:firstLineChars="200"/>
        <w:rPr>
          <w:rFonts w:hint="eastAsia" w:ascii="宋体" w:hAnsi="宋体" w:cs="宋体"/>
          <w:bCs/>
          <w:sz w:val="24"/>
        </w:rPr>
      </w:pPr>
      <w:r>
        <w:rPr>
          <w:rFonts w:hint="eastAsia" w:ascii="宋体" w:hAnsi="宋体" w:cs="宋体"/>
          <w:bCs/>
          <w:sz w:val="24"/>
        </w:rPr>
        <w:t>（5）配合乙方协调。</w:t>
      </w:r>
    </w:p>
    <w:p w14:paraId="12C6C770">
      <w:pPr>
        <w:spacing w:line="440" w:lineRule="exact"/>
        <w:ind w:firstLine="482" w:firstLineChars="200"/>
        <w:rPr>
          <w:rFonts w:hint="eastAsia" w:ascii="宋体" w:hAnsi="宋体" w:cs="宋体"/>
          <w:b/>
          <w:bCs/>
          <w:sz w:val="24"/>
        </w:rPr>
      </w:pPr>
      <w:r>
        <w:rPr>
          <w:rFonts w:hint="eastAsia" w:ascii="宋体" w:hAnsi="宋体" w:cs="宋体"/>
          <w:b/>
          <w:bCs/>
          <w:sz w:val="24"/>
        </w:rPr>
        <w:t>1.5.2乙方权利义务</w:t>
      </w:r>
    </w:p>
    <w:p w14:paraId="49FD795E">
      <w:pPr>
        <w:spacing w:line="440" w:lineRule="exact"/>
        <w:ind w:firstLine="480" w:firstLineChars="200"/>
        <w:rPr>
          <w:rFonts w:hint="eastAsia" w:ascii="宋体" w:hAnsi="宋体" w:cs="宋体"/>
          <w:sz w:val="24"/>
        </w:rPr>
      </w:pPr>
      <w:bookmarkStart w:id="200" w:name="_Toc21423"/>
      <w:bookmarkStart w:id="201" w:name="_Toc27250"/>
      <w:bookmarkStart w:id="202" w:name="_Toc19554"/>
      <w:r>
        <w:rPr>
          <w:rFonts w:hint="eastAsia" w:ascii="宋体" w:hAnsi="宋体" w:cs="宋体"/>
          <w:sz w:val="24"/>
        </w:rPr>
        <w:t>（1）负责货物运抵指定地点后的搬运及看护保管；</w:t>
      </w:r>
    </w:p>
    <w:p w14:paraId="72B2F53B">
      <w:pPr>
        <w:spacing w:line="440" w:lineRule="exact"/>
        <w:ind w:firstLine="480" w:firstLineChars="200"/>
        <w:rPr>
          <w:rFonts w:hint="eastAsia" w:ascii="宋体" w:hAnsi="宋体" w:cs="宋体"/>
          <w:sz w:val="24"/>
        </w:rPr>
      </w:pPr>
      <w:r>
        <w:rPr>
          <w:rFonts w:hint="eastAsia" w:ascii="宋体" w:hAnsi="宋体" w:cs="宋体"/>
          <w:sz w:val="24"/>
        </w:rPr>
        <w:t>（2）在安装前负责派员前往现场进行勘测，确认现场条件，与甲方约定具体安装日期；</w:t>
      </w:r>
    </w:p>
    <w:p w14:paraId="0BEB94D6">
      <w:pPr>
        <w:spacing w:line="440" w:lineRule="exact"/>
        <w:ind w:firstLine="480" w:firstLineChars="200"/>
        <w:rPr>
          <w:rFonts w:hint="eastAsia" w:ascii="宋体" w:hAnsi="宋体" w:cs="宋体"/>
          <w:sz w:val="24"/>
        </w:rPr>
      </w:pPr>
      <w:r>
        <w:rPr>
          <w:rFonts w:hint="eastAsia" w:ascii="宋体" w:hAnsi="宋体" w:cs="宋体"/>
          <w:sz w:val="24"/>
        </w:rPr>
        <w:t>（3）按照国家规定的相关安装规范和质量标准完成安装调试工作；</w:t>
      </w:r>
    </w:p>
    <w:p w14:paraId="2F3A9694">
      <w:pPr>
        <w:spacing w:line="440" w:lineRule="exact"/>
        <w:ind w:firstLine="480" w:firstLineChars="200"/>
        <w:rPr>
          <w:rFonts w:hint="eastAsia" w:ascii="宋体" w:hAnsi="宋体" w:cs="宋体"/>
          <w:sz w:val="24"/>
        </w:rPr>
      </w:pPr>
      <w:r>
        <w:rPr>
          <w:rFonts w:hint="eastAsia" w:ascii="宋体" w:hAnsi="宋体" w:cs="宋体"/>
          <w:sz w:val="24"/>
        </w:rPr>
        <w:t>（4）遵守施工现场的有关规章制度，文明施工，接受甲方的监督管理。</w:t>
      </w:r>
    </w:p>
    <w:p w14:paraId="7441DF18">
      <w:pPr>
        <w:spacing w:line="440" w:lineRule="exact"/>
        <w:ind w:firstLine="480" w:firstLineChars="200"/>
        <w:rPr>
          <w:rFonts w:hint="eastAsia" w:ascii="宋体" w:hAnsi="宋体" w:cs="宋体"/>
          <w:sz w:val="24"/>
        </w:rPr>
      </w:pPr>
      <w:r>
        <w:rPr>
          <w:rFonts w:hint="eastAsia" w:ascii="宋体" w:hAnsi="宋体" w:cs="宋体"/>
          <w:sz w:val="24"/>
        </w:rPr>
        <w:t>（5）配合甲方工作，参加现场施工协调会议；</w:t>
      </w:r>
    </w:p>
    <w:p w14:paraId="437FA04B">
      <w:pPr>
        <w:spacing w:line="440" w:lineRule="exact"/>
        <w:ind w:firstLine="480" w:firstLineChars="200"/>
        <w:rPr>
          <w:rFonts w:hint="eastAsia" w:ascii="宋体" w:hAnsi="宋体" w:cs="宋体"/>
          <w:sz w:val="24"/>
        </w:rPr>
      </w:pPr>
      <w:r>
        <w:rPr>
          <w:rFonts w:hint="eastAsia" w:ascii="宋体" w:hAnsi="宋体" w:cs="宋体"/>
          <w:sz w:val="24"/>
        </w:rPr>
        <w:t>（6）负责现场施工人员的保险和一切安全责任；</w:t>
      </w:r>
    </w:p>
    <w:p w14:paraId="6548B538">
      <w:pPr>
        <w:spacing w:line="440" w:lineRule="exact"/>
        <w:ind w:firstLine="480" w:firstLineChars="200"/>
        <w:rPr>
          <w:rFonts w:hint="eastAsia" w:ascii="宋体" w:hAnsi="宋体" w:cs="宋体"/>
          <w:sz w:val="24"/>
        </w:rPr>
      </w:pPr>
      <w:r>
        <w:rPr>
          <w:rFonts w:hint="eastAsia" w:ascii="宋体" w:hAnsi="宋体" w:cs="宋体"/>
          <w:sz w:val="24"/>
        </w:rPr>
        <w:t>（7）负责安装质量的自检验收，配合甲方完成验收工作及项目的移交；</w:t>
      </w:r>
    </w:p>
    <w:p w14:paraId="38BA602A">
      <w:pPr>
        <w:spacing w:line="440" w:lineRule="exact"/>
        <w:ind w:firstLine="480" w:firstLineChars="200"/>
        <w:rPr>
          <w:rFonts w:hint="eastAsia" w:ascii="宋体" w:hAnsi="宋体" w:cs="宋体"/>
          <w:sz w:val="24"/>
        </w:rPr>
      </w:pPr>
      <w:r>
        <w:rPr>
          <w:rFonts w:hint="eastAsia" w:ascii="宋体" w:hAnsi="宋体" w:cs="宋体"/>
          <w:sz w:val="24"/>
        </w:rPr>
        <w:t>（8）按照有关部门要求完成质量评定和安装施工记录；</w:t>
      </w:r>
    </w:p>
    <w:p w14:paraId="17E74F1D">
      <w:pPr>
        <w:spacing w:line="440" w:lineRule="exact"/>
        <w:ind w:firstLine="480" w:firstLineChars="200"/>
        <w:rPr>
          <w:rFonts w:hint="eastAsia" w:ascii="宋体" w:hAnsi="宋体" w:cs="宋体"/>
          <w:sz w:val="24"/>
        </w:rPr>
      </w:pPr>
      <w:r>
        <w:rPr>
          <w:rFonts w:hint="eastAsia" w:ascii="宋体" w:hAnsi="宋体" w:cs="宋体"/>
          <w:sz w:val="24"/>
        </w:rPr>
        <w:t>（9）负责安装施工调试期间由于乙方过错所造成的一切损失。</w:t>
      </w:r>
    </w:p>
    <w:p w14:paraId="5791ABB1">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（10）如涉及与其他单位共用堆放或安装场地的，乙方应与相关单位做好场地使用、安装中的配合、协调，分清各自使用及安装范围与责任，确保生产安全。 </w:t>
      </w:r>
    </w:p>
    <w:p w14:paraId="2DA2AF9F">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（11）货物的现场安装、施工、调试和/或启动监督； </w:t>
      </w:r>
    </w:p>
    <w:p w14:paraId="241AFC88">
      <w:pPr>
        <w:spacing w:line="440" w:lineRule="exact"/>
        <w:ind w:firstLine="480" w:firstLineChars="200"/>
        <w:rPr>
          <w:rFonts w:hint="eastAsia" w:ascii="宋体" w:hAnsi="宋体" w:cs="宋体"/>
          <w:sz w:val="24"/>
          <w:szCs w:val="24"/>
        </w:rPr>
      </w:pPr>
      <w:r>
        <w:rPr>
          <w:rFonts w:hint="eastAsia" w:ascii="宋体" w:hAnsi="宋体" w:cs="宋体"/>
          <w:sz w:val="24"/>
          <w:szCs w:val="24"/>
        </w:rPr>
        <w:t>（12）就货物的安装、调试、启动、运行及维护等对甲方人员进行免费培训。</w:t>
      </w:r>
    </w:p>
    <w:p w14:paraId="01962430">
      <w:pPr>
        <w:autoSpaceDE w:val="0"/>
        <w:autoSpaceDN w:val="0"/>
        <w:adjustRightInd w:val="0"/>
        <w:spacing w:line="440" w:lineRule="exact"/>
        <w:rPr>
          <w:rFonts w:hint="eastAsia" w:ascii="宋体" w:hAnsi="宋体" w:cs="宋体"/>
          <w:b/>
          <w:sz w:val="24"/>
          <w:szCs w:val="24"/>
        </w:rPr>
      </w:pPr>
      <w:r>
        <w:rPr>
          <w:rFonts w:hint="eastAsia" w:ascii="宋体" w:hAnsi="宋体" w:cs="宋体"/>
          <w:b/>
          <w:sz w:val="24"/>
          <w:szCs w:val="24"/>
        </w:rPr>
        <w:t>1.6 违约责任</w:t>
      </w:r>
      <w:bookmarkEnd w:id="200"/>
      <w:bookmarkEnd w:id="201"/>
      <w:bookmarkEnd w:id="202"/>
    </w:p>
    <w:p w14:paraId="5992C009">
      <w:pPr>
        <w:spacing w:line="420" w:lineRule="exact"/>
        <w:ind w:firstLine="480" w:firstLineChars="200"/>
        <w:rPr>
          <w:rFonts w:hint="eastAsia" w:ascii="宋体" w:hAnsi="宋体" w:cs="宋体"/>
          <w:sz w:val="24"/>
          <w:szCs w:val="24"/>
        </w:rPr>
      </w:pPr>
      <w:r>
        <w:rPr>
          <w:rFonts w:hint="eastAsia" w:ascii="宋体" w:hAnsi="宋体" w:cs="宋体"/>
          <w:sz w:val="24"/>
          <w:szCs w:val="24"/>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szCs w:val="24"/>
          <w:u w:val="single"/>
        </w:rPr>
        <w:t>1%</w:t>
      </w:r>
      <w:r>
        <w:rPr>
          <w:rFonts w:hint="eastAsia" w:ascii="宋体" w:hAnsi="宋体" w:cs="宋体"/>
          <w:sz w:val="24"/>
          <w:szCs w:val="24"/>
        </w:rPr>
        <w:t>计算，最高限额为本合同总价的</w:t>
      </w:r>
      <w:r>
        <w:rPr>
          <w:rFonts w:hint="eastAsia" w:ascii="宋体" w:hAnsi="宋体" w:cs="宋体"/>
          <w:sz w:val="24"/>
          <w:szCs w:val="24"/>
          <w:u w:val="single"/>
        </w:rPr>
        <w:t>10%</w:t>
      </w:r>
      <w:r>
        <w:rPr>
          <w:rFonts w:hint="eastAsia" w:ascii="宋体" w:hAnsi="宋体" w:cs="宋体"/>
          <w:sz w:val="24"/>
          <w:szCs w:val="24"/>
        </w:rPr>
        <w:t>；迟延交付货物的违约金计算数额达到前述最高限额之日起，甲方有权在要求乙方支付违约金的同时，书面通知乙方解除本合同。但违约金不足补偿甲方实际损失及/或损害的，乙方还应赔偿甲方的实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p>
    <w:p w14:paraId="4CB8B46C">
      <w:pPr>
        <w:spacing w:line="420" w:lineRule="exact"/>
        <w:ind w:firstLine="480" w:firstLineChars="200"/>
        <w:rPr>
          <w:rFonts w:hint="eastAsia" w:ascii="宋体" w:hAnsi="宋体" w:cs="宋体"/>
          <w:sz w:val="24"/>
        </w:rPr>
      </w:pPr>
      <w:r>
        <w:rPr>
          <w:rFonts w:hint="eastAsia" w:ascii="宋体" w:hAnsi="宋体" w:cs="宋体"/>
          <w:sz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0.5%</w:t>
      </w:r>
      <w:r>
        <w:rPr>
          <w:rFonts w:hint="eastAsia" w:ascii="宋体" w:hAnsi="宋体" w:cs="宋体"/>
          <w:sz w:val="24"/>
        </w:rPr>
        <w:t>计算，最高限额为本合同总价的</w:t>
      </w:r>
      <w:r>
        <w:rPr>
          <w:rFonts w:hint="eastAsia" w:ascii="宋体" w:hAnsi="宋体" w:cs="宋体"/>
          <w:sz w:val="24"/>
          <w:u w:val="single"/>
        </w:rPr>
        <w:t>5%</w:t>
      </w:r>
      <w:r>
        <w:rPr>
          <w:rFonts w:hint="eastAsia" w:ascii="宋体" w:hAnsi="宋体" w:cs="宋体"/>
          <w:sz w:val="24"/>
        </w:rPr>
        <w:t>；迟延付款的违约金计算数额达到前述最高限额之日起，乙方有权在要求甲方支付违约金的同时，书面通知甲方解除本合同。</w:t>
      </w:r>
    </w:p>
    <w:p w14:paraId="69A3DA3F">
      <w:pPr>
        <w:spacing w:line="420" w:lineRule="exact"/>
        <w:ind w:firstLine="480" w:firstLineChars="200"/>
        <w:rPr>
          <w:rFonts w:hint="eastAsia" w:ascii="宋体" w:hAnsi="宋体" w:cs="宋体"/>
          <w:sz w:val="24"/>
        </w:rPr>
      </w:pPr>
      <w:r>
        <w:rPr>
          <w:rFonts w:hint="eastAsia" w:ascii="宋体" w:hAnsi="宋体" w:cs="宋体"/>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5EFA01F">
      <w:pPr>
        <w:spacing w:line="420" w:lineRule="exact"/>
        <w:ind w:firstLine="480" w:firstLineChars="200"/>
        <w:rPr>
          <w:rFonts w:hint="eastAsia" w:ascii="宋体" w:hAnsi="宋体" w:cs="宋体"/>
          <w:sz w:val="24"/>
        </w:rPr>
      </w:pPr>
      <w:r>
        <w:rPr>
          <w:rFonts w:hint="eastAsia" w:ascii="宋体" w:hAnsi="宋体" w:cs="宋体"/>
          <w:sz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781B57F">
      <w:pPr>
        <w:spacing w:line="420" w:lineRule="exact"/>
        <w:ind w:firstLine="480" w:firstLineChars="200"/>
        <w:rPr>
          <w:rFonts w:hint="eastAsia" w:ascii="宋体" w:hAnsi="宋体" w:cs="宋体"/>
          <w:sz w:val="24"/>
        </w:rPr>
      </w:pPr>
      <w:r>
        <w:rPr>
          <w:rFonts w:hint="eastAsia" w:ascii="宋体" w:hAnsi="宋体" w:cs="宋体"/>
          <w:sz w:val="24"/>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6E5BE7E">
      <w:pPr>
        <w:spacing w:line="420" w:lineRule="exact"/>
        <w:ind w:firstLine="480" w:firstLineChars="200"/>
        <w:rPr>
          <w:rFonts w:hint="eastAsia" w:ascii="宋体" w:hAnsi="宋体" w:cs="宋体"/>
          <w:sz w:val="24"/>
        </w:rPr>
      </w:pPr>
      <w:r>
        <w:rPr>
          <w:rFonts w:hint="eastAsia" w:ascii="宋体" w:hAnsi="宋体" w:cs="宋体"/>
          <w:sz w:val="24"/>
        </w:rPr>
        <w:t>1.6.6 如果出现政府采购监督管理部门在处理投诉事项期间，书面通知甲方暂停采购活动的情形，或者询问或质疑事项可能影响中标结果的，导致甲方中止履行合同的情形，均不视为甲方违约。</w:t>
      </w:r>
    </w:p>
    <w:p w14:paraId="3258EB12">
      <w:pPr>
        <w:spacing w:line="440" w:lineRule="exact"/>
        <w:rPr>
          <w:rFonts w:hint="eastAsia" w:ascii="宋体" w:hAnsi="宋体" w:cs="宋体"/>
          <w:b/>
          <w:sz w:val="24"/>
        </w:rPr>
      </w:pPr>
      <w:bookmarkStart w:id="203" w:name="_Toc30329"/>
      <w:bookmarkStart w:id="204" w:name="_Toc9497"/>
      <w:bookmarkStart w:id="205" w:name="_Toc26807"/>
      <w:bookmarkStart w:id="206" w:name="_Toc32454"/>
      <w:bookmarkStart w:id="207" w:name="_Toc18683"/>
      <w:r>
        <w:rPr>
          <w:rFonts w:hint="eastAsia" w:ascii="宋体" w:hAnsi="宋体" w:cs="宋体"/>
          <w:b/>
          <w:sz w:val="24"/>
        </w:rPr>
        <w:t>1.7 合同争议的解决</w:t>
      </w:r>
      <w:bookmarkEnd w:id="203"/>
      <w:bookmarkEnd w:id="204"/>
      <w:bookmarkEnd w:id="205"/>
      <w:bookmarkEnd w:id="206"/>
      <w:bookmarkEnd w:id="207"/>
    </w:p>
    <w:p w14:paraId="7BABF230">
      <w:pPr>
        <w:spacing w:line="440" w:lineRule="exact"/>
        <w:ind w:firstLine="480" w:firstLineChars="200"/>
        <w:rPr>
          <w:rFonts w:hint="eastAsia" w:ascii="宋体" w:hAnsi="宋体" w:cs="宋体"/>
          <w:bCs/>
          <w:sz w:val="24"/>
          <w:szCs w:val="24"/>
        </w:rPr>
      </w:pPr>
      <w:bookmarkStart w:id="208" w:name="_Toc23784"/>
      <w:bookmarkStart w:id="209" w:name="_Toc12273"/>
      <w:bookmarkStart w:id="210" w:name="_Toc15827"/>
      <w:bookmarkStart w:id="211" w:name="_Toc16417"/>
      <w:bookmarkStart w:id="212" w:name="_Toc26227"/>
      <w:r>
        <w:rPr>
          <w:rFonts w:hint="eastAsia" w:ascii="宋体" w:hAnsi="宋体" w:cs="宋体"/>
          <w:bCs/>
          <w:sz w:val="24"/>
          <w:szCs w:val="24"/>
        </w:rPr>
        <w:t>本合同履行过程中发生的任何争议，双方当事人均可通过和解或者调解解决；不愿和解、调解或者和解、调解不成的，可以选择下列第</w:t>
      </w:r>
      <w:r>
        <w:rPr>
          <w:rFonts w:hint="eastAsia" w:ascii="宋体" w:hAnsi="宋体" w:cs="宋体"/>
          <w:bCs/>
          <w:sz w:val="24"/>
          <w:szCs w:val="24"/>
          <w:u w:val="single"/>
        </w:rPr>
        <w:t>1.7.1</w:t>
      </w:r>
      <w:r>
        <w:rPr>
          <w:rFonts w:hint="eastAsia" w:ascii="宋体" w:hAnsi="宋体" w:cs="宋体"/>
          <w:bCs/>
          <w:sz w:val="24"/>
          <w:szCs w:val="24"/>
        </w:rPr>
        <w:t>种方式解决：</w:t>
      </w:r>
    </w:p>
    <w:p w14:paraId="35D236BB">
      <w:pPr>
        <w:spacing w:line="430" w:lineRule="exact"/>
        <w:ind w:firstLine="480" w:firstLineChars="200"/>
        <w:rPr>
          <w:rFonts w:hint="eastAsia" w:ascii="宋体" w:hAnsi="宋体" w:cs="宋体"/>
          <w:bCs/>
          <w:sz w:val="24"/>
          <w:szCs w:val="24"/>
        </w:rPr>
      </w:pPr>
      <w:r>
        <w:rPr>
          <w:rFonts w:hint="eastAsia" w:ascii="宋体" w:hAnsi="宋体" w:cs="宋体"/>
          <w:bCs/>
          <w:sz w:val="24"/>
          <w:szCs w:val="24"/>
        </w:rPr>
        <w:t>1.7.1向</w:t>
      </w:r>
      <w:r>
        <w:rPr>
          <w:rFonts w:hint="eastAsia" w:ascii="宋体" w:hAnsi="宋体" w:cs="宋体"/>
          <w:bCs/>
          <w:sz w:val="24"/>
          <w:szCs w:val="24"/>
          <w:u w:val="single"/>
        </w:rPr>
        <w:t>（项目所在地、合同履行地、标的物所在地等）</w:t>
      </w:r>
      <w:r>
        <w:rPr>
          <w:rFonts w:hint="eastAsia" w:ascii="宋体" w:hAnsi="宋体" w:cs="宋体"/>
          <w:bCs/>
          <w:sz w:val="24"/>
          <w:szCs w:val="24"/>
        </w:rPr>
        <w:t>人民法院起诉。</w:t>
      </w:r>
    </w:p>
    <w:p w14:paraId="17130CA5">
      <w:pPr>
        <w:spacing w:line="440" w:lineRule="exact"/>
        <w:rPr>
          <w:rFonts w:hint="eastAsia" w:ascii="宋体" w:hAnsi="宋体" w:cs="宋体"/>
          <w:b/>
          <w:sz w:val="24"/>
        </w:rPr>
      </w:pPr>
      <w:r>
        <w:rPr>
          <w:rFonts w:hint="eastAsia" w:ascii="宋体" w:hAnsi="宋体" w:cs="宋体"/>
          <w:b/>
          <w:sz w:val="24"/>
        </w:rPr>
        <w:t>1.8 合同生效</w:t>
      </w:r>
      <w:bookmarkEnd w:id="208"/>
      <w:bookmarkEnd w:id="209"/>
      <w:bookmarkEnd w:id="210"/>
      <w:bookmarkEnd w:id="211"/>
      <w:bookmarkEnd w:id="212"/>
    </w:p>
    <w:p w14:paraId="4352B3FF">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1.8.1合同应在甲乙双方代表签字并加盖公章后生效。</w:t>
      </w:r>
    </w:p>
    <w:p w14:paraId="7FEF4992">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1.8.2本合同一式五份，以简体中文书写，甲方两份、乙方两份、涵熙（苏州）工程顾问有限公司一份。</w:t>
      </w:r>
    </w:p>
    <w:p w14:paraId="3C1BD4BB">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1.8.3本合同应按照中华人民共和国的现行法律进行解释。</w:t>
      </w:r>
    </w:p>
    <w:p w14:paraId="1E0C10B0">
      <w:pPr>
        <w:spacing w:line="440" w:lineRule="exact"/>
        <w:ind w:firstLine="420" w:firstLineChars="200"/>
        <w:rPr>
          <w:rFonts w:hint="eastAsia" w:ascii="宋体" w:hAnsi="宋体" w:cs="宋体"/>
        </w:rPr>
      </w:pPr>
    </w:p>
    <w:p w14:paraId="5825D0CE">
      <w:pPr>
        <w:autoSpaceDE w:val="0"/>
        <w:autoSpaceDN w:val="0"/>
        <w:adjustRightInd w:val="0"/>
        <w:spacing w:line="480" w:lineRule="exact"/>
        <w:ind w:firstLine="200"/>
        <w:jc w:val="center"/>
        <w:rPr>
          <w:rFonts w:hint="eastAsia" w:ascii="宋体" w:hAnsi="宋体" w:cs="宋体"/>
          <w:b/>
          <w:sz w:val="28"/>
          <w:szCs w:val="28"/>
        </w:rPr>
      </w:pPr>
      <w:r>
        <w:rPr>
          <w:rFonts w:hint="eastAsia" w:ascii="宋体" w:hAnsi="宋体" w:cs="宋体"/>
          <w:b/>
          <w:sz w:val="28"/>
          <w:szCs w:val="28"/>
        </w:rPr>
        <w:t>第二部分 合同一般条款</w:t>
      </w:r>
    </w:p>
    <w:p w14:paraId="3BA0E241">
      <w:pPr>
        <w:spacing w:line="440" w:lineRule="exact"/>
        <w:rPr>
          <w:rFonts w:hint="eastAsia" w:ascii="宋体" w:hAnsi="宋体" w:cs="宋体"/>
          <w:b/>
          <w:sz w:val="24"/>
          <w:szCs w:val="24"/>
        </w:rPr>
      </w:pPr>
      <w:bookmarkStart w:id="213" w:name="_Ref467379101"/>
      <w:bookmarkStart w:id="214" w:name="_Ref467378463"/>
      <w:bookmarkStart w:id="215" w:name="_Toc279701240"/>
      <w:bookmarkStart w:id="216" w:name="_Ref467379195"/>
      <w:bookmarkStart w:id="217" w:name="_Ref467379094"/>
      <w:bookmarkStart w:id="218" w:name="_Ref467379205"/>
      <w:bookmarkStart w:id="219" w:name="_Toc16917"/>
      <w:bookmarkStart w:id="220" w:name="_Ref467378404"/>
      <w:bookmarkStart w:id="221" w:name="_Toc19614"/>
      <w:bookmarkStart w:id="222" w:name="_Ref467379225"/>
      <w:bookmarkStart w:id="223" w:name="_Toc28763"/>
      <w:bookmarkStart w:id="224" w:name="_Ref467379109"/>
      <w:bookmarkStart w:id="225" w:name="_Toc259093669"/>
      <w:bookmarkStart w:id="226" w:name="_Ref467378499"/>
      <w:bookmarkStart w:id="227" w:name="_Toc487900349"/>
      <w:bookmarkStart w:id="228" w:name="_Ref467379214"/>
      <w:r>
        <w:rPr>
          <w:rFonts w:hint="eastAsia" w:ascii="宋体" w:hAnsi="宋体" w:cs="宋体"/>
          <w:b/>
          <w:sz w:val="24"/>
          <w:szCs w:val="24"/>
        </w:rPr>
        <w:t>2.1 定义</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5063582">
      <w:pPr>
        <w:spacing w:line="440" w:lineRule="exact"/>
        <w:ind w:firstLine="480" w:firstLineChars="200"/>
        <w:rPr>
          <w:rFonts w:hint="eastAsia" w:ascii="宋体" w:hAnsi="宋体" w:cs="宋体"/>
          <w:sz w:val="24"/>
          <w:szCs w:val="24"/>
        </w:rPr>
      </w:pPr>
      <w:r>
        <w:rPr>
          <w:rFonts w:hint="eastAsia" w:ascii="宋体" w:hAnsi="宋体" w:cs="宋体"/>
          <w:sz w:val="24"/>
          <w:szCs w:val="24"/>
        </w:rPr>
        <w:t>本合同中的下列词语应按以下内容进行解释：</w:t>
      </w:r>
    </w:p>
    <w:p w14:paraId="37BC6E8C">
      <w:pPr>
        <w:spacing w:line="440" w:lineRule="exact"/>
        <w:ind w:firstLine="480" w:firstLineChars="200"/>
        <w:rPr>
          <w:rFonts w:hint="eastAsia" w:ascii="宋体" w:hAnsi="宋体" w:cs="宋体"/>
          <w:sz w:val="24"/>
          <w:szCs w:val="24"/>
        </w:rPr>
      </w:pPr>
      <w:r>
        <w:rPr>
          <w:rFonts w:hint="eastAsia" w:ascii="宋体" w:hAnsi="宋体" w:cs="宋体"/>
          <w:sz w:val="24"/>
          <w:szCs w:val="24"/>
        </w:rPr>
        <w:t>2.1.1“合同”系指采购人和中标供应商签订的载明双方当事人所达成的协议，并包括所有的附件、附录和构成合同的其他文件。</w:t>
      </w:r>
    </w:p>
    <w:p w14:paraId="3F9C980A">
      <w:pPr>
        <w:spacing w:line="440" w:lineRule="exact"/>
        <w:ind w:firstLine="480" w:firstLineChars="200"/>
        <w:rPr>
          <w:rFonts w:hint="eastAsia" w:ascii="宋体" w:hAnsi="宋体" w:cs="宋体"/>
          <w:sz w:val="24"/>
          <w:szCs w:val="24"/>
        </w:rPr>
      </w:pPr>
      <w:r>
        <w:rPr>
          <w:rFonts w:hint="eastAsia" w:ascii="宋体" w:hAnsi="宋体" w:cs="宋体"/>
          <w:sz w:val="24"/>
          <w:szCs w:val="24"/>
        </w:rPr>
        <w:t>2.1.2“合同价”系指根据合同约定，中标供应商在完全履行合同义务后，采购人应支付给中标供应商的价格。</w:t>
      </w:r>
    </w:p>
    <w:p w14:paraId="0AE98B3E">
      <w:pPr>
        <w:spacing w:line="440" w:lineRule="exact"/>
        <w:ind w:firstLine="480" w:firstLineChars="200"/>
        <w:rPr>
          <w:rFonts w:hint="eastAsia" w:ascii="宋体" w:hAnsi="宋体" w:cs="宋体"/>
          <w:sz w:val="24"/>
          <w:szCs w:val="24"/>
        </w:rPr>
      </w:pPr>
      <w:r>
        <w:rPr>
          <w:rFonts w:hint="eastAsia" w:ascii="宋体" w:hAnsi="宋体" w:cs="宋体"/>
          <w:sz w:val="24"/>
          <w:szCs w:val="24"/>
        </w:rPr>
        <w:t>2.1.3“货物”系指中标供应商根据合同约定应向采购人交付的一切各种形态和种类的物品，包括原材料、燃料、设备、机械、仪表、备件、计算机软件、产品等，并包括工具、手册等其他相关资料。</w:t>
      </w:r>
    </w:p>
    <w:p w14:paraId="0AE78A2F">
      <w:pPr>
        <w:spacing w:line="440" w:lineRule="exact"/>
        <w:ind w:firstLine="480" w:firstLineChars="200"/>
        <w:rPr>
          <w:rFonts w:hint="eastAsia" w:ascii="宋体" w:hAnsi="宋体" w:cs="宋体"/>
          <w:sz w:val="24"/>
          <w:szCs w:val="24"/>
        </w:rPr>
      </w:pPr>
      <w:bookmarkStart w:id="229" w:name="_Ref467378840"/>
      <w:r>
        <w:rPr>
          <w:rFonts w:hint="eastAsia" w:ascii="宋体" w:hAnsi="宋体" w:cs="宋体"/>
          <w:sz w:val="24"/>
          <w:szCs w:val="24"/>
        </w:rPr>
        <w:t>2.1.4“甲方”系指与中标供应商签署合同的采购人</w:t>
      </w:r>
      <w:bookmarkEnd w:id="229"/>
      <w:r>
        <w:rPr>
          <w:rFonts w:hint="eastAsia" w:ascii="宋体" w:hAnsi="宋体" w:cs="宋体"/>
          <w:sz w:val="24"/>
          <w:szCs w:val="24"/>
        </w:rPr>
        <w:t>；采购人委托采购代理机构代表其与乙方签订合同的，采购人的授权委托书作为合同附件。</w:t>
      </w:r>
    </w:p>
    <w:p w14:paraId="71A81916">
      <w:pPr>
        <w:spacing w:line="440" w:lineRule="exact"/>
        <w:ind w:firstLine="480" w:firstLineChars="200"/>
        <w:rPr>
          <w:rFonts w:hint="eastAsia" w:ascii="宋体" w:hAnsi="宋体" w:cs="宋体"/>
          <w:sz w:val="24"/>
          <w:szCs w:val="24"/>
        </w:rPr>
      </w:pPr>
      <w:bookmarkStart w:id="230" w:name="_Ref467379400"/>
      <w:r>
        <w:rPr>
          <w:rFonts w:hint="eastAsia" w:ascii="宋体" w:hAnsi="宋体" w:cs="宋体"/>
          <w:sz w:val="24"/>
          <w:szCs w:val="24"/>
        </w:rPr>
        <w:t>2.1.5“乙方”系指根据合同约定交付货物的中标供应商</w:t>
      </w:r>
      <w:bookmarkEnd w:id="230"/>
      <w:r>
        <w:rPr>
          <w:rFonts w:hint="eastAsia" w:ascii="宋体" w:hAnsi="宋体" w:cs="宋体"/>
          <w:sz w:val="24"/>
          <w:szCs w:val="24"/>
        </w:rPr>
        <w:t>。</w:t>
      </w:r>
    </w:p>
    <w:p w14:paraId="342D9DF8">
      <w:pPr>
        <w:spacing w:line="440" w:lineRule="exact"/>
        <w:ind w:firstLine="480" w:firstLineChars="200"/>
        <w:rPr>
          <w:rFonts w:hint="eastAsia" w:ascii="宋体" w:hAnsi="宋体" w:cs="宋体"/>
          <w:sz w:val="24"/>
          <w:szCs w:val="24"/>
        </w:rPr>
      </w:pPr>
      <w:bookmarkStart w:id="231" w:name="_Ref467379436"/>
      <w:r>
        <w:rPr>
          <w:rFonts w:hint="eastAsia" w:ascii="宋体" w:hAnsi="宋体" w:cs="宋体"/>
          <w:sz w:val="24"/>
          <w:szCs w:val="24"/>
        </w:rPr>
        <w:t>2.1.6“现场”系指合同约定货物将要运至或者安装的地点。</w:t>
      </w:r>
      <w:bookmarkEnd w:id="231"/>
    </w:p>
    <w:p w14:paraId="5E523184">
      <w:pPr>
        <w:spacing w:line="440" w:lineRule="exact"/>
        <w:rPr>
          <w:rFonts w:hint="eastAsia" w:ascii="宋体" w:hAnsi="宋体" w:cs="宋体"/>
          <w:b/>
          <w:sz w:val="24"/>
          <w:szCs w:val="24"/>
        </w:rPr>
      </w:pPr>
      <w:bookmarkStart w:id="232" w:name="_Toc32504"/>
      <w:bookmarkStart w:id="233" w:name="_Toc279701241"/>
      <w:bookmarkStart w:id="234" w:name="_Toc13336"/>
      <w:bookmarkStart w:id="235" w:name="_Toc27635"/>
      <w:bookmarkStart w:id="236" w:name="_Toc487900350"/>
      <w:bookmarkStart w:id="237" w:name="_Toc259093670"/>
      <w:r>
        <w:rPr>
          <w:rFonts w:hint="eastAsia" w:ascii="宋体" w:hAnsi="宋体" w:cs="宋体"/>
          <w:b/>
          <w:sz w:val="24"/>
          <w:szCs w:val="24"/>
        </w:rPr>
        <w:t>2.2 技术规范</w:t>
      </w:r>
      <w:bookmarkEnd w:id="232"/>
      <w:bookmarkEnd w:id="233"/>
      <w:bookmarkEnd w:id="234"/>
      <w:bookmarkEnd w:id="235"/>
      <w:bookmarkEnd w:id="236"/>
      <w:bookmarkEnd w:id="237"/>
    </w:p>
    <w:p w14:paraId="1B652948">
      <w:pPr>
        <w:spacing w:line="440" w:lineRule="exact"/>
        <w:ind w:firstLine="480" w:firstLineChars="200"/>
        <w:rPr>
          <w:rFonts w:hint="eastAsia" w:ascii="宋体" w:hAnsi="宋体" w:cs="宋体"/>
          <w:sz w:val="24"/>
          <w:szCs w:val="24"/>
        </w:rPr>
      </w:pPr>
      <w:r>
        <w:rPr>
          <w:rFonts w:hint="eastAsia" w:ascii="宋体" w:hAnsi="宋体" w:cs="宋体"/>
          <w:sz w:val="24"/>
          <w:szCs w:val="24"/>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7CEBFB8F">
      <w:pPr>
        <w:spacing w:line="440" w:lineRule="exact"/>
        <w:rPr>
          <w:rFonts w:hint="eastAsia" w:ascii="宋体" w:hAnsi="宋体" w:cs="宋体"/>
          <w:b/>
          <w:sz w:val="24"/>
          <w:szCs w:val="24"/>
        </w:rPr>
      </w:pPr>
      <w:bookmarkStart w:id="238" w:name="_Toc31634"/>
      <w:bookmarkStart w:id="239" w:name="_Toc9829"/>
      <w:bookmarkStart w:id="240" w:name="_Toc487900351"/>
      <w:bookmarkStart w:id="241" w:name="_Toc27853"/>
      <w:bookmarkStart w:id="242" w:name="_Toc279701242"/>
      <w:bookmarkStart w:id="243" w:name="_Toc259093671"/>
      <w:r>
        <w:rPr>
          <w:rFonts w:hint="eastAsia" w:ascii="宋体" w:hAnsi="宋体" w:cs="宋体"/>
          <w:b/>
          <w:sz w:val="24"/>
          <w:szCs w:val="24"/>
        </w:rPr>
        <w:t>2.3 知识产权</w:t>
      </w:r>
      <w:bookmarkEnd w:id="238"/>
      <w:bookmarkEnd w:id="239"/>
      <w:bookmarkEnd w:id="240"/>
      <w:bookmarkEnd w:id="241"/>
      <w:bookmarkEnd w:id="242"/>
      <w:bookmarkEnd w:id="243"/>
    </w:p>
    <w:p w14:paraId="7FD194D7">
      <w:pPr>
        <w:spacing w:line="440" w:lineRule="exact"/>
        <w:ind w:firstLine="480" w:firstLineChars="200"/>
        <w:rPr>
          <w:rFonts w:hint="eastAsia" w:ascii="宋体" w:hAnsi="宋体" w:cs="宋体"/>
          <w:sz w:val="24"/>
          <w:szCs w:val="24"/>
        </w:rPr>
      </w:pPr>
      <w:r>
        <w:rPr>
          <w:rFonts w:hint="eastAsia" w:ascii="宋体" w:hAnsi="宋体" w:cs="宋体"/>
          <w:sz w:val="24"/>
          <w:szCs w:val="24"/>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369982D9">
      <w:pPr>
        <w:spacing w:line="440" w:lineRule="exact"/>
        <w:rPr>
          <w:rFonts w:hint="eastAsia" w:ascii="宋体" w:hAnsi="宋体" w:cs="宋体"/>
          <w:b/>
          <w:sz w:val="24"/>
          <w:szCs w:val="24"/>
        </w:rPr>
      </w:pPr>
      <w:bookmarkStart w:id="244" w:name="_Toc11932"/>
      <w:bookmarkStart w:id="245" w:name="_Toc29149"/>
      <w:bookmarkStart w:id="246" w:name="_Toc4194"/>
      <w:r>
        <w:rPr>
          <w:rFonts w:hint="eastAsia" w:ascii="宋体" w:hAnsi="宋体" w:cs="宋体"/>
          <w:b/>
          <w:sz w:val="24"/>
          <w:szCs w:val="24"/>
        </w:rPr>
        <w:t>2.4 包装和装运</w:t>
      </w:r>
      <w:bookmarkEnd w:id="244"/>
      <w:bookmarkEnd w:id="245"/>
      <w:bookmarkEnd w:id="246"/>
    </w:p>
    <w:p w14:paraId="4C0E181D">
      <w:pPr>
        <w:spacing w:line="440" w:lineRule="exact"/>
        <w:ind w:firstLine="480" w:firstLineChars="200"/>
        <w:rPr>
          <w:rFonts w:hint="eastAsia" w:ascii="宋体" w:hAnsi="宋体" w:cs="宋体"/>
          <w:sz w:val="24"/>
          <w:szCs w:val="24"/>
        </w:rPr>
      </w:pPr>
      <w:r>
        <w:rPr>
          <w:rFonts w:hint="eastAsia" w:ascii="宋体" w:hAnsi="宋体" w:cs="宋体"/>
          <w:sz w:val="24"/>
          <w:szCs w:val="24"/>
        </w:rPr>
        <w:t>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9C73C6B">
      <w:pPr>
        <w:spacing w:line="440" w:lineRule="exact"/>
        <w:ind w:firstLine="480" w:firstLineChars="200"/>
        <w:rPr>
          <w:rFonts w:hint="eastAsia" w:ascii="宋体" w:hAnsi="宋体" w:cs="宋体"/>
          <w:sz w:val="24"/>
          <w:szCs w:val="24"/>
        </w:rPr>
      </w:pPr>
      <w:r>
        <w:rPr>
          <w:rFonts w:hint="eastAsia" w:ascii="宋体" w:hAnsi="宋体" w:cs="宋体"/>
          <w:sz w:val="24"/>
          <w:szCs w:val="24"/>
        </w:rPr>
        <w:t>2.4.2装运货物的要求和通知均应按照甲方的要求。</w:t>
      </w:r>
    </w:p>
    <w:p w14:paraId="57D5D2AA">
      <w:pPr>
        <w:spacing w:line="440" w:lineRule="exact"/>
        <w:rPr>
          <w:rFonts w:hint="eastAsia" w:ascii="宋体" w:hAnsi="宋体" w:cs="宋体"/>
          <w:b/>
          <w:sz w:val="24"/>
          <w:szCs w:val="24"/>
        </w:rPr>
      </w:pPr>
      <w:bookmarkStart w:id="247" w:name="_Ref467378541"/>
      <w:bookmarkStart w:id="248" w:name="_Toc279701245"/>
      <w:bookmarkStart w:id="249" w:name="_Toc259093674"/>
      <w:bookmarkStart w:id="250" w:name="_Ref467379536"/>
      <w:bookmarkStart w:id="251" w:name="_Ref467379542"/>
      <w:bookmarkStart w:id="252" w:name="_Ref467379527"/>
      <w:bookmarkStart w:id="253" w:name="_Toc487900354"/>
      <w:bookmarkStart w:id="254" w:name="_Ref467378591"/>
      <w:bookmarkStart w:id="255" w:name="_Toc30272"/>
      <w:bookmarkStart w:id="256" w:name="_Toc26182"/>
      <w:bookmarkStart w:id="257" w:name="_Toc19074"/>
      <w:r>
        <w:rPr>
          <w:rFonts w:hint="eastAsia" w:ascii="宋体" w:hAnsi="宋体" w:cs="宋体"/>
          <w:b/>
          <w:sz w:val="24"/>
          <w:szCs w:val="24"/>
        </w:rPr>
        <w:t>2.</w:t>
      </w:r>
      <w:bookmarkEnd w:id="247"/>
      <w:bookmarkEnd w:id="248"/>
      <w:bookmarkEnd w:id="249"/>
      <w:bookmarkEnd w:id="250"/>
      <w:bookmarkEnd w:id="251"/>
      <w:bookmarkEnd w:id="252"/>
      <w:bookmarkEnd w:id="253"/>
      <w:bookmarkEnd w:id="254"/>
      <w:r>
        <w:rPr>
          <w:rFonts w:hint="eastAsia" w:ascii="宋体" w:hAnsi="宋体" w:cs="宋体"/>
          <w:b/>
          <w:sz w:val="24"/>
          <w:szCs w:val="24"/>
        </w:rPr>
        <w:t>5 履约检查和问题反馈</w:t>
      </w:r>
      <w:bookmarkEnd w:id="255"/>
      <w:bookmarkEnd w:id="256"/>
      <w:bookmarkEnd w:id="257"/>
    </w:p>
    <w:p w14:paraId="076943DB">
      <w:pPr>
        <w:spacing w:line="440" w:lineRule="exact"/>
        <w:ind w:firstLine="480" w:firstLineChars="200"/>
        <w:rPr>
          <w:rFonts w:hint="eastAsia" w:ascii="宋体" w:hAnsi="宋体" w:cs="宋体"/>
          <w:sz w:val="24"/>
          <w:szCs w:val="24"/>
        </w:rPr>
      </w:pPr>
      <w:bookmarkStart w:id="258" w:name="_Ref467379657"/>
      <w:r>
        <w:rPr>
          <w:rFonts w:hint="eastAsia" w:ascii="宋体" w:hAnsi="宋体" w:cs="宋体"/>
          <w:sz w:val="24"/>
          <w:szCs w:val="24"/>
        </w:rPr>
        <w:t>2.5.1</w:t>
      </w:r>
      <w:bookmarkEnd w:id="258"/>
      <w:bookmarkStart w:id="259" w:name="_Toc186431854"/>
      <w:r>
        <w:rPr>
          <w:rFonts w:hint="eastAsia" w:ascii="宋体" w:hAnsi="宋体" w:cs="宋体"/>
          <w:sz w:val="24"/>
          <w:szCs w:val="24"/>
        </w:rPr>
        <w:t>甲方有权在其认为必要时，对乙方是否能够按照合同约定交付货物进行履约检查，以确保乙方所交付的货物能够依约满足甲方之项目需求，但不得因履约检查妨碍乙方的正常工作，乙方应予积极配合。</w:t>
      </w:r>
    </w:p>
    <w:p w14:paraId="22698519">
      <w:pPr>
        <w:spacing w:line="440" w:lineRule="exact"/>
        <w:ind w:firstLine="480" w:firstLineChars="200"/>
        <w:rPr>
          <w:rFonts w:hint="eastAsia" w:ascii="宋体" w:hAnsi="宋体" w:cs="宋体"/>
          <w:sz w:val="24"/>
          <w:szCs w:val="24"/>
        </w:rPr>
      </w:pPr>
      <w:r>
        <w:rPr>
          <w:rFonts w:hint="eastAsia" w:ascii="宋体" w:hAnsi="宋体" w:cs="宋体"/>
          <w:sz w:val="24"/>
          <w:szCs w:val="24"/>
        </w:rPr>
        <w:t>2.5.2 合同履行期间，甲方有权将履行过程中出现的问题反馈给乙方，双方当事人应以书面形式约定需要完善和改进的内容</w:t>
      </w:r>
      <w:bookmarkEnd w:id="259"/>
      <w:bookmarkStart w:id="260" w:name="_Toc186431855"/>
      <w:r>
        <w:rPr>
          <w:rFonts w:hint="eastAsia" w:ascii="宋体" w:hAnsi="宋体" w:cs="宋体"/>
          <w:sz w:val="24"/>
          <w:szCs w:val="24"/>
        </w:rPr>
        <w:t>。</w:t>
      </w:r>
    </w:p>
    <w:bookmarkEnd w:id="260"/>
    <w:p w14:paraId="54719109">
      <w:pPr>
        <w:spacing w:line="440" w:lineRule="exact"/>
        <w:rPr>
          <w:rFonts w:hint="eastAsia" w:ascii="宋体" w:hAnsi="宋体" w:cs="宋体"/>
          <w:b/>
          <w:sz w:val="24"/>
          <w:szCs w:val="24"/>
        </w:rPr>
      </w:pPr>
      <w:bookmarkStart w:id="261" w:name="_Ref467379863"/>
      <w:bookmarkStart w:id="262" w:name="_Ref467379852"/>
      <w:bookmarkStart w:id="263" w:name="_Toc259093677"/>
      <w:bookmarkStart w:id="264" w:name="_Toc279701248"/>
      <w:bookmarkStart w:id="265" w:name="_Ref467379923"/>
      <w:bookmarkStart w:id="266" w:name="_Toc487900358"/>
      <w:bookmarkStart w:id="267" w:name="_Toc774"/>
      <w:bookmarkStart w:id="268" w:name="_Toc16110"/>
      <w:bookmarkStart w:id="269" w:name="_Toc3225"/>
      <w:r>
        <w:rPr>
          <w:rFonts w:hint="eastAsia" w:ascii="宋体" w:hAnsi="宋体" w:cs="宋体"/>
          <w:b/>
          <w:sz w:val="24"/>
          <w:szCs w:val="24"/>
        </w:rPr>
        <w:t>2.6 技术资料</w:t>
      </w:r>
      <w:bookmarkEnd w:id="261"/>
      <w:bookmarkEnd w:id="262"/>
      <w:bookmarkEnd w:id="263"/>
      <w:bookmarkEnd w:id="264"/>
      <w:bookmarkEnd w:id="265"/>
      <w:bookmarkEnd w:id="266"/>
      <w:r>
        <w:rPr>
          <w:rFonts w:hint="eastAsia" w:ascii="宋体" w:hAnsi="宋体" w:cs="宋体"/>
          <w:b/>
          <w:sz w:val="24"/>
          <w:szCs w:val="24"/>
        </w:rPr>
        <w:t>和保密义务</w:t>
      </w:r>
      <w:bookmarkEnd w:id="267"/>
      <w:bookmarkEnd w:id="268"/>
      <w:bookmarkEnd w:id="269"/>
    </w:p>
    <w:p w14:paraId="382791B4">
      <w:pPr>
        <w:spacing w:line="440" w:lineRule="exact"/>
        <w:ind w:firstLine="480" w:firstLineChars="200"/>
        <w:rPr>
          <w:rFonts w:hint="eastAsia" w:ascii="宋体" w:hAnsi="宋体" w:cs="宋体"/>
          <w:sz w:val="24"/>
          <w:szCs w:val="24"/>
        </w:rPr>
      </w:pPr>
      <w:r>
        <w:rPr>
          <w:rFonts w:hint="eastAsia" w:ascii="宋体" w:hAnsi="宋体" w:cs="宋体"/>
          <w:sz w:val="24"/>
          <w:szCs w:val="24"/>
        </w:rPr>
        <w:t>2.6.1 乙方有权依据合同约定和项目需要，向甲方了解有关情况，调阅有关资料等，甲方应予积极配合。</w:t>
      </w:r>
    </w:p>
    <w:p w14:paraId="43D4F406">
      <w:pPr>
        <w:spacing w:line="440" w:lineRule="exact"/>
        <w:ind w:firstLine="480" w:firstLineChars="200"/>
        <w:rPr>
          <w:rFonts w:hint="eastAsia" w:ascii="宋体" w:hAnsi="宋体" w:cs="宋体"/>
          <w:sz w:val="24"/>
          <w:szCs w:val="24"/>
        </w:rPr>
      </w:pPr>
      <w:r>
        <w:rPr>
          <w:rFonts w:hint="eastAsia" w:ascii="宋体" w:hAnsi="宋体" w:cs="宋体"/>
          <w:sz w:val="24"/>
          <w:szCs w:val="24"/>
        </w:rPr>
        <w:t>2.6.2 乙方有义务妥善保管和保护由甲方提供的前款信息和资料等。</w:t>
      </w:r>
    </w:p>
    <w:p w14:paraId="78323557">
      <w:pPr>
        <w:spacing w:line="440" w:lineRule="exact"/>
        <w:ind w:firstLine="480" w:firstLineChars="200"/>
        <w:rPr>
          <w:rFonts w:hint="eastAsia" w:ascii="宋体" w:hAnsi="宋体" w:cs="宋体"/>
          <w:sz w:val="24"/>
          <w:szCs w:val="24"/>
        </w:rPr>
      </w:pPr>
      <w:r>
        <w:rPr>
          <w:rFonts w:hint="eastAsia" w:ascii="宋体" w:hAnsi="宋体" w:cs="宋体"/>
          <w:sz w:val="24"/>
          <w:szCs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AC5B254">
      <w:pPr>
        <w:spacing w:line="440" w:lineRule="exact"/>
        <w:rPr>
          <w:rFonts w:hint="eastAsia" w:ascii="宋体" w:hAnsi="宋体" w:cs="宋体"/>
          <w:b/>
          <w:sz w:val="24"/>
          <w:szCs w:val="24"/>
        </w:rPr>
      </w:pPr>
      <w:r>
        <w:rPr>
          <w:rFonts w:hint="eastAsia" w:ascii="宋体" w:hAnsi="宋体" w:cs="宋体"/>
          <w:b/>
          <w:sz w:val="24"/>
          <w:szCs w:val="24"/>
        </w:rPr>
        <w:t>2.7 质量保证</w:t>
      </w:r>
    </w:p>
    <w:p w14:paraId="1E42CB5E">
      <w:pPr>
        <w:spacing w:line="440" w:lineRule="exact"/>
        <w:ind w:firstLine="480" w:firstLineChars="200"/>
        <w:rPr>
          <w:rFonts w:hint="eastAsia" w:ascii="宋体" w:hAnsi="宋体" w:cs="宋体"/>
          <w:sz w:val="24"/>
          <w:szCs w:val="24"/>
        </w:rPr>
      </w:pPr>
      <w:r>
        <w:rPr>
          <w:rFonts w:hint="eastAsia" w:ascii="宋体" w:hAnsi="宋体" w:cs="宋体"/>
          <w:sz w:val="24"/>
          <w:szCs w:val="24"/>
        </w:rPr>
        <w:t>2.7.1 乙方应建立和完善履行合同的内部质量保证体系，并提供相关内部规章制度给甲方，以便甲方进行监督检查。</w:t>
      </w:r>
    </w:p>
    <w:p w14:paraId="4298C109">
      <w:pPr>
        <w:spacing w:line="440" w:lineRule="exact"/>
        <w:ind w:firstLine="480" w:firstLineChars="200"/>
        <w:rPr>
          <w:rFonts w:hint="eastAsia" w:ascii="宋体" w:hAnsi="宋体" w:cs="宋体"/>
          <w:sz w:val="24"/>
          <w:szCs w:val="24"/>
        </w:rPr>
      </w:pPr>
      <w:r>
        <w:rPr>
          <w:rFonts w:hint="eastAsia" w:ascii="宋体" w:hAnsi="宋体" w:cs="宋体"/>
          <w:sz w:val="24"/>
          <w:szCs w:val="24"/>
        </w:rPr>
        <w:t>2.7.2 乙方应保证履行合同的人员数量和素质、软件和硬件设备的配置、场地、环境和设施等满足全面履行合同的要求，并应接受甲方的监督检查。</w:t>
      </w:r>
    </w:p>
    <w:p w14:paraId="4B25F2E9">
      <w:pPr>
        <w:spacing w:line="440" w:lineRule="exact"/>
        <w:ind w:firstLine="480" w:firstLineChars="200"/>
        <w:rPr>
          <w:rFonts w:hint="eastAsia" w:ascii="宋体" w:hAnsi="宋体" w:cs="宋体"/>
          <w:sz w:val="24"/>
          <w:szCs w:val="24"/>
        </w:rPr>
      </w:pPr>
      <w:r>
        <w:rPr>
          <w:rFonts w:hint="eastAsia" w:ascii="宋体" w:hAnsi="宋体" w:cs="宋体"/>
          <w:sz w:val="24"/>
          <w:szCs w:val="24"/>
        </w:rPr>
        <w:t>2.7.3</w:t>
      </w:r>
      <w:r>
        <w:rPr>
          <w:rFonts w:hint="eastAsia" w:ascii="宋体" w:hAnsi="宋体" w:cs="宋体"/>
          <w:bCs/>
          <w:sz w:val="24"/>
          <w:szCs w:val="24"/>
        </w:rPr>
        <w:t>其他</w:t>
      </w:r>
      <w:r>
        <w:rPr>
          <w:rFonts w:hint="eastAsia" w:ascii="宋体" w:hAnsi="宋体" w:cs="宋体"/>
          <w:sz w:val="24"/>
          <w:szCs w:val="24"/>
        </w:rPr>
        <w:t>各项服务承诺指标及所采取的措施符合“招标文件”要求及投标承诺。</w:t>
      </w:r>
    </w:p>
    <w:p w14:paraId="4E5CEB67">
      <w:pPr>
        <w:spacing w:line="420" w:lineRule="exact"/>
        <w:ind w:firstLine="480" w:firstLineChars="200"/>
        <w:rPr>
          <w:rFonts w:hint="eastAsia" w:ascii="宋体" w:hAnsi="宋体" w:cs="宋体"/>
          <w:sz w:val="24"/>
          <w:szCs w:val="24"/>
          <w:lang w:val="zh-CN"/>
        </w:rPr>
      </w:pPr>
      <w:r>
        <w:rPr>
          <w:rFonts w:hint="eastAsia" w:ascii="宋体" w:hAnsi="宋体" w:cs="宋体"/>
          <w:sz w:val="24"/>
          <w:szCs w:val="24"/>
        </w:rPr>
        <w:t>2.7.4</w:t>
      </w:r>
      <w:r>
        <w:rPr>
          <w:rFonts w:hint="eastAsia" w:ascii="宋体" w:hAnsi="宋体" w:cs="宋体"/>
          <w:sz w:val="24"/>
          <w:szCs w:val="24"/>
          <w:lang w:val="zh-CN"/>
        </w:rPr>
        <w:t>除合同特殊条款规定外，合同条款中标的物的质量保证期均自标的物通过最终验收之日起计算，且质量保证期不低于______年。</w:t>
      </w:r>
    </w:p>
    <w:p w14:paraId="67BAE855">
      <w:pPr>
        <w:spacing w:line="440" w:lineRule="exact"/>
        <w:ind w:firstLine="480" w:firstLineChars="200"/>
        <w:rPr>
          <w:rFonts w:hint="eastAsia" w:ascii="宋体" w:hAnsi="宋体" w:cs="宋体"/>
          <w:sz w:val="24"/>
          <w:szCs w:val="24"/>
        </w:rPr>
      </w:pPr>
      <w:r>
        <w:rPr>
          <w:rFonts w:hint="eastAsia" w:ascii="宋体" w:hAnsi="宋体" w:cs="宋体"/>
          <w:sz w:val="24"/>
          <w:szCs w:val="24"/>
        </w:rPr>
        <w:t>2.7.5乙方应在接到甲方通知后</w:t>
      </w:r>
      <w:r>
        <w:rPr>
          <w:rFonts w:hint="eastAsia" w:ascii="宋体" w:hAnsi="宋体" w:cs="宋体"/>
          <w:sz w:val="24"/>
          <w:szCs w:val="24"/>
          <w:u w:val="single"/>
        </w:rPr>
        <w:t xml:space="preserve">     </w:t>
      </w:r>
      <w:r>
        <w:rPr>
          <w:rFonts w:hint="eastAsia" w:ascii="宋体" w:hAnsi="宋体" w:cs="宋体"/>
          <w:sz w:val="24"/>
          <w:szCs w:val="24"/>
        </w:rPr>
        <w:t>小时内维修完毕使货物恢复正常使用或根据甲方要求免费更换新货物。</w:t>
      </w:r>
    </w:p>
    <w:p w14:paraId="642B1009">
      <w:pPr>
        <w:spacing w:line="440" w:lineRule="exact"/>
        <w:ind w:firstLine="480" w:firstLineChars="200"/>
        <w:rPr>
          <w:rFonts w:hint="eastAsia" w:ascii="宋体" w:hAnsi="宋体" w:cs="宋体"/>
          <w:sz w:val="24"/>
          <w:szCs w:val="24"/>
        </w:rPr>
      </w:pPr>
      <w:r>
        <w:rPr>
          <w:rFonts w:hint="eastAsia" w:ascii="宋体" w:hAnsi="宋体" w:cs="宋体"/>
          <w:sz w:val="24"/>
          <w:szCs w:val="24"/>
        </w:rPr>
        <w:t>报修电话：</w:t>
      </w:r>
      <w:r>
        <w:rPr>
          <w:rFonts w:hint="eastAsia" w:ascii="宋体" w:hAnsi="宋体" w:cs="宋体"/>
          <w:sz w:val="24"/>
          <w:szCs w:val="24"/>
          <w:u w:val="single"/>
        </w:rPr>
        <w:t xml:space="preserve">                </w:t>
      </w:r>
      <w:r>
        <w:rPr>
          <w:rFonts w:hint="eastAsia" w:ascii="宋体" w:hAnsi="宋体" w:cs="宋体"/>
          <w:sz w:val="24"/>
          <w:szCs w:val="24"/>
        </w:rPr>
        <w:t>传真号码：</w:t>
      </w:r>
      <w:r>
        <w:rPr>
          <w:rFonts w:hint="eastAsia" w:ascii="宋体" w:hAnsi="宋体" w:cs="宋体"/>
          <w:sz w:val="24"/>
          <w:szCs w:val="24"/>
          <w:u w:val="single"/>
        </w:rPr>
        <w:t xml:space="preserve">             </w:t>
      </w:r>
      <w:r>
        <w:rPr>
          <w:rFonts w:hint="eastAsia" w:ascii="宋体" w:hAnsi="宋体" w:cs="宋体"/>
          <w:sz w:val="24"/>
          <w:szCs w:val="24"/>
        </w:rPr>
        <w:t>联 系 人：</w:t>
      </w:r>
      <w:r>
        <w:rPr>
          <w:rFonts w:hint="eastAsia" w:ascii="宋体" w:hAnsi="宋体" w:cs="宋体"/>
          <w:sz w:val="24"/>
          <w:szCs w:val="24"/>
          <w:u w:val="single"/>
        </w:rPr>
        <w:t xml:space="preserve">                 </w:t>
      </w:r>
    </w:p>
    <w:p w14:paraId="620D928F">
      <w:pPr>
        <w:spacing w:line="440" w:lineRule="exact"/>
        <w:ind w:firstLine="480" w:firstLineChars="200"/>
        <w:rPr>
          <w:rFonts w:hint="eastAsia" w:ascii="宋体" w:hAnsi="宋体" w:cs="宋体"/>
          <w:sz w:val="24"/>
          <w:szCs w:val="24"/>
        </w:rPr>
      </w:pPr>
      <w:r>
        <w:rPr>
          <w:rFonts w:hint="eastAsia" w:ascii="宋体" w:hAnsi="宋体" w:cs="宋体"/>
          <w:sz w:val="24"/>
          <w:szCs w:val="24"/>
        </w:rPr>
        <w:t>2.7.6免费保修期内，乙方免收甲方所有费用，包括但不限于零部件费用、人工费、交通费、住宿费等。</w:t>
      </w:r>
    </w:p>
    <w:p w14:paraId="24A2B9F7">
      <w:pPr>
        <w:spacing w:line="440" w:lineRule="exact"/>
        <w:ind w:firstLine="480" w:firstLineChars="200"/>
        <w:rPr>
          <w:rFonts w:hint="eastAsia" w:ascii="宋体" w:hAnsi="宋体" w:cs="宋体"/>
          <w:sz w:val="24"/>
          <w:szCs w:val="24"/>
        </w:rPr>
      </w:pPr>
      <w:r>
        <w:rPr>
          <w:rFonts w:hint="eastAsia" w:ascii="宋体" w:hAnsi="宋体" w:cs="宋体"/>
          <w:sz w:val="24"/>
          <w:szCs w:val="24"/>
        </w:rPr>
        <w:t>2.7.7若在免费保修期内，乙方拒绝维修或迟延维修的，甲方有权自行或委托第三方维修，因此产生的所有费用由乙方承担。</w:t>
      </w:r>
    </w:p>
    <w:p w14:paraId="690606B0">
      <w:pPr>
        <w:spacing w:line="420" w:lineRule="exact"/>
        <w:ind w:firstLine="480" w:firstLineChars="200"/>
        <w:rPr>
          <w:rFonts w:hint="eastAsia" w:ascii="宋体" w:hAnsi="宋体" w:cs="宋体"/>
          <w:sz w:val="24"/>
          <w:szCs w:val="24"/>
        </w:rPr>
      </w:pPr>
      <w:r>
        <w:rPr>
          <w:rFonts w:hint="eastAsia" w:ascii="宋体" w:hAnsi="宋体" w:cs="宋体"/>
          <w:sz w:val="24"/>
          <w:szCs w:val="24"/>
        </w:rPr>
        <w:t>2.7.8免费保修期满后，若甲方要求乙方提供维修的，甲方承担维修所需更换零部件/配件费用，乙方同意按成本价收费。</w:t>
      </w:r>
    </w:p>
    <w:p w14:paraId="3DC447D1">
      <w:pPr>
        <w:spacing w:line="440" w:lineRule="exact"/>
        <w:rPr>
          <w:rFonts w:hint="eastAsia" w:ascii="宋体" w:hAnsi="宋体" w:cs="宋体"/>
          <w:b/>
          <w:sz w:val="24"/>
          <w:szCs w:val="24"/>
        </w:rPr>
      </w:pPr>
      <w:bookmarkStart w:id="270" w:name="_Toc17244"/>
      <w:r>
        <w:rPr>
          <w:rFonts w:hint="eastAsia" w:ascii="宋体" w:hAnsi="宋体" w:cs="宋体"/>
          <w:b/>
          <w:sz w:val="24"/>
          <w:szCs w:val="24"/>
        </w:rPr>
        <w:t>2.8 货物的风险负担</w:t>
      </w:r>
      <w:bookmarkEnd w:id="270"/>
    </w:p>
    <w:p w14:paraId="3B36CA04">
      <w:pPr>
        <w:spacing w:line="440" w:lineRule="exact"/>
        <w:ind w:firstLine="480" w:firstLineChars="200"/>
        <w:rPr>
          <w:rFonts w:hint="eastAsia" w:ascii="宋体" w:hAnsi="宋体" w:cs="宋体"/>
          <w:sz w:val="24"/>
          <w:szCs w:val="24"/>
        </w:rPr>
      </w:pPr>
      <w:r>
        <w:rPr>
          <w:rFonts w:hint="eastAsia" w:ascii="宋体" w:hAnsi="宋体" w:cs="宋体"/>
          <w:sz w:val="24"/>
          <w:szCs w:val="24"/>
        </w:rPr>
        <w:t>货物或者在途货物或者交付给第一承运人后的货物毁损、灭失的风险负担由乙方承担。</w:t>
      </w:r>
    </w:p>
    <w:p w14:paraId="3251EF1A">
      <w:pPr>
        <w:spacing w:line="440" w:lineRule="exact"/>
        <w:rPr>
          <w:rFonts w:hint="eastAsia" w:ascii="宋体" w:hAnsi="宋体" w:cs="宋体"/>
          <w:b/>
          <w:sz w:val="24"/>
          <w:szCs w:val="24"/>
        </w:rPr>
      </w:pPr>
      <w:bookmarkStart w:id="271" w:name="_Toc14055"/>
      <w:r>
        <w:rPr>
          <w:rFonts w:hint="eastAsia" w:ascii="宋体" w:hAnsi="宋体" w:cs="宋体"/>
          <w:b/>
          <w:sz w:val="24"/>
          <w:szCs w:val="24"/>
        </w:rPr>
        <w:t>2.9 延迟交货</w:t>
      </w:r>
      <w:bookmarkEnd w:id="271"/>
    </w:p>
    <w:p w14:paraId="1425B489">
      <w:pPr>
        <w:spacing w:line="440" w:lineRule="exact"/>
        <w:ind w:firstLine="480" w:firstLineChars="200"/>
        <w:rPr>
          <w:rFonts w:hint="eastAsia" w:ascii="宋体" w:hAnsi="宋体" w:cs="宋体"/>
          <w:sz w:val="24"/>
          <w:szCs w:val="24"/>
        </w:rPr>
      </w:pPr>
      <w:r>
        <w:rPr>
          <w:rFonts w:hint="eastAsia" w:ascii="宋体" w:hAnsi="宋体" w:cs="宋体"/>
          <w:sz w:val="24"/>
          <w:szCs w:val="24"/>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14:paraId="3468C025">
      <w:pPr>
        <w:spacing w:line="440" w:lineRule="exact"/>
        <w:rPr>
          <w:rFonts w:hint="eastAsia" w:ascii="宋体" w:hAnsi="宋体" w:cs="宋体"/>
          <w:b/>
          <w:sz w:val="24"/>
          <w:szCs w:val="24"/>
        </w:rPr>
      </w:pPr>
      <w:bookmarkStart w:id="272" w:name="_Toc7502"/>
      <w:r>
        <w:rPr>
          <w:rFonts w:hint="eastAsia" w:ascii="宋体" w:hAnsi="宋体" w:cs="宋体"/>
          <w:b/>
          <w:sz w:val="24"/>
          <w:szCs w:val="24"/>
        </w:rPr>
        <w:t>2.10 合同变更</w:t>
      </w:r>
      <w:bookmarkEnd w:id="272"/>
    </w:p>
    <w:p w14:paraId="5E3E778E">
      <w:pPr>
        <w:spacing w:line="440" w:lineRule="exact"/>
        <w:ind w:firstLine="480" w:firstLineChars="200"/>
        <w:rPr>
          <w:rFonts w:hint="eastAsia" w:ascii="宋体" w:hAnsi="宋体" w:cs="宋体"/>
          <w:sz w:val="24"/>
          <w:szCs w:val="24"/>
        </w:rPr>
      </w:pPr>
      <w:r>
        <w:rPr>
          <w:rFonts w:hint="eastAsia" w:ascii="宋体" w:hAnsi="宋体" w:cs="宋体"/>
          <w:sz w:val="24"/>
          <w:szCs w:val="24"/>
        </w:rPr>
        <w:t>2.10.1双方当事人协商一致，可以签订书面补充合同的形式变更合同，但不得违背采购文件确定的事项，且如果系追加与合同标的相同的货物的，那么所有补充合同的采购金额不得超过原合同价的10%。</w:t>
      </w:r>
    </w:p>
    <w:p w14:paraId="3BD4BA54">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2.10.2 </w:t>
      </w:r>
      <w:r>
        <w:rPr>
          <w:rFonts w:hint="eastAsia" w:ascii="宋体" w:hAnsi="宋体" w:cs="宋体"/>
          <w:bCs/>
          <w:sz w:val="24"/>
          <w:szCs w:val="24"/>
        </w:rPr>
        <w:t>合同继续履行将损害国家利益和社会公共利益的，甲方有权变更合同。有过错的一方应当承担赔偿责任，双方当事人都有过错的，各自承担相应的责任</w:t>
      </w:r>
      <w:r>
        <w:rPr>
          <w:rFonts w:hint="eastAsia" w:ascii="宋体" w:hAnsi="宋体" w:cs="宋体"/>
          <w:sz w:val="24"/>
          <w:szCs w:val="24"/>
        </w:rPr>
        <w:t>。</w:t>
      </w:r>
    </w:p>
    <w:p w14:paraId="0EEC798F">
      <w:pPr>
        <w:spacing w:line="440" w:lineRule="exact"/>
        <w:rPr>
          <w:rFonts w:hint="eastAsia" w:ascii="宋体" w:hAnsi="宋体" w:cs="宋体"/>
          <w:b/>
          <w:sz w:val="24"/>
          <w:szCs w:val="24"/>
        </w:rPr>
      </w:pPr>
      <w:bookmarkStart w:id="273" w:name="_Toc10366"/>
      <w:bookmarkStart w:id="274" w:name="_Toc15237"/>
      <w:bookmarkStart w:id="275" w:name="_Toc22955"/>
      <w:r>
        <w:rPr>
          <w:rFonts w:hint="eastAsia" w:ascii="宋体" w:hAnsi="宋体" w:cs="宋体"/>
          <w:b/>
          <w:sz w:val="24"/>
          <w:szCs w:val="24"/>
        </w:rPr>
        <w:t>2.11 合同转让和分包</w:t>
      </w:r>
      <w:bookmarkEnd w:id="273"/>
      <w:bookmarkEnd w:id="274"/>
      <w:bookmarkEnd w:id="275"/>
    </w:p>
    <w:p w14:paraId="007A8A94">
      <w:pPr>
        <w:spacing w:line="440" w:lineRule="exact"/>
        <w:ind w:firstLine="480" w:firstLineChars="200"/>
        <w:rPr>
          <w:rFonts w:hint="eastAsia" w:ascii="宋体" w:hAnsi="宋体" w:cs="宋体"/>
          <w:sz w:val="24"/>
          <w:szCs w:val="24"/>
        </w:rPr>
      </w:pPr>
      <w:r>
        <w:rPr>
          <w:rFonts w:hint="eastAsia" w:ascii="宋体" w:hAnsi="宋体" w:cs="宋体"/>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717C2DB">
      <w:pPr>
        <w:spacing w:line="440" w:lineRule="exact"/>
        <w:rPr>
          <w:rFonts w:hint="eastAsia" w:ascii="宋体" w:hAnsi="宋体" w:cs="宋体"/>
          <w:b/>
          <w:sz w:val="24"/>
          <w:szCs w:val="24"/>
        </w:rPr>
      </w:pPr>
      <w:bookmarkStart w:id="276" w:name="_Toc26633"/>
      <w:bookmarkStart w:id="277" w:name="_Toc4720"/>
      <w:bookmarkStart w:id="278" w:name="_Toc25571"/>
      <w:bookmarkStart w:id="279" w:name="_Toc14371"/>
      <w:bookmarkStart w:id="280" w:name="_Toc32494"/>
      <w:r>
        <w:rPr>
          <w:rFonts w:hint="eastAsia" w:ascii="宋体" w:hAnsi="宋体" w:cs="宋体"/>
          <w:b/>
          <w:sz w:val="24"/>
          <w:szCs w:val="24"/>
        </w:rPr>
        <w:t>2.12 不可抗力</w:t>
      </w:r>
      <w:bookmarkEnd w:id="276"/>
      <w:bookmarkEnd w:id="277"/>
      <w:bookmarkEnd w:id="278"/>
      <w:bookmarkEnd w:id="279"/>
      <w:bookmarkEnd w:id="280"/>
    </w:p>
    <w:p w14:paraId="4F5715C9">
      <w:pPr>
        <w:spacing w:line="440" w:lineRule="exact"/>
        <w:ind w:firstLine="480" w:firstLineChars="200"/>
        <w:rPr>
          <w:rFonts w:hint="eastAsia" w:ascii="宋体" w:hAnsi="宋体" w:cs="宋体"/>
          <w:sz w:val="24"/>
          <w:szCs w:val="24"/>
        </w:rPr>
      </w:pPr>
      <w:r>
        <w:rPr>
          <w:rFonts w:hint="eastAsia" w:ascii="宋体" w:hAnsi="宋体" w:cs="宋体"/>
          <w:sz w:val="24"/>
          <w:szCs w:val="24"/>
        </w:rPr>
        <w:t>2.12.1如果任何一方遭遇法律规定的不可抗力，致使合同履行受阻时，履行合同的期限应予延长，延长的期限应相当于不可抗力所影响的时间。</w:t>
      </w:r>
    </w:p>
    <w:p w14:paraId="25FC7104">
      <w:pPr>
        <w:spacing w:line="440" w:lineRule="exact"/>
        <w:ind w:firstLine="480" w:firstLineChars="200"/>
        <w:rPr>
          <w:rFonts w:hint="eastAsia" w:ascii="宋体" w:hAnsi="宋体" w:cs="宋体"/>
          <w:sz w:val="24"/>
          <w:szCs w:val="24"/>
        </w:rPr>
      </w:pPr>
      <w:r>
        <w:rPr>
          <w:rFonts w:hint="eastAsia" w:ascii="宋体" w:hAnsi="宋体" w:cs="宋体"/>
          <w:sz w:val="24"/>
          <w:szCs w:val="24"/>
        </w:rPr>
        <w:t>2.12.2 因不可抗力致使不能实现合同目的的，当事人可以解除合同。</w:t>
      </w:r>
    </w:p>
    <w:p w14:paraId="4C4A53A5">
      <w:pPr>
        <w:spacing w:line="440" w:lineRule="exact"/>
        <w:ind w:firstLine="480" w:firstLineChars="200"/>
        <w:rPr>
          <w:rFonts w:hint="eastAsia" w:ascii="宋体" w:hAnsi="宋体" w:cs="宋体"/>
          <w:sz w:val="24"/>
          <w:szCs w:val="24"/>
        </w:rPr>
      </w:pPr>
      <w:r>
        <w:rPr>
          <w:rFonts w:hint="eastAsia" w:ascii="宋体" w:hAnsi="宋体" w:cs="宋体"/>
          <w:sz w:val="24"/>
          <w:szCs w:val="24"/>
        </w:rPr>
        <w:t>2.12.3 因不可抗力致使合同有变更必要的，双方当事人应在</w:t>
      </w:r>
      <w:r>
        <w:rPr>
          <w:rFonts w:hint="eastAsia" w:ascii="宋体" w:hAnsi="宋体" w:cs="宋体"/>
          <w:b/>
          <w:i/>
          <w:sz w:val="24"/>
          <w:szCs w:val="24"/>
          <w:u w:val="single"/>
        </w:rPr>
        <w:t>7个工作日内</w:t>
      </w:r>
      <w:r>
        <w:rPr>
          <w:rFonts w:hint="eastAsia" w:ascii="宋体" w:hAnsi="宋体" w:cs="宋体"/>
          <w:sz w:val="24"/>
          <w:szCs w:val="24"/>
        </w:rPr>
        <w:t>以书面形式变更合同。</w:t>
      </w:r>
    </w:p>
    <w:p w14:paraId="305C2621">
      <w:pPr>
        <w:spacing w:line="440" w:lineRule="exact"/>
        <w:ind w:firstLine="480" w:firstLineChars="200"/>
        <w:rPr>
          <w:rFonts w:hint="eastAsia" w:ascii="宋体" w:hAnsi="宋体" w:cs="宋体"/>
          <w:sz w:val="24"/>
          <w:szCs w:val="24"/>
        </w:rPr>
      </w:pPr>
      <w:r>
        <w:rPr>
          <w:rFonts w:hint="eastAsia" w:ascii="宋体" w:hAnsi="宋体" w:cs="宋体"/>
          <w:sz w:val="24"/>
          <w:szCs w:val="24"/>
        </w:rPr>
        <w:t>2.12.4受不可抗力影响的一方在不可抗力发生后，应在</w:t>
      </w:r>
      <w:r>
        <w:rPr>
          <w:rFonts w:hint="eastAsia" w:ascii="宋体" w:hAnsi="宋体" w:cs="宋体"/>
          <w:b/>
          <w:i/>
          <w:sz w:val="24"/>
          <w:szCs w:val="24"/>
          <w:u w:val="single"/>
        </w:rPr>
        <w:t>7个工作日</w:t>
      </w:r>
      <w:r>
        <w:rPr>
          <w:rFonts w:hint="eastAsia" w:ascii="宋体" w:hAnsi="宋体" w:cs="宋体"/>
          <w:sz w:val="24"/>
          <w:szCs w:val="24"/>
        </w:rPr>
        <w:t>内以书面形式通知对方当事人，并在</w:t>
      </w:r>
      <w:r>
        <w:rPr>
          <w:rFonts w:hint="eastAsia" w:ascii="宋体" w:hAnsi="宋体" w:cs="宋体"/>
          <w:b/>
          <w:i/>
          <w:sz w:val="24"/>
          <w:szCs w:val="24"/>
          <w:u w:val="single"/>
        </w:rPr>
        <w:t>7个工作日</w:t>
      </w:r>
      <w:r>
        <w:rPr>
          <w:rFonts w:hint="eastAsia" w:ascii="宋体" w:hAnsi="宋体" w:cs="宋体"/>
          <w:sz w:val="24"/>
          <w:szCs w:val="24"/>
        </w:rPr>
        <w:t>内，将有关部门出具的证明文件送达对方当事人。</w:t>
      </w:r>
      <w:bookmarkStart w:id="281" w:name="_Toc487900365"/>
      <w:bookmarkStart w:id="282" w:name="_Toc30676"/>
      <w:bookmarkStart w:id="283" w:name="_Toc279701255"/>
      <w:bookmarkStart w:id="284" w:name="_Toc689"/>
      <w:bookmarkStart w:id="285" w:name="_Toc6969"/>
      <w:bookmarkStart w:id="286" w:name="_Toc259093684"/>
    </w:p>
    <w:p w14:paraId="65E00733">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2.12.5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p>
    <w:p w14:paraId="468BF05B">
      <w:pPr>
        <w:spacing w:line="440" w:lineRule="exact"/>
        <w:ind w:firstLine="480" w:firstLineChars="200"/>
        <w:rPr>
          <w:rFonts w:hint="eastAsia" w:ascii="宋体" w:hAnsi="宋体" w:cs="宋体"/>
          <w:sz w:val="24"/>
          <w:szCs w:val="24"/>
        </w:rPr>
      </w:pPr>
      <w:r>
        <w:rPr>
          <w:rFonts w:hint="eastAsia" w:ascii="宋体" w:hAnsi="宋体" w:cs="宋体"/>
          <w:sz w:val="24"/>
          <w:szCs w:val="24"/>
        </w:rPr>
        <w:t>2.12.6 发生不可抗力事件，任何一方均不对因不可抗力无法履行或迟延履行本合同义务而使另一方蒙 受的任何损失承担责任，法律另有规定的除外。</w:t>
      </w:r>
    </w:p>
    <w:p w14:paraId="247F01E9">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2.12.7 合同各方应根据不可抗力对本合同履行的影响程度，协商确定是否终止本合同或是继续履行本 合同。</w:t>
      </w:r>
    </w:p>
    <w:p w14:paraId="312B2263">
      <w:pPr>
        <w:spacing w:line="440" w:lineRule="exact"/>
        <w:rPr>
          <w:rFonts w:hint="eastAsia" w:ascii="宋体" w:hAnsi="宋体" w:cs="宋体"/>
          <w:b/>
          <w:sz w:val="24"/>
          <w:szCs w:val="24"/>
        </w:rPr>
      </w:pPr>
      <w:r>
        <w:rPr>
          <w:rFonts w:hint="eastAsia" w:ascii="宋体" w:hAnsi="宋体" w:cs="宋体"/>
          <w:b/>
          <w:sz w:val="24"/>
          <w:szCs w:val="24"/>
        </w:rPr>
        <w:t>2.13 税费</w:t>
      </w:r>
      <w:bookmarkEnd w:id="281"/>
      <w:bookmarkEnd w:id="282"/>
      <w:bookmarkEnd w:id="283"/>
      <w:bookmarkEnd w:id="284"/>
      <w:bookmarkEnd w:id="285"/>
      <w:bookmarkEnd w:id="286"/>
    </w:p>
    <w:p w14:paraId="1612110A">
      <w:pPr>
        <w:spacing w:line="440" w:lineRule="exact"/>
        <w:ind w:firstLine="480" w:firstLineChars="200"/>
        <w:rPr>
          <w:rFonts w:hint="eastAsia" w:ascii="宋体" w:hAnsi="宋体" w:cs="宋体"/>
          <w:sz w:val="24"/>
          <w:szCs w:val="24"/>
        </w:rPr>
      </w:pPr>
      <w:r>
        <w:rPr>
          <w:rFonts w:hint="eastAsia" w:ascii="宋体" w:hAnsi="宋体" w:cs="宋体"/>
          <w:sz w:val="24"/>
          <w:szCs w:val="24"/>
        </w:rPr>
        <w:t>与合同有关的一切税费，均按照中华人民共和国法律的相关规定。</w:t>
      </w:r>
    </w:p>
    <w:p w14:paraId="63741298">
      <w:pPr>
        <w:spacing w:line="440" w:lineRule="exact"/>
        <w:rPr>
          <w:rFonts w:hint="eastAsia" w:ascii="宋体" w:hAnsi="宋体" w:cs="宋体"/>
          <w:b/>
          <w:sz w:val="24"/>
          <w:szCs w:val="24"/>
        </w:rPr>
      </w:pPr>
      <w:bookmarkStart w:id="287" w:name="_Toc8298"/>
      <w:bookmarkStart w:id="288" w:name="_Toc7102"/>
      <w:bookmarkStart w:id="289" w:name="_Toc487900368"/>
      <w:bookmarkStart w:id="290" w:name="_Toc16959"/>
      <w:bookmarkStart w:id="291" w:name="_Toc279701258"/>
      <w:bookmarkStart w:id="292" w:name="_Toc259093687"/>
      <w:r>
        <w:rPr>
          <w:rFonts w:hint="eastAsia" w:ascii="宋体" w:hAnsi="宋体" w:cs="宋体"/>
          <w:b/>
          <w:sz w:val="24"/>
          <w:szCs w:val="24"/>
        </w:rPr>
        <w:t>2.14 乙方破产</w:t>
      </w:r>
      <w:bookmarkEnd w:id="287"/>
      <w:bookmarkEnd w:id="288"/>
      <w:bookmarkEnd w:id="289"/>
      <w:bookmarkEnd w:id="290"/>
      <w:bookmarkEnd w:id="291"/>
      <w:bookmarkEnd w:id="292"/>
    </w:p>
    <w:p w14:paraId="3A0B2EE0">
      <w:pPr>
        <w:spacing w:line="440" w:lineRule="exact"/>
        <w:ind w:firstLine="480" w:firstLineChars="200"/>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1CF603C">
      <w:pPr>
        <w:spacing w:line="440" w:lineRule="exact"/>
        <w:rPr>
          <w:rFonts w:hint="eastAsia" w:ascii="宋体" w:hAnsi="宋体" w:cs="宋体"/>
          <w:b/>
          <w:sz w:val="24"/>
          <w:szCs w:val="24"/>
        </w:rPr>
      </w:pPr>
      <w:bookmarkStart w:id="293" w:name="_Toc6134"/>
      <w:bookmarkStart w:id="294" w:name="_Toc29333"/>
      <w:bookmarkStart w:id="295" w:name="_Toc15387"/>
      <w:r>
        <w:rPr>
          <w:rFonts w:hint="eastAsia" w:ascii="宋体" w:hAnsi="宋体" w:cs="宋体"/>
          <w:b/>
          <w:sz w:val="24"/>
          <w:szCs w:val="24"/>
        </w:rPr>
        <w:t>2.15 合同中止、终止</w:t>
      </w:r>
      <w:bookmarkEnd w:id="293"/>
      <w:bookmarkEnd w:id="294"/>
      <w:bookmarkEnd w:id="295"/>
    </w:p>
    <w:p w14:paraId="0B39E2E2">
      <w:pPr>
        <w:spacing w:line="440" w:lineRule="exact"/>
        <w:ind w:firstLine="480" w:firstLineChars="200"/>
        <w:rPr>
          <w:rFonts w:hint="eastAsia" w:ascii="宋体" w:hAnsi="宋体" w:cs="宋体"/>
          <w:sz w:val="24"/>
          <w:szCs w:val="24"/>
        </w:rPr>
      </w:pPr>
      <w:r>
        <w:rPr>
          <w:rFonts w:hint="eastAsia" w:ascii="宋体" w:hAnsi="宋体" w:cs="宋体"/>
          <w:sz w:val="24"/>
          <w:szCs w:val="24"/>
        </w:rPr>
        <w:t>2.15.1 双方当事人不得擅自中止或者终止合同。</w:t>
      </w:r>
    </w:p>
    <w:p w14:paraId="3D555887">
      <w:pPr>
        <w:spacing w:line="440" w:lineRule="exact"/>
        <w:ind w:firstLine="480" w:firstLineChars="200"/>
        <w:rPr>
          <w:rFonts w:hint="eastAsia" w:ascii="宋体" w:hAnsi="宋体" w:cs="宋体"/>
          <w:sz w:val="24"/>
          <w:szCs w:val="24"/>
        </w:rPr>
      </w:pPr>
      <w:r>
        <w:rPr>
          <w:rFonts w:hint="eastAsia" w:ascii="宋体" w:hAnsi="宋体" w:cs="宋体"/>
          <w:sz w:val="24"/>
          <w:szCs w:val="24"/>
        </w:rPr>
        <w:t>2.15.2</w:t>
      </w:r>
      <w:r>
        <w:rPr>
          <w:rFonts w:hint="eastAsia" w:ascii="宋体" w:hAnsi="宋体" w:cs="宋体"/>
          <w:bCs/>
          <w:sz w:val="24"/>
          <w:szCs w:val="24"/>
        </w:rPr>
        <w:t>合同继续履行将损害国家利益和社会公共利益的，甲方有权中止或者终止、解除合同。有过错的一方应当承担赔偿责任，双方当事人都有过错的，各自承担相应的责任</w:t>
      </w:r>
      <w:r>
        <w:rPr>
          <w:rFonts w:hint="eastAsia" w:ascii="宋体" w:hAnsi="宋体" w:cs="宋体"/>
          <w:sz w:val="24"/>
          <w:szCs w:val="24"/>
        </w:rPr>
        <w:t>。</w:t>
      </w:r>
    </w:p>
    <w:p w14:paraId="4A1A8BE2">
      <w:pPr>
        <w:spacing w:line="440" w:lineRule="exact"/>
        <w:rPr>
          <w:rFonts w:hint="eastAsia" w:ascii="宋体" w:hAnsi="宋体" w:cs="宋体"/>
          <w:b/>
          <w:sz w:val="24"/>
          <w:szCs w:val="24"/>
        </w:rPr>
      </w:pPr>
      <w:bookmarkStart w:id="296" w:name="_Toc14563"/>
      <w:bookmarkStart w:id="297" w:name="_Toc6596"/>
      <w:bookmarkStart w:id="298" w:name="_Toc1125"/>
      <w:r>
        <w:rPr>
          <w:rFonts w:hint="eastAsia" w:ascii="宋体" w:hAnsi="宋体" w:cs="宋体"/>
          <w:b/>
          <w:sz w:val="24"/>
          <w:szCs w:val="24"/>
        </w:rPr>
        <w:t>2.16 检验和验收</w:t>
      </w:r>
      <w:bookmarkEnd w:id="296"/>
      <w:bookmarkEnd w:id="297"/>
      <w:bookmarkEnd w:id="298"/>
    </w:p>
    <w:p w14:paraId="0B3408D2">
      <w:pPr>
        <w:spacing w:line="440" w:lineRule="exact"/>
        <w:ind w:firstLine="480" w:firstLineChars="200"/>
        <w:rPr>
          <w:rFonts w:hint="eastAsia" w:ascii="宋体" w:hAnsi="宋体" w:cs="宋体"/>
          <w:sz w:val="24"/>
          <w:szCs w:val="24"/>
        </w:rPr>
      </w:pPr>
      <w:bookmarkStart w:id="299" w:name="_Toc259093690"/>
      <w:bookmarkStart w:id="300" w:name="_Toc279701261"/>
      <w:bookmarkStart w:id="301" w:name="_Toc487900371"/>
      <w:bookmarkStart w:id="302" w:name="_Toc2308"/>
      <w:bookmarkStart w:id="303" w:name="_Toc31892"/>
      <w:bookmarkStart w:id="304" w:name="_Toc12666"/>
      <w:bookmarkStart w:id="305" w:name="_Toc25198"/>
      <w:bookmarkStart w:id="306" w:name="_Toc9808"/>
      <w:r>
        <w:rPr>
          <w:rFonts w:hint="eastAsia" w:ascii="宋体" w:hAnsi="宋体" w:cs="宋体"/>
          <w:sz w:val="24"/>
          <w:szCs w:val="24"/>
        </w:rPr>
        <w:t>2.16.1 交付前验收 货物交付前，乙方应对货物的质量、数量等方面进行详细、全面的检验，并向甲方出具证明货物符合 合同约定的文件；</w:t>
      </w:r>
    </w:p>
    <w:p w14:paraId="2CE65508">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2.16.2 到货验收</w:t>
      </w:r>
    </w:p>
    <w:p w14:paraId="4F0D426A">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①货物全部到达甲方指定地点后，甲乙双方应派员共同对货物当场开箱验收，如乙方不能按时到达现 场又无电函通知的，甲方有权开箱检验。货物交付时，乙方在甲乙双方约定时间内组织验收，并可依法邀 请相关方参加，验收应出具验收书。 </w:t>
      </w:r>
    </w:p>
    <w:p w14:paraId="28084250">
      <w:pPr>
        <w:spacing w:line="440" w:lineRule="exact"/>
        <w:ind w:firstLine="480" w:firstLineChars="200"/>
        <w:rPr>
          <w:rFonts w:hint="eastAsia" w:ascii="宋体" w:hAnsi="宋体" w:cs="宋体"/>
          <w:sz w:val="24"/>
          <w:szCs w:val="24"/>
        </w:rPr>
      </w:pPr>
      <w:r>
        <w:rPr>
          <w:rFonts w:hint="eastAsia" w:ascii="宋体" w:hAnsi="宋体" w:cs="宋体"/>
          <w:sz w:val="24"/>
          <w:szCs w:val="24"/>
        </w:rPr>
        <w:t>②乙方交付的货物应当完全符合本合同及招投标文件所规定的货物、数量和规格要求。乙方提供的货 物不符合合同及招投标文件规定及甲方要求的，甲方有权拒收货物，并由乙方承担相应的违约责任。</w:t>
      </w:r>
    </w:p>
    <w:p w14:paraId="2C88B65C">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③乙方应将所提供货物的装箱清单、用户手册、原厂保修卡、随机资料及配件、随机工具、质量合格 凭证、有效进口证明文件等交付给甲方；乙方不能完整交付上述规定的资料和工具的，视为未按合同约定 交货，乙方负责补齐，因此导致逾期交付的，由乙方承担相应的违约责任。</w:t>
      </w:r>
    </w:p>
    <w:p w14:paraId="307935FC">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④甲方有关货物质量、规格、性能、数量或重量的检验不应视为最终检验。 </w:t>
      </w:r>
    </w:p>
    <w:p w14:paraId="5FD98A4C">
      <w:pPr>
        <w:spacing w:line="440" w:lineRule="exact"/>
        <w:ind w:firstLine="480" w:firstLineChars="200"/>
        <w:rPr>
          <w:rFonts w:hint="eastAsia" w:ascii="宋体" w:hAnsi="宋体" w:cs="宋体"/>
          <w:sz w:val="24"/>
          <w:szCs w:val="24"/>
        </w:rPr>
      </w:pPr>
      <w:r>
        <w:rPr>
          <w:rFonts w:hint="eastAsia" w:ascii="宋体" w:hAnsi="宋体" w:cs="宋体"/>
          <w:sz w:val="24"/>
          <w:szCs w:val="24"/>
        </w:rPr>
        <w:t>2.16.3 最终验收</w:t>
      </w:r>
    </w:p>
    <w:p w14:paraId="16AF1CA3">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①货物安装调试结束并取得质量监督部门验收合格证后，乙方应先用书面、电传等方式通告甲方及时对项目进行最终验收，甲方有权依法邀请国家认可的质量检测机构参加交付验收。即：按照合同约定的技 术、服务、安全标准，组织对每一项技术、服务、安全标准的履约情况的验收，验收合格的，由甲方签署 验收单并加盖单位公章。检验和验收标准、程序等具体内容以及前述验收书的效力由甲乙双方约定。</w:t>
      </w:r>
    </w:p>
    <w:p w14:paraId="134A32E3">
      <w:pPr>
        <w:spacing w:line="440" w:lineRule="exact"/>
        <w:ind w:firstLine="480" w:firstLineChars="200"/>
        <w:rPr>
          <w:rFonts w:hint="eastAsia" w:ascii="宋体" w:hAnsi="宋体" w:cs="宋体"/>
          <w:sz w:val="24"/>
          <w:szCs w:val="24"/>
        </w:rPr>
      </w:pPr>
      <w:r>
        <w:rPr>
          <w:rFonts w:hint="eastAsia" w:ascii="宋体" w:hAnsi="宋体" w:cs="宋体"/>
          <w:sz w:val="24"/>
          <w:szCs w:val="24"/>
        </w:rPr>
        <w:t>②设备验收包括：数量、外观、质量、性能、质保单、包装和乙方承诺及甲方要求的其它指标。</w:t>
      </w:r>
    </w:p>
    <w:p w14:paraId="73E01564">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③如验收不合格或在质量保证期内发现货物是不合格的，包括货物有明显的或潜在的缺陷、使用不符 合要求的材料、运行效果达不到要求等，甲方有权提出书面异议，甲方向乙方提出书面异议后，乙方应在 甲方书面异议中限定的时间内根据甲方的要求进行调换或采取其他甲方同意的补救措施。由此产生的一切 费用包括但不限于拆卸/搬运/运输/保管费用及责任等均由乙方承担。</w:t>
      </w:r>
    </w:p>
    <w:p w14:paraId="2BCF7070">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④验收标准应遵循国家相关标准、行业通行标准、厂方出厂标准、招标文件要求和乙方投标文件的承 诺、甲方要求等。根据招标书要求及有关规定由招标代理机构、采购人到场，并按国家标准进行验收。</w:t>
      </w:r>
    </w:p>
    <w:p w14:paraId="1F58E736">
      <w:pPr>
        <w:spacing w:line="440" w:lineRule="exact"/>
        <w:rPr>
          <w:rFonts w:hint="eastAsia" w:ascii="宋体" w:hAnsi="宋体" w:cs="宋体"/>
          <w:b/>
          <w:sz w:val="24"/>
          <w:szCs w:val="24"/>
        </w:rPr>
      </w:pPr>
      <w:r>
        <w:rPr>
          <w:rFonts w:hint="eastAsia" w:ascii="宋体" w:hAnsi="宋体" w:cs="宋体"/>
          <w:b/>
          <w:sz w:val="24"/>
          <w:szCs w:val="24"/>
        </w:rPr>
        <w:t>2.17 通知</w:t>
      </w:r>
      <w:bookmarkEnd w:id="299"/>
      <w:bookmarkEnd w:id="300"/>
      <w:bookmarkEnd w:id="301"/>
      <w:r>
        <w:rPr>
          <w:rFonts w:hint="eastAsia" w:ascii="宋体" w:hAnsi="宋体" w:cs="宋体"/>
          <w:b/>
          <w:sz w:val="24"/>
          <w:szCs w:val="24"/>
        </w:rPr>
        <w:t>和送达</w:t>
      </w:r>
      <w:bookmarkEnd w:id="302"/>
      <w:bookmarkEnd w:id="303"/>
      <w:bookmarkEnd w:id="304"/>
      <w:bookmarkEnd w:id="305"/>
      <w:bookmarkEnd w:id="306"/>
    </w:p>
    <w:p w14:paraId="209F05A7">
      <w:pPr>
        <w:spacing w:line="440" w:lineRule="exact"/>
        <w:ind w:firstLine="480" w:firstLineChars="200"/>
        <w:rPr>
          <w:rFonts w:hint="eastAsia" w:ascii="宋体" w:hAnsi="宋体" w:cs="宋体"/>
          <w:sz w:val="24"/>
          <w:szCs w:val="24"/>
        </w:rPr>
      </w:pPr>
      <w:bookmarkStart w:id="307" w:name="_Toc7073"/>
      <w:bookmarkStart w:id="308" w:name="_Toc29220"/>
      <w:bookmarkStart w:id="309" w:name="_Toc487900372"/>
      <w:bookmarkStart w:id="310" w:name="_Toc259093691"/>
      <w:bookmarkStart w:id="311" w:name="_Toc279701262"/>
      <w:r>
        <w:rPr>
          <w:rFonts w:hint="eastAsia" w:ascii="宋体" w:hAnsi="宋体" w:cs="宋体"/>
          <w:sz w:val="24"/>
          <w:szCs w:val="24"/>
        </w:rPr>
        <w:t>2.17.1 任何一方因履行合同而以合同第一部分尾部所列明的</w:t>
      </w:r>
      <w:r>
        <w:rPr>
          <w:rFonts w:hint="eastAsia" w:ascii="宋体" w:hAnsi="宋体" w:cs="宋体"/>
          <w:b/>
          <w:i/>
          <w:sz w:val="24"/>
          <w:szCs w:val="24"/>
          <w:u w:val="single"/>
        </w:rPr>
        <w:t>内容</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b/>
          <w:i/>
          <w:sz w:val="24"/>
          <w:szCs w:val="24"/>
          <w:u w:val="single"/>
        </w:rPr>
        <w:t>5个工作日</w:t>
      </w:r>
      <w:r>
        <w:rPr>
          <w:rFonts w:hint="eastAsia" w:ascii="宋体" w:hAnsi="宋体" w:cs="宋体"/>
          <w:sz w:val="24"/>
          <w:szCs w:val="24"/>
        </w:rPr>
        <w:t>内书面通知对方当事人，在对方当事人收到有关变更通知之前，变更前的约定送达方式或者地址仍视为有效。</w:t>
      </w:r>
      <w:bookmarkEnd w:id="307"/>
      <w:bookmarkEnd w:id="308"/>
    </w:p>
    <w:p w14:paraId="701E2F37">
      <w:pPr>
        <w:spacing w:line="440" w:lineRule="exact"/>
        <w:ind w:firstLine="480" w:firstLineChars="200"/>
        <w:rPr>
          <w:rFonts w:hint="eastAsia" w:ascii="宋体" w:hAnsi="宋体" w:cs="宋体"/>
          <w:sz w:val="24"/>
          <w:szCs w:val="24"/>
        </w:rPr>
      </w:pPr>
      <w:bookmarkStart w:id="312" w:name="_Toc27674"/>
      <w:bookmarkStart w:id="313" w:name="_Toc18401"/>
      <w:r>
        <w:rPr>
          <w:rFonts w:hint="eastAsia" w:ascii="宋体" w:hAnsi="宋体" w:cs="宋体"/>
          <w:sz w:val="24"/>
          <w:szCs w:val="24"/>
        </w:rPr>
        <w:t>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2"/>
      <w:bookmarkEnd w:id="313"/>
    </w:p>
    <w:bookmarkEnd w:id="309"/>
    <w:bookmarkEnd w:id="310"/>
    <w:bookmarkEnd w:id="311"/>
    <w:p w14:paraId="5B747D17">
      <w:pPr>
        <w:spacing w:line="440" w:lineRule="exact"/>
        <w:rPr>
          <w:rFonts w:hint="eastAsia" w:ascii="宋体" w:hAnsi="宋体" w:cs="宋体"/>
          <w:b/>
          <w:sz w:val="24"/>
          <w:szCs w:val="24"/>
        </w:rPr>
      </w:pPr>
      <w:bookmarkStart w:id="314" w:name="_Toc30599"/>
      <w:bookmarkStart w:id="315" w:name="_Toc4355"/>
      <w:bookmarkStart w:id="316" w:name="_Toc18540"/>
      <w:r>
        <w:rPr>
          <w:rFonts w:hint="eastAsia" w:ascii="宋体" w:hAnsi="宋体" w:cs="宋体"/>
          <w:b/>
          <w:sz w:val="24"/>
          <w:szCs w:val="24"/>
        </w:rPr>
        <w:t>2.18 计量单位</w:t>
      </w:r>
      <w:bookmarkEnd w:id="314"/>
      <w:bookmarkEnd w:id="315"/>
      <w:bookmarkEnd w:id="316"/>
    </w:p>
    <w:p w14:paraId="1C70D30C">
      <w:pPr>
        <w:spacing w:line="440" w:lineRule="exact"/>
        <w:ind w:firstLine="480" w:firstLineChars="200"/>
        <w:rPr>
          <w:rFonts w:hint="eastAsia" w:ascii="宋体" w:hAnsi="宋体" w:cs="宋体"/>
          <w:sz w:val="24"/>
          <w:szCs w:val="24"/>
        </w:rPr>
      </w:pPr>
      <w:r>
        <w:rPr>
          <w:rFonts w:hint="eastAsia" w:ascii="宋体" w:hAnsi="宋体" w:cs="宋体"/>
          <w:sz w:val="24"/>
          <w:szCs w:val="24"/>
        </w:rPr>
        <w:t>除技术规范中另有规定外，合同的计量单位均使用国家法定计量单位。</w:t>
      </w:r>
    </w:p>
    <w:p w14:paraId="47FA3E92">
      <w:pPr>
        <w:spacing w:line="440" w:lineRule="exact"/>
        <w:rPr>
          <w:rFonts w:hint="eastAsia" w:ascii="宋体" w:hAnsi="宋体" w:cs="宋体"/>
          <w:b/>
          <w:sz w:val="24"/>
        </w:rPr>
      </w:pPr>
      <w:bookmarkStart w:id="317" w:name="_Toc259093692"/>
      <w:bookmarkStart w:id="318" w:name="_Toc12773"/>
      <w:bookmarkStart w:id="319" w:name="_Toc10330"/>
      <w:bookmarkStart w:id="320" w:name="_Toc487900373"/>
      <w:bookmarkStart w:id="321" w:name="_Toc279701263"/>
      <w:bookmarkStart w:id="322" w:name="_Toc18567"/>
      <w:r>
        <w:rPr>
          <w:rFonts w:hint="eastAsia" w:ascii="宋体" w:hAnsi="宋体" w:cs="宋体"/>
          <w:b/>
          <w:sz w:val="24"/>
        </w:rPr>
        <w:t>2.19 合同使用的文字和适用的法律</w:t>
      </w:r>
      <w:bookmarkEnd w:id="317"/>
      <w:bookmarkEnd w:id="318"/>
      <w:bookmarkEnd w:id="319"/>
      <w:bookmarkEnd w:id="320"/>
      <w:bookmarkEnd w:id="321"/>
      <w:bookmarkEnd w:id="322"/>
    </w:p>
    <w:p w14:paraId="158524CB">
      <w:pPr>
        <w:spacing w:line="440" w:lineRule="exact"/>
        <w:ind w:firstLine="480" w:firstLineChars="200"/>
        <w:rPr>
          <w:rFonts w:hint="eastAsia" w:ascii="宋体" w:hAnsi="宋体" w:cs="宋体"/>
          <w:sz w:val="24"/>
        </w:rPr>
      </w:pPr>
      <w:r>
        <w:rPr>
          <w:rFonts w:hint="eastAsia" w:ascii="宋体" w:hAnsi="宋体" w:cs="宋体"/>
          <w:sz w:val="24"/>
        </w:rPr>
        <w:t>2.19.1 合同使用汉语书就、变更和解释。</w:t>
      </w:r>
    </w:p>
    <w:p w14:paraId="624E1E7D">
      <w:pPr>
        <w:spacing w:line="440" w:lineRule="exact"/>
        <w:ind w:firstLine="480" w:firstLineChars="200"/>
        <w:rPr>
          <w:rFonts w:hint="eastAsia" w:ascii="宋体" w:hAnsi="宋体" w:cs="宋体"/>
          <w:sz w:val="24"/>
        </w:rPr>
      </w:pPr>
      <w:r>
        <w:rPr>
          <w:rFonts w:hint="eastAsia" w:ascii="宋体" w:hAnsi="宋体" w:cs="宋体"/>
          <w:sz w:val="24"/>
        </w:rPr>
        <w:t>2.19.2 合同适用中华人民共和国法律。</w:t>
      </w:r>
    </w:p>
    <w:p w14:paraId="1000AC8F">
      <w:pPr>
        <w:spacing w:line="440" w:lineRule="exact"/>
        <w:rPr>
          <w:rFonts w:hint="eastAsia" w:ascii="宋体" w:hAnsi="宋体" w:cs="宋体"/>
          <w:b/>
          <w:sz w:val="24"/>
        </w:rPr>
      </w:pPr>
      <w:bookmarkStart w:id="323" w:name="_Toc259093693"/>
      <w:bookmarkStart w:id="324" w:name="_Toc22266"/>
      <w:bookmarkStart w:id="325" w:name="_Toc27403"/>
      <w:bookmarkStart w:id="326" w:name="_Toc279701264"/>
      <w:bookmarkStart w:id="327" w:name="_Toc1492"/>
      <w:bookmarkStart w:id="328" w:name="_Toc30096"/>
      <w:bookmarkStart w:id="329" w:name="_Toc27127"/>
      <w:bookmarkStart w:id="330" w:name="_Toc487900374"/>
      <w:r>
        <w:rPr>
          <w:rFonts w:hint="eastAsia" w:ascii="宋体" w:hAnsi="宋体" w:cs="宋体"/>
          <w:b/>
          <w:sz w:val="24"/>
        </w:rPr>
        <w:t>2.20 履约保证金</w:t>
      </w:r>
      <w:bookmarkEnd w:id="323"/>
      <w:bookmarkEnd w:id="324"/>
      <w:bookmarkEnd w:id="325"/>
      <w:bookmarkEnd w:id="326"/>
      <w:bookmarkEnd w:id="327"/>
      <w:bookmarkEnd w:id="328"/>
      <w:bookmarkEnd w:id="329"/>
    </w:p>
    <w:p w14:paraId="145773A6">
      <w:pPr>
        <w:autoSpaceDE w:val="0"/>
        <w:autoSpaceDN w:val="0"/>
        <w:adjustRightInd w:val="0"/>
        <w:spacing w:line="440" w:lineRule="exact"/>
        <w:ind w:firstLine="480" w:firstLineChars="200"/>
        <w:rPr>
          <w:rFonts w:hint="eastAsia" w:ascii="宋体" w:hAnsi="宋体" w:cs="宋体"/>
          <w:sz w:val="24"/>
          <w:lang w:val="zh-CN"/>
        </w:rPr>
      </w:pPr>
      <w:r>
        <w:rPr>
          <w:rFonts w:hint="eastAsia" w:ascii="宋体" w:hAnsi="宋体" w:cs="宋体"/>
          <w:sz w:val="24"/>
        </w:rPr>
        <w:t>2.20.1</w:t>
      </w:r>
      <w:r>
        <w:rPr>
          <w:rFonts w:hint="eastAsia" w:ascii="宋体" w:hAnsi="宋体" w:cs="宋体"/>
          <w:sz w:val="24"/>
          <w:lang w:val="zh-CN"/>
        </w:rPr>
        <w:t xml:space="preserve"> 本项目不收取履约保证金。</w:t>
      </w:r>
    </w:p>
    <w:bookmarkEnd w:id="330"/>
    <w:p w14:paraId="1B0DB261">
      <w:pPr>
        <w:spacing w:line="440" w:lineRule="exact"/>
        <w:jc w:val="center"/>
        <w:rPr>
          <w:rFonts w:hint="eastAsia" w:ascii="宋体" w:hAnsi="宋体" w:cs="宋体"/>
          <w:b/>
          <w:sz w:val="28"/>
          <w:szCs w:val="28"/>
        </w:rPr>
      </w:pPr>
    </w:p>
    <w:p w14:paraId="06C1B0E8">
      <w:pPr>
        <w:spacing w:line="440" w:lineRule="exact"/>
        <w:jc w:val="center"/>
        <w:rPr>
          <w:rFonts w:hint="eastAsia" w:ascii="宋体" w:hAnsi="宋体" w:cs="宋体"/>
          <w:b/>
          <w:sz w:val="28"/>
          <w:szCs w:val="28"/>
        </w:rPr>
      </w:pPr>
      <w:r>
        <w:rPr>
          <w:rFonts w:hint="eastAsia" w:ascii="宋体" w:hAnsi="宋体" w:cs="宋体"/>
          <w:b/>
          <w:sz w:val="28"/>
          <w:szCs w:val="28"/>
        </w:rPr>
        <w:t>第三部分  合同专用条款</w:t>
      </w:r>
    </w:p>
    <w:p w14:paraId="7B718ED9">
      <w:pPr>
        <w:widowControl/>
        <w:spacing w:line="440" w:lineRule="exact"/>
        <w:ind w:firstLine="480" w:firstLineChars="200"/>
        <w:rPr>
          <w:rFonts w:hint="eastAsia" w:ascii="宋体" w:hAnsi="宋体" w:cs="宋体"/>
          <w:bCs/>
          <w:sz w:val="24"/>
          <w:szCs w:val="24"/>
        </w:rPr>
      </w:pPr>
      <w:r>
        <w:rPr>
          <w:rFonts w:hint="eastAsia" w:ascii="宋体" w:hAnsi="宋体" w:cs="宋体"/>
          <w:bCs/>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8"/>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04D06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26C58E6A">
            <w:pPr>
              <w:widowControl/>
              <w:spacing w:line="480" w:lineRule="exact"/>
              <w:jc w:val="center"/>
              <w:rPr>
                <w:rFonts w:hint="eastAsia" w:ascii="宋体" w:hAnsi="宋体" w:cs="宋体"/>
                <w:b/>
                <w:bCs/>
                <w:sz w:val="24"/>
                <w:szCs w:val="24"/>
              </w:rPr>
            </w:pPr>
            <w:r>
              <w:rPr>
                <w:rFonts w:hint="eastAsia" w:ascii="宋体" w:hAnsi="宋体" w:cs="宋体"/>
                <w:b/>
                <w:bCs/>
                <w:sz w:val="24"/>
                <w:szCs w:val="24"/>
              </w:rPr>
              <w:t>条款号</w:t>
            </w:r>
          </w:p>
        </w:tc>
        <w:tc>
          <w:tcPr>
            <w:tcW w:w="8505" w:type="dxa"/>
            <w:vAlign w:val="center"/>
          </w:tcPr>
          <w:p w14:paraId="1457D0AC">
            <w:pPr>
              <w:widowControl/>
              <w:spacing w:line="480" w:lineRule="exact"/>
              <w:jc w:val="center"/>
              <w:rPr>
                <w:rFonts w:hint="eastAsia" w:ascii="宋体" w:hAnsi="宋体" w:cs="宋体"/>
                <w:b/>
                <w:bCs/>
                <w:sz w:val="24"/>
                <w:szCs w:val="24"/>
              </w:rPr>
            </w:pPr>
            <w:r>
              <w:rPr>
                <w:rFonts w:hint="eastAsia" w:ascii="宋体" w:hAnsi="宋体" w:cs="宋体"/>
                <w:b/>
                <w:bCs/>
                <w:sz w:val="24"/>
                <w:szCs w:val="24"/>
              </w:rPr>
              <w:t>约定内容</w:t>
            </w:r>
          </w:p>
        </w:tc>
      </w:tr>
      <w:tr w14:paraId="357B8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264E0568">
            <w:pPr>
              <w:widowControl/>
              <w:spacing w:line="480" w:lineRule="exact"/>
              <w:jc w:val="center"/>
              <w:rPr>
                <w:rFonts w:hint="eastAsia" w:ascii="宋体" w:hAnsi="宋体" w:cs="宋体"/>
                <w:bCs/>
                <w:sz w:val="24"/>
                <w:szCs w:val="24"/>
              </w:rPr>
            </w:pPr>
          </w:p>
        </w:tc>
        <w:tc>
          <w:tcPr>
            <w:tcW w:w="8505" w:type="dxa"/>
            <w:vAlign w:val="center"/>
          </w:tcPr>
          <w:p w14:paraId="42F5B47E">
            <w:pPr>
              <w:widowControl/>
              <w:rPr>
                <w:rFonts w:hint="eastAsia" w:ascii="宋体" w:hAnsi="宋体" w:cs="宋体"/>
                <w:sz w:val="24"/>
                <w:szCs w:val="24"/>
              </w:rPr>
            </w:pPr>
          </w:p>
        </w:tc>
      </w:tr>
      <w:tr w14:paraId="763F4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0B808702">
            <w:pPr>
              <w:widowControl/>
              <w:spacing w:line="480" w:lineRule="exact"/>
              <w:jc w:val="center"/>
              <w:rPr>
                <w:rFonts w:hint="eastAsia" w:ascii="宋体" w:hAnsi="宋体" w:cs="宋体"/>
                <w:bCs/>
                <w:sz w:val="24"/>
                <w:szCs w:val="24"/>
              </w:rPr>
            </w:pPr>
          </w:p>
        </w:tc>
        <w:tc>
          <w:tcPr>
            <w:tcW w:w="8505" w:type="dxa"/>
            <w:vAlign w:val="center"/>
          </w:tcPr>
          <w:p w14:paraId="43CFC21A">
            <w:pPr>
              <w:widowControl/>
              <w:spacing w:line="420" w:lineRule="exact"/>
              <w:rPr>
                <w:rFonts w:hint="eastAsia" w:ascii="宋体" w:hAnsi="宋体" w:cs="宋体"/>
                <w:sz w:val="24"/>
                <w:szCs w:val="24"/>
              </w:rPr>
            </w:pPr>
          </w:p>
        </w:tc>
      </w:tr>
    </w:tbl>
    <w:p w14:paraId="55001D21">
      <w:pPr>
        <w:widowControl/>
        <w:autoSpaceDE w:val="0"/>
        <w:autoSpaceDN w:val="0"/>
        <w:adjustRightInd w:val="0"/>
        <w:spacing w:line="440" w:lineRule="exact"/>
        <w:rPr>
          <w:rFonts w:hint="eastAsia" w:ascii="宋体" w:hAnsi="宋体" w:cs="宋体"/>
          <w:bCs/>
          <w:sz w:val="24"/>
          <w:szCs w:val="24"/>
        </w:rPr>
      </w:pPr>
    </w:p>
    <w:p w14:paraId="2A465280">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甲方（盖章）：                         乙方（盖章）：</w:t>
      </w:r>
    </w:p>
    <w:p w14:paraId="05C1FDED">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法定代表人（签名）：                   法定代表人（签名）：</w:t>
      </w:r>
    </w:p>
    <w:p w14:paraId="57803D2C">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或委托代理人（签名）：                 或委托代理人（签名）：</w:t>
      </w:r>
    </w:p>
    <w:p w14:paraId="321696FF">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联系人：                             </w:t>
      </w:r>
      <w:r>
        <w:rPr>
          <w:rFonts w:hint="eastAsia" w:ascii="宋体" w:hAnsi="宋体" w:cs="宋体"/>
          <w:bCs/>
          <w:sz w:val="24"/>
          <w:szCs w:val="24"/>
        </w:rPr>
        <w:t xml:space="preserve"> </w:t>
      </w:r>
      <w:r>
        <w:rPr>
          <w:rFonts w:hint="eastAsia" w:ascii="宋体" w:hAnsi="宋体" w:cs="宋体"/>
          <w:bCs/>
          <w:sz w:val="24"/>
          <w:szCs w:val="24"/>
          <w:lang w:val="zh-CN"/>
        </w:rPr>
        <w:t xml:space="preserve"> 联系人：</w:t>
      </w:r>
    </w:p>
    <w:p w14:paraId="75572D88">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地址：                                </w:t>
      </w:r>
      <w:r>
        <w:rPr>
          <w:rFonts w:hint="eastAsia" w:ascii="宋体" w:hAnsi="宋体" w:cs="宋体"/>
          <w:bCs/>
          <w:sz w:val="24"/>
          <w:szCs w:val="24"/>
        </w:rPr>
        <w:t xml:space="preserve"> </w:t>
      </w:r>
      <w:r>
        <w:rPr>
          <w:rFonts w:hint="eastAsia" w:ascii="宋体" w:hAnsi="宋体" w:cs="宋体"/>
          <w:bCs/>
          <w:sz w:val="24"/>
          <w:szCs w:val="24"/>
          <w:lang w:val="zh-CN"/>
        </w:rPr>
        <w:t>地址：</w:t>
      </w:r>
    </w:p>
    <w:p w14:paraId="778793DA">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电话：                                </w:t>
      </w:r>
      <w:r>
        <w:rPr>
          <w:rFonts w:hint="eastAsia" w:ascii="宋体" w:hAnsi="宋体" w:cs="宋体"/>
          <w:bCs/>
          <w:sz w:val="24"/>
          <w:szCs w:val="24"/>
        </w:rPr>
        <w:t xml:space="preserve"> </w:t>
      </w:r>
      <w:r>
        <w:rPr>
          <w:rFonts w:hint="eastAsia" w:ascii="宋体" w:hAnsi="宋体" w:cs="宋体"/>
          <w:bCs/>
          <w:sz w:val="24"/>
          <w:szCs w:val="24"/>
          <w:lang w:val="zh-CN"/>
        </w:rPr>
        <w:t>电话：</w:t>
      </w:r>
    </w:p>
    <w:p w14:paraId="1020C1BB">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传真：                                </w:t>
      </w:r>
      <w:r>
        <w:rPr>
          <w:rFonts w:hint="eastAsia" w:ascii="宋体" w:hAnsi="宋体" w:cs="宋体"/>
          <w:bCs/>
          <w:sz w:val="24"/>
          <w:szCs w:val="24"/>
        </w:rPr>
        <w:t xml:space="preserve"> </w:t>
      </w:r>
      <w:r>
        <w:rPr>
          <w:rFonts w:hint="eastAsia" w:ascii="宋体" w:hAnsi="宋体" w:cs="宋体"/>
          <w:bCs/>
          <w:sz w:val="24"/>
          <w:szCs w:val="24"/>
          <w:lang w:val="zh-CN"/>
        </w:rPr>
        <w:t>传真：</w:t>
      </w:r>
    </w:p>
    <w:p w14:paraId="2C74A665">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开户银行：                            </w:t>
      </w:r>
      <w:r>
        <w:rPr>
          <w:rFonts w:hint="eastAsia" w:ascii="宋体" w:hAnsi="宋体" w:cs="宋体"/>
          <w:bCs/>
          <w:sz w:val="24"/>
          <w:szCs w:val="24"/>
        </w:rPr>
        <w:t xml:space="preserve"> </w:t>
      </w:r>
      <w:r>
        <w:rPr>
          <w:rFonts w:hint="eastAsia" w:ascii="宋体" w:hAnsi="宋体" w:cs="宋体"/>
          <w:bCs/>
          <w:sz w:val="24"/>
          <w:szCs w:val="24"/>
          <w:lang w:val="zh-CN"/>
        </w:rPr>
        <w:t>开户银行：</w:t>
      </w:r>
    </w:p>
    <w:p w14:paraId="6BD6AFCA">
      <w:pPr>
        <w:widowControl/>
        <w:autoSpaceDE w:val="0"/>
        <w:autoSpaceDN w:val="0"/>
        <w:adjustRightInd w:val="0"/>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银行账号：                            </w:t>
      </w:r>
      <w:r>
        <w:rPr>
          <w:rFonts w:hint="eastAsia" w:ascii="宋体" w:hAnsi="宋体" w:cs="宋体"/>
          <w:bCs/>
          <w:sz w:val="24"/>
          <w:szCs w:val="24"/>
        </w:rPr>
        <w:t xml:space="preserve"> </w:t>
      </w:r>
      <w:r>
        <w:rPr>
          <w:rFonts w:hint="eastAsia" w:ascii="宋体" w:hAnsi="宋体" w:cs="宋体"/>
          <w:bCs/>
          <w:sz w:val="24"/>
          <w:szCs w:val="24"/>
          <w:lang w:val="zh-CN"/>
        </w:rPr>
        <w:t>银行账号：</w:t>
      </w:r>
    </w:p>
    <w:p w14:paraId="123826D0">
      <w:pPr>
        <w:rPr>
          <w:rFonts w:hint="eastAsia" w:ascii="宋体" w:hAnsi="宋体" w:cs="宋体"/>
          <w:color w:val="000000" w:themeColor="text1"/>
          <w14:textFill>
            <w14:solidFill>
              <w14:schemeClr w14:val="tx1"/>
            </w14:solidFill>
          </w14:textFill>
        </w:rPr>
      </w:pPr>
      <w:r>
        <w:rPr>
          <w:rFonts w:hint="eastAsia" w:ascii="宋体" w:hAnsi="宋体" w:cs="宋体"/>
          <w:bCs/>
          <w:sz w:val="24"/>
          <w:szCs w:val="24"/>
          <w:lang w:val="zh-CN"/>
        </w:rPr>
        <w:t xml:space="preserve">社会统一信用代码:                      </w:t>
      </w:r>
      <w:r>
        <w:rPr>
          <w:rFonts w:hint="eastAsia" w:ascii="宋体" w:hAnsi="宋体" w:cs="宋体"/>
          <w:bCs/>
          <w:sz w:val="24"/>
          <w:szCs w:val="24"/>
        </w:rPr>
        <w:t xml:space="preserve"> </w:t>
      </w:r>
      <w:r>
        <w:rPr>
          <w:rFonts w:hint="eastAsia" w:ascii="宋体" w:hAnsi="宋体" w:cs="宋体"/>
          <w:bCs/>
          <w:sz w:val="24"/>
          <w:szCs w:val="24"/>
          <w:lang w:val="zh-CN"/>
        </w:rPr>
        <w:t>社会统一信用代码：</w:t>
      </w:r>
    </w:p>
    <w:p w14:paraId="218E9A61">
      <w:pPr>
        <w:keepNext/>
        <w:ind w:firstLine="880"/>
        <w:jc w:val="center"/>
        <w:outlineLvl w:val="0"/>
        <w:rPr>
          <w:rFonts w:hint="eastAsia" w:ascii="宋体" w:hAnsi="宋体" w:cs="宋体"/>
          <w:b/>
          <w:bCs/>
          <w:sz w:val="40"/>
          <w:szCs w:val="40"/>
        </w:rPr>
      </w:pPr>
      <w:r>
        <w:rPr>
          <w:rFonts w:hint="eastAsia" w:ascii="宋体" w:hAnsi="宋体" w:cs="宋体"/>
          <w:bCs/>
          <w:sz w:val="44"/>
          <w:szCs w:val="21"/>
        </w:rPr>
        <w:br w:type="page" w:clear="all"/>
      </w:r>
      <w:bookmarkStart w:id="331" w:name="_Toc24646"/>
      <w:r>
        <w:rPr>
          <w:rFonts w:hint="eastAsia" w:ascii="宋体" w:hAnsi="宋体" w:cs="宋体"/>
          <w:b/>
          <w:bCs/>
          <w:sz w:val="40"/>
          <w:szCs w:val="40"/>
        </w:rPr>
        <w:t>第</w:t>
      </w:r>
      <w:bookmarkEnd w:id="174"/>
      <w:r>
        <w:rPr>
          <w:rFonts w:hint="eastAsia" w:ascii="宋体" w:hAnsi="宋体" w:cs="宋体"/>
          <w:b/>
          <w:bCs/>
          <w:sz w:val="40"/>
          <w:szCs w:val="40"/>
        </w:rPr>
        <w:t>四章  采购需求</w:t>
      </w:r>
      <w:bookmarkEnd w:id="175"/>
      <w:bookmarkEnd w:id="176"/>
      <w:bookmarkEnd w:id="177"/>
      <w:bookmarkEnd w:id="331"/>
    </w:p>
    <w:p w14:paraId="1527A71C">
      <w:pPr>
        <w:autoSpaceDE w:val="0"/>
        <w:autoSpaceDN w:val="0"/>
        <w:adjustRightInd w:val="0"/>
        <w:spacing w:line="440" w:lineRule="exact"/>
        <w:rPr>
          <w:rFonts w:hint="eastAsia" w:ascii="宋体" w:hAnsi="宋体" w:cs="宋体"/>
          <w:b/>
          <w:bCs/>
          <w:sz w:val="28"/>
          <w:szCs w:val="28"/>
          <w:lang w:val="zh-CN"/>
        </w:rPr>
      </w:pPr>
      <w:bookmarkStart w:id="332" w:name="_Toc157604637"/>
      <w:bookmarkStart w:id="333" w:name="_Toc26554093"/>
      <w:bookmarkStart w:id="334" w:name="_Toc49090575"/>
      <w:bookmarkStart w:id="335" w:name="_Toc120614281"/>
      <w:r>
        <w:rPr>
          <w:rFonts w:hint="eastAsia" w:ascii="宋体" w:hAnsi="宋体" w:cs="宋体"/>
          <w:b/>
          <w:bCs/>
          <w:sz w:val="28"/>
          <w:szCs w:val="28"/>
          <w:lang w:val="zh-CN"/>
        </w:rPr>
        <w:t>项目名称：2024年常熟市农业绿色发展监测项目（硬件设施建设）</w:t>
      </w:r>
    </w:p>
    <w:p w14:paraId="2EC666F6">
      <w:pPr>
        <w:autoSpaceDE w:val="0"/>
        <w:autoSpaceDN w:val="0"/>
        <w:adjustRightInd w:val="0"/>
        <w:spacing w:line="440" w:lineRule="exact"/>
        <w:rPr>
          <w:rFonts w:hint="eastAsia" w:ascii="宋体" w:hAnsi="宋体" w:cs="宋体"/>
          <w:b/>
          <w:bCs/>
          <w:sz w:val="28"/>
          <w:szCs w:val="28"/>
          <w:lang w:val="zh-CN"/>
        </w:rPr>
      </w:pPr>
      <w:r>
        <w:rPr>
          <w:rFonts w:hint="eastAsia" w:ascii="宋体" w:hAnsi="宋体" w:cs="宋体"/>
          <w:b/>
          <w:bCs/>
          <w:sz w:val="28"/>
          <w:szCs w:val="28"/>
          <w:lang w:val="zh-CN"/>
        </w:rPr>
        <w:t>项目编号：JSZC-320581-HXGW-G2024-0096</w:t>
      </w:r>
    </w:p>
    <w:p w14:paraId="0791346E">
      <w:pPr>
        <w:autoSpaceDE w:val="0"/>
        <w:autoSpaceDN w:val="0"/>
        <w:adjustRightInd w:val="0"/>
        <w:spacing w:line="440" w:lineRule="exact"/>
        <w:rPr>
          <w:rFonts w:hint="eastAsia" w:ascii="宋体" w:hAnsi="宋体" w:cs="宋体"/>
          <w:b/>
          <w:bCs/>
          <w:sz w:val="28"/>
          <w:szCs w:val="28"/>
          <w:lang w:val="zh-CN"/>
        </w:rPr>
      </w:pPr>
      <w:r>
        <w:rPr>
          <w:rFonts w:hint="eastAsia" w:ascii="宋体" w:hAnsi="宋体" w:cs="宋体"/>
          <w:b/>
          <w:bCs/>
          <w:sz w:val="28"/>
          <w:szCs w:val="28"/>
          <w:lang w:val="zh-CN"/>
        </w:rPr>
        <w:t>采 购 人：常熟市农业农村局</w:t>
      </w:r>
    </w:p>
    <w:bookmarkEnd w:id="332"/>
    <w:p w14:paraId="1D336054">
      <w:pPr>
        <w:spacing w:line="440" w:lineRule="exact"/>
        <w:outlineLvl w:val="1"/>
        <w:rPr>
          <w:rFonts w:hint="eastAsia" w:ascii="宋体" w:hAnsi="宋体" w:cs="宋体"/>
          <w:b/>
          <w:bCs/>
          <w:sz w:val="28"/>
        </w:rPr>
      </w:pPr>
      <w:bookmarkStart w:id="336" w:name="_Toc132653370"/>
      <w:bookmarkStart w:id="337" w:name="_Toc24222"/>
      <w:bookmarkStart w:id="338" w:name="OLE_LINK1"/>
      <w:r>
        <w:rPr>
          <w:rFonts w:hint="eastAsia" w:ascii="宋体" w:hAnsi="宋体" w:cs="宋体"/>
          <w:b/>
          <w:bCs/>
          <w:sz w:val="28"/>
        </w:rPr>
        <w:t>一、项目说明：</w:t>
      </w:r>
      <w:bookmarkEnd w:id="336"/>
      <w:bookmarkEnd w:id="337"/>
    </w:p>
    <w:p w14:paraId="1DF96CC1">
      <w:pPr>
        <w:spacing w:line="440" w:lineRule="exact"/>
        <w:ind w:firstLine="480" w:firstLineChars="200"/>
        <w:jc w:val="left"/>
        <w:rPr>
          <w:rFonts w:hint="eastAsia" w:ascii="宋体" w:hAnsi="宋体" w:cs="宋体"/>
          <w:sz w:val="24"/>
          <w:szCs w:val="24"/>
          <w:highlight w:val="none"/>
        </w:rPr>
      </w:pPr>
      <w:r>
        <w:rPr>
          <w:rFonts w:hint="eastAsia" w:ascii="宋体" w:hAnsi="宋体" w:cs="宋体"/>
          <w:sz w:val="24"/>
          <w:szCs w:val="24"/>
        </w:rPr>
        <w:t>1、本项目不接受进口产品投标（进口产品是指“通过中国海关报关验放进入中国境内且产自关境外的产品”）。</w:t>
      </w:r>
    </w:p>
    <w:p w14:paraId="6BED3A44">
      <w:pPr>
        <w:spacing w:line="440" w:lineRule="exact"/>
        <w:ind w:firstLine="480" w:firstLineChars="200"/>
        <w:jc w:val="left"/>
        <w:rPr>
          <w:rFonts w:hint="eastAsia" w:ascii="宋体" w:hAnsi="宋体" w:cs="宋体"/>
          <w:color w:val="auto"/>
          <w:sz w:val="24"/>
          <w:szCs w:val="24"/>
          <w:highlight w:val="none"/>
        </w:rPr>
      </w:pPr>
      <w:r>
        <w:rPr>
          <w:rFonts w:hint="eastAsia" w:ascii="宋体" w:hAnsi="宋体" w:cs="宋体"/>
          <w:sz w:val="24"/>
          <w:szCs w:val="24"/>
          <w:highlight w:val="none"/>
        </w:rPr>
        <w:t>2、本项目采购内容为2024年常熟市农业绿色发展监测项目（硬件设施建设），</w:t>
      </w:r>
      <w:r>
        <w:rPr>
          <w:rFonts w:hint="eastAsia" w:ascii="宋体" w:hAnsi="宋体" w:cs="宋体"/>
          <w:color w:val="auto"/>
          <w:sz w:val="24"/>
          <w:szCs w:val="24"/>
          <w:highlight w:val="none"/>
        </w:rPr>
        <w:t>主要包括在监测点建设2个自动监测站以及5个点位排水口安装流量计，包含1年维护费及临近沟渠疏通建设。</w:t>
      </w:r>
    </w:p>
    <w:p w14:paraId="601E9BD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3、投标人应对项目现场进行踏勘，但相关费用须自理。投标人在投标时应充分考虑现场实际情况，采购人不负担因投标人对项目现场情况考虑不周而产生的其他任何费用。</w:t>
      </w:r>
    </w:p>
    <w:p w14:paraId="75C3399D">
      <w:pPr>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4、交货期或交付使用期：</w:t>
      </w:r>
      <w:r>
        <w:rPr>
          <w:rFonts w:hint="eastAsia" w:ascii="宋体" w:hAnsi="宋体" w:cs="宋体"/>
          <w:sz w:val="24"/>
          <w:szCs w:val="24"/>
          <w:highlight w:val="none"/>
          <w:lang w:eastAsia="zh-CN"/>
        </w:rPr>
        <w:t>合同签订并接到通知进场后60天内完成交货、安装并调试完毕</w:t>
      </w:r>
      <w:r>
        <w:rPr>
          <w:rFonts w:hint="eastAsia" w:ascii="宋体" w:hAnsi="宋体" w:cs="宋体"/>
          <w:sz w:val="24"/>
          <w:szCs w:val="24"/>
          <w:highlight w:val="none"/>
        </w:rPr>
        <w:t>。</w:t>
      </w:r>
    </w:p>
    <w:p w14:paraId="3AE14D77">
      <w:pPr>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5、交付地点：常熟市范围内。</w:t>
      </w:r>
    </w:p>
    <w:p w14:paraId="1CC3DCF9">
      <w:pPr>
        <w:spacing w:line="460" w:lineRule="exact"/>
        <w:ind w:firstLine="240" w:firstLineChars="100"/>
        <w:rPr>
          <w:rFonts w:hint="eastAsia" w:ascii="宋体" w:hAnsi="宋体" w:cs="宋体"/>
          <w:sz w:val="24"/>
          <w:szCs w:val="24"/>
          <w:highlight w:val="none"/>
        </w:rPr>
      </w:pPr>
      <w:r>
        <w:rPr>
          <w:rFonts w:hint="eastAsia" w:ascii="宋体" w:hAnsi="宋体" w:cs="宋体"/>
          <w:sz w:val="24"/>
          <w:szCs w:val="24"/>
          <w:highlight w:val="none"/>
        </w:rPr>
        <w:t>★6、付款方式：</w:t>
      </w:r>
    </w:p>
    <w:p w14:paraId="3EE2C886">
      <w:pPr>
        <w:spacing w:line="46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rPr>
        <w:t>①合同签订</w:t>
      </w:r>
      <w:r>
        <w:rPr>
          <w:rFonts w:hint="eastAsia" w:ascii="宋体" w:hAnsi="宋体" w:cs="宋体"/>
          <w:sz w:val="24"/>
          <w:szCs w:val="24"/>
          <w:highlight w:val="none"/>
          <w:lang w:eastAsia="zh-CN"/>
        </w:rPr>
        <w:t>后</w:t>
      </w:r>
      <w:r>
        <w:rPr>
          <w:rFonts w:hint="eastAsia" w:ascii="宋体" w:hAnsi="宋体" w:cs="宋体"/>
          <w:sz w:val="24"/>
          <w:szCs w:val="24"/>
          <w:highlight w:val="none"/>
          <w:lang w:val="en-US" w:eastAsia="zh-CN"/>
        </w:rPr>
        <w:t>两个月</w:t>
      </w:r>
      <w:r>
        <w:rPr>
          <w:rFonts w:hint="eastAsia" w:ascii="宋体" w:hAnsi="宋体" w:cs="宋体"/>
          <w:sz w:val="24"/>
          <w:szCs w:val="24"/>
          <w:highlight w:val="none"/>
          <w:lang w:eastAsia="zh-CN"/>
        </w:rPr>
        <w:t>内</w:t>
      </w:r>
      <w:r>
        <w:rPr>
          <w:rFonts w:hint="eastAsia" w:ascii="宋体" w:hAnsi="宋体" w:cs="宋体"/>
          <w:sz w:val="24"/>
          <w:szCs w:val="24"/>
          <w:highlight w:val="none"/>
        </w:rPr>
        <w:t>，采购人向中标人支付合同总价的</w:t>
      </w:r>
      <w:r>
        <w:rPr>
          <w:rFonts w:hint="eastAsia" w:ascii="宋体" w:hAnsi="宋体" w:cs="宋体"/>
          <w:sz w:val="24"/>
          <w:szCs w:val="24"/>
          <w:highlight w:val="none"/>
          <w:lang w:eastAsia="zh-CN"/>
        </w:rPr>
        <w:t>50%作为</w:t>
      </w:r>
      <w:r>
        <w:rPr>
          <w:rFonts w:hint="eastAsia" w:ascii="宋体" w:hAnsi="宋体" w:cs="宋体"/>
          <w:sz w:val="24"/>
          <w:szCs w:val="24"/>
          <w:highlight w:val="none"/>
        </w:rPr>
        <w:t xml:space="preserve">预付款； </w:t>
      </w:r>
    </w:p>
    <w:p w14:paraId="36D46005">
      <w:pPr>
        <w:spacing w:line="460" w:lineRule="exact"/>
        <w:ind w:firstLine="720" w:firstLineChars="300"/>
        <w:rPr>
          <w:rFonts w:hint="eastAsia" w:ascii="宋体" w:hAnsi="宋体" w:eastAsia="宋体" w:cs="宋体"/>
          <w:sz w:val="24"/>
          <w:szCs w:val="24"/>
          <w:highlight w:val="none"/>
          <w:lang w:eastAsia="zh-CN"/>
        </w:rPr>
      </w:pPr>
      <w:r>
        <w:rPr>
          <w:rFonts w:hint="eastAsia" w:ascii="宋体" w:hAnsi="宋体" w:cs="宋体"/>
          <w:sz w:val="24"/>
          <w:szCs w:val="24"/>
          <w:highlight w:val="none"/>
        </w:rPr>
        <w:t>②通过采购人验收合格后的</w:t>
      </w:r>
      <w:r>
        <w:rPr>
          <w:rFonts w:hint="eastAsia" w:ascii="宋体" w:hAnsi="宋体" w:cs="宋体"/>
          <w:sz w:val="24"/>
          <w:szCs w:val="24"/>
          <w:highlight w:val="none"/>
          <w:lang w:val="en-US" w:eastAsia="zh-CN"/>
        </w:rPr>
        <w:t>六</w:t>
      </w:r>
      <w:r>
        <w:rPr>
          <w:rFonts w:hint="eastAsia" w:ascii="宋体" w:hAnsi="宋体" w:cs="宋体"/>
          <w:sz w:val="24"/>
          <w:szCs w:val="24"/>
          <w:highlight w:val="none"/>
        </w:rPr>
        <w:t>个月内，采购人向中标人支付至合同总价的</w:t>
      </w:r>
      <w:r>
        <w:rPr>
          <w:rFonts w:hint="eastAsia" w:ascii="宋体" w:hAnsi="宋体" w:cs="宋体"/>
          <w:sz w:val="24"/>
          <w:szCs w:val="24"/>
          <w:highlight w:val="none"/>
          <w:lang w:val="en-US" w:eastAsia="zh-CN"/>
        </w:rPr>
        <w:t>10</w:t>
      </w:r>
      <w:r>
        <w:rPr>
          <w:rFonts w:hint="eastAsia" w:ascii="宋体" w:hAnsi="宋体" w:cs="宋体"/>
          <w:sz w:val="24"/>
          <w:szCs w:val="24"/>
          <w:highlight w:val="none"/>
        </w:rPr>
        <w:t>0%</w:t>
      </w:r>
      <w:r>
        <w:rPr>
          <w:rFonts w:hint="eastAsia" w:ascii="宋体" w:hAnsi="宋体" w:cs="宋体"/>
          <w:sz w:val="24"/>
          <w:szCs w:val="24"/>
          <w:highlight w:val="none"/>
          <w:lang w:eastAsia="zh-CN"/>
        </w:rPr>
        <w:t>。</w:t>
      </w:r>
    </w:p>
    <w:p w14:paraId="14AA4BC6">
      <w:pPr>
        <w:spacing w:line="440" w:lineRule="exact"/>
        <w:rPr>
          <w:rFonts w:hint="eastAsia" w:ascii="宋体" w:hAnsi="宋体" w:cs="宋体"/>
          <w:b/>
          <w:sz w:val="24"/>
          <w:szCs w:val="24"/>
          <w:highlight w:val="none"/>
        </w:rPr>
      </w:pPr>
      <w:r>
        <w:rPr>
          <w:rFonts w:hint="eastAsia" w:ascii="宋体" w:hAnsi="宋体" w:cs="宋体"/>
          <w:b/>
          <w:bCs/>
          <w:sz w:val="24"/>
          <w:szCs w:val="24"/>
          <w:highlight w:val="none"/>
        </w:rPr>
        <w:t>注：（1）</w:t>
      </w:r>
      <w:r>
        <w:rPr>
          <w:rFonts w:hint="eastAsia" w:ascii="宋体" w:hAnsi="宋体" w:cs="宋体"/>
          <w:b/>
          <w:sz w:val="24"/>
          <w:szCs w:val="24"/>
          <w:highlight w:val="none"/>
        </w:rPr>
        <w:t>在签订合同时，中标人明确表示无需预付款或者主动要求降低预付款比例的，可不适用上述规定①, 但应当由中标人书面提出并作为采购档案保存。</w:t>
      </w:r>
    </w:p>
    <w:p w14:paraId="6819DDC5">
      <w:pPr>
        <w:spacing w:line="440" w:lineRule="exact"/>
        <w:ind w:firstLine="482" w:firstLineChars="200"/>
        <w:rPr>
          <w:rFonts w:hint="eastAsia" w:ascii="宋体" w:hAnsi="宋体" w:cs="宋体"/>
          <w:b/>
          <w:bCs/>
          <w:sz w:val="24"/>
          <w:szCs w:val="24"/>
          <w:highlight w:val="none"/>
        </w:rPr>
      </w:pPr>
      <w:r>
        <w:rPr>
          <w:rFonts w:hint="eastAsia" w:ascii="宋体" w:hAnsi="宋体" w:cs="宋体"/>
          <w:b/>
          <w:sz w:val="24"/>
          <w:szCs w:val="24"/>
          <w:highlight w:val="none"/>
        </w:rPr>
        <w:t>（2）</w:t>
      </w:r>
      <w:r>
        <w:rPr>
          <w:rFonts w:hint="eastAsia" w:ascii="宋体" w:hAnsi="宋体" w:cs="宋体"/>
          <w:b/>
          <w:bCs/>
          <w:sz w:val="24"/>
          <w:szCs w:val="24"/>
          <w:highlight w:val="none"/>
        </w:rPr>
        <w:t>付款前，中标人提供符合采购人要求的同等金</w:t>
      </w:r>
      <w:r>
        <w:rPr>
          <w:rFonts w:hint="eastAsia" w:ascii="宋体" w:hAnsi="宋体" w:cs="宋体"/>
          <w:b/>
          <w:bCs/>
          <w:sz w:val="24"/>
          <w:szCs w:val="24"/>
        </w:rPr>
        <w:t>额的合法有效发票。否则，采购人有权顺延付款时间，且不承担</w:t>
      </w:r>
      <w:r>
        <w:rPr>
          <w:rFonts w:hint="eastAsia" w:ascii="宋体" w:hAnsi="宋体" w:cs="宋体"/>
          <w:b/>
          <w:bCs/>
          <w:sz w:val="24"/>
          <w:szCs w:val="24"/>
          <w:highlight w:val="none"/>
        </w:rPr>
        <w:t>任何违约及赔偿责任。</w:t>
      </w:r>
    </w:p>
    <w:p w14:paraId="13906362">
      <w:pPr>
        <w:spacing w:line="44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（3）本项目支付方式支持数字人民币方式。</w:t>
      </w:r>
    </w:p>
    <w:p w14:paraId="78165756">
      <w:pPr>
        <w:spacing w:line="44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不满足上述付款要求的作无效投标处理。</w:t>
      </w:r>
    </w:p>
    <w:p w14:paraId="19DBC4F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7、结算方式：本项目以总价合同方式结算。</w:t>
      </w:r>
    </w:p>
    <w:p w14:paraId="0B1BF493">
      <w:pPr>
        <w:spacing w:line="440" w:lineRule="exact"/>
        <w:ind w:firstLine="482" w:firstLineChars="200"/>
        <w:jc w:val="left"/>
        <w:rPr>
          <w:rFonts w:hint="eastAsia" w:ascii="宋体" w:hAnsi="宋体" w:cs="宋体"/>
          <w:b/>
          <w:bCs/>
          <w:sz w:val="24"/>
          <w:szCs w:val="24"/>
          <w:highlight w:val="none"/>
        </w:rPr>
      </w:pPr>
      <w:r>
        <w:rPr>
          <w:rFonts w:hint="eastAsia" w:ascii="宋体" w:hAnsi="宋体" w:cs="宋体"/>
          <w:b/>
          <w:sz w:val="24"/>
          <w:szCs w:val="24"/>
          <w:highlight w:val="none"/>
        </w:rPr>
        <w:t>8、本项目采购预算为¥700000.00元（人民币柒拾万元整），</w:t>
      </w:r>
      <w:r>
        <w:rPr>
          <w:rFonts w:hint="eastAsia" w:ascii="宋体" w:hAnsi="宋体" w:cs="宋体"/>
          <w:b/>
          <w:bCs/>
          <w:sz w:val="24"/>
          <w:szCs w:val="24"/>
          <w:highlight w:val="none"/>
        </w:rPr>
        <w:t>投标人的投标总价不得超过采购预算，否则将作无效投标处理。</w:t>
      </w:r>
    </w:p>
    <w:p w14:paraId="1ECDFA16">
      <w:pPr>
        <w:spacing w:line="480" w:lineRule="exact"/>
        <w:ind w:firstLine="480" w:firstLineChars="200"/>
        <w:rPr>
          <w:rFonts w:hint="eastAsia" w:ascii="宋体" w:hAnsi="宋体" w:cs="宋体"/>
          <w:sz w:val="24"/>
          <w:lang w:val="zh-CN"/>
        </w:rPr>
      </w:pPr>
      <w:r>
        <w:rPr>
          <w:rFonts w:hint="eastAsia" w:ascii="宋体" w:hAnsi="宋体" w:cs="宋体"/>
          <w:sz w:val="24"/>
          <w:highlight w:val="none"/>
        </w:rPr>
        <w:t>9</w:t>
      </w:r>
      <w:r>
        <w:rPr>
          <w:rFonts w:hint="eastAsia" w:ascii="宋体" w:hAnsi="宋体" w:cs="宋体"/>
          <w:sz w:val="24"/>
          <w:highlight w:val="none"/>
          <w:lang w:val="zh-CN"/>
        </w:rPr>
        <w:t>、本项目不得以任何形式进</w:t>
      </w:r>
      <w:r>
        <w:rPr>
          <w:rFonts w:hint="eastAsia" w:ascii="宋体" w:hAnsi="宋体" w:cs="宋体"/>
          <w:sz w:val="24"/>
          <w:lang w:val="zh-CN"/>
        </w:rPr>
        <w:t>行转包及分包。</w:t>
      </w:r>
    </w:p>
    <w:p w14:paraId="29E6B461">
      <w:pPr>
        <w:spacing w:line="460" w:lineRule="exact"/>
        <w:ind w:firstLine="723" w:firstLineChars="300"/>
        <w:rPr>
          <w:rFonts w:hint="eastAsia" w:ascii="宋体" w:hAnsi="宋体" w:cs="宋体"/>
          <w:b/>
          <w:sz w:val="24"/>
        </w:rPr>
      </w:pPr>
    </w:p>
    <w:p w14:paraId="59EFE40C">
      <w:pPr>
        <w:numPr>
          <w:ilvl w:val="0"/>
          <w:numId w:val="6"/>
        </w:numPr>
        <w:spacing w:line="440" w:lineRule="exact"/>
        <w:outlineLvl w:val="1"/>
        <w:rPr>
          <w:rFonts w:hint="eastAsia" w:ascii="宋体" w:hAnsi="宋体" w:cs="宋体"/>
          <w:b/>
          <w:bCs/>
          <w:sz w:val="28"/>
        </w:rPr>
      </w:pPr>
      <w:bookmarkStart w:id="339" w:name="_Toc169"/>
      <w:bookmarkStart w:id="340" w:name="_Toc132653371"/>
      <w:r>
        <w:rPr>
          <w:rFonts w:hint="eastAsia" w:ascii="宋体" w:hAnsi="宋体" w:cs="宋体"/>
          <w:b/>
          <w:bCs/>
          <w:sz w:val="28"/>
        </w:rPr>
        <w:t>需求清单：</w:t>
      </w:r>
      <w:bookmarkEnd w:id="339"/>
      <w:bookmarkEnd w:id="340"/>
    </w:p>
    <w:tbl>
      <w:tblPr>
        <w:tblStyle w:val="38"/>
        <w:tblW w:w="101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9"/>
        <w:gridCol w:w="2059"/>
        <w:gridCol w:w="3532"/>
        <w:gridCol w:w="1513"/>
        <w:gridCol w:w="2073"/>
      </w:tblGrid>
      <w:tr w14:paraId="31E45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1009" w:type="dxa"/>
            <w:vAlign w:val="center"/>
          </w:tcPr>
          <w:p w14:paraId="155D34A0">
            <w:pPr>
              <w:jc w:val="center"/>
              <w:rPr>
                <w:rFonts w:hint="eastAsia" w:ascii="宋体" w:hAnsi="宋体" w:cs="宋体"/>
                <w:sz w:val="24"/>
                <w:szCs w:val="24"/>
              </w:rPr>
            </w:pPr>
            <w:r>
              <w:rPr>
                <w:rFonts w:hint="eastAsia" w:ascii="宋体" w:hAnsi="宋体" w:cs="宋体"/>
                <w:sz w:val="24"/>
                <w:szCs w:val="24"/>
              </w:rPr>
              <w:t>序号</w:t>
            </w:r>
          </w:p>
        </w:tc>
        <w:tc>
          <w:tcPr>
            <w:tcW w:w="5591" w:type="dxa"/>
            <w:gridSpan w:val="2"/>
            <w:vAlign w:val="center"/>
          </w:tcPr>
          <w:p w14:paraId="183C1333">
            <w:pPr>
              <w:jc w:val="center"/>
              <w:rPr>
                <w:rFonts w:hint="eastAsia" w:ascii="宋体" w:hAnsi="宋体" w:cs="宋体"/>
                <w:sz w:val="24"/>
                <w:szCs w:val="24"/>
              </w:rPr>
            </w:pPr>
            <w:r>
              <w:rPr>
                <w:rFonts w:hint="eastAsia" w:ascii="宋体" w:hAnsi="宋体" w:cs="宋体"/>
                <w:sz w:val="24"/>
                <w:szCs w:val="24"/>
              </w:rPr>
              <w:t>仪器设备名称</w:t>
            </w:r>
          </w:p>
        </w:tc>
        <w:tc>
          <w:tcPr>
            <w:tcW w:w="1513" w:type="dxa"/>
            <w:vAlign w:val="center"/>
          </w:tcPr>
          <w:p w14:paraId="22262B53">
            <w:pPr>
              <w:jc w:val="center"/>
              <w:rPr>
                <w:rFonts w:hint="eastAsia" w:ascii="宋体" w:hAnsi="宋体" w:cs="宋体"/>
                <w:sz w:val="24"/>
                <w:szCs w:val="24"/>
              </w:rPr>
            </w:pPr>
            <w:r>
              <w:rPr>
                <w:rFonts w:hint="eastAsia" w:ascii="宋体" w:hAnsi="宋体" w:cs="宋体"/>
                <w:sz w:val="24"/>
                <w:szCs w:val="24"/>
              </w:rPr>
              <w:t>数量</w:t>
            </w:r>
          </w:p>
        </w:tc>
        <w:tc>
          <w:tcPr>
            <w:tcW w:w="2073" w:type="dxa"/>
            <w:vAlign w:val="center"/>
          </w:tcPr>
          <w:p w14:paraId="568ECBAC">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备注</w:t>
            </w:r>
          </w:p>
        </w:tc>
      </w:tr>
      <w:tr w14:paraId="147C7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restart"/>
            <w:vAlign w:val="center"/>
          </w:tcPr>
          <w:p w14:paraId="7AC15959">
            <w:pPr>
              <w:jc w:val="center"/>
              <w:rPr>
                <w:rFonts w:hint="eastAsia" w:ascii="宋体" w:hAnsi="宋体" w:cs="宋体"/>
                <w:sz w:val="24"/>
                <w:szCs w:val="24"/>
              </w:rPr>
            </w:pPr>
            <w:r>
              <w:rPr>
                <w:rFonts w:hint="eastAsia" w:ascii="宋体" w:hAnsi="宋体" w:cs="宋体"/>
                <w:sz w:val="24"/>
                <w:szCs w:val="24"/>
              </w:rPr>
              <w:t>1</w:t>
            </w:r>
          </w:p>
        </w:tc>
        <w:tc>
          <w:tcPr>
            <w:tcW w:w="2059" w:type="dxa"/>
            <w:vMerge w:val="restart"/>
            <w:vAlign w:val="center"/>
          </w:tcPr>
          <w:p w14:paraId="2E978F73">
            <w:pPr>
              <w:tabs>
                <w:tab w:val="left" w:pos="435"/>
              </w:tabs>
              <w:jc w:val="center"/>
              <w:rPr>
                <w:rFonts w:hint="eastAsia" w:ascii="宋体" w:hAnsi="宋体" w:eastAsia="宋体" w:cs="宋体"/>
                <w:sz w:val="24"/>
                <w:szCs w:val="24"/>
                <w:lang w:eastAsia="zh-CN"/>
              </w:rPr>
            </w:pPr>
            <w:r>
              <w:rPr>
                <w:rFonts w:hint="eastAsia" w:ascii="宋体" w:hAnsi="宋体" w:cs="宋体"/>
                <w:sz w:val="24"/>
                <w:szCs w:val="24"/>
                <w:lang w:eastAsia="zh-CN"/>
              </w:rPr>
              <w:t>水质自动监测设备（</w:t>
            </w:r>
            <w:r>
              <w:rPr>
                <w:rFonts w:hint="eastAsia" w:ascii="宋体" w:hAnsi="宋体" w:cs="宋体"/>
                <w:sz w:val="24"/>
                <w:szCs w:val="24"/>
                <w:lang w:val="en-US" w:eastAsia="zh-CN"/>
              </w:rPr>
              <w:t>2套</w:t>
            </w:r>
            <w:r>
              <w:rPr>
                <w:rFonts w:hint="eastAsia" w:ascii="宋体" w:hAnsi="宋体" w:cs="宋体"/>
                <w:sz w:val="24"/>
                <w:szCs w:val="24"/>
                <w:lang w:eastAsia="zh-CN"/>
              </w:rPr>
              <w:t>）</w:t>
            </w:r>
          </w:p>
        </w:tc>
        <w:tc>
          <w:tcPr>
            <w:tcW w:w="3532" w:type="dxa"/>
            <w:vAlign w:val="center"/>
          </w:tcPr>
          <w:p w14:paraId="4C9EB394">
            <w:pPr>
              <w:jc w:val="center"/>
              <w:rPr>
                <w:rFonts w:hint="eastAsia" w:ascii="宋体" w:hAnsi="宋体" w:cs="宋体"/>
                <w:sz w:val="24"/>
                <w:szCs w:val="24"/>
              </w:rPr>
            </w:pPr>
            <w:r>
              <w:rPr>
                <w:rFonts w:hint="eastAsia" w:ascii="宋体" w:hAnsi="宋体" w:cs="宋体"/>
                <w:sz w:val="24"/>
                <w:szCs w:val="24"/>
              </w:rPr>
              <w:t>五参数水质自动分析仪</w:t>
            </w:r>
          </w:p>
        </w:tc>
        <w:tc>
          <w:tcPr>
            <w:tcW w:w="1513" w:type="dxa"/>
            <w:vAlign w:val="center"/>
          </w:tcPr>
          <w:p w14:paraId="66E1071B">
            <w:pPr>
              <w:jc w:val="center"/>
              <w:rPr>
                <w:rFonts w:hint="eastAsia" w:ascii="宋体" w:hAnsi="宋体" w:cs="宋体"/>
                <w:sz w:val="24"/>
                <w:szCs w:val="24"/>
              </w:rPr>
            </w:pPr>
            <w:r>
              <w:rPr>
                <w:rFonts w:hint="eastAsia" w:ascii="宋体" w:hAnsi="宋体" w:cs="宋体"/>
                <w:sz w:val="24"/>
                <w:szCs w:val="24"/>
              </w:rPr>
              <w:t>2套</w:t>
            </w:r>
          </w:p>
        </w:tc>
        <w:tc>
          <w:tcPr>
            <w:tcW w:w="2073" w:type="dxa"/>
            <w:vMerge w:val="restart"/>
            <w:vAlign w:val="center"/>
          </w:tcPr>
          <w:p w14:paraId="100C83B6">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本项目须以成套产品供货</w:t>
            </w:r>
          </w:p>
        </w:tc>
      </w:tr>
      <w:tr w14:paraId="550B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13486AB4">
            <w:pPr>
              <w:jc w:val="center"/>
              <w:rPr>
                <w:rFonts w:hint="eastAsia" w:ascii="宋体" w:hAnsi="宋体" w:cs="宋体"/>
                <w:sz w:val="24"/>
                <w:szCs w:val="24"/>
              </w:rPr>
            </w:pPr>
          </w:p>
        </w:tc>
        <w:tc>
          <w:tcPr>
            <w:tcW w:w="2059" w:type="dxa"/>
            <w:vMerge w:val="continue"/>
            <w:vAlign w:val="center"/>
          </w:tcPr>
          <w:p w14:paraId="3B99D8FE">
            <w:pPr>
              <w:jc w:val="center"/>
              <w:rPr>
                <w:rFonts w:hint="eastAsia" w:ascii="宋体" w:hAnsi="宋体" w:cs="宋体"/>
                <w:sz w:val="24"/>
                <w:szCs w:val="24"/>
              </w:rPr>
            </w:pPr>
          </w:p>
        </w:tc>
        <w:tc>
          <w:tcPr>
            <w:tcW w:w="3532" w:type="dxa"/>
            <w:vAlign w:val="center"/>
          </w:tcPr>
          <w:p w14:paraId="042B671E">
            <w:pPr>
              <w:jc w:val="center"/>
              <w:rPr>
                <w:rFonts w:hint="eastAsia" w:ascii="宋体" w:hAnsi="宋体" w:cs="宋体"/>
                <w:sz w:val="24"/>
                <w:szCs w:val="24"/>
              </w:rPr>
            </w:pPr>
            <w:r>
              <w:rPr>
                <w:rFonts w:hint="eastAsia" w:ascii="宋体" w:hAnsi="宋体" w:cs="宋体"/>
                <w:sz w:val="24"/>
                <w:szCs w:val="24"/>
              </w:rPr>
              <w:t>氨氮水质自动分析仪</w:t>
            </w:r>
          </w:p>
        </w:tc>
        <w:tc>
          <w:tcPr>
            <w:tcW w:w="1513" w:type="dxa"/>
            <w:vAlign w:val="center"/>
          </w:tcPr>
          <w:p w14:paraId="08498CFE">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3B878FBC">
            <w:pPr>
              <w:jc w:val="center"/>
              <w:rPr>
                <w:rFonts w:hint="eastAsia" w:ascii="宋体" w:hAnsi="宋体" w:cs="宋体"/>
                <w:sz w:val="24"/>
                <w:szCs w:val="24"/>
              </w:rPr>
            </w:pPr>
          </w:p>
        </w:tc>
      </w:tr>
      <w:tr w14:paraId="32136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64AE5A49">
            <w:pPr>
              <w:jc w:val="center"/>
              <w:rPr>
                <w:rFonts w:hint="eastAsia" w:ascii="宋体" w:hAnsi="宋体" w:cs="宋体"/>
                <w:sz w:val="24"/>
                <w:szCs w:val="24"/>
              </w:rPr>
            </w:pPr>
          </w:p>
        </w:tc>
        <w:tc>
          <w:tcPr>
            <w:tcW w:w="2059" w:type="dxa"/>
            <w:vMerge w:val="continue"/>
            <w:vAlign w:val="center"/>
          </w:tcPr>
          <w:p w14:paraId="490C49DA">
            <w:pPr>
              <w:jc w:val="center"/>
              <w:rPr>
                <w:rFonts w:hint="eastAsia" w:ascii="宋体" w:hAnsi="宋体" w:cs="宋体"/>
                <w:sz w:val="24"/>
                <w:szCs w:val="24"/>
              </w:rPr>
            </w:pPr>
          </w:p>
        </w:tc>
        <w:tc>
          <w:tcPr>
            <w:tcW w:w="3532" w:type="dxa"/>
            <w:vAlign w:val="center"/>
          </w:tcPr>
          <w:p w14:paraId="2976AEC2">
            <w:pPr>
              <w:jc w:val="center"/>
              <w:rPr>
                <w:rFonts w:hint="eastAsia" w:ascii="宋体" w:hAnsi="宋体" w:cs="宋体"/>
                <w:sz w:val="24"/>
                <w:szCs w:val="24"/>
              </w:rPr>
            </w:pPr>
            <w:r>
              <w:rPr>
                <w:rFonts w:hint="eastAsia" w:ascii="宋体" w:hAnsi="宋体" w:cs="宋体"/>
                <w:sz w:val="24"/>
                <w:szCs w:val="24"/>
              </w:rPr>
              <w:t>总氮水质自动分析仪</w:t>
            </w:r>
          </w:p>
        </w:tc>
        <w:tc>
          <w:tcPr>
            <w:tcW w:w="1513" w:type="dxa"/>
            <w:vAlign w:val="center"/>
          </w:tcPr>
          <w:p w14:paraId="42799825">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270FE863">
            <w:pPr>
              <w:jc w:val="center"/>
              <w:rPr>
                <w:rFonts w:hint="eastAsia" w:ascii="宋体" w:hAnsi="宋体" w:cs="宋体"/>
                <w:sz w:val="24"/>
                <w:szCs w:val="24"/>
              </w:rPr>
            </w:pPr>
          </w:p>
        </w:tc>
      </w:tr>
      <w:tr w14:paraId="0787D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414737F6">
            <w:pPr>
              <w:jc w:val="center"/>
              <w:rPr>
                <w:rFonts w:hint="eastAsia" w:ascii="宋体" w:hAnsi="宋体" w:cs="宋体"/>
                <w:sz w:val="24"/>
                <w:szCs w:val="24"/>
              </w:rPr>
            </w:pPr>
          </w:p>
        </w:tc>
        <w:tc>
          <w:tcPr>
            <w:tcW w:w="2059" w:type="dxa"/>
            <w:vMerge w:val="continue"/>
            <w:vAlign w:val="center"/>
          </w:tcPr>
          <w:p w14:paraId="3BCF604D">
            <w:pPr>
              <w:jc w:val="center"/>
              <w:rPr>
                <w:rFonts w:hint="eastAsia" w:ascii="宋体" w:hAnsi="宋体" w:cs="宋体"/>
                <w:sz w:val="24"/>
                <w:szCs w:val="24"/>
              </w:rPr>
            </w:pPr>
          </w:p>
        </w:tc>
        <w:tc>
          <w:tcPr>
            <w:tcW w:w="3532" w:type="dxa"/>
            <w:vAlign w:val="center"/>
          </w:tcPr>
          <w:p w14:paraId="7E5F6086">
            <w:pPr>
              <w:jc w:val="center"/>
              <w:rPr>
                <w:rFonts w:hint="eastAsia" w:ascii="宋体" w:hAnsi="宋体" w:cs="宋体"/>
                <w:sz w:val="24"/>
                <w:szCs w:val="24"/>
              </w:rPr>
            </w:pPr>
            <w:r>
              <w:rPr>
                <w:rFonts w:hint="eastAsia" w:ascii="宋体" w:hAnsi="宋体" w:cs="宋体"/>
                <w:sz w:val="24"/>
                <w:szCs w:val="24"/>
              </w:rPr>
              <w:t>总磷水质自动分析仪</w:t>
            </w:r>
          </w:p>
        </w:tc>
        <w:tc>
          <w:tcPr>
            <w:tcW w:w="1513" w:type="dxa"/>
            <w:vAlign w:val="center"/>
          </w:tcPr>
          <w:p w14:paraId="4E2A500E">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19DB77BA">
            <w:pPr>
              <w:jc w:val="center"/>
              <w:rPr>
                <w:rFonts w:hint="eastAsia" w:ascii="宋体" w:hAnsi="宋体" w:cs="宋体"/>
                <w:sz w:val="24"/>
                <w:szCs w:val="24"/>
              </w:rPr>
            </w:pPr>
          </w:p>
        </w:tc>
      </w:tr>
      <w:tr w14:paraId="04014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2335FAD0">
            <w:pPr>
              <w:jc w:val="center"/>
              <w:rPr>
                <w:rFonts w:hint="eastAsia" w:ascii="宋体" w:hAnsi="宋体" w:cs="宋体"/>
                <w:sz w:val="24"/>
                <w:szCs w:val="24"/>
              </w:rPr>
            </w:pPr>
          </w:p>
        </w:tc>
        <w:tc>
          <w:tcPr>
            <w:tcW w:w="2059" w:type="dxa"/>
            <w:vMerge w:val="continue"/>
            <w:vAlign w:val="center"/>
          </w:tcPr>
          <w:p w14:paraId="1564036B">
            <w:pPr>
              <w:jc w:val="center"/>
              <w:rPr>
                <w:rFonts w:hint="eastAsia" w:ascii="宋体" w:hAnsi="宋体" w:cs="宋体"/>
                <w:sz w:val="24"/>
                <w:szCs w:val="24"/>
              </w:rPr>
            </w:pPr>
          </w:p>
        </w:tc>
        <w:tc>
          <w:tcPr>
            <w:tcW w:w="3532" w:type="dxa"/>
            <w:vAlign w:val="center"/>
          </w:tcPr>
          <w:p w14:paraId="17E57860">
            <w:pPr>
              <w:jc w:val="center"/>
              <w:rPr>
                <w:rFonts w:hint="eastAsia" w:ascii="宋体" w:hAnsi="宋体" w:cs="宋体"/>
                <w:sz w:val="24"/>
                <w:szCs w:val="24"/>
              </w:rPr>
            </w:pPr>
            <w:r>
              <w:rPr>
                <w:rFonts w:hint="eastAsia" w:ascii="宋体" w:hAnsi="宋体" w:cs="宋体"/>
                <w:sz w:val="24"/>
                <w:szCs w:val="24"/>
              </w:rPr>
              <w:t>高锰酸盐指数分析仪</w:t>
            </w:r>
          </w:p>
        </w:tc>
        <w:tc>
          <w:tcPr>
            <w:tcW w:w="1513" w:type="dxa"/>
            <w:vAlign w:val="center"/>
          </w:tcPr>
          <w:p w14:paraId="74BECA1E">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3A150F30">
            <w:pPr>
              <w:jc w:val="center"/>
              <w:rPr>
                <w:rFonts w:hint="eastAsia" w:ascii="宋体" w:hAnsi="宋体" w:cs="宋体"/>
                <w:sz w:val="24"/>
                <w:szCs w:val="24"/>
              </w:rPr>
            </w:pPr>
          </w:p>
        </w:tc>
      </w:tr>
      <w:tr w14:paraId="17368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41C0016D">
            <w:pPr>
              <w:jc w:val="center"/>
              <w:rPr>
                <w:rFonts w:hint="eastAsia" w:ascii="宋体" w:hAnsi="宋体" w:cs="宋体"/>
                <w:sz w:val="24"/>
                <w:szCs w:val="24"/>
              </w:rPr>
            </w:pPr>
          </w:p>
        </w:tc>
        <w:tc>
          <w:tcPr>
            <w:tcW w:w="2059" w:type="dxa"/>
            <w:vMerge w:val="continue"/>
            <w:vAlign w:val="center"/>
          </w:tcPr>
          <w:p w14:paraId="56FC709A">
            <w:pPr>
              <w:jc w:val="center"/>
              <w:rPr>
                <w:rFonts w:hint="eastAsia" w:ascii="宋体" w:hAnsi="宋体" w:cs="宋体"/>
                <w:sz w:val="24"/>
                <w:szCs w:val="24"/>
              </w:rPr>
            </w:pPr>
          </w:p>
        </w:tc>
        <w:tc>
          <w:tcPr>
            <w:tcW w:w="3532" w:type="dxa"/>
            <w:vAlign w:val="center"/>
          </w:tcPr>
          <w:p w14:paraId="1073F018">
            <w:pPr>
              <w:jc w:val="center"/>
              <w:rPr>
                <w:rFonts w:hint="eastAsia" w:ascii="宋体" w:hAnsi="宋体" w:cs="宋体"/>
                <w:sz w:val="24"/>
                <w:szCs w:val="24"/>
              </w:rPr>
            </w:pPr>
            <w:r>
              <w:rPr>
                <w:rFonts w:hint="eastAsia" w:ascii="宋体" w:hAnsi="宋体" w:cs="宋体"/>
                <w:sz w:val="24"/>
                <w:szCs w:val="24"/>
              </w:rPr>
              <w:t>采配水单元</w:t>
            </w:r>
          </w:p>
        </w:tc>
        <w:tc>
          <w:tcPr>
            <w:tcW w:w="1513" w:type="dxa"/>
            <w:vAlign w:val="center"/>
          </w:tcPr>
          <w:p w14:paraId="2B971AD3">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32DD4A56">
            <w:pPr>
              <w:jc w:val="center"/>
              <w:rPr>
                <w:rFonts w:hint="eastAsia" w:ascii="宋体" w:hAnsi="宋体" w:cs="宋体"/>
                <w:sz w:val="24"/>
                <w:szCs w:val="24"/>
              </w:rPr>
            </w:pPr>
          </w:p>
        </w:tc>
      </w:tr>
      <w:tr w14:paraId="6C8C1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02B02E4F">
            <w:pPr>
              <w:jc w:val="center"/>
              <w:rPr>
                <w:rFonts w:hint="eastAsia" w:ascii="宋体" w:hAnsi="宋体" w:cs="宋体"/>
                <w:sz w:val="24"/>
                <w:szCs w:val="24"/>
              </w:rPr>
            </w:pPr>
          </w:p>
        </w:tc>
        <w:tc>
          <w:tcPr>
            <w:tcW w:w="2059" w:type="dxa"/>
            <w:vMerge w:val="continue"/>
            <w:vAlign w:val="center"/>
          </w:tcPr>
          <w:p w14:paraId="43081C3F">
            <w:pPr>
              <w:jc w:val="center"/>
              <w:rPr>
                <w:rFonts w:hint="eastAsia" w:ascii="宋体" w:hAnsi="宋体" w:cs="宋体"/>
                <w:sz w:val="24"/>
                <w:szCs w:val="24"/>
              </w:rPr>
            </w:pPr>
          </w:p>
        </w:tc>
        <w:tc>
          <w:tcPr>
            <w:tcW w:w="3532" w:type="dxa"/>
            <w:vAlign w:val="center"/>
          </w:tcPr>
          <w:p w14:paraId="18FD414D">
            <w:pPr>
              <w:jc w:val="center"/>
              <w:rPr>
                <w:rFonts w:hint="eastAsia" w:ascii="宋体" w:hAnsi="宋体" w:cs="宋体"/>
                <w:sz w:val="24"/>
                <w:szCs w:val="24"/>
              </w:rPr>
            </w:pPr>
            <w:r>
              <w:rPr>
                <w:rFonts w:hint="eastAsia" w:ascii="宋体" w:hAnsi="宋体" w:cs="宋体"/>
                <w:sz w:val="24"/>
                <w:szCs w:val="24"/>
              </w:rPr>
              <w:t>预处理单元</w:t>
            </w:r>
          </w:p>
        </w:tc>
        <w:tc>
          <w:tcPr>
            <w:tcW w:w="1513" w:type="dxa"/>
            <w:vAlign w:val="center"/>
          </w:tcPr>
          <w:p w14:paraId="35EF7D9B">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49A78FFF">
            <w:pPr>
              <w:jc w:val="center"/>
              <w:rPr>
                <w:rFonts w:hint="eastAsia" w:ascii="宋体" w:hAnsi="宋体" w:cs="宋体"/>
                <w:sz w:val="24"/>
                <w:szCs w:val="24"/>
              </w:rPr>
            </w:pPr>
          </w:p>
        </w:tc>
      </w:tr>
      <w:tr w14:paraId="37168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707E20D9">
            <w:pPr>
              <w:jc w:val="center"/>
              <w:rPr>
                <w:rFonts w:hint="eastAsia" w:ascii="宋体" w:hAnsi="宋体" w:cs="宋体"/>
                <w:sz w:val="24"/>
                <w:szCs w:val="24"/>
              </w:rPr>
            </w:pPr>
          </w:p>
        </w:tc>
        <w:tc>
          <w:tcPr>
            <w:tcW w:w="2059" w:type="dxa"/>
            <w:vMerge w:val="continue"/>
            <w:vAlign w:val="center"/>
          </w:tcPr>
          <w:p w14:paraId="6479B6E1">
            <w:pPr>
              <w:jc w:val="center"/>
              <w:rPr>
                <w:rFonts w:hint="eastAsia" w:ascii="宋体" w:hAnsi="宋体" w:cs="宋体"/>
                <w:sz w:val="24"/>
                <w:szCs w:val="24"/>
              </w:rPr>
            </w:pPr>
          </w:p>
        </w:tc>
        <w:tc>
          <w:tcPr>
            <w:tcW w:w="3532" w:type="dxa"/>
            <w:vAlign w:val="center"/>
          </w:tcPr>
          <w:p w14:paraId="0C36F520">
            <w:pPr>
              <w:jc w:val="center"/>
              <w:rPr>
                <w:rFonts w:hint="eastAsia" w:ascii="宋体" w:hAnsi="宋体" w:cs="宋体"/>
                <w:sz w:val="24"/>
                <w:szCs w:val="24"/>
              </w:rPr>
            </w:pPr>
            <w:r>
              <w:rPr>
                <w:rFonts w:hint="eastAsia" w:ascii="宋体" w:hAnsi="宋体" w:cs="宋体"/>
                <w:sz w:val="24"/>
                <w:szCs w:val="24"/>
              </w:rPr>
              <w:t>系统控制单元</w:t>
            </w:r>
          </w:p>
        </w:tc>
        <w:tc>
          <w:tcPr>
            <w:tcW w:w="1513" w:type="dxa"/>
            <w:vAlign w:val="center"/>
          </w:tcPr>
          <w:p w14:paraId="41071DDB">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03C2A8B4">
            <w:pPr>
              <w:jc w:val="center"/>
              <w:rPr>
                <w:rFonts w:hint="eastAsia" w:ascii="宋体" w:hAnsi="宋体" w:cs="宋体"/>
                <w:sz w:val="24"/>
                <w:szCs w:val="24"/>
              </w:rPr>
            </w:pPr>
          </w:p>
        </w:tc>
      </w:tr>
      <w:tr w14:paraId="3D275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Merge w:val="continue"/>
            <w:vAlign w:val="center"/>
          </w:tcPr>
          <w:p w14:paraId="0F43F418">
            <w:pPr>
              <w:jc w:val="center"/>
              <w:rPr>
                <w:rFonts w:hint="eastAsia" w:ascii="宋体" w:hAnsi="宋体" w:cs="宋体"/>
                <w:sz w:val="24"/>
                <w:szCs w:val="24"/>
              </w:rPr>
            </w:pPr>
          </w:p>
        </w:tc>
        <w:tc>
          <w:tcPr>
            <w:tcW w:w="2059" w:type="dxa"/>
            <w:vMerge w:val="continue"/>
            <w:vAlign w:val="center"/>
          </w:tcPr>
          <w:p w14:paraId="4ED0C7E7">
            <w:pPr>
              <w:jc w:val="center"/>
              <w:rPr>
                <w:rFonts w:hint="eastAsia" w:ascii="宋体" w:hAnsi="宋体" w:cs="宋体"/>
                <w:sz w:val="24"/>
                <w:szCs w:val="24"/>
              </w:rPr>
            </w:pPr>
          </w:p>
        </w:tc>
        <w:tc>
          <w:tcPr>
            <w:tcW w:w="3532" w:type="dxa"/>
            <w:vAlign w:val="center"/>
          </w:tcPr>
          <w:p w14:paraId="2FBB71AE">
            <w:pPr>
              <w:jc w:val="center"/>
              <w:rPr>
                <w:rFonts w:hint="eastAsia" w:ascii="宋体" w:hAnsi="宋体" w:cs="宋体"/>
                <w:sz w:val="24"/>
                <w:szCs w:val="24"/>
              </w:rPr>
            </w:pPr>
            <w:r>
              <w:rPr>
                <w:rFonts w:hint="eastAsia" w:ascii="宋体" w:hAnsi="宋体" w:cs="宋体"/>
                <w:sz w:val="24"/>
                <w:szCs w:val="24"/>
              </w:rPr>
              <w:t>微型水站机柜</w:t>
            </w:r>
          </w:p>
        </w:tc>
        <w:tc>
          <w:tcPr>
            <w:tcW w:w="1513" w:type="dxa"/>
            <w:vAlign w:val="center"/>
          </w:tcPr>
          <w:p w14:paraId="789D619D">
            <w:pPr>
              <w:jc w:val="center"/>
              <w:rPr>
                <w:rFonts w:hint="eastAsia" w:ascii="宋体" w:hAnsi="宋体" w:cs="宋体"/>
                <w:sz w:val="24"/>
                <w:szCs w:val="24"/>
              </w:rPr>
            </w:pPr>
            <w:r>
              <w:rPr>
                <w:rFonts w:hint="eastAsia" w:ascii="宋体" w:hAnsi="宋体" w:cs="宋体"/>
                <w:sz w:val="24"/>
                <w:szCs w:val="24"/>
              </w:rPr>
              <w:t>2套</w:t>
            </w:r>
          </w:p>
        </w:tc>
        <w:tc>
          <w:tcPr>
            <w:tcW w:w="2073" w:type="dxa"/>
            <w:vMerge w:val="continue"/>
            <w:vAlign w:val="center"/>
          </w:tcPr>
          <w:p w14:paraId="14D69BB2">
            <w:pPr>
              <w:jc w:val="center"/>
              <w:rPr>
                <w:rFonts w:hint="eastAsia" w:ascii="宋体" w:hAnsi="宋体" w:cs="宋体"/>
                <w:sz w:val="24"/>
                <w:szCs w:val="24"/>
              </w:rPr>
            </w:pPr>
          </w:p>
        </w:tc>
      </w:tr>
      <w:tr w14:paraId="7D488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1009" w:type="dxa"/>
            <w:vAlign w:val="center"/>
          </w:tcPr>
          <w:p w14:paraId="0CDAE72C">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5591" w:type="dxa"/>
            <w:gridSpan w:val="2"/>
            <w:vAlign w:val="center"/>
          </w:tcPr>
          <w:p w14:paraId="49DA072E">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视频监控</w:t>
            </w:r>
          </w:p>
        </w:tc>
        <w:tc>
          <w:tcPr>
            <w:tcW w:w="1513" w:type="dxa"/>
            <w:vAlign w:val="center"/>
          </w:tcPr>
          <w:p w14:paraId="47D91070">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2套</w:t>
            </w:r>
          </w:p>
        </w:tc>
        <w:tc>
          <w:tcPr>
            <w:tcW w:w="2073" w:type="dxa"/>
            <w:vAlign w:val="center"/>
          </w:tcPr>
          <w:p w14:paraId="470A6704">
            <w:pPr>
              <w:jc w:val="center"/>
              <w:rPr>
                <w:rFonts w:hint="eastAsia" w:ascii="宋体" w:hAnsi="宋体" w:cs="宋体"/>
                <w:color w:val="auto"/>
                <w:sz w:val="24"/>
                <w:szCs w:val="24"/>
                <w:lang w:val="en-US" w:eastAsia="zh-CN"/>
              </w:rPr>
            </w:pPr>
          </w:p>
        </w:tc>
      </w:tr>
      <w:tr w14:paraId="69403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atLeast"/>
          <w:jc w:val="center"/>
        </w:trPr>
        <w:tc>
          <w:tcPr>
            <w:tcW w:w="1009" w:type="dxa"/>
            <w:vAlign w:val="center"/>
          </w:tcPr>
          <w:p w14:paraId="6C388189">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5591" w:type="dxa"/>
            <w:gridSpan w:val="2"/>
            <w:vAlign w:val="center"/>
          </w:tcPr>
          <w:p w14:paraId="1EA820A8">
            <w:pPr>
              <w:jc w:val="center"/>
              <w:rPr>
                <w:rFonts w:hint="eastAsia" w:ascii="宋体" w:hAnsi="宋体" w:cs="宋体"/>
                <w:sz w:val="24"/>
                <w:szCs w:val="24"/>
              </w:rPr>
            </w:pPr>
            <w:r>
              <w:rPr>
                <w:rFonts w:hint="eastAsia" w:ascii="宋体" w:hAnsi="宋体" w:cs="宋体"/>
                <w:sz w:val="24"/>
                <w:szCs w:val="24"/>
              </w:rPr>
              <w:t>流量计</w:t>
            </w:r>
          </w:p>
        </w:tc>
        <w:tc>
          <w:tcPr>
            <w:tcW w:w="1513" w:type="dxa"/>
            <w:vAlign w:val="center"/>
          </w:tcPr>
          <w:p w14:paraId="78A2432C">
            <w:pPr>
              <w:jc w:val="center"/>
              <w:rPr>
                <w:rFonts w:hint="eastAsia" w:ascii="宋体" w:hAnsi="宋体" w:cs="宋体"/>
                <w:sz w:val="24"/>
                <w:szCs w:val="24"/>
              </w:rPr>
            </w:pPr>
            <w:r>
              <w:rPr>
                <w:rFonts w:hint="eastAsia" w:ascii="宋体" w:hAnsi="宋体" w:cs="宋体"/>
                <w:sz w:val="24"/>
                <w:szCs w:val="24"/>
              </w:rPr>
              <w:t>5套</w:t>
            </w:r>
          </w:p>
        </w:tc>
        <w:tc>
          <w:tcPr>
            <w:tcW w:w="2073" w:type="dxa"/>
            <w:vAlign w:val="center"/>
          </w:tcPr>
          <w:p w14:paraId="7C8D744B">
            <w:pPr>
              <w:jc w:val="center"/>
              <w:rPr>
                <w:rFonts w:hint="eastAsia" w:ascii="宋体" w:hAnsi="宋体" w:cs="宋体"/>
                <w:sz w:val="24"/>
                <w:szCs w:val="24"/>
              </w:rPr>
            </w:pPr>
          </w:p>
        </w:tc>
      </w:tr>
      <w:bookmarkEnd w:id="338"/>
    </w:tbl>
    <w:p w14:paraId="27D9EA1E">
      <w:pPr>
        <w:spacing w:line="360" w:lineRule="auto"/>
        <w:ind w:firstLine="420"/>
        <w:rPr>
          <w:rFonts w:hint="eastAsia" w:ascii="宋体" w:hAnsi="宋体" w:cs="宋体"/>
          <w:b/>
          <w:bCs/>
          <w:sz w:val="24"/>
          <w:szCs w:val="24"/>
          <w:lang w:val="en-US" w:eastAsia="zh-CN"/>
        </w:rPr>
      </w:pPr>
      <w:bookmarkStart w:id="341" w:name="_Toc132653372"/>
      <w:r>
        <w:rPr>
          <w:rFonts w:hint="eastAsia" w:ascii="宋体" w:hAnsi="宋体" w:cs="宋体"/>
          <w:b/>
          <w:bCs/>
          <w:sz w:val="24"/>
          <w:szCs w:val="24"/>
          <w:lang w:val="en-US" w:eastAsia="zh-CN"/>
        </w:rPr>
        <w:t>注：本项目的核心产品为</w:t>
      </w:r>
      <w:bookmarkStart w:id="342" w:name="_Toc32323"/>
      <w:r>
        <w:rPr>
          <w:rFonts w:hint="eastAsia" w:ascii="宋体" w:hAnsi="宋体" w:cs="宋体"/>
          <w:b/>
          <w:bCs/>
          <w:sz w:val="24"/>
          <w:szCs w:val="24"/>
          <w:lang w:val="en-US" w:eastAsia="zh-CN"/>
        </w:rPr>
        <w:t>五参数水质自动分析仪。</w:t>
      </w:r>
    </w:p>
    <w:p w14:paraId="2A2549FD">
      <w:pPr>
        <w:spacing w:line="360" w:lineRule="auto"/>
        <w:rPr>
          <w:rFonts w:hint="eastAsia" w:ascii="宋体" w:hAnsi="宋体" w:cs="宋体"/>
          <w:b/>
          <w:bCs/>
          <w:sz w:val="28"/>
        </w:rPr>
      </w:pPr>
    </w:p>
    <w:p w14:paraId="12C623FE">
      <w:pPr>
        <w:spacing w:line="360" w:lineRule="auto"/>
        <w:rPr>
          <w:rFonts w:hint="eastAsia" w:ascii="宋体" w:hAnsi="宋体" w:cs="宋体"/>
          <w:b/>
          <w:bCs/>
          <w:sz w:val="28"/>
        </w:rPr>
      </w:pPr>
      <w:r>
        <w:rPr>
          <w:rFonts w:hint="eastAsia" w:ascii="宋体" w:hAnsi="宋体" w:cs="宋体"/>
          <w:b/>
          <w:bCs/>
          <w:sz w:val="28"/>
        </w:rPr>
        <w:t>三、技术性能参数要求：</w:t>
      </w:r>
      <w:bookmarkEnd w:id="341"/>
      <w:bookmarkEnd w:id="342"/>
      <w:bookmarkStart w:id="343" w:name="_Toc24629"/>
      <w:bookmarkStart w:id="344" w:name="_Toc26233"/>
      <w:bookmarkStart w:id="345" w:name="_Toc22273"/>
      <w:bookmarkStart w:id="346" w:name="_Toc16870"/>
      <w:bookmarkStart w:id="347" w:name="_Toc28456"/>
      <w:bookmarkStart w:id="348" w:name="_Toc30176"/>
    </w:p>
    <w:p w14:paraId="52C440E1">
      <w:pPr>
        <w:pStyle w:val="370"/>
        <w:spacing w:line="440" w:lineRule="exact"/>
        <w:rPr>
          <w:rFonts w:hAnsi="宋体" w:eastAsia="宋体" w:cs="宋体"/>
          <w:b/>
          <w:sz w:val="24"/>
          <w:szCs w:val="24"/>
        </w:rPr>
      </w:pPr>
      <w:bookmarkStart w:id="349" w:name="_Toc115443339"/>
      <w:bookmarkStart w:id="350" w:name="_Toc132653373"/>
      <w:r>
        <w:rPr>
          <w:rFonts w:hAnsi="宋体" w:eastAsia="宋体" w:cs="宋体"/>
          <w:b/>
          <w:sz w:val="24"/>
          <w:szCs w:val="24"/>
        </w:rPr>
        <w:t>（一）总体要求：</w:t>
      </w:r>
      <w:bookmarkEnd w:id="343"/>
      <w:bookmarkEnd w:id="344"/>
      <w:bookmarkEnd w:id="345"/>
      <w:bookmarkEnd w:id="346"/>
      <w:bookmarkEnd w:id="347"/>
      <w:bookmarkEnd w:id="348"/>
      <w:bookmarkEnd w:id="349"/>
      <w:bookmarkEnd w:id="350"/>
    </w:p>
    <w:p w14:paraId="1FB4D11A">
      <w:pPr>
        <w:spacing w:line="360" w:lineRule="auto"/>
        <w:ind w:firstLine="420"/>
        <w:rPr>
          <w:rFonts w:hint="eastAsia" w:ascii="宋体" w:hAnsi="宋体" w:cs="宋体"/>
          <w:sz w:val="24"/>
          <w:szCs w:val="24"/>
        </w:rPr>
      </w:pPr>
      <w:bookmarkStart w:id="351" w:name="_Toc101375109"/>
      <w:bookmarkStart w:id="352" w:name="_Toc132653375"/>
      <w:bookmarkStart w:id="353" w:name="_Toc115443341"/>
      <w:r>
        <w:rPr>
          <w:rFonts w:hint="eastAsia" w:ascii="宋体" w:hAnsi="宋体" w:cs="宋体"/>
          <w:sz w:val="24"/>
          <w:szCs w:val="24"/>
        </w:rPr>
        <w:t>1、投标人必须有较强的系统集成能力，提供优质的售后服务，在业界有良好的信誉和口碑，具有地表水水质自动监测站集成经验。</w:t>
      </w:r>
    </w:p>
    <w:p w14:paraId="2CBCC191">
      <w:pPr>
        <w:spacing w:line="360" w:lineRule="auto"/>
        <w:ind w:firstLine="420"/>
        <w:rPr>
          <w:rFonts w:hint="eastAsia" w:ascii="宋体" w:hAnsi="宋体" w:cs="宋体"/>
          <w:sz w:val="24"/>
          <w:szCs w:val="24"/>
        </w:rPr>
      </w:pPr>
      <w:r>
        <w:rPr>
          <w:rFonts w:hint="eastAsia" w:ascii="宋体" w:hAnsi="宋体" w:cs="宋体"/>
          <w:sz w:val="24"/>
          <w:szCs w:val="24"/>
        </w:rPr>
        <w:t>2、中标后必须提供现场仪器设备数据通讯协议、传输协议以及开放系统数据库，便于用户对数据库软件的二次开发和利用。</w:t>
      </w:r>
    </w:p>
    <w:p w14:paraId="3B704053">
      <w:pPr>
        <w:spacing w:line="360" w:lineRule="auto"/>
        <w:ind w:firstLine="420"/>
        <w:rPr>
          <w:rFonts w:hint="eastAsia" w:ascii="宋体" w:hAnsi="宋体" w:cs="宋体"/>
          <w:sz w:val="24"/>
          <w:szCs w:val="24"/>
        </w:rPr>
      </w:pPr>
      <w:r>
        <w:rPr>
          <w:rFonts w:hint="eastAsia" w:ascii="宋体" w:hAnsi="宋体" w:cs="宋体"/>
          <w:sz w:val="24"/>
          <w:szCs w:val="24"/>
        </w:rPr>
        <w:t>3、当业主对系统进行新增参数或更新改造时，中标人须负责将新仪器接入原系统。</w:t>
      </w:r>
    </w:p>
    <w:p w14:paraId="4F2D6E97">
      <w:pPr>
        <w:spacing w:line="360" w:lineRule="auto"/>
        <w:ind w:firstLine="420"/>
        <w:rPr>
          <w:rFonts w:hint="eastAsia" w:ascii="宋体" w:hAnsi="宋体" w:cs="宋体"/>
          <w:sz w:val="24"/>
          <w:szCs w:val="24"/>
        </w:rPr>
      </w:pPr>
      <w:r>
        <w:rPr>
          <w:rFonts w:hint="eastAsia" w:ascii="宋体" w:hAnsi="宋体" w:cs="宋体"/>
          <w:sz w:val="24"/>
          <w:szCs w:val="24"/>
        </w:rPr>
        <w:t>4、投标人应提供所代表品牌厂商原装、全新的、符合国家及招标人提出的有关质量标准的仪器和设备。</w:t>
      </w:r>
    </w:p>
    <w:p w14:paraId="35857BDA">
      <w:pPr>
        <w:spacing w:line="360" w:lineRule="auto"/>
        <w:ind w:firstLine="420"/>
        <w:rPr>
          <w:rFonts w:hint="eastAsia" w:ascii="宋体" w:hAnsi="宋体" w:cs="宋体"/>
          <w:sz w:val="24"/>
          <w:szCs w:val="24"/>
        </w:rPr>
      </w:pPr>
      <w:r>
        <w:rPr>
          <w:rFonts w:hint="eastAsia" w:ascii="宋体" w:hAnsi="宋体" w:cs="宋体"/>
          <w:sz w:val="24"/>
          <w:szCs w:val="24"/>
        </w:rPr>
        <w:t>5、本项目选择仪器要求性能稳定、数据可靠。</w:t>
      </w:r>
    </w:p>
    <w:p w14:paraId="010BBCFE">
      <w:pPr>
        <w:spacing w:line="360" w:lineRule="auto"/>
        <w:ind w:firstLine="420"/>
        <w:rPr>
          <w:rFonts w:hint="eastAsia" w:ascii="宋体" w:hAnsi="宋体" w:cs="宋体"/>
          <w:sz w:val="24"/>
          <w:szCs w:val="24"/>
        </w:rPr>
      </w:pPr>
      <w:r>
        <w:rPr>
          <w:rFonts w:hint="eastAsia" w:ascii="宋体" w:hAnsi="宋体" w:cs="宋体"/>
          <w:sz w:val="24"/>
          <w:szCs w:val="24"/>
        </w:rPr>
        <w:t>6、仪器供应商提供的仪器须开放通讯协议，提供数据采集源代码，确保投标人能采集到实时数据、历史数据，并确保仪器的稳定运行。</w:t>
      </w:r>
    </w:p>
    <w:p w14:paraId="5ABD3953">
      <w:pPr>
        <w:spacing w:line="360" w:lineRule="auto"/>
        <w:ind w:firstLine="420"/>
        <w:rPr>
          <w:rFonts w:hint="eastAsia" w:ascii="宋体" w:hAnsi="宋体" w:cs="宋体"/>
          <w:sz w:val="24"/>
          <w:szCs w:val="24"/>
        </w:rPr>
      </w:pPr>
      <w:r>
        <w:rPr>
          <w:rFonts w:hint="eastAsia" w:ascii="宋体" w:hAnsi="宋体" w:cs="宋体"/>
          <w:sz w:val="24"/>
          <w:szCs w:val="24"/>
        </w:rPr>
        <w:t>7、 所提供的仪器设备的性能应达到或优于参考指标表中所列技术指标。</w:t>
      </w:r>
    </w:p>
    <w:p w14:paraId="765C4261">
      <w:pPr>
        <w:spacing w:line="360" w:lineRule="auto"/>
        <w:ind w:firstLine="420"/>
        <w:rPr>
          <w:rFonts w:hint="eastAsia" w:ascii="宋体" w:hAnsi="宋体" w:cs="宋体"/>
          <w:color w:val="auto"/>
          <w:sz w:val="24"/>
          <w:szCs w:val="24"/>
          <w:highlight w:val="none"/>
        </w:rPr>
      </w:pPr>
      <w:r>
        <w:rPr>
          <w:rFonts w:hint="eastAsia" w:ascii="宋体" w:hAnsi="宋体" w:cs="宋体"/>
          <w:sz w:val="24"/>
          <w:szCs w:val="24"/>
        </w:rPr>
        <w:t>8、 投标文件中提供各监测项目分析方</w:t>
      </w:r>
      <w:r>
        <w:rPr>
          <w:rFonts w:hint="eastAsia" w:ascii="宋体" w:hAnsi="宋体" w:cs="宋体"/>
          <w:color w:val="auto"/>
          <w:sz w:val="24"/>
          <w:szCs w:val="24"/>
          <w:highlight w:val="none"/>
        </w:rPr>
        <w:t>法的详细资料及其标准代号。</w:t>
      </w:r>
    </w:p>
    <w:p w14:paraId="47DEF9E8">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9、 投标文件中提供系统集成完整的设计方案及详细说明，所有功能的实现须有具体的设计方案。</w:t>
      </w:r>
    </w:p>
    <w:p w14:paraId="47D45BA2">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10、本项目中标人必须能够或承诺提供长期技术服务及备品备件供应。</w:t>
      </w:r>
    </w:p>
    <w:p w14:paraId="395B7BA6">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11、水质自动站需实现必要的系统反控，并对超标及异常值的信息报警发送功能。</w:t>
      </w:r>
    </w:p>
    <w:p w14:paraId="3805345F">
      <w:pPr>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★12、中标人必须提供足够保证本项目按进度实施的技术人员，配置项目负责人1人、</w:t>
      </w:r>
      <w:r>
        <w:rPr>
          <w:rFonts w:hint="eastAsia" w:ascii="宋体" w:hAnsi="宋体" w:cs="宋体"/>
          <w:color w:val="auto"/>
          <w:sz w:val="24"/>
          <w:szCs w:val="24"/>
          <w:highlight w:val="none"/>
          <w:lang w:val="en-US" w:eastAsia="zh-CN"/>
        </w:rPr>
        <w:t>专业技术人员</w:t>
      </w:r>
      <w:r>
        <w:rPr>
          <w:rFonts w:hint="eastAsia" w:ascii="宋体" w:hAnsi="宋体" w:cs="宋体"/>
          <w:color w:val="auto"/>
          <w:sz w:val="24"/>
          <w:szCs w:val="24"/>
          <w:highlight w:val="none"/>
        </w:rPr>
        <w:t>不少于</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人，各岗位人员不得兼任。</w:t>
      </w:r>
    </w:p>
    <w:p w14:paraId="0552BC3C">
      <w:pPr>
        <w:spacing w:line="360" w:lineRule="auto"/>
        <w:ind w:firstLine="240" w:firstLineChars="1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★13、中标人针对本项目提供服务专用车辆不少于2辆，配备必要的分析仪药剂费及其他消耗品</w:t>
      </w:r>
      <w:r>
        <w:rPr>
          <w:rFonts w:hint="eastAsia" w:ascii="宋体" w:hAnsi="宋体" w:cs="宋体"/>
          <w:color w:val="auto"/>
          <w:sz w:val="24"/>
          <w:szCs w:val="24"/>
          <w:highlight w:val="none"/>
          <w:lang w:eastAsia="zh-CN"/>
        </w:rPr>
        <w:t>。</w:t>
      </w:r>
    </w:p>
    <w:p w14:paraId="292B4DD6">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、中标人</w:t>
      </w:r>
      <w:r>
        <w:rPr>
          <w:rFonts w:hint="eastAsia" w:ascii="宋体" w:hAnsi="宋体" w:cs="宋体"/>
          <w:color w:val="auto"/>
          <w:sz w:val="24"/>
          <w:szCs w:val="24"/>
          <w:highlight w:val="none"/>
          <w:lang w:val="en-US" w:eastAsia="zh-CN"/>
        </w:rPr>
        <w:t>提供信息平台应具有扩展性，可以扩展到后期土壤、空气等指标监测</w:t>
      </w:r>
      <w:r>
        <w:rPr>
          <w:rFonts w:hint="eastAsia" w:ascii="宋体" w:hAnsi="宋体" w:cs="宋体"/>
          <w:color w:val="auto"/>
          <w:sz w:val="24"/>
          <w:szCs w:val="24"/>
          <w:highlight w:val="none"/>
        </w:rPr>
        <w:t>。</w:t>
      </w:r>
    </w:p>
    <w:p w14:paraId="52762A57">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（二）自动监测仪器技术要求：</w:t>
      </w:r>
    </w:p>
    <w:p w14:paraId="4E4DC8FF">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1）自动监测仪器分析方法：</w:t>
      </w:r>
    </w:p>
    <w:p w14:paraId="7E486C22">
      <w:pPr>
        <w:spacing w:line="360" w:lineRule="auto"/>
        <w:ind w:firstLine="420"/>
        <w:rPr>
          <w:rFonts w:hint="eastAsia" w:ascii="宋体" w:hAnsi="宋体" w:cs="宋体"/>
          <w:sz w:val="24"/>
          <w:szCs w:val="24"/>
        </w:rPr>
      </w:pPr>
      <w:r>
        <w:rPr>
          <w:rFonts w:hint="eastAsia" w:ascii="宋体" w:hAnsi="宋体" w:cs="宋体"/>
          <w:color w:val="auto"/>
          <w:sz w:val="24"/>
          <w:szCs w:val="24"/>
          <w:highlight w:val="none"/>
        </w:rPr>
        <w:t>自动监测仪器的测量原理必须符合中国国家标准分析方法、中国环保行业分析方法或等同的或相近的其他国家的标准分析方法。水质自动监测站监测仪</w:t>
      </w:r>
      <w:r>
        <w:rPr>
          <w:rFonts w:hint="eastAsia" w:ascii="宋体" w:hAnsi="宋体" w:cs="宋体"/>
          <w:sz w:val="24"/>
          <w:szCs w:val="24"/>
        </w:rPr>
        <w:t>器应使用如下方法（见下表）。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535"/>
        <w:gridCol w:w="5358"/>
      </w:tblGrid>
      <w:tr w14:paraId="2E873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865" w:type="dxa"/>
            <w:vAlign w:val="center"/>
          </w:tcPr>
          <w:p w14:paraId="41EE2833">
            <w:pPr>
              <w:jc w:val="center"/>
              <w:rPr>
                <w:rFonts w:hint="eastAsia" w:ascii="宋体" w:hAnsi="宋体" w:cs="宋体"/>
                <w:sz w:val="24"/>
                <w:szCs w:val="24"/>
              </w:rPr>
            </w:pPr>
            <w:r>
              <w:rPr>
                <w:rFonts w:hint="eastAsia" w:ascii="宋体" w:hAnsi="宋体" w:cs="宋体"/>
                <w:sz w:val="24"/>
                <w:szCs w:val="24"/>
              </w:rPr>
              <w:t>序号</w:t>
            </w:r>
          </w:p>
        </w:tc>
        <w:tc>
          <w:tcPr>
            <w:tcW w:w="2535" w:type="dxa"/>
            <w:vAlign w:val="center"/>
          </w:tcPr>
          <w:p w14:paraId="2618ED64">
            <w:pPr>
              <w:jc w:val="center"/>
              <w:rPr>
                <w:rFonts w:hint="eastAsia" w:ascii="宋体" w:hAnsi="宋体" w:cs="宋体"/>
                <w:sz w:val="24"/>
                <w:szCs w:val="24"/>
              </w:rPr>
            </w:pPr>
            <w:r>
              <w:rPr>
                <w:rFonts w:hint="eastAsia" w:ascii="宋体" w:hAnsi="宋体" w:cs="宋体"/>
                <w:sz w:val="24"/>
                <w:szCs w:val="24"/>
              </w:rPr>
              <w:t>项目</w:t>
            </w:r>
          </w:p>
        </w:tc>
        <w:tc>
          <w:tcPr>
            <w:tcW w:w="5358" w:type="dxa"/>
            <w:vAlign w:val="center"/>
          </w:tcPr>
          <w:p w14:paraId="260F1F5B">
            <w:pPr>
              <w:jc w:val="center"/>
              <w:rPr>
                <w:rFonts w:hint="eastAsia" w:ascii="宋体" w:hAnsi="宋体" w:cs="宋体"/>
                <w:sz w:val="24"/>
                <w:szCs w:val="24"/>
              </w:rPr>
            </w:pPr>
            <w:r>
              <w:rPr>
                <w:rFonts w:hint="eastAsia" w:ascii="宋体" w:hAnsi="宋体" w:cs="宋体"/>
                <w:sz w:val="24"/>
                <w:szCs w:val="24"/>
              </w:rPr>
              <w:t>方法</w:t>
            </w:r>
          </w:p>
        </w:tc>
      </w:tr>
      <w:tr w14:paraId="651A2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865" w:type="dxa"/>
            <w:vAlign w:val="center"/>
          </w:tcPr>
          <w:p w14:paraId="48F66E10">
            <w:pPr>
              <w:jc w:val="center"/>
              <w:rPr>
                <w:rFonts w:hint="eastAsia" w:ascii="宋体" w:hAnsi="宋体" w:cs="宋体"/>
                <w:sz w:val="24"/>
                <w:szCs w:val="24"/>
              </w:rPr>
            </w:pPr>
            <w:r>
              <w:rPr>
                <w:rFonts w:hint="eastAsia" w:ascii="宋体" w:hAnsi="宋体" w:cs="宋体"/>
                <w:sz w:val="24"/>
                <w:szCs w:val="24"/>
              </w:rPr>
              <w:t>1</w:t>
            </w:r>
          </w:p>
        </w:tc>
        <w:tc>
          <w:tcPr>
            <w:tcW w:w="2535" w:type="dxa"/>
            <w:vAlign w:val="center"/>
          </w:tcPr>
          <w:p w14:paraId="6AB4E6A3">
            <w:pPr>
              <w:jc w:val="center"/>
              <w:rPr>
                <w:rFonts w:hint="eastAsia" w:ascii="宋体" w:hAnsi="宋体" w:cs="宋体"/>
                <w:sz w:val="24"/>
                <w:szCs w:val="24"/>
              </w:rPr>
            </w:pPr>
            <w:r>
              <w:rPr>
                <w:rFonts w:hint="eastAsia" w:ascii="宋体" w:hAnsi="宋体" w:cs="宋体"/>
                <w:sz w:val="24"/>
                <w:szCs w:val="24"/>
              </w:rPr>
              <w:t>温度</w:t>
            </w:r>
          </w:p>
        </w:tc>
        <w:tc>
          <w:tcPr>
            <w:tcW w:w="5358" w:type="dxa"/>
            <w:vAlign w:val="center"/>
          </w:tcPr>
          <w:p w14:paraId="7DE097C7">
            <w:pPr>
              <w:jc w:val="center"/>
              <w:rPr>
                <w:rFonts w:hint="eastAsia" w:ascii="宋体" w:hAnsi="宋体" w:cs="宋体"/>
                <w:sz w:val="24"/>
                <w:szCs w:val="24"/>
              </w:rPr>
            </w:pPr>
            <w:r>
              <w:rPr>
                <w:rFonts w:hint="eastAsia" w:ascii="宋体" w:hAnsi="宋体" w:cs="宋体"/>
                <w:sz w:val="24"/>
                <w:szCs w:val="24"/>
              </w:rPr>
              <w:t>热电阻或热电偶</w:t>
            </w:r>
          </w:p>
        </w:tc>
      </w:tr>
      <w:tr w14:paraId="58C5B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7D19BEFE">
            <w:pPr>
              <w:jc w:val="center"/>
              <w:rPr>
                <w:rFonts w:hint="eastAsia" w:ascii="宋体" w:hAnsi="宋体" w:cs="宋体"/>
                <w:sz w:val="24"/>
                <w:szCs w:val="24"/>
              </w:rPr>
            </w:pPr>
            <w:r>
              <w:rPr>
                <w:rFonts w:hint="eastAsia" w:ascii="宋体" w:hAnsi="宋体" w:cs="宋体"/>
                <w:sz w:val="24"/>
                <w:szCs w:val="24"/>
              </w:rPr>
              <w:t>2</w:t>
            </w:r>
          </w:p>
        </w:tc>
        <w:tc>
          <w:tcPr>
            <w:tcW w:w="2535" w:type="dxa"/>
            <w:vAlign w:val="center"/>
          </w:tcPr>
          <w:p w14:paraId="6D3AFB76">
            <w:pPr>
              <w:jc w:val="center"/>
              <w:rPr>
                <w:rFonts w:hint="eastAsia" w:ascii="宋体" w:hAnsi="宋体" w:cs="宋体"/>
                <w:sz w:val="24"/>
                <w:szCs w:val="24"/>
              </w:rPr>
            </w:pPr>
            <w:r>
              <w:rPr>
                <w:rFonts w:hint="eastAsia" w:ascii="宋体" w:hAnsi="宋体" w:cs="宋体"/>
                <w:sz w:val="24"/>
                <w:szCs w:val="24"/>
              </w:rPr>
              <w:t>PH</w:t>
            </w:r>
          </w:p>
        </w:tc>
        <w:tc>
          <w:tcPr>
            <w:tcW w:w="5358" w:type="dxa"/>
            <w:vAlign w:val="center"/>
          </w:tcPr>
          <w:p w14:paraId="4676FB38">
            <w:pPr>
              <w:jc w:val="center"/>
              <w:rPr>
                <w:rFonts w:hint="eastAsia" w:ascii="宋体" w:hAnsi="宋体" w:cs="宋体"/>
                <w:sz w:val="24"/>
                <w:szCs w:val="24"/>
              </w:rPr>
            </w:pPr>
            <w:r>
              <w:rPr>
                <w:rFonts w:hint="eastAsia" w:ascii="宋体" w:hAnsi="宋体" w:cs="宋体"/>
                <w:sz w:val="24"/>
                <w:szCs w:val="24"/>
              </w:rPr>
              <w:t>玻璃电极法</w:t>
            </w:r>
          </w:p>
        </w:tc>
      </w:tr>
      <w:tr w14:paraId="21ECB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37A2E207">
            <w:pPr>
              <w:jc w:val="center"/>
              <w:rPr>
                <w:rFonts w:hint="eastAsia" w:ascii="宋体" w:hAnsi="宋体" w:cs="宋体"/>
                <w:sz w:val="24"/>
                <w:szCs w:val="24"/>
              </w:rPr>
            </w:pPr>
            <w:r>
              <w:rPr>
                <w:rFonts w:hint="eastAsia" w:ascii="宋体" w:hAnsi="宋体" w:cs="宋体"/>
                <w:sz w:val="24"/>
                <w:szCs w:val="24"/>
              </w:rPr>
              <w:t>3</w:t>
            </w:r>
          </w:p>
        </w:tc>
        <w:tc>
          <w:tcPr>
            <w:tcW w:w="2535" w:type="dxa"/>
            <w:vAlign w:val="center"/>
          </w:tcPr>
          <w:p w14:paraId="10DF1BCB">
            <w:pPr>
              <w:jc w:val="center"/>
              <w:rPr>
                <w:rFonts w:hint="eastAsia" w:ascii="宋体" w:hAnsi="宋体" w:cs="宋体"/>
                <w:sz w:val="24"/>
                <w:szCs w:val="24"/>
              </w:rPr>
            </w:pPr>
            <w:r>
              <w:rPr>
                <w:rFonts w:hint="eastAsia" w:ascii="宋体" w:hAnsi="宋体" w:cs="宋体"/>
                <w:sz w:val="24"/>
                <w:szCs w:val="24"/>
              </w:rPr>
              <w:t>浊度</w:t>
            </w:r>
          </w:p>
        </w:tc>
        <w:tc>
          <w:tcPr>
            <w:tcW w:w="5358" w:type="dxa"/>
            <w:vAlign w:val="center"/>
          </w:tcPr>
          <w:p w14:paraId="28466243">
            <w:pPr>
              <w:jc w:val="center"/>
              <w:rPr>
                <w:rFonts w:hint="eastAsia" w:ascii="宋体" w:hAnsi="宋体" w:cs="宋体"/>
                <w:sz w:val="24"/>
                <w:szCs w:val="24"/>
              </w:rPr>
            </w:pPr>
            <w:r>
              <w:rPr>
                <w:rFonts w:hint="eastAsia" w:ascii="宋体" w:hAnsi="宋体" w:cs="宋体"/>
                <w:sz w:val="24"/>
                <w:szCs w:val="24"/>
              </w:rPr>
              <w:t>光散射法</w:t>
            </w:r>
          </w:p>
        </w:tc>
      </w:tr>
      <w:tr w14:paraId="1820D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56C0628C">
            <w:pPr>
              <w:jc w:val="center"/>
              <w:rPr>
                <w:rFonts w:hint="eastAsia" w:ascii="宋体" w:hAnsi="宋体" w:cs="宋体"/>
                <w:sz w:val="24"/>
                <w:szCs w:val="24"/>
              </w:rPr>
            </w:pPr>
            <w:r>
              <w:rPr>
                <w:rFonts w:hint="eastAsia" w:ascii="宋体" w:hAnsi="宋体" w:cs="宋体"/>
                <w:sz w:val="24"/>
                <w:szCs w:val="24"/>
              </w:rPr>
              <w:t>4</w:t>
            </w:r>
          </w:p>
        </w:tc>
        <w:tc>
          <w:tcPr>
            <w:tcW w:w="2535" w:type="dxa"/>
            <w:vAlign w:val="center"/>
          </w:tcPr>
          <w:p w14:paraId="04F64C29">
            <w:pPr>
              <w:jc w:val="center"/>
              <w:rPr>
                <w:rFonts w:hint="eastAsia" w:ascii="宋体" w:hAnsi="宋体" w:cs="宋体"/>
                <w:sz w:val="24"/>
                <w:szCs w:val="24"/>
              </w:rPr>
            </w:pPr>
            <w:r>
              <w:rPr>
                <w:rFonts w:hint="eastAsia" w:ascii="宋体" w:hAnsi="宋体" w:cs="宋体"/>
                <w:sz w:val="24"/>
                <w:szCs w:val="24"/>
              </w:rPr>
              <w:t>溶解氧</w:t>
            </w:r>
          </w:p>
        </w:tc>
        <w:tc>
          <w:tcPr>
            <w:tcW w:w="5358" w:type="dxa"/>
            <w:vAlign w:val="center"/>
          </w:tcPr>
          <w:p w14:paraId="223A0922">
            <w:pPr>
              <w:jc w:val="center"/>
              <w:rPr>
                <w:rFonts w:hint="eastAsia" w:ascii="宋体" w:hAnsi="宋体" w:cs="宋体"/>
                <w:sz w:val="24"/>
                <w:szCs w:val="24"/>
              </w:rPr>
            </w:pPr>
            <w:r>
              <w:rPr>
                <w:rFonts w:hint="eastAsia" w:ascii="宋体" w:hAnsi="宋体" w:cs="宋体"/>
                <w:sz w:val="24"/>
                <w:szCs w:val="24"/>
              </w:rPr>
              <w:t>荧光法</w:t>
            </w:r>
          </w:p>
        </w:tc>
      </w:tr>
      <w:tr w14:paraId="370BD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0553D246">
            <w:pPr>
              <w:jc w:val="center"/>
              <w:rPr>
                <w:rFonts w:hint="eastAsia" w:ascii="宋体" w:hAnsi="宋体" w:cs="宋体"/>
                <w:sz w:val="24"/>
                <w:szCs w:val="24"/>
              </w:rPr>
            </w:pPr>
            <w:r>
              <w:rPr>
                <w:rFonts w:hint="eastAsia" w:ascii="宋体" w:hAnsi="宋体" w:cs="宋体"/>
                <w:sz w:val="24"/>
                <w:szCs w:val="24"/>
              </w:rPr>
              <w:t>5</w:t>
            </w:r>
          </w:p>
        </w:tc>
        <w:tc>
          <w:tcPr>
            <w:tcW w:w="2535" w:type="dxa"/>
            <w:vAlign w:val="center"/>
          </w:tcPr>
          <w:p w14:paraId="26D58050">
            <w:pPr>
              <w:jc w:val="center"/>
              <w:rPr>
                <w:rFonts w:hint="eastAsia" w:ascii="宋体" w:hAnsi="宋体" w:cs="宋体"/>
                <w:sz w:val="24"/>
                <w:szCs w:val="24"/>
              </w:rPr>
            </w:pPr>
            <w:r>
              <w:rPr>
                <w:rFonts w:hint="eastAsia" w:ascii="宋体" w:hAnsi="宋体" w:cs="宋体"/>
                <w:sz w:val="24"/>
                <w:szCs w:val="24"/>
              </w:rPr>
              <w:t>电导率</w:t>
            </w:r>
          </w:p>
        </w:tc>
        <w:tc>
          <w:tcPr>
            <w:tcW w:w="5358" w:type="dxa"/>
            <w:vAlign w:val="center"/>
          </w:tcPr>
          <w:p w14:paraId="337F553E">
            <w:pPr>
              <w:jc w:val="center"/>
              <w:rPr>
                <w:rFonts w:hint="eastAsia" w:ascii="宋体" w:hAnsi="宋体" w:cs="宋体"/>
                <w:sz w:val="24"/>
                <w:szCs w:val="24"/>
              </w:rPr>
            </w:pPr>
            <w:r>
              <w:rPr>
                <w:rFonts w:hint="eastAsia" w:ascii="宋体" w:hAnsi="宋体" w:cs="宋体"/>
                <w:sz w:val="24"/>
                <w:szCs w:val="24"/>
              </w:rPr>
              <w:t>电极法</w:t>
            </w:r>
          </w:p>
        </w:tc>
      </w:tr>
      <w:tr w14:paraId="0BD1E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0C584052">
            <w:pPr>
              <w:jc w:val="center"/>
              <w:rPr>
                <w:rFonts w:hint="eastAsia" w:ascii="宋体" w:hAnsi="宋体" w:cs="宋体"/>
                <w:sz w:val="24"/>
                <w:szCs w:val="24"/>
              </w:rPr>
            </w:pPr>
            <w:r>
              <w:rPr>
                <w:rFonts w:hint="eastAsia" w:ascii="宋体" w:hAnsi="宋体" w:cs="宋体"/>
                <w:sz w:val="24"/>
                <w:szCs w:val="24"/>
              </w:rPr>
              <w:t>6</w:t>
            </w:r>
          </w:p>
        </w:tc>
        <w:tc>
          <w:tcPr>
            <w:tcW w:w="2535" w:type="dxa"/>
            <w:vAlign w:val="center"/>
          </w:tcPr>
          <w:p w14:paraId="1CCAFFF4">
            <w:pPr>
              <w:jc w:val="center"/>
              <w:rPr>
                <w:rFonts w:hint="eastAsia" w:ascii="宋体" w:hAnsi="宋体" w:cs="宋体"/>
                <w:sz w:val="24"/>
                <w:szCs w:val="24"/>
              </w:rPr>
            </w:pPr>
            <w:r>
              <w:rPr>
                <w:rFonts w:hint="eastAsia" w:ascii="宋体" w:hAnsi="宋体" w:cs="宋体"/>
                <w:sz w:val="24"/>
                <w:szCs w:val="24"/>
              </w:rPr>
              <w:t>氨氮</w:t>
            </w:r>
          </w:p>
        </w:tc>
        <w:tc>
          <w:tcPr>
            <w:tcW w:w="5358" w:type="dxa"/>
            <w:vAlign w:val="center"/>
          </w:tcPr>
          <w:p w14:paraId="520E2733">
            <w:pPr>
              <w:jc w:val="center"/>
              <w:rPr>
                <w:rFonts w:hint="eastAsia" w:ascii="宋体" w:hAnsi="宋体" w:cs="宋体"/>
                <w:sz w:val="24"/>
                <w:szCs w:val="24"/>
              </w:rPr>
            </w:pPr>
            <w:r>
              <w:rPr>
                <w:rFonts w:hint="eastAsia" w:ascii="宋体" w:hAnsi="宋体" w:cs="宋体"/>
                <w:sz w:val="24"/>
                <w:szCs w:val="24"/>
              </w:rPr>
              <w:t>水杨酸分光光度法</w:t>
            </w:r>
          </w:p>
        </w:tc>
      </w:tr>
      <w:tr w14:paraId="127E2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3400832B">
            <w:pPr>
              <w:jc w:val="center"/>
              <w:rPr>
                <w:rFonts w:hint="eastAsia" w:ascii="宋体" w:hAnsi="宋体" w:cs="宋体"/>
                <w:sz w:val="24"/>
                <w:szCs w:val="24"/>
              </w:rPr>
            </w:pPr>
            <w:r>
              <w:rPr>
                <w:rFonts w:hint="eastAsia" w:ascii="宋体" w:hAnsi="宋体" w:cs="宋体"/>
                <w:sz w:val="24"/>
                <w:szCs w:val="24"/>
              </w:rPr>
              <w:t>7</w:t>
            </w:r>
          </w:p>
        </w:tc>
        <w:tc>
          <w:tcPr>
            <w:tcW w:w="2535" w:type="dxa"/>
            <w:vAlign w:val="center"/>
          </w:tcPr>
          <w:p w14:paraId="455367CD">
            <w:pPr>
              <w:jc w:val="center"/>
              <w:rPr>
                <w:rFonts w:hint="eastAsia" w:ascii="宋体" w:hAnsi="宋体" w:cs="宋体"/>
                <w:sz w:val="24"/>
                <w:szCs w:val="24"/>
              </w:rPr>
            </w:pPr>
            <w:r>
              <w:rPr>
                <w:rFonts w:hint="eastAsia" w:ascii="宋体" w:hAnsi="宋体" w:cs="宋体"/>
                <w:sz w:val="24"/>
                <w:szCs w:val="24"/>
              </w:rPr>
              <w:t>总磷</w:t>
            </w:r>
          </w:p>
        </w:tc>
        <w:tc>
          <w:tcPr>
            <w:tcW w:w="5358" w:type="dxa"/>
            <w:vAlign w:val="center"/>
          </w:tcPr>
          <w:p w14:paraId="72B60E5D">
            <w:pPr>
              <w:jc w:val="center"/>
              <w:rPr>
                <w:rFonts w:hint="eastAsia" w:ascii="宋体" w:hAnsi="宋体" w:cs="宋体"/>
                <w:sz w:val="24"/>
                <w:szCs w:val="24"/>
              </w:rPr>
            </w:pPr>
            <w:r>
              <w:rPr>
                <w:rFonts w:hint="eastAsia" w:ascii="宋体" w:hAnsi="宋体" w:cs="宋体"/>
                <w:sz w:val="24"/>
                <w:szCs w:val="24"/>
              </w:rPr>
              <w:t>钼酸铵分光光度法</w:t>
            </w:r>
          </w:p>
        </w:tc>
      </w:tr>
      <w:tr w14:paraId="56FE6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865" w:type="dxa"/>
            <w:vAlign w:val="center"/>
          </w:tcPr>
          <w:p w14:paraId="589BF196">
            <w:pPr>
              <w:jc w:val="center"/>
              <w:rPr>
                <w:rFonts w:hint="eastAsia" w:ascii="宋体" w:hAnsi="宋体" w:cs="宋体"/>
                <w:sz w:val="24"/>
                <w:szCs w:val="24"/>
              </w:rPr>
            </w:pPr>
            <w:r>
              <w:rPr>
                <w:rFonts w:hint="eastAsia" w:ascii="宋体" w:hAnsi="宋体" w:cs="宋体"/>
                <w:sz w:val="24"/>
                <w:szCs w:val="24"/>
              </w:rPr>
              <w:t>8</w:t>
            </w:r>
          </w:p>
        </w:tc>
        <w:tc>
          <w:tcPr>
            <w:tcW w:w="2535" w:type="dxa"/>
            <w:vAlign w:val="center"/>
          </w:tcPr>
          <w:p w14:paraId="08B2D83E">
            <w:pPr>
              <w:jc w:val="center"/>
              <w:rPr>
                <w:rFonts w:hint="eastAsia" w:ascii="宋体" w:hAnsi="宋体" w:cs="宋体"/>
                <w:sz w:val="24"/>
                <w:szCs w:val="24"/>
              </w:rPr>
            </w:pPr>
            <w:r>
              <w:rPr>
                <w:rFonts w:hint="eastAsia" w:ascii="宋体" w:hAnsi="宋体" w:cs="宋体"/>
                <w:sz w:val="24"/>
                <w:szCs w:val="24"/>
              </w:rPr>
              <w:t>总氮</w:t>
            </w:r>
          </w:p>
        </w:tc>
        <w:tc>
          <w:tcPr>
            <w:tcW w:w="5358" w:type="dxa"/>
            <w:vAlign w:val="center"/>
          </w:tcPr>
          <w:p w14:paraId="1CDA3D0B">
            <w:pPr>
              <w:jc w:val="center"/>
              <w:rPr>
                <w:rFonts w:hint="eastAsia" w:ascii="宋体" w:hAnsi="宋体" w:cs="宋体"/>
                <w:sz w:val="24"/>
                <w:szCs w:val="24"/>
              </w:rPr>
            </w:pPr>
            <w:r>
              <w:rPr>
                <w:rFonts w:hint="eastAsia" w:ascii="宋体" w:hAnsi="宋体" w:cs="宋体"/>
                <w:sz w:val="24"/>
                <w:szCs w:val="24"/>
              </w:rPr>
              <w:t>碱性过硫酸钾氧化-紫外分光光度法</w:t>
            </w:r>
          </w:p>
        </w:tc>
      </w:tr>
      <w:tr w14:paraId="168D0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65" w:type="dxa"/>
            <w:vAlign w:val="center"/>
          </w:tcPr>
          <w:p w14:paraId="43DBCD02">
            <w:pPr>
              <w:jc w:val="center"/>
              <w:rPr>
                <w:rFonts w:hint="eastAsia" w:ascii="宋体" w:hAnsi="宋体" w:cs="宋体"/>
                <w:sz w:val="24"/>
                <w:szCs w:val="24"/>
              </w:rPr>
            </w:pPr>
            <w:r>
              <w:rPr>
                <w:rFonts w:hint="eastAsia" w:ascii="宋体" w:hAnsi="宋体" w:cs="宋体"/>
                <w:sz w:val="24"/>
                <w:szCs w:val="24"/>
              </w:rPr>
              <w:t>9</w:t>
            </w:r>
          </w:p>
        </w:tc>
        <w:tc>
          <w:tcPr>
            <w:tcW w:w="2535" w:type="dxa"/>
            <w:vAlign w:val="center"/>
          </w:tcPr>
          <w:p w14:paraId="709D2851">
            <w:pPr>
              <w:jc w:val="center"/>
              <w:rPr>
                <w:rFonts w:hint="eastAsia" w:ascii="宋体" w:hAnsi="宋体" w:cs="宋体"/>
                <w:sz w:val="24"/>
                <w:szCs w:val="24"/>
              </w:rPr>
            </w:pPr>
            <w:r>
              <w:rPr>
                <w:rFonts w:hint="eastAsia" w:ascii="宋体" w:hAnsi="宋体" w:cs="宋体"/>
                <w:sz w:val="24"/>
                <w:szCs w:val="24"/>
              </w:rPr>
              <w:t>高锰酸盐指数</w:t>
            </w:r>
          </w:p>
        </w:tc>
        <w:tc>
          <w:tcPr>
            <w:tcW w:w="5358" w:type="dxa"/>
            <w:vAlign w:val="center"/>
          </w:tcPr>
          <w:p w14:paraId="3DF68EB3">
            <w:pPr>
              <w:jc w:val="center"/>
              <w:rPr>
                <w:rFonts w:hint="eastAsia" w:ascii="宋体" w:hAnsi="宋体" w:cs="宋体"/>
                <w:sz w:val="24"/>
                <w:szCs w:val="24"/>
              </w:rPr>
            </w:pPr>
            <w:r>
              <w:rPr>
                <w:rFonts w:hint="eastAsia" w:ascii="宋体" w:hAnsi="宋体" w:cs="宋体"/>
                <w:sz w:val="24"/>
                <w:szCs w:val="24"/>
              </w:rPr>
              <w:t>酸性高锰酸钾分光光度法</w:t>
            </w:r>
          </w:p>
        </w:tc>
      </w:tr>
    </w:tbl>
    <w:p w14:paraId="5339813D">
      <w:pPr>
        <w:spacing w:line="360" w:lineRule="auto"/>
        <w:ind w:firstLine="420"/>
        <w:rPr>
          <w:rFonts w:hint="eastAsia" w:ascii="宋体" w:hAnsi="宋体" w:cs="宋体"/>
          <w:sz w:val="24"/>
          <w:szCs w:val="24"/>
        </w:rPr>
      </w:pPr>
    </w:p>
    <w:p w14:paraId="5BDB5339">
      <w:pPr>
        <w:numPr>
          <w:ilvl w:val="0"/>
          <w:numId w:val="7"/>
        </w:numPr>
        <w:spacing w:line="360" w:lineRule="auto"/>
        <w:ind w:firstLine="420"/>
        <w:rPr>
          <w:rFonts w:hint="eastAsia" w:ascii="宋体" w:hAnsi="宋体" w:cs="宋体"/>
          <w:b/>
          <w:bCs/>
          <w:sz w:val="24"/>
          <w:szCs w:val="24"/>
        </w:rPr>
      </w:pPr>
      <w:r>
        <w:rPr>
          <w:rFonts w:hint="eastAsia" w:ascii="宋体" w:hAnsi="宋体" w:cs="宋体"/>
          <w:b/>
          <w:bCs/>
          <w:sz w:val="24"/>
          <w:szCs w:val="24"/>
        </w:rPr>
        <w:t>自动监测仪器技术参数要求</w:t>
      </w:r>
    </w:p>
    <w:p w14:paraId="02647A7C">
      <w:pPr>
        <w:spacing w:line="360" w:lineRule="auto"/>
        <w:ind w:firstLine="420"/>
        <w:rPr>
          <w:rFonts w:hint="eastAsia" w:ascii="宋体" w:hAnsi="宋体" w:cs="宋体"/>
          <w:sz w:val="24"/>
          <w:szCs w:val="24"/>
        </w:rPr>
      </w:pPr>
      <w:r>
        <w:rPr>
          <w:rFonts w:hint="eastAsia" w:ascii="宋体" w:hAnsi="宋体" w:cs="宋体"/>
          <w:sz w:val="24"/>
          <w:szCs w:val="24"/>
        </w:rPr>
        <w:t>（1）氨氮、总磷、总氮和高锰酸盐指数分析仪符合</w:t>
      </w:r>
      <w:r>
        <w:rPr>
          <w:rFonts w:hint="eastAsia" w:ascii="宋体" w:hAnsi="宋体" w:cs="宋体"/>
          <w:color w:val="000000"/>
          <w:sz w:val="24"/>
          <w:szCs w:val="24"/>
        </w:rPr>
        <w:t>《地表水自动监测技术规范（试行）》HJ 915-2017和《地表水水质自动监测站站房及采排水技术要求（试行）》（中国环境监测站总站2020年4月）等相关文件的要求</w:t>
      </w:r>
      <w:r>
        <w:rPr>
          <w:rFonts w:hint="eastAsia" w:ascii="宋体" w:hAnsi="宋体" w:cs="宋体"/>
          <w:sz w:val="24"/>
          <w:szCs w:val="24"/>
        </w:rPr>
        <w:t>，具有零点核查、跨度核查（量程核查）、校零校标测试等功能。</w:t>
      </w:r>
    </w:p>
    <w:p w14:paraId="14A4A820">
      <w:pPr>
        <w:spacing w:line="360" w:lineRule="auto"/>
        <w:ind w:firstLine="420"/>
        <w:rPr>
          <w:rFonts w:hint="eastAsia" w:ascii="宋体" w:hAnsi="宋体" w:cs="宋体"/>
          <w:sz w:val="24"/>
          <w:szCs w:val="24"/>
        </w:rPr>
      </w:pPr>
      <w:r>
        <w:rPr>
          <w:rFonts w:hint="eastAsia" w:ascii="宋体" w:hAnsi="宋体" w:cs="宋体"/>
          <w:sz w:val="24"/>
          <w:szCs w:val="24"/>
        </w:rPr>
        <w:t>（2）具有异常信息记录及上传功能，如零部件故障、超量程报警、超标报警、等信息。</w:t>
      </w:r>
    </w:p>
    <w:p w14:paraId="0221EA90">
      <w:pPr>
        <w:spacing w:line="360" w:lineRule="auto"/>
        <w:rPr>
          <w:rFonts w:hint="eastAsia" w:ascii="宋体" w:hAnsi="宋体" w:cs="宋体"/>
          <w:sz w:val="24"/>
          <w:szCs w:val="24"/>
        </w:rPr>
      </w:pPr>
    </w:p>
    <w:p w14:paraId="39ADD70E">
      <w:pPr>
        <w:numPr>
          <w:ilvl w:val="0"/>
          <w:numId w:val="7"/>
        </w:numPr>
        <w:spacing w:line="360" w:lineRule="auto"/>
        <w:ind w:firstLine="420"/>
        <w:rPr>
          <w:rFonts w:hint="eastAsia" w:ascii="宋体" w:hAnsi="宋体" w:cs="宋体"/>
          <w:b/>
          <w:bCs/>
          <w:sz w:val="24"/>
          <w:szCs w:val="24"/>
        </w:rPr>
      </w:pPr>
      <w:r>
        <w:rPr>
          <w:rFonts w:hint="eastAsia" w:ascii="宋体" w:hAnsi="宋体" w:cs="宋体"/>
          <w:b/>
          <w:bCs/>
          <w:sz w:val="24"/>
          <w:szCs w:val="24"/>
        </w:rPr>
        <w:t>水质自动监测站技术参数要求</w:t>
      </w:r>
    </w:p>
    <w:tbl>
      <w:tblPr>
        <w:tblStyle w:val="38"/>
        <w:tblW w:w="9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1"/>
        <w:gridCol w:w="3654"/>
        <w:gridCol w:w="16"/>
        <w:gridCol w:w="3948"/>
      </w:tblGrid>
      <w:tr w14:paraId="783D3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481" w:type="dxa"/>
          </w:tcPr>
          <w:p w14:paraId="45B0EBBB">
            <w:pPr>
              <w:pStyle w:val="375"/>
              <w:spacing w:before="86"/>
              <w:ind w:left="218" w:right="90"/>
              <w:jc w:val="center"/>
              <w:rPr>
                <w:rFonts w:hint="eastAsia"/>
                <w:sz w:val="24"/>
                <w:szCs w:val="24"/>
              </w:rPr>
            </w:pPr>
            <w:r>
              <w:rPr>
                <w:rFonts w:hint="eastAsia"/>
                <w:sz w:val="24"/>
                <w:szCs w:val="24"/>
              </w:rPr>
              <w:t xml:space="preserve">名称 </w:t>
            </w:r>
          </w:p>
        </w:tc>
        <w:tc>
          <w:tcPr>
            <w:tcW w:w="7618" w:type="dxa"/>
            <w:gridSpan w:val="3"/>
          </w:tcPr>
          <w:p w14:paraId="52D9927E">
            <w:pPr>
              <w:pStyle w:val="375"/>
              <w:spacing w:before="86"/>
              <w:ind w:right="932"/>
              <w:jc w:val="center"/>
              <w:rPr>
                <w:rFonts w:hint="eastAsia"/>
                <w:sz w:val="24"/>
                <w:szCs w:val="24"/>
              </w:rPr>
            </w:pPr>
            <w:r>
              <w:rPr>
                <w:rFonts w:hint="eastAsia"/>
                <w:sz w:val="24"/>
                <w:szCs w:val="24"/>
              </w:rPr>
              <w:t>要求</w:t>
            </w:r>
          </w:p>
        </w:tc>
      </w:tr>
      <w:tr w14:paraId="02770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481" w:type="dxa"/>
            <w:vAlign w:val="center"/>
          </w:tcPr>
          <w:p w14:paraId="10591351">
            <w:pPr>
              <w:jc w:val="center"/>
              <w:rPr>
                <w:rFonts w:hint="eastAsia" w:ascii="宋体" w:hAnsi="宋体" w:cs="宋体"/>
                <w:sz w:val="24"/>
                <w:szCs w:val="24"/>
                <w:highlight w:val="none"/>
              </w:rPr>
            </w:pPr>
            <w:r>
              <w:rPr>
                <w:rFonts w:hint="eastAsia" w:ascii="宋体" w:hAnsi="宋体" w:cs="宋体"/>
                <w:sz w:val="24"/>
                <w:szCs w:val="24"/>
                <w:highlight w:val="none"/>
              </w:rPr>
              <w:t>微型水质自动监测站</w:t>
            </w:r>
          </w:p>
        </w:tc>
        <w:tc>
          <w:tcPr>
            <w:tcW w:w="7618" w:type="dxa"/>
            <w:gridSpan w:val="3"/>
            <w:vAlign w:val="center"/>
          </w:tcPr>
          <w:p w14:paraId="4B6E15DD">
            <w:pPr>
              <w:pStyle w:val="376"/>
              <w:adjustRightInd w:val="0"/>
              <w:snapToGrid w:val="0"/>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水质自动监测站包括采水单元、配水/清洗及预处理单元、控制单元、辅助单元、数据采集/处理及传输单元等，采水单元：采水泵采用安全电压潜水泵、具有缺水保护功能。可实时监测pH、水温、溶解氧、浊度、电导率、总磷、总氮、氨氮、高锰酸盐指数等水质指标。可连续自动监测被测水体的水质变化情况，客观地记录水质状况及时发现水质异常变化。</w:t>
            </w:r>
          </w:p>
          <w:p w14:paraId="389C59EA">
            <w:pPr>
              <w:pStyle w:val="376"/>
              <w:adjustRightInd w:val="0"/>
              <w:snapToGrid w:val="0"/>
              <w:spacing w:line="360" w:lineRule="auto"/>
              <w:ind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需配套防雷、接地、密封、控温完善设施，占地面积需在0.5-2平方</w:t>
            </w:r>
            <w:r>
              <w:rPr>
                <w:rFonts w:hint="eastAsia" w:ascii="宋体" w:hAnsi="宋体" w:eastAsia="宋体" w:cs="宋体"/>
                <w:sz w:val="24"/>
                <w:szCs w:val="24"/>
                <w:highlight w:val="none"/>
                <w:lang w:val="en-US" w:eastAsia="zh-CN"/>
              </w:rPr>
              <w:t>米。</w:t>
            </w:r>
          </w:p>
          <w:p w14:paraId="7278B627">
            <w:pPr>
              <w:pStyle w:val="376"/>
              <w:adjustRightInd w:val="0"/>
              <w:snapToGrid w:val="0"/>
              <w:spacing w:line="360" w:lineRule="auto"/>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水质监测站必须有吊装接口，方便后期移机。</w:t>
            </w:r>
          </w:p>
          <w:p w14:paraId="08950700">
            <w:pPr>
              <w:adjustRightInd w:val="0"/>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需具备良好的兼容性及扩展性和易维护性要求，需支持监测的数据可传输到需方指定的相关平台设备，设备可扩展测量参数，单一分析模块故障或剥离后不影响系统的运行，设备分析模块的接口一致，使得模块的位置可变动，当模块故障无法现场修复时，可快速接入新的模块，提升故障处理的响应速度，确保设备的易维护性。</w:t>
            </w:r>
          </w:p>
        </w:tc>
      </w:tr>
      <w:tr w14:paraId="35E21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tcBorders>
              <w:top w:val="single" w:color="auto" w:sz="4" w:space="0"/>
            </w:tcBorders>
            <w:vAlign w:val="center"/>
          </w:tcPr>
          <w:p w14:paraId="484CDD8F">
            <w:pPr>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五参数水质分析仪-</w:t>
            </w:r>
            <w:r>
              <w:rPr>
                <w:rStyle w:val="377"/>
                <w:rFonts w:hint="default" w:ascii="宋体" w:hAnsi="宋体" w:eastAsia="宋体" w:cs="宋体"/>
                <w:sz w:val="24"/>
                <w:szCs w:val="24"/>
                <w:highlight w:val="none"/>
                <w:lang w:bidi="ar"/>
              </w:rPr>
              <w:t>pH值</w:t>
            </w:r>
          </w:p>
          <w:p w14:paraId="790CE93D">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60A4E62D">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0EFB0B7D">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2D6B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2F464966">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C25B7DB">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测定原理</w:t>
            </w:r>
          </w:p>
        </w:tc>
        <w:tc>
          <w:tcPr>
            <w:tcW w:w="3948" w:type="dxa"/>
            <w:tcBorders>
              <w:top w:val="single" w:color="auto" w:sz="4" w:space="0"/>
              <w:left w:val="single" w:color="auto" w:sz="4" w:space="0"/>
              <w:bottom w:val="single" w:color="auto" w:sz="4" w:space="0"/>
            </w:tcBorders>
            <w:vAlign w:val="center"/>
          </w:tcPr>
          <w:p w14:paraId="00802134">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玻璃电极法；</w:t>
            </w:r>
          </w:p>
        </w:tc>
      </w:tr>
      <w:tr w14:paraId="6B740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41256F10">
            <w:pPr>
              <w:jc w:val="center"/>
              <w:rPr>
                <w:rFonts w:hint="eastAsia" w:ascii="宋体" w:hAnsi="宋体" w:cs="宋体"/>
                <w:sz w:val="24"/>
                <w:szCs w:val="24"/>
                <w:highlight w:val="none"/>
              </w:rPr>
            </w:pPr>
          </w:p>
          <w:p w14:paraId="24C0E090">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E94083D">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量程</w:t>
            </w:r>
          </w:p>
        </w:tc>
        <w:tc>
          <w:tcPr>
            <w:tcW w:w="3948" w:type="dxa"/>
            <w:tcBorders>
              <w:top w:val="single" w:color="auto" w:sz="4" w:space="0"/>
              <w:left w:val="single" w:color="auto" w:sz="4" w:space="0"/>
              <w:bottom w:val="single" w:color="auto" w:sz="4" w:space="0"/>
            </w:tcBorders>
            <w:vAlign w:val="center"/>
          </w:tcPr>
          <w:p w14:paraId="7F948EF1">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pH=0～14（0～40℃）</w:t>
            </w:r>
          </w:p>
        </w:tc>
      </w:tr>
      <w:tr w14:paraId="3584A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64158F81">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CF4EB14">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漂移</w:t>
            </w:r>
          </w:p>
        </w:tc>
        <w:tc>
          <w:tcPr>
            <w:tcW w:w="3948" w:type="dxa"/>
            <w:tcBorders>
              <w:top w:val="single" w:color="auto" w:sz="4" w:space="0"/>
              <w:left w:val="single" w:color="auto" w:sz="4" w:space="0"/>
              <w:bottom w:val="single" w:color="auto" w:sz="4" w:space="0"/>
            </w:tcBorders>
            <w:vAlign w:val="center"/>
          </w:tcPr>
          <w:p w14:paraId="4B521545">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（pH=4.008、6.865、9.180）：±0.1pH；</w:t>
            </w:r>
          </w:p>
        </w:tc>
      </w:tr>
      <w:tr w14:paraId="28C6D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4E673BC2">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11B3DBB9">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精度</w:t>
            </w:r>
          </w:p>
        </w:tc>
        <w:tc>
          <w:tcPr>
            <w:tcW w:w="3948" w:type="dxa"/>
            <w:tcBorders>
              <w:top w:val="single" w:color="auto" w:sz="4" w:space="0"/>
              <w:left w:val="single" w:color="auto" w:sz="4" w:space="0"/>
              <w:bottom w:val="single" w:color="auto" w:sz="4" w:space="0"/>
            </w:tcBorders>
            <w:vAlign w:val="center"/>
          </w:tcPr>
          <w:p w14:paraId="4B09016B">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 xml:space="preserve"> ≤±0.02 pH；</w:t>
            </w:r>
          </w:p>
        </w:tc>
      </w:tr>
      <w:tr w14:paraId="1E142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5FD3C739">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43F5BB1">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漂移度</w:t>
            </w:r>
          </w:p>
        </w:tc>
        <w:tc>
          <w:tcPr>
            <w:tcW w:w="3948" w:type="dxa"/>
            <w:tcBorders>
              <w:top w:val="single" w:color="auto" w:sz="4" w:space="0"/>
              <w:left w:val="single" w:color="auto" w:sz="4" w:space="0"/>
              <w:bottom w:val="single" w:color="auto" w:sz="4" w:space="0"/>
            </w:tcBorders>
            <w:vAlign w:val="center"/>
          </w:tcPr>
          <w:p w14:paraId="68BAE550">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≤±0.05 pH；</w:t>
            </w:r>
          </w:p>
        </w:tc>
      </w:tr>
      <w:tr w14:paraId="16E10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07402BE">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084665F0">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防护等级</w:t>
            </w:r>
          </w:p>
        </w:tc>
        <w:tc>
          <w:tcPr>
            <w:tcW w:w="3948" w:type="dxa"/>
            <w:tcBorders>
              <w:top w:val="single" w:color="auto" w:sz="4" w:space="0"/>
              <w:left w:val="single" w:color="auto" w:sz="4" w:space="0"/>
              <w:bottom w:val="single" w:color="auto" w:sz="4" w:space="0"/>
            </w:tcBorders>
            <w:vAlign w:val="center"/>
          </w:tcPr>
          <w:p w14:paraId="3A459458">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≥IP65；</w:t>
            </w:r>
          </w:p>
        </w:tc>
      </w:tr>
      <w:tr w14:paraId="3057D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1EE03E49">
            <w:pPr>
              <w:jc w:val="center"/>
              <w:rPr>
                <w:rFonts w:hint="eastAsia" w:ascii="宋体" w:hAnsi="宋体" w:cs="宋体"/>
                <w:sz w:val="24"/>
                <w:szCs w:val="24"/>
                <w:highlight w:val="none"/>
              </w:rPr>
            </w:pPr>
            <w:r>
              <w:rPr>
                <w:rFonts w:hint="eastAsia" w:ascii="宋体" w:hAnsi="宋体" w:cs="宋体"/>
                <w:sz w:val="24"/>
                <w:szCs w:val="24"/>
                <w:highlight w:val="none"/>
              </w:rPr>
              <w:t>五参数水质分析仪-</w:t>
            </w:r>
            <w:r>
              <w:rPr>
                <w:rStyle w:val="377"/>
                <w:rFonts w:hint="default" w:ascii="宋体" w:hAnsi="宋体" w:eastAsia="宋体" w:cs="宋体"/>
                <w:sz w:val="24"/>
                <w:szCs w:val="24"/>
                <w:highlight w:val="none"/>
                <w:lang w:bidi="ar"/>
              </w:rPr>
              <w:t>溶解氧</w:t>
            </w:r>
          </w:p>
        </w:tc>
        <w:tc>
          <w:tcPr>
            <w:tcW w:w="3670" w:type="dxa"/>
            <w:gridSpan w:val="2"/>
            <w:tcBorders>
              <w:top w:val="single" w:color="auto" w:sz="4" w:space="0"/>
              <w:bottom w:val="single" w:color="auto" w:sz="4" w:space="0"/>
              <w:right w:val="single" w:color="auto" w:sz="4" w:space="0"/>
            </w:tcBorders>
            <w:vAlign w:val="center"/>
          </w:tcPr>
          <w:p w14:paraId="46CE47AB">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763B6C32">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5B882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66FFE62A">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ECC6E4D">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测定原理</w:t>
            </w:r>
          </w:p>
        </w:tc>
        <w:tc>
          <w:tcPr>
            <w:tcW w:w="3948" w:type="dxa"/>
            <w:tcBorders>
              <w:top w:val="single" w:color="auto" w:sz="4" w:space="0"/>
              <w:left w:val="single" w:color="auto" w:sz="4" w:space="0"/>
              <w:bottom w:val="single" w:color="auto" w:sz="4" w:space="0"/>
            </w:tcBorders>
            <w:vAlign w:val="center"/>
          </w:tcPr>
          <w:p w14:paraId="74B4AA3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荧光法；</w:t>
            </w:r>
          </w:p>
        </w:tc>
      </w:tr>
      <w:tr w14:paraId="0E47F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3F2CB863">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7948E41A">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量程</w:t>
            </w:r>
          </w:p>
        </w:tc>
        <w:tc>
          <w:tcPr>
            <w:tcW w:w="3948" w:type="dxa"/>
            <w:tcBorders>
              <w:top w:val="single" w:color="auto" w:sz="4" w:space="0"/>
              <w:left w:val="single" w:color="auto" w:sz="4" w:space="0"/>
              <w:bottom w:val="single" w:color="auto" w:sz="4" w:space="0"/>
            </w:tcBorders>
            <w:vAlign w:val="center"/>
          </w:tcPr>
          <w:p w14:paraId="344DC971">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0～20 mg/L；</w:t>
            </w:r>
          </w:p>
        </w:tc>
      </w:tr>
      <w:tr w14:paraId="1890D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8E2605A">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73A955E1">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精度</w:t>
            </w:r>
          </w:p>
        </w:tc>
        <w:tc>
          <w:tcPr>
            <w:tcW w:w="3948" w:type="dxa"/>
            <w:tcBorders>
              <w:top w:val="single" w:color="auto" w:sz="4" w:space="0"/>
              <w:left w:val="single" w:color="auto" w:sz="4" w:space="0"/>
              <w:bottom w:val="single" w:color="auto" w:sz="4" w:space="0"/>
            </w:tcBorders>
            <w:vAlign w:val="center"/>
          </w:tcPr>
          <w:p w14:paraId="38DB6A3F">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±5%或±0.3mg/L</w:t>
            </w:r>
          </w:p>
        </w:tc>
      </w:tr>
      <w:tr w14:paraId="64664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jc w:val="center"/>
        </w:trPr>
        <w:tc>
          <w:tcPr>
            <w:tcW w:w="1481" w:type="dxa"/>
            <w:vMerge w:val="continue"/>
          </w:tcPr>
          <w:p w14:paraId="7317351E">
            <w:pPr>
              <w:jc w:val="cente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4550ADCC">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防护等级</w:t>
            </w:r>
          </w:p>
        </w:tc>
        <w:tc>
          <w:tcPr>
            <w:tcW w:w="3948" w:type="dxa"/>
            <w:tcBorders>
              <w:top w:val="single" w:color="auto" w:sz="4" w:space="0"/>
              <w:left w:val="single" w:color="auto" w:sz="4" w:space="0"/>
              <w:bottom w:val="single" w:color="auto" w:sz="4" w:space="0"/>
            </w:tcBorders>
            <w:vAlign w:val="center"/>
          </w:tcPr>
          <w:p w14:paraId="361732B6">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≥IP65；</w:t>
            </w:r>
          </w:p>
        </w:tc>
      </w:tr>
      <w:tr w14:paraId="3467C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3CFC837B">
            <w:pPr>
              <w:rPr>
                <w:rFonts w:hint="eastAsia" w:ascii="宋体" w:hAnsi="宋体" w:cs="宋体"/>
                <w:sz w:val="24"/>
                <w:szCs w:val="24"/>
                <w:highlight w:val="none"/>
              </w:rPr>
            </w:pPr>
            <w:r>
              <w:rPr>
                <w:rFonts w:hint="eastAsia" w:ascii="宋体" w:hAnsi="宋体" w:cs="宋体"/>
                <w:sz w:val="24"/>
                <w:szCs w:val="24"/>
                <w:highlight w:val="none"/>
              </w:rPr>
              <w:t>五参数水质分析仪-</w:t>
            </w:r>
            <w:r>
              <w:rPr>
                <w:rStyle w:val="377"/>
                <w:rFonts w:hint="default" w:ascii="宋体" w:hAnsi="宋体" w:eastAsia="宋体" w:cs="宋体"/>
                <w:sz w:val="24"/>
                <w:szCs w:val="24"/>
                <w:highlight w:val="none"/>
                <w:lang w:bidi="ar"/>
              </w:rPr>
              <w:t>电导率</w:t>
            </w:r>
          </w:p>
        </w:tc>
        <w:tc>
          <w:tcPr>
            <w:tcW w:w="3670" w:type="dxa"/>
            <w:gridSpan w:val="2"/>
            <w:tcBorders>
              <w:top w:val="single" w:color="auto" w:sz="4" w:space="0"/>
              <w:bottom w:val="single" w:color="auto" w:sz="4" w:space="0"/>
              <w:right w:val="single" w:color="auto" w:sz="4" w:space="0"/>
            </w:tcBorders>
            <w:vAlign w:val="center"/>
          </w:tcPr>
          <w:p w14:paraId="37B7412C">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5F4705D1">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6114C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2DD55462">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8A81CB5">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测定原理</w:t>
            </w:r>
          </w:p>
        </w:tc>
        <w:tc>
          <w:tcPr>
            <w:tcW w:w="3948" w:type="dxa"/>
            <w:tcBorders>
              <w:top w:val="single" w:color="auto" w:sz="4" w:space="0"/>
              <w:left w:val="single" w:color="auto" w:sz="4" w:space="0"/>
              <w:bottom w:val="single" w:color="auto" w:sz="4" w:space="0"/>
            </w:tcBorders>
            <w:vAlign w:val="center"/>
          </w:tcPr>
          <w:p w14:paraId="3E4F510B">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电极法；</w:t>
            </w:r>
          </w:p>
        </w:tc>
      </w:tr>
      <w:tr w14:paraId="56823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A4A5FC7">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1C3D14CF">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最小检测范围</w:t>
            </w:r>
          </w:p>
        </w:tc>
        <w:tc>
          <w:tcPr>
            <w:tcW w:w="3948" w:type="dxa"/>
            <w:tcBorders>
              <w:top w:val="single" w:color="auto" w:sz="4" w:space="0"/>
              <w:left w:val="single" w:color="auto" w:sz="4" w:space="0"/>
              <w:bottom w:val="single" w:color="auto" w:sz="4" w:space="0"/>
            </w:tcBorders>
            <w:vAlign w:val="center"/>
          </w:tcPr>
          <w:p w14:paraId="24DA881F">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0~20000μS/cm</w:t>
            </w:r>
          </w:p>
        </w:tc>
      </w:tr>
      <w:tr w14:paraId="1F293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6DB77D39">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70F92008">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精度</w:t>
            </w:r>
          </w:p>
        </w:tc>
        <w:tc>
          <w:tcPr>
            <w:tcW w:w="3948" w:type="dxa"/>
            <w:tcBorders>
              <w:top w:val="single" w:color="auto" w:sz="4" w:space="0"/>
              <w:left w:val="single" w:color="auto" w:sz="4" w:space="0"/>
              <w:bottom w:val="single" w:color="auto" w:sz="4" w:space="0"/>
            </w:tcBorders>
            <w:vAlign w:val="center"/>
          </w:tcPr>
          <w:p w14:paraId="6EB7932E">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≤±1%；</w:t>
            </w:r>
          </w:p>
        </w:tc>
      </w:tr>
      <w:tr w14:paraId="14168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6F758A13">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4AC0BE8E">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防护等级</w:t>
            </w:r>
          </w:p>
        </w:tc>
        <w:tc>
          <w:tcPr>
            <w:tcW w:w="3948" w:type="dxa"/>
            <w:tcBorders>
              <w:top w:val="single" w:color="auto" w:sz="4" w:space="0"/>
              <w:left w:val="single" w:color="auto" w:sz="4" w:space="0"/>
              <w:bottom w:val="single" w:color="auto" w:sz="4" w:space="0"/>
            </w:tcBorders>
            <w:vAlign w:val="center"/>
          </w:tcPr>
          <w:p w14:paraId="1595839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≥IP65；</w:t>
            </w:r>
          </w:p>
        </w:tc>
      </w:tr>
      <w:tr w14:paraId="54072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07767006">
            <w:pPr>
              <w:rPr>
                <w:rFonts w:hint="eastAsia" w:ascii="宋体" w:hAnsi="宋体" w:cs="宋体"/>
                <w:sz w:val="24"/>
                <w:szCs w:val="24"/>
                <w:highlight w:val="none"/>
              </w:rPr>
            </w:pPr>
            <w:r>
              <w:rPr>
                <w:rFonts w:hint="eastAsia" w:ascii="宋体" w:hAnsi="宋体" w:cs="宋体"/>
                <w:sz w:val="24"/>
                <w:szCs w:val="24"/>
                <w:highlight w:val="none"/>
              </w:rPr>
              <w:t>五参数水质分析仪-</w:t>
            </w:r>
            <w:r>
              <w:rPr>
                <w:rStyle w:val="377"/>
                <w:rFonts w:hint="default" w:ascii="宋体" w:hAnsi="宋体" w:eastAsia="宋体" w:cs="宋体"/>
                <w:sz w:val="24"/>
                <w:szCs w:val="24"/>
                <w:highlight w:val="none"/>
                <w:lang w:bidi="ar"/>
              </w:rPr>
              <w:t>浊度</w:t>
            </w:r>
          </w:p>
        </w:tc>
        <w:tc>
          <w:tcPr>
            <w:tcW w:w="3670" w:type="dxa"/>
            <w:gridSpan w:val="2"/>
            <w:tcBorders>
              <w:top w:val="single" w:color="auto" w:sz="4" w:space="0"/>
              <w:bottom w:val="single" w:color="auto" w:sz="4" w:space="0"/>
              <w:right w:val="single" w:color="auto" w:sz="4" w:space="0"/>
            </w:tcBorders>
            <w:vAlign w:val="center"/>
          </w:tcPr>
          <w:p w14:paraId="3F8EBC37">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747CC67D">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15D6B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711C87B3">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49EC44F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测定原理</w:t>
            </w:r>
          </w:p>
        </w:tc>
        <w:tc>
          <w:tcPr>
            <w:tcW w:w="3948" w:type="dxa"/>
            <w:tcBorders>
              <w:top w:val="single" w:color="auto" w:sz="4" w:space="0"/>
              <w:left w:val="single" w:color="auto" w:sz="4" w:space="0"/>
              <w:bottom w:val="single" w:color="auto" w:sz="4" w:space="0"/>
            </w:tcBorders>
            <w:vAlign w:val="center"/>
          </w:tcPr>
          <w:p w14:paraId="6D66C09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光散射法；</w:t>
            </w:r>
          </w:p>
        </w:tc>
      </w:tr>
      <w:tr w14:paraId="15D14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2FF1120D">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79BA1A38">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量程</w:t>
            </w:r>
          </w:p>
        </w:tc>
        <w:tc>
          <w:tcPr>
            <w:tcW w:w="3948" w:type="dxa"/>
            <w:tcBorders>
              <w:top w:val="single" w:color="auto" w:sz="4" w:space="0"/>
              <w:left w:val="single" w:color="auto" w:sz="4" w:space="0"/>
              <w:bottom w:val="single" w:color="auto" w:sz="4" w:space="0"/>
            </w:tcBorders>
            <w:vAlign w:val="center"/>
          </w:tcPr>
          <w:p w14:paraId="7FF96C80">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0～1000NTU，可调；</w:t>
            </w:r>
          </w:p>
        </w:tc>
      </w:tr>
      <w:tr w14:paraId="66A2A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56F76747">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D20494E">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精度</w:t>
            </w:r>
          </w:p>
        </w:tc>
        <w:tc>
          <w:tcPr>
            <w:tcW w:w="3948" w:type="dxa"/>
            <w:tcBorders>
              <w:top w:val="single" w:color="auto" w:sz="4" w:space="0"/>
              <w:left w:val="single" w:color="auto" w:sz="4" w:space="0"/>
              <w:bottom w:val="single" w:color="auto" w:sz="4" w:space="0"/>
            </w:tcBorders>
            <w:vAlign w:val="center"/>
          </w:tcPr>
          <w:p w14:paraId="5A596B85">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≤10NTU，精度≤±0.5NTU;＞10NTU时，精度≤±8%</w:t>
            </w:r>
          </w:p>
        </w:tc>
      </w:tr>
      <w:tr w14:paraId="396B1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346B9AFB">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1CFB220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防护等级</w:t>
            </w:r>
          </w:p>
        </w:tc>
        <w:tc>
          <w:tcPr>
            <w:tcW w:w="3948" w:type="dxa"/>
            <w:tcBorders>
              <w:top w:val="single" w:color="auto" w:sz="4" w:space="0"/>
              <w:left w:val="single" w:color="auto" w:sz="4" w:space="0"/>
              <w:bottom w:val="single" w:color="auto" w:sz="4" w:space="0"/>
            </w:tcBorders>
            <w:vAlign w:val="center"/>
          </w:tcPr>
          <w:p w14:paraId="128186C8">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≥IP65；</w:t>
            </w:r>
          </w:p>
        </w:tc>
      </w:tr>
      <w:tr w14:paraId="1DD11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0888A526">
            <w:pPr>
              <w:rPr>
                <w:rFonts w:hint="eastAsia" w:ascii="宋体" w:hAnsi="宋体" w:cs="宋体"/>
                <w:sz w:val="24"/>
                <w:szCs w:val="24"/>
                <w:highlight w:val="none"/>
              </w:rPr>
            </w:pPr>
            <w:r>
              <w:rPr>
                <w:rFonts w:hint="eastAsia" w:ascii="宋体" w:hAnsi="宋体" w:cs="宋体"/>
                <w:sz w:val="24"/>
                <w:szCs w:val="24"/>
                <w:highlight w:val="none"/>
              </w:rPr>
              <w:t>五参数水质分析仪-</w:t>
            </w:r>
            <w:r>
              <w:rPr>
                <w:rStyle w:val="377"/>
                <w:rFonts w:hint="default" w:ascii="宋体" w:hAnsi="宋体" w:eastAsia="宋体" w:cs="宋体"/>
                <w:sz w:val="24"/>
                <w:szCs w:val="24"/>
                <w:highlight w:val="none"/>
                <w:lang w:bidi="ar"/>
              </w:rPr>
              <w:t>水温</w:t>
            </w:r>
          </w:p>
        </w:tc>
        <w:tc>
          <w:tcPr>
            <w:tcW w:w="3670" w:type="dxa"/>
            <w:gridSpan w:val="2"/>
            <w:tcBorders>
              <w:top w:val="single" w:color="auto" w:sz="4" w:space="0"/>
              <w:bottom w:val="single" w:color="auto" w:sz="4" w:space="0"/>
              <w:right w:val="single" w:color="auto" w:sz="4" w:space="0"/>
            </w:tcBorders>
            <w:vAlign w:val="center"/>
          </w:tcPr>
          <w:p w14:paraId="2DE5F96D">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290FDC00">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03A0D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F5F3902">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24B090A">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测定原理</w:t>
            </w:r>
          </w:p>
        </w:tc>
        <w:tc>
          <w:tcPr>
            <w:tcW w:w="3948" w:type="dxa"/>
            <w:tcBorders>
              <w:top w:val="single" w:color="auto" w:sz="4" w:space="0"/>
              <w:left w:val="single" w:color="auto" w:sz="4" w:space="0"/>
              <w:bottom w:val="single" w:color="auto" w:sz="4" w:space="0"/>
            </w:tcBorders>
            <w:vAlign w:val="center"/>
          </w:tcPr>
          <w:p w14:paraId="621FB03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热电阻或热电偶</w:t>
            </w:r>
          </w:p>
        </w:tc>
      </w:tr>
      <w:tr w14:paraId="46DE5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715B911">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0135108">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量程</w:t>
            </w:r>
          </w:p>
        </w:tc>
        <w:tc>
          <w:tcPr>
            <w:tcW w:w="3948" w:type="dxa"/>
            <w:tcBorders>
              <w:top w:val="single" w:color="auto" w:sz="4" w:space="0"/>
              <w:left w:val="single" w:color="auto" w:sz="4" w:space="0"/>
              <w:bottom w:val="single" w:color="auto" w:sz="4" w:space="0"/>
            </w:tcBorders>
            <w:vAlign w:val="center"/>
          </w:tcPr>
          <w:p w14:paraId="5E52BBB2">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0℃～50 ℃；</w:t>
            </w:r>
          </w:p>
        </w:tc>
      </w:tr>
      <w:tr w14:paraId="75488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FF459B9">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E23B6BB">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测量误差</w:t>
            </w:r>
          </w:p>
        </w:tc>
        <w:tc>
          <w:tcPr>
            <w:tcW w:w="3948" w:type="dxa"/>
            <w:tcBorders>
              <w:top w:val="single" w:color="auto" w:sz="4" w:space="0"/>
              <w:left w:val="single" w:color="auto" w:sz="4" w:space="0"/>
              <w:bottom w:val="single" w:color="auto" w:sz="4" w:space="0"/>
            </w:tcBorders>
            <w:vAlign w:val="center"/>
          </w:tcPr>
          <w:p w14:paraId="6D4B7E66">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0.5 ℃；</w:t>
            </w:r>
          </w:p>
        </w:tc>
      </w:tr>
      <w:tr w14:paraId="3DC5E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29D1FDE6">
            <w:pPr>
              <w:rPr>
                <w:rFonts w:hint="eastAsia" w:ascii="宋体" w:hAnsi="宋体" w:cs="宋体"/>
                <w:sz w:val="24"/>
                <w:szCs w:val="24"/>
                <w:highlight w:val="none"/>
              </w:rPr>
            </w:pPr>
            <w:r>
              <w:rPr>
                <w:rFonts w:hint="eastAsia" w:ascii="宋体" w:hAnsi="宋体" w:cs="宋体"/>
                <w:sz w:val="24"/>
                <w:szCs w:val="24"/>
                <w:highlight w:val="none"/>
              </w:rPr>
              <w:t>氨氮水质分析仪</w:t>
            </w:r>
          </w:p>
        </w:tc>
        <w:tc>
          <w:tcPr>
            <w:tcW w:w="3670" w:type="dxa"/>
            <w:gridSpan w:val="2"/>
            <w:tcBorders>
              <w:top w:val="single" w:color="auto" w:sz="4" w:space="0"/>
              <w:bottom w:val="single" w:color="auto" w:sz="4" w:space="0"/>
              <w:right w:val="single" w:color="auto" w:sz="4" w:space="0"/>
            </w:tcBorders>
            <w:vAlign w:val="center"/>
          </w:tcPr>
          <w:p w14:paraId="1BC50B27">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0AB9E60E">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7AD41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7C978033">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794F090">
            <w:pPr>
              <w:spacing w:line="360" w:lineRule="exact"/>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测量方法</w:t>
            </w:r>
          </w:p>
        </w:tc>
        <w:tc>
          <w:tcPr>
            <w:tcW w:w="3948" w:type="dxa"/>
            <w:tcBorders>
              <w:top w:val="single" w:color="auto" w:sz="4" w:space="0"/>
              <w:left w:val="single" w:color="auto" w:sz="4" w:space="0"/>
              <w:bottom w:val="single" w:color="auto" w:sz="4" w:space="0"/>
            </w:tcBorders>
            <w:vAlign w:val="center"/>
          </w:tcPr>
          <w:p w14:paraId="4CECC824">
            <w:pPr>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水杨酸分光光度法</w:t>
            </w:r>
          </w:p>
        </w:tc>
      </w:tr>
      <w:tr w14:paraId="1917A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93C6194">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2256A9D3">
            <w:pPr>
              <w:spacing w:line="360" w:lineRule="exact"/>
              <w:rPr>
                <w:rFonts w:hint="eastAsia" w:ascii="宋体" w:hAnsi="宋体" w:cs="宋体"/>
                <w:sz w:val="24"/>
                <w:szCs w:val="24"/>
                <w:highlight w:val="none"/>
              </w:rPr>
            </w:pPr>
            <w:r>
              <w:rPr>
                <w:rFonts w:hint="eastAsia" w:ascii="宋体" w:hAnsi="宋体" w:cs="宋体"/>
                <w:sz w:val="24"/>
                <w:szCs w:val="24"/>
                <w:highlight w:val="none"/>
              </w:rPr>
              <w:t>测量范围</w:t>
            </w:r>
          </w:p>
        </w:tc>
        <w:tc>
          <w:tcPr>
            <w:tcW w:w="3948" w:type="dxa"/>
            <w:tcBorders>
              <w:top w:val="single" w:color="auto" w:sz="4" w:space="0"/>
              <w:left w:val="single" w:color="auto" w:sz="4" w:space="0"/>
              <w:bottom w:val="single" w:color="auto" w:sz="4" w:space="0"/>
            </w:tcBorders>
            <w:vAlign w:val="center"/>
          </w:tcPr>
          <w:p w14:paraId="52CC90E4">
            <w:pPr>
              <w:adjustRightInd w:val="0"/>
              <w:snapToGrid w:val="0"/>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0-2mg/L；0-10mg/L；0-50mg/L；0-150mg/L可调；具备量程扩展功能。</w:t>
            </w:r>
          </w:p>
        </w:tc>
      </w:tr>
      <w:tr w14:paraId="10383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32D6C8B7">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0A96092E">
            <w:pPr>
              <w:spacing w:line="360" w:lineRule="exact"/>
              <w:rPr>
                <w:rFonts w:hint="eastAsia" w:ascii="宋体" w:hAnsi="宋体" w:cs="宋体"/>
                <w:sz w:val="24"/>
                <w:szCs w:val="24"/>
                <w:highlight w:val="none"/>
              </w:rPr>
            </w:pPr>
            <w:r>
              <w:rPr>
                <w:rFonts w:hint="eastAsia" w:ascii="宋体" w:hAnsi="宋体" w:cs="宋体"/>
                <w:sz w:val="24"/>
                <w:szCs w:val="24"/>
                <w:highlight w:val="none"/>
              </w:rPr>
              <w:t>▲实际水样比对准确度:实际水样比对</w:t>
            </w:r>
          </w:p>
        </w:tc>
        <w:tc>
          <w:tcPr>
            <w:tcW w:w="3948" w:type="dxa"/>
            <w:tcBorders>
              <w:top w:val="single" w:color="auto" w:sz="4" w:space="0"/>
              <w:left w:val="single" w:color="auto" w:sz="4" w:space="0"/>
              <w:bottom w:val="single" w:color="auto" w:sz="4" w:space="0"/>
            </w:tcBorders>
            <w:vAlign w:val="center"/>
          </w:tcPr>
          <w:p w14:paraId="2A886624">
            <w:pPr>
              <w:adjustRightInd w:val="0"/>
              <w:snapToGrid w:val="0"/>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±0.05mg/L，NH3N≤0.5mg/L；±10%，0.5mg/L＜NH3N；</w:t>
            </w:r>
          </w:p>
        </w:tc>
      </w:tr>
      <w:tr w14:paraId="69800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1A49804">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4C908CF9">
            <w:pPr>
              <w:spacing w:line="360" w:lineRule="exact"/>
              <w:rPr>
                <w:rFonts w:hint="eastAsia" w:ascii="宋体" w:hAnsi="宋体" w:cs="宋体"/>
                <w:sz w:val="24"/>
                <w:szCs w:val="24"/>
                <w:highlight w:val="none"/>
              </w:rPr>
            </w:pPr>
            <w:r>
              <w:rPr>
                <w:rFonts w:hint="eastAsia" w:ascii="宋体" w:hAnsi="宋体" w:cs="宋体"/>
                <w:sz w:val="24"/>
                <w:szCs w:val="24"/>
                <w:highlight w:val="none"/>
              </w:rPr>
              <w:t>检测周期</w:t>
            </w:r>
          </w:p>
        </w:tc>
        <w:tc>
          <w:tcPr>
            <w:tcW w:w="3948" w:type="dxa"/>
            <w:tcBorders>
              <w:top w:val="single" w:color="auto" w:sz="4" w:space="0"/>
              <w:left w:val="single" w:color="auto" w:sz="4" w:space="0"/>
              <w:bottom w:val="single" w:color="auto" w:sz="4" w:space="0"/>
            </w:tcBorders>
            <w:vAlign w:val="center"/>
          </w:tcPr>
          <w:p w14:paraId="4D34637A">
            <w:pPr>
              <w:spacing w:line="360" w:lineRule="exact"/>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测量周期最短 15 分钟/次</w:t>
            </w:r>
          </w:p>
        </w:tc>
      </w:tr>
      <w:tr w14:paraId="147F1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4C8903BF">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68F19460">
            <w:pPr>
              <w:spacing w:line="3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color w:val="auto"/>
                <w:sz w:val="24"/>
                <w:szCs w:val="24"/>
                <w:highlight w:val="none"/>
              </w:rPr>
              <w:t>试剂耗量</w:t>
            </w:r>
          </w:p>
          <w:p w14:paraId="7F7EB122">
            <w:pPr>
              <w:spacing w:line="360" w:lineRule="exact"/>
              <w:rPr>
                <w:rFonts w:hint="eastAsia" w:ascii="宋体" w:hAnsi="宋体" w:cs="宋体"/>
                <w:color w:val="auto"/>
                <w:sz w:val="24"/>
                <w:szCs w:val="24"/>
                <w:highlight w:val="none"/>
              </w:rPr>
            </w:pPr>
          </w:p>
        </w:tc>
        <w:tc>
          <w:tcPr>
            <w:tcW w:w="3948" w:type="dxa"/>
            <w:tcBorders>
              <w:top w:val="single" w:color="auto" w:sz="4" w:space="0"/>
              <w:left w:val="single" w:color="auto" w:sz="4" w:space="0"/>
              <w:bottom w:val="single" w:color="auto" w:sz="4" w:space="0"/>
            </w:tcBorders>
            <w:vAlign w:val="center"/>
          </w:tcPr>
          <w:p w14:paraId="0DA4CB6C">
            <w:pPr>
              <w:rPr>
                <w:rStyle w:val="377"/>
                <w:rFonts w:hint="default" w:ascii="宋体" w:hAnsi="宋体" w:eastAsia="宋体" w:cs="宋体"/>
                <w:color w:val="auto"/>
                <w:sz w:val="24"/>
                <w:szCs w:val="24"/>
                <w:highlight w:val="none"/>
                <w:lang w:bidi="ar"/>
              </w:rPr>
            </w:pPr>
            <w:r>
              <w:rPr>
                <w:rFonts w:hint="eastAsia" w:ascii="宋体" w:hAnsi="宋体" w:cs="宋体"/>
                <w:color w:val="auto"/>
                <w:sz w:val="24"/>
                <w:szCs w:val="24"/>
                <w:highlight w:val="none"/>
              </w:rPr>
              <w:t>≤0.7 毫升/次/试剂。</w:t>
            </w:r>
          </w:p>
        </w:tc>
      </w:tr>
      <w:tr w14:paraId="060C1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7289C357">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225ECD1">
            <w:pPr>
              <w:spacing w:line="360" w:lineRule="exact"/>
              <w:rPr>
                <w:rFonts w:hint="eastAsia" w:ascii="宋体" w:hAnsi="宋体" w:cs="宋体"/>
                <w:sz w:val="24"/>
                <w:szCs w:val="24"/>
                <w:highlight w:val="none"/>
              </w:rPr>
            </w:pPr>
            <w:r>
              <w:rPr>
                <w:rFonts w:hint="eastAsia" w:ascii="宋体" w:hAnsi="宋体" w:cs="宋体"/>
                <w:sz w:val="24"/>
                <w:szCs w:val="24"/>
                <w:highlight w:val="none"/>
              </w:rPr>
              <w:t>▲</w:t>
            </w:r>
            <w:r>
              <w:rPr>
                <w:rStyle w:val="377"/>
                <w:rFonts w:hint="default" w:ascii="宋体" w:hAnsi="宋体" w:eastAsia="宋体" w:cs="宋体"/>
                <w:sz w:val="24"/>
                <w:szCs w:val="24"/>
                <w:highlight w:val="none"/>
                <w:lang w:bidi="ar"/>
              </w:rPr>
              <w:t>零点漂移</w:t>
            </w:r>
          </w:p>
        </w:tc>
        <w:tc>
          <w:tcPr>
            <w:tcW w:w="3948" w:type="dxa"/>
            <w:tcBorders>
              <w:top w:val="single" w:color="auto" w:sz="4" w:space="0"/>
              <w:left w:val="single" w:color="auto" w:sz="4" w:space="0"/>
              <w:bottom w:val="single" w:color="auto" w:sz="4" w:space="0"/>
            </w:tcBorders>
            <w:vAlign w:val="center"/>
          </w:tcPr>
          <w:p w14:paraId="272D62A7">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±0.02mg/L</w:t>
            </w:r>
          </w:p>
        </w:tc>
      </w:tr>
      <w:tr w14:paraId="55C4C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CA225D0">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0915AACB">
            <w:pPr>
              <w:spacing w:line="360" w:lineRule="exact"/>
              <w:rPr>
                <w:rFonts w:hint="eastAsia" w:ascii="宋体" w:hAnsi="宋体" w:cs="宋体"/>
                <w:sz w:val="24"/>
                <w:szCs w:val="24"/>
                <w:highlight w:val="none"/>
              </w:rPr>
            </w:pPr>
            <w:r>
              <w:rPr>
                <w:rFonts w:hint="eastAsia" w:ascii="宋体" w:hAnsi="宋体" w:cs="宋体"/>
                <w:color w:val="000000"/>
                <w:sz w:val="24"/>
                <w:szCs w:val="24"/>
                <w:highlight w:val="none"/>
              </w:rPr>
              <w:t>▲</w:t>
            </w:r>
            <w:r>
              <w:rPr>
                <w:rStyle w:val="377"/>
                <w:rFonts w:hint="default" w:ascii="宋体" w:hAnsi="宋体" w:eastAsia="宋体" w:cs="宋体"/>
                <w:sz w:val="24"/>
                <w:szCs w:val="24"/>
                <w:highlight w:val="none"/>
                <w:lang w:bidi="ar"/>
              </w:rPr>
              <w:t>检出限</w:t>
            </w:r>
            <w:r>
              <w:rPr>
                <w:rFonts w:hint="eastAsia" w:ascii="宋体" w:hAnsi="宋体" w:cs="宋体"/>
                <w:color w:val="000000"/>
                <w:sz w:val="24"/>
                <w:szCs w:val="24"/>
                <w:highlight w:val="none"/>
              </w:rPr>
              <w:t>。</w:t>
            </w:r>
          </w:p>
        </w:tc>
        <w:tc>
          <w:tcPr>
            <w:tcW w:w="3948" w:type="dxa"/>
            <w:tcBorders>
              <w:top w:val="single" w:color="auto" w:sz="4" w:space="0"/>
              <w:left w:val="single" w:color="auto" w:sz="4" w:space="0"/>
              <w:bottom w:val="single" w:color="auto" w:sz="4" w:space="0"/>
            </w:tcBorders>
            <w:vAlign w:val="center"/>
          </w:tcPr>
          <w:p w14:paraId="0651F24F">
            <w:pPr>
              <w:rPr>
                <w:rStyle w:val="377"/>
                <w:rFonts w:hint="default" w:ascii="宋体" w:hAnsi="宋体" w:eastAsia="宋体" w:cs="宋体"/>
                <w:sz w:val="24"/>
                <w:szCs w:val="24"/>
                <w:highlight w:val="none"/>
                <w:lang w:bidi="ar"/>
              </w:rPr>
            </w:pPr>
            <w:r>
              <w:rPr>
                <w:rStyle w:val="377"/>
                <w:rFonts w:hint="default" w:ascii="宋体" w:hAnsi="宋体" w:eastAsia="宋体" w:cs="宋体"/>
                <w:sz w:val="24"/>
                <w:szCs w:val="24"/>
                <w:highlight w:val="none"/>
                <w:lang w:bidi="ar"/>
              </w:rPr>
              <w:t>0.01mg/L</w:t>
            </w:r>
          </w:p>
        </w:tc>
      </w:tr>
      <w:tr w14:paraId="4A992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A077824">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53511AD0">
            <w:pPr>
              <w:spacing w:line="360" w:lineRule="exact"/>
              <w:rPr>
                <w:rFonts w:hint="eastAsia" w:ascii="宋体" w:hAnsi="宋体" w:cs="宋体"/>
                <w:sz w:val="24"/>
                <w:szCs w:val="24"/>
                <w:highlight w:val="none"/>
              </w:rPr>
            </w:pPr>
            <w:r>
              <w:rPr>
                <w:rFonts w:hint="eastAsia" w:ascii="宋体" w:hAnsi="宋体" w:cs="宋体"/>
                <w:sz w:val="24"/>
                <w:szCs w:val="24"/>
                <w:highlight w:val="none"/>
              </w:rPr>
              <w:t>自动标定功能</w:t>
            </w:r>
          </w:p>
        </w:tc>
        <w:tc>
          <w:tcPr>
            <w:tcW w:w="3948" w:type="dxa"/>
            <w:tcBorders>
              <w:top w:val="single" w:color="auto" w:sz="4" w:space="0"/>
              <w:left w:val="single" w:color="auto" w:sz="4" w:space="0"/>
              <w:bottom w:val="single" w:color="auto" w:sz="4" w:space="0"/>
            </w:tcBorders>
            <w:vAlign w:val="center"/>
          </w:tcPr>
          <w:p w14:paraId="28B418C4">
            <w:pPr>
              <w:adjustRightInd w:val="0"/>
              <w:snapToGrid w:val="0"/>
              <w:rPr>
                <w:rStyle w:val="377"/>
                <w:rFonts w:hint="default" w:ascii="宋体" w:hAnsi="宋体" w:eastAsia="宋体" w:cs="宋体"/>
                <w:sz w:val="24"/>
                <w:szCs w:val="24"/>
                <w:highlight w:val="none"/>
                <w:lang w:bidi="ar"/>
              </w:rPr>
            </w:pPr>
            <w:r>
              <w:rPr>
                <w:rFonts w:hint="eastAsia" w:ascii="宋体" w:hAnsi="宋体" w:cs="宋体"/>
                <w:sz w:val="24"/>
                <w:szCs w:val="24"/>
                <w:highlight w:val="none"/>
              </w:rPr>
              <w:t>仪器具备自动标定功能，可一键标定仪器标准曲线B、K值</w:t>
            </w:r>
          </w:p>
        </w:tc>
      </w:tr>
      <w:tr w14:paraId="59B55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restart"/>
            <w:vAlign w:val="center"/>
          </w:tcPr>
          <w:p w14:paraId="1ED9B969">
            <w:pPr>
              <w:rPr>
                <w:rFonts w:hint="eastAsia" w:ascii="宋体" w:hAnsi="宋体" w:cs="宋体"/>
                <w:sz w:val="24"/>
                <w:szCs w:val="24"/>
                <w:highlight w:val="none"/>
              </w:rPr>
            </w:pPr>
            <w:r>
              <w:rPr>
                <w:rFonts w:hint="eastAsia" w:ascii="宋体" w:hAnsi="宋体" w:cs="宋体"/>
                <w:sz w:val="24"/>
                <w:szCs w:val="24"/>
                <w:highlight w:val="none"/>
              </w:rPr>
              <w:t>总磷水质分析仪</w:t>
            </w:r>
          </w:p>
        </w:tc>
        <w:tc>
          <w:tcPr>
            <w:tcW w:w="3670" w:type="dxa"/>
            <w:gridSpan w:val="2"/>
            <w:tcBorders>
              <w:top w:val="single" w:color="auto" w:sz="4" w:space="0"/>
              <w:bottom w:val="nil"/>
              <w:right w:val="single" w:color="auto" w:sz="4" w:space="0"/>
            </w:tcBorders>
            <w:vAlign w:val="center"/>
          </w:tcPr>
          <w:p w14:paraId="0E3DDF4E">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48" w:type="dxa"/>
            <w:tcBorders>
              <w:top w:val="single" w:color="auto" w:sz="4" w:space="0"/>
              <w:left w:val="single" w:color="auto" w:sz="4" w:space="0"/>
              <w:bottom w:val="single" w:color="auto" w:sz="4" w:space="0"/>
            </w:tcBorders>
            <w:vAlign w:val="center"/>
          </w:tcPr>
          <w:p w14:paraId="3C02E83B">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150A2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72D999C1">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25C433B1">
            <w:pPr>
              <w:pStyle w:val="375"/>
              <w:jc w:val="left"/>
              <w:rPr>
                <w:rFonts w:hint="eastAsia"/>
                <w:sz w:val="24"/>
                <w:szCs w:val="24"/>
                <w:highlight w:val="none"/>
              </w:rPr>
            </w:pPr>
            <w:r>
              <w:rPr>
                <w:rFonts w:hint="eastAsia"/>
                <w:color w:val="000000"/>
                <w:sz w:val="24"/>
                <w:szCs w:val="24"/>
                <w:highlight w:val="none"/>
                <w:lang w:val="en-US"/>
              </w:rPr>
              <w:t xml:space="preserve">测量方法 </w:t>
            </w:r>
          </w:p>
        </w:tc>
        <w:tc>
          <w:tcPr>
            <w:tcW w:w="3948" w:type="dxa"/>
            <w:tcBorders>
              <w:top w:val="single" w:color="auto" w:sz="4" w:space="0"/>
              <w:left w:val="single" w:color="auto" w:sz="4" w:space="0"/>
              <w:bottom w:val="single" w:color="auto" w:sz="4" w:space="0"/>
            </w:tcBorders>
            <w:vAlign w:val="center"/>
          </w:tcPr>
          <w:p w14:paraId="0A0C77B5">
            <w:pPr>
              <w:adjustRightInd w:val="0"/>
              <w:snapToGrid w:val="0"/>
              <w:rPr>
                <w:rFonts w:hint="eastAsia" w:ascii="宋体" w:hAnsi="宋体" w:cs="宋体"/>
                <w:sz w:val="24"/>
                <w:szCs w:val="24"/>
                <w:highlight w:val="none"/>
              </w:rPr>
            </w:pPr>
            <w:r>
              <w:rPr>
                <w:rFonts w:hint="eastAsia" w:ascii="宋体" w:hAnsi="宋体" w:cs="宋体"/>
                <w:color w:val="000000"/>
                <w:sz w:val="24"/>
                <w:szCs w:val="24"/>
                <w:highlight w:val="none"/>
              </w:rPr>
              <w:t>过硫酸钾氧化-钼酸铵分光光度法</w:t>
            </w:r>
          </w:p>
        </w:tc>
      </w:tr>
      <w:tr w14:paraId="6C4C6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11193B15">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0B52EDF0">
            <w:pPr>
              <w:pStyle w:val="375"/>
              <w:jc w:val="left"/>
              <w:rPr>
                <w:rFonts w:hint="eastAsia"/>
                <w:sz w:val="24"/>
                <w:szCs w:val="24"/>
                <w:highlight w:val="none"/>
              </w:rPr>
            </w:pPr>
            <w:r>
              <w:rPr>
                <w:rFonts w:hint="eastAsia"/>
                <w:color w:val="000000"/>
                <w:sz w:val="24"/>
                <w:szCs w:val="24"/>
                <w:highlight w:val="none"/>
                <w:lang w:val="en-US"/>
              </w:rPr>
              <w:t xml:space="preserve">测量范围 </w:t>
            </w:r>
          </w:p>
        </w:tc>
        <w:tc>
          <w:tcPr>
            <w:tcW w:w="3948" w:type="dxa"/>
            <w:tcBorders>
              <w:top w:val="single" w:color="auto" w:sz="4" w:space="0"/>
              <w:left w:val="single" w:color="auto" w:sz="4" w:space="0"/>
              <w:bottom w:val="single" w:color="auto" w:sz="4" w:space="0"/>
            </w:tcBorders>
            <w:vAlign w:val="center"/>
          </w:tcPr>
          <w:p w14:paraId="516E5D84">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0-2mg/L，0-10mg/L，0-50mg/L，0-200mg/L；具备量程扩展功能。</w:t>
            </w:r>
          </w:p>
        </w:tc>
      </w:tr>
      <w:tr w14:paraId="202FD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28BE1116">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3D3D14BE">
            <w:pPr>
              <w:pStyle w:val="375"/>
              <w:jc w:val="left"/>
              <w:rPr>
                <w:rFonts w:hint="eastAsia"/>
                <w:sz w:val="24"/>
                <w:szCs w:val="24"/>
                <w:highlight w:val="none"/>
              </w:rPr>
            </w:pPr>
            <w:r>
              <w:rPr>
                <w:rFonts w:hint="eastAsia"/>
                <w:color w:val="000000"/>
                <w:sz w:val="24"/>
                <w:szCs w:val="24"/>
                <w:highlight w:val="none"/>
                <w:lang w:val="en-US"/>
              </w:rPr>
              <w:t>▲</w:t>
            </w:r>
            <w:r>
              <w:rPr>
                <w:rStyle w:val="377"/>
                <w:rFonts w:hint="default" w:ascii="宋体" w:hAnsi="宋体" w:eastAsia="宋体" w:cs="宋体"/>
                <w:sz w:val="24"/>
                <w:szCs w:val="24"/>
                <w:highlight w:val="none"/>
                <w:lang w:val="en-US" w:bidi="ar"/>
              </w:rPr>
              <w:t>测量精度</w:t>
            </w:r>
          </w:p>
        </w:tc>
        <w:tc>
          <w:tcPr>
            <w:tcW w:w="3948" w:type="dxa"/>
            <w:tcBorders>
              <w:top w:val="single" w:color="auto" w:sz="4" w:space="0"/>
              <w:left w:val="single" w:color="auto" w:sz="4" w:space="0"/>
              <w:bottom w:val="single" w:color="auto" w:sz="4" w:space="0"/>
            </w:tcBorders>
            <w:vAlign w:val="center"/>
          </w:tcPr>
          <w:p w14:paraId="084CDC26">
            <w:pPr>
              <w:adjustRightInd w:val="0"/>
              <w:snapToGrid w:val="0"/>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≤±0.04mg/L，TP≤0.4mg/L；±10%，TP＞0.4mg/L；</w:t>
            </w:r>
          </w:p>
        </w:tc>
      </w:tr>
      <w:tr w14:paraId="74FE0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58EDD4AA">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140454C7">
            <w:pPr>
              <w:pStyle w:val="375"/>
              <w:jc w:val="left"/>
              <w:rPr>
                <w:rFonts w:hint="eastAsia"/>
                <w:sz w:val="24"/>
                <w:szCs w:val="24"/>
                <w:highlight w:val="none"/>
              </w:rPr>
            </w:pPr>
            <w:r>
              <w:rPr>
                <w:rFonts w:hint="eastAsia"/>
                <w:color w:val="000000"/>
                <w:sz w:val="24"/>
                <w:szCs w:val="24"/>
                <w:highlight w:val="none"/>
                <w:lang w:val="en-US"/>
              </w:rPr>
              <w:t>▲</w:t>
            </w:r>
            <w:r>
              <w:rPr>
                <w:rStyle w:val="377"/>
                <w:rFonts w:hint="default" w:ascii="宋体" w:hAnsi="宋体" w:eastAsia="宋体" w:cs="宋体"/>
                <w:sz w:val="24"/>
                <w:szCs w:val="24"/>
                <w:highlight w:val="none"/>
                <w:lang w:val="en-US" w:bidi="ar"/>
              </w:rPr>
              <w:t xml:space="preserve">零点漂移 </w:t>
            </w:r>
          </w:p>
        </w:tc>
        <w:tc>
          <w:tcPr>
            <w:tcW w:w="3948" w:type="dxa"/>
            <w:tcBorders>
              <w:top w:val="single" w:color="auto" w:sz="4" w:space="0"/>
              <w:left w:val="single" w:color="auto" w:sz="4" w:space="0"/>
              <w:bottom w:val="nil"/>
            </w:tcBorders>
            <w:vAlign w:val="center"/>
          </w:tcPr>
          <w:p w14:paraId="47589FB1">
            <w:pPr>
              <w:adjustRightInd w:val="0"/>
              <w:snapToGrid w:val="0"/>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±5% F.S</w:t>
            </w:r>
          </w:p>
        </w:tc>
      </w:tr>
      <w:tr w14:paraId="366FB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5E416C3">
            <w:pPr>
              <w:rPr>
                <w:rFonts w:hint="eastAsia" w:ascii="宋体" w:hAnsi="宋体" w:cs="宋体"/>
                <w:sz w:val="24"/>
                <w:szCs w:val="24"/>
                <w:highlight w:val="none"/>
              </w:rPr>
            </w:pPr>
          </w:p>
        </w:tc>
        <w:tc>
          <w:tcPr>
            <w:tcW w:w="3670" w:type="dxa"/>
            <w:gridSpan w:val="2"/>
            <w:tcBorders>
              <w:top w:val="nil"/>
              <w:bottom w:val="nil"/>
              <w:right w:val="single" w:color="auto" w:sz="4" w:space="0"/>
            </w:tcBorders>
            <w:vAlign w:val="center"/>
          </w:tcPr>
          <w:p w14:paraId="728AE6A9">
            <w:pPr>
              <w:pStyle w:val="375"/>
              <w:jc w:val="left"/>
              <w:rPr>
                <w:rFonts w:hint="eastAsia"/>
                <w:color w:val="000000"/>
                <w:sz w:val="24"/>
                <w:szCs w:val="24"/>
                <w:highlight w:val="none"/>
                <w:lang w:val="en-US"/>
              </w:rPr>
            </w:pPr>
            <w:r>
              <w:rPr>
                <w:rFonts w:hint="eastAsia"/>
                <w:color w:val="000000"/>
                <w:sz w:val="24"/>
                <w:szCs w:val="24"/>
                <w:highlight w:val="none"/>
                <w:lang w:val="en-US"/>
              </w:rPr>
              <w:t>▲</w:t>
            </w:r>
            <w:r>
              <w:rPr>
                <w:rStyle w:val="377"/>
                <w:rFonts w:hint="default" w:ascii="宋体" w:hAnsi="宋体" w:eastAsia="宋体" w:cs="宋体"/>
                <w:sz w:val="24"/>
                <w:szCs w:val="24"/>
                <w:highlight w:val="none"/>
                <w:lang w:val="en-US" w:bidi="ar"/>
              </w:rPr>
              <w:t>量程漂移</w:t>
            </w:r>
          </w:p>
        </w:tc>
        <w:tc>
          <w:tcPr>
            <w:tcW w:w="3948" w:type="dxa"/>
            <w:tcBorders>
              <w:top w:val="single" w:color="auto" w:sz="4" w:space="0"/>
              <w:left w:val="single" w:color="auto" w:sz="4" w:space="0"/>
              <w:bottom w:val="single" w:color="auto" w:sz="4" w:space="0"/>
            </w:tcBorders>
            <w:vAlign w:val="center"/>
          </w:tcPr>
          <w:p w14:paraId="270FA97B">
            <w:pPr>
              <w:adjustRightInd w:val="0"/>
              <w:snapToGrid w:val="0"/>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±10% F.S</w:t>
            </w:r>
          </w:p>
        </w:tc>
      </w:tr>
      <w:tr w14:paraId="3AEDF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4C4EE915">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6EE2BCEA">
            <w:pPr>
              <w:pStyle w:val="375"/>
              <w:jc w:val="left"/>
              <w:rPr>
                <w:rFonts w:hint="eastAsia"/>
                <w:b/>
                <w:bCs/>
                <w:color w:val="000000"/>
                <w:sz w:val="24"/>
                <w:szCs w:val="24"/>
                <w:highlight w:val="none"/>
                <w:lang w:val="en-US"/>
              </w:rPr>
            </w:pPr>
            <w:r>
              <w:rPr>
                <w:rFonts w:hint="eastAsia"/>
                <w:color w:val="000000"/>
                <w:sz w:val="24"/>
                <w:szCs w:val="24"/>
                <w:highlight w:val="none"/>
                <w:lang w:val="en-US"/>
              </w:rPr>
              <w:t xml:space="preserve">检测周期 </w:t>
            </w:r>
          </w:p>
        </w:tc>
        <w:tc>
          <w:tcPr>
            <w:tcW w:w="3948" w:type="dxa"/>
            <w:tcBorders>
              <w:top w:val="nil"/>
              <w:left w:val="single" w:color="auto" w:sz="4" w:space="0"/>
              <w:bottom w:val="nil"/>
            </w:tcBorders>
            <w:vAlign w:val="center"/>
          </w:tcPr>
          <w:p w14:paraId="373709EE">
            <w:pPr>
              <w:pStyle w:val="375"/>
              <w:adjustRightInd w:val="0"/>
              <w:snapToGrid w:val="0"/>
              <w:jc w:val="left"/>
              <w:rPr>
                <w:rFonts w:hint="eastAsia"/>
                <w:sz w:val="24"/>
                <w:szCs w:val="24"/>
                <w:highlight w:val="none"/>
              </w:rPr>
            </w:pPr>
            <w:r>
              <w:rPr>
                <w:rStyle w:val="377"/>
                <w:rFonts w:hint="default" w:ascii="宋体" w:hAnsi="宋体" w:eastAsia="宋体" w:cs="宋体"/>
                <w:sz w:val="24"/>
                <w:szCs w:val="24"/>
                <w:highlight w:val="none"/>
                <w:lang w:val="en-US" w:bidi="ar"/>
              </w:rPr>
              <w:t>45分钟，当消解温度到达120度后，消解时长10分钟时，仪器测量周期小于35分钟，出数时间小于30分钟</w:t>
            </w:r>
          </w:p>
        </w:tc>
      </w:tr>
      <w:tr w14:paraId="15150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7352EE98">
            <w:pPr>
              <w:rPr>
                <w:rFonts w:hint="eastAsia" w:ascii="宋体" w:hAnsi="宋体" w:cs="宋体"/>
                <w:sz w:val="24"/>
                <w:szCs w:val="24"/>
                <w:highlight w:val="none"/>
              </w:rPr>
            </w:pPr>
          </w:p>
        </w:tc>
        <w:tc>
          <w:tcPr>
            <w:tcW w:w="3670" w:type="dxa"/>
            <w:gridSpan w:val="2"/>
            <w:tcBorders>
              <w:top w:val="nil"/>
              <w:bottom w:val="single" w:color="auto" w:sz="4" w:space="0"/>
              <w:right w:val="single" w:color="auto" w:sz="4" w:space="0"/>
            </w:tcBorders>
            <w:vAlign w:val="center"/>
          </w:tcPr>
          <w:p w14:paraId="5C73CC2D">
            <w:pPr>
              <w:pStyle w:val="375"/>
              <w:jc w:val="left"/>
              <w:rPr>
                <w:rFonts w:hint="eastAsia"/>
                <w:color w:val="auto"/>
                <w:sz w:val="24"/>
                <w:szCs w:val="24"/>
                <w:highlight w:val="none"/>
                <w:lang w:val="en-US"/>
              </w:rPr>
            </w:pPr>
            <w:r>
              <w:rPr>
                <w:rFonts w:hint="eastAsia"/>
                <w:color w:val="auto"/>
                <w:sz w:val="24"/>
                <w:szCs w:val="24"/>
                <w:highlight w:val="none"/>
                <w:lang w:val="en-US"/>
              </w:rPr>
              <w:t>▲试剂耗量 。</w:t>
            </w:r>
          </w:p>
        </w:tc>
        <w:tc>
          <w:tcPr>
            <w:tcW w:w="3948" w:type="dxa"/>
            <w:tcBorders>
              <w:top w:val="single" w:color="auto" w:sz="4" w:space="0"/>
              <w:left w:val="single" w:color="auto" w:sz="4" w:space="0"/>
              <w:bottom w:val="single" w:color="auto" w:sz="4" w:space="0"/>
            </w:tcBorders>
            <w:vAlign w:val="center"/>
          </w:tcPr>
          <w:p w14:paraId="23B38470">
            <w:pPr>
              <w:adjustRightInd w:val="0"/>
              <w:snapToGrid w:val="0"/>
              <w:rPr>
                <w:rFonts w:hint="eastAsia" w:ascii="宋体" w:hAnsi="宋体" w:cs="宋体"/>
                <w:color w:val="auto"/>
                <w:sz w:val="24"/>
                <w:szCs w:val="24"/>
                <w:highlight w:val="none"/>
              </w:rPr>
            </w:pPr>
            <w:r>
              <w:rPr>
                <w:rFonts w:hint="eastAsia" w:ascii="宋体" w:hAnsi="宋体" w:cs="宋体"/>
                <w:color w:val="auto"/>
                <w:sz w:val="24"/>
                <w:szCs w:val="24"/>
                <w:highlight w:val="none"/>
              </w:rPr>
              <w:t>≤0.8mL/次</w:t>
            </w:r>
          </w:p>
        </w:tc>
      </w:tr>
      <w:tr w14:paraId="25268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0B3C70CB">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1EBC2288">
            <w:pPr>
              <w:pStyle w:val="375"/>
              <w:jc w:val="left"/>
              <w:rPr>
                <w:rFonts w:hint="eastAsia"/>
                <w:color w:val="000000"/>
                <w:sz w:val="24"/>
                <w:szCs w:val="24"/>
                <w:highlight w:val="none"/>
                <w:lang w:val="en-US"/>
              </w:rPr>
            </w:pPr>
            <w:r>
              <w:rPr>
                <w:rFonts w:hint="eastAsia"/>
                <w:color w:val="000000"/>
                <w:sz w:val="24"/>
                <w:szCs w:val="24"/>
                <w:highlight w:val="none"/>
                <w:lang w:val="en-US"/>
              </w:rPr>
              <w:t>▲零点漂移（24h）。</w:t>
            </w:r>
          </w:p>
        </w:tc>
        <w:tc>
          <w:tcPr>
            <w:tcW w:w="3948" w:type="dxa"/>
            <w:tcBorders>
              <w:top w:val="single" w:color="auto" w:sz="4" w:space="0"/>
              <w:left w:val="single" w:color="auto" w:sz="4" w:space="0"/>
              <w:bottom w:val="single" w:color="auto" w:sz="4" w:space="0"/>
            </w:tcBorders>
            <w:vAlign w:val="center"/>
          </w:tcPr>
          <w:p w14:paraId="12C1A33E">
            <w:pPr>
              <w:adjustRightInd w:val="0"/>
              <w:snapToGrid w:val="0"/>
              <w:rPr>
                <w:rFonts w:hint="eastAsia" w:ascii="宋体" w:hAnsi="宋体" w:cs="宋体"/>
                <w:sz w:val="24"/>
                <w:szCs w:val="24"/>
                <w:highlight w:val="none"/>
              </w:rPr>
            </w:pPr>
            <w:r>
              <w:rPr>
                <w:rFonts w:hint="eastAsia" w:ascii="宋体" w:hAnsi="宋体" w:cs="宋体"/>
                <w:color w:val="000000"/>
                <w:sz w:val="24"/>
                <w:szCs w:val="24"/>
                <w:highlight w:val="none"/>
              </w:rPr>
              <w:t xml:space="preserve"> </w:t>
            </w:r>
            <w:r>
              <w:rPr>
                <w:rStyle w:val="377"/>
                <w:rFonts w:hint="default" w:ascii="宋体" w:hAnsi="宋体" w:eastAsia="宋体" w:cs="宋体"/>
                <w:sz w:val="24"/>
                <w:szCs w:val="24"/>
                <w:highlight w:val="none"/>
                <w:lang w:bidi="ar"/>
              </w:rPr>
              <w:t>±5%F.S</w:t>
            </w:r>
            <w:r>
              <w:rPr>
                <w:rFonts w:hint="eastAsia" w:ascii="宋体" w:hAnsi="宋体" w:cs="宋体"/>
                <w:color w:val="000000"/>
                <w:sz w:val="24"/>
                <w:szCs w:val="24"/>
                <w:highlight w:val="none"/>
              </w:rPr>
              <w:t>.</w:t>
            </w:r>
          </w:p>
        </w:tc>
      </w:tr>
      <w:tr w14:paraId="76C90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57D85113">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6AF9F020">
            <w:pPr>
              <w:pStyle w:val="375"/>
              <w:jc w:val="left"/>
              <w:rPr>
                <w:rFonts w:hint="eastAsia"/>
                <w:color w:val="000000"/>
                <w:sz w:val="24"/>
                <w:szCs w:val="24"/>
                <w:highlight w:val="none"/>
                <w:lang w:val="en-US"/>
              </w:rPr>
            </w:pPr>
            <w:r>
              <w:rPr>
                <w:rFonts w:hint="eastAsia"/>
                <w:color w:val="000000"/>
                <w:sz w:val="24"/>
                <w:szCs w:val="24"/>
                <w:highlight w:val="none"/>
                <w:lang w:val="en-US"/>
              </w:rPr>
              <w:t>▲量程漂移（24h）。</w:t>
            </w:r>
          </w:p>
        </w:tc>
        <w:tc>
          <w:tcPr>
            <w:tcW w:w="3948" w:type="dxa"/>
            <w:tcBorders>
              <w:top w:val="single" w:color="auto" w:sz="4" w:space="0"/>
              <w:left w:val="single" w:color="auto" w:sz="4" w:space="0"/>
              <w:bottom w:val="single" w:color="auto" w:sz="4" w:space="0"/>
            </w:tcBorders>
            <w:vAlign w:val="center"/>
          </w:tcPr>
          <w:p w14:paraId="613D5836">
            <w:pPr>
              <w:adjustRightInd w:val="0"/>
              <w:snapToGrid w:val="0"/>
              <w:rPr>
                <w:rFonts w:hint="eastAsia" w:ascii="宋体" w:hAnsi="宋体" w:cs="宋体"/>
                <w:sz w:val="24"/>
                <w:szCs w:val="24"/>
                <w:highlight w:val="none"/>
              </w:rPr>
            </w:pPr>
            <w:r>
              <w:rPr>
                <w:rFonts w:hint="eastAsia" w:ascii="宋体" w:hAnsi="宋体" w:cs="宋体"/>
                <w:color w:val="000000"/>
                <w:sz w:val="24"/>
                <w:szCs w:val="24"/>
                <w:highlight w:val="none"/>
              </w:rPr>
              <w:t xml:space="preserve"> </w:t>
            </w:r>
            <w:r>
              <w:rPr>
                <w:rStyle w:val="377"/>
                <w:rFonts w:hint="default" w:ascii="宋体" w:hAnsi="宋体" w:eastAsia="宋体" w:cs="宋体"/>
                <w:sz w:val="24"/>
                <w:szCs w:val="24"/>
                <w:highlight w:val="none"/>
                <w:lang w:bidi="ar"/>
              </w:rPr>
              <w:t>±10%F.S</w:t>
            </w:r>
          </w:p>
        </w:tc>
      </w:tr>
      <w:tr w14:paraId="10578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481" w:type="dxa"/>
            <w:vMerge w:val="continue"/>
          </w:tcPr>
          <w:p w14:paraId="60CDFEA2">
            <w:pPr>
              <w:rPr>
                <w:rFonts w:hint="eastAsia" w:ascii="宋体" w:hAnsi="宋体" w:cs="宋体"/>
                <w:sz w:val="24"/>
                <w:szCs w:val="24"/>
                <w:highlight w:val="none"/>
              </w:rPr>
            </w:pPr>
          </w:p>
        </w:tc>
        <w:tc>
          <w:tcPr>
            <w:tcW w:w="3670" w:type="dxa"/>
            <w:gridSpan w:val="2"/>
            <w:tcBorders>
              <w:top w:val="single" w:color="auto" w:sz="4" w:space="0"/>
              <w:bottom w:val="single" w:color="auto" w:sz="4" w:space="0"/>
              <w:right w:val="single" w:color="auto" w:sz="4" w:space="0"/>
            </w:tcBorders>
            <w:vAlign w:val="center"/>
          </w:tcPr>
          <w:p w14:paraId="46013484">
            <w:pPr>
              <w:pStyle w:val="375"/>
              <w:jc w:val="left"/>
              <w:rPr>
                <w:rFonts w:hint="eastAsia"/>
                <w:color w:val="000000"/>
                <w:sz w:val="24"/>
                <w:szCs w:val="24"/>
                <w:highlight w:val="none"/>
                <w:lang w:val="en-US"/>
              </w:rPr>
            </w:pPr>
            <w:r>
              <w:rPr>
                <w:rFonts w:hint="eastAsia"/>
                <w:color w:val="000000"/>
                <w:sz w:val="24"/>
                <w:szCs w:val="24"/>
                <w:highlight w:val="none"/>
                <w:lang w:val="en-US"/>
              </w:rPr>
              <w:t>自动标定功能</w:t>
            </w:r>
          </w:p>
        </w:tc>
        <w:tc>
          <w:tcPr>
            <w:tcW w:w="3948" w:type="dxa"/>
            <w:tcBorders>
              <w:top w:val="single" w:color="auto" w:sz="4" w:space="0"/>
              <w:left w:val="single" w:color="auto" w:sz="4" w:space="0"/>
              <w:bottom w:val="single" w:color="auto" w:sz="4" w:space="0"/>
            </w:tcBorders>
            <w:vAlign w:val="center"/>
          </w:tcPr>
          <w:p w14:paraId="6E0EFF59">
            <w:pPr>
              <w:adjustRightInd w:val="0"/>
              <w:snapToGrid w:val="0"/>
              <w:rPr>
                <w:rFonts w:hint="eastAsia" w:ascii="宋体" w:hAnsi="宋体" w:cs="宋体"/>
                <w:sz w:val="24"/>
                <w:szCs w:val="24"/>
                <w:highlight w:val="none"/>
              </w:rPr>
            </w:pPr>
            <w:r>
              <w:rPr>
                <w:rFonts w:hint="eastAsia" w:ascii="宋体" w:hAnsi="宋体" w:cs="宋体"/>
                <w:color w:val="000000"/>
                <w:sz w:val="24"/>
                <w:szCs w:val="24"/>
                <w:highlight w:val="none"/>
              </w:rPr>
              <w:t>仪器具备自动标定功能，可一键标定仪器标准曲线B、K值。</w:t>
            </w:r>
          </w:p>
        </w:tc>
      </w:tr>
      <w:tr w14:paraId="0D848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1481" w:type="dxa"/>
            <w:vMerge w:val="restart"/>
          </w:tcPr>
          <w:p w14:paraId="59A4C8C5">
            <w:pPr>
              <w:jc w:val="left"/>
              <w:rPr>
                <w:rFonts w:hint="eastAsia" w:ascii="宋体" w:hAnsi="宋体" w:cs="宋体"/>
                <w:sz w:val="24"/>
                <w:szCs w:val="24"/>
                <w:highlight w:val="none"/>
              </w:rPr>
            </w:pPr>
            <w:r>
              <w:rPr>
                <w:rFonts w:hint="eastAsia" w:ascii="宋体" w:hAnsi="宋体" w:cs="宋体"/>
                <w:sz w:val="24"/>
                <w:szCs w:val="24"/>
                <w:highlight w:val="none"/>
              </w:rPr>
              <w:t>总氮水质分析仪</w:t>
            </w:r>
          </w:p>
        </w:tc>
        <w:tc>
          <w:tcPr>
            <w:tcW w:w="3654" w:type="dxa"/>
            <w:tcBorders>
              <w:right w:val="single" w:color="auto" w:sz="4" w:space="0"/>
            </w:tcBorders>
            <w:vAlign w:val="center"/>
          </w:tcPr>
          <w:p w14:paraId="160580F3">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64" w:type="dxa"/>
            <w:gridSpan w:val="2"/>
            <w:tcBorders>
              <w:left w:val="single" w:color="auto" w:sz="4" w:space="0"/>
            </w:tcBorders>
            <w:vAlign w:val="center"/>
          </w:tcPr>
          <w:p w14:paraId="53E3887C">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33E64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vAlign w:val="center"/>
          </w:tcPr>
          <w:p w14:paraId="60A671BF">
            <w:pPr>
              <w:rPr>
                <w:rFonts w:hint="eastAsia" w:ascii="宋体" w:hAnsi="宋体" w:cs="宋体"/>
                <w:sz w:val="24"/>
                <w:szCs w:val="24"/>
                <w:highlight w:val="none"/>
              </w:rPr>
            </w:pPr>
          </w:p>
        </w:tc>
        <w:tc>
          <w:tcPr>
            <w:tcW w:w="3654" w:type="dxa"/>
            <w:tcBorders>
              <w:right w:val="single" w:color="auto" w:sz="4" w:space="0"/>
            </w:tcBorders>
            <w:vAlign w:val="center"/>
          </w:tcPr>
          <w:p w14:paraId="2371BE72">
            <w:pP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测量方法</w:t>
            </w:r>
          </w:p>
        </w:tc>
        <w:tc>
          <w:tcPr>
            <w:tcW w:w="3964" w:type="dxa"/>
            <w:gridSpan w:val="2"/>
            <w:tcBorders>
              <w:left w:val="single" w:color="auto" w:sz="4" w:space="0"/>
            </w:tcBorders>
            <w:vAlign w:val="center"/>
          </w:tcPr>
          <w:p w14:paraId="508382BD">
            <w:pPr>
              <w:rPr>
                <w:rFonts w:hint="eastAsia" w:ascii="宋体" w:hAnsi="宋体" w:cs="宋体"/>
                <w:color w:val="000000"/>
                <w:sz w:val="24"/>
                <w:szCs w:val="24"/>
                <w:highlight w:val="none"/>
              </w:rPr>
            </w:pPr>
            <w:r>
              <w:rPr>
                <w:rFonts w:hint="eastAsia" w:ascii="宋体" w:hAnsi="宋体" w:cs="宋体"/>
                <w:sz w:val="24"/>
                <w:szCs w:val="24"/>
                <w:highlight w:val="none"/>
              </w:rPr>
              <w:t>碱性过硫酸钾消解-紫外分光光度法</w:t>
            </w:r>
          </w:p>
        </w:tc>
      </w:tr>
      <w:tr w14:paraId="68BC2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24BE1B5D">
            <w:pPr>
              <w:rPr>
                <w:rFonts w:hint="eastAsia" w:ascii="宋体" w:hAnsi="宋体" w:cs="宋体"/>
                <w:sz w:val="24"/>
                <w:szCs w:val="24"/>
                <w:highlight w:val="none"/>
              </w:rPr>
            </w:pPr>
          </w:p>
        </w:tc>
        <w:tc>
          <w:tcPr>
            <w:tcW w:w="3654" w:type="dxa"/>
            <w:tcBorders>
              <w:right w:val="single" w:color="auto" w:sz="4" w:space="0"/>
            </w:tcBorders>
            <w:vAlign w:val="center"/>
          </w:tcPr>
          <w:p w14:paraId="12559379">
            <w:pP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测量范围</w:t>
            </w:r>
          </w:p>
        </w:tc>
        <w:tc>
          <w:tcPr>
            <w:tcW w:w="3964" w:type="dxa"/>
            <w:gridSpan w:val="2"/>
            <w:tcBorders>
              <w:left w:val="single" w:color="auto" w:sz="4" w:space="0"/>
            </w:tcBorders>
            <w:vAlign w:val="center"/>
          </w:tcPr>
          <w:p w14:paraId="5836CA39">
            <w:pPr>
              <w:rPr>
                <w:rFonts w:hint="eastAsia" w:ascii="宋体" w:hAnsi="宋体" w:cs="宋体"/>
                <w:color w:val="000000"/>
                <w:sz w:val="24"/>
                <w:szCs w:val="24"/>
                <w:highlight w:val="none"/>
              </w:rPr>
            </w:pPr>
            <w:r>
              <w:rPr>
                <w:rStyle w:val="377"/>
                <w:rFonts w:hint="default" w:ascii="宋体" w:hAnsi="宋体" w:eastAsia="宋体" w:cs="宋体"/>
                <w:sz w:val="24"/>
                <w:szCs w:val="24"/>
                <w:highlight w:val="none"/>
                <w:lang w:bidi="ar"/>
              </w:rPr>
              <w:t>0-5mg/L；0-30mg/L；0-50mg/L；0-200mg/L；具备量程扩展功能。</w:t>
            </w:r>
          </w:p>
        </w:tc>
      </w:tr>
      <w:tr w14:paraId="7D567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6EC31631">
            <w:pPr>
              <w:rPr>
                <w:rFonts w:hint="eastAsia" w:ascii="宋体" w:hAnsi="宋体" w:cs="宋体"/>
                <w:sz w:val="24"/>
                <w:szCs w:val="24"/>
                <w:highlight w:val="none"/>
              </w:rPr>
            </w:pPr>
          </w:p>
        </w:tc>
        <w:tc>
          <w:tcPr>
            <w:tcW w:w="3654" w:type="dxa"/>
            <w:tcBorders>
              <w:right w:val="single" w:color="auto" w:sz="4" w:space="0"/>
            </w:tcBorders>
            <w:vAlign w:val="center"/>
          </w:tcPr>
          <w:p w14:paraId="6F5E3ED3">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检测周期</w:t>
            </w:r>
          </w:p>
        </w:tc>
        <w:tc>
          <w:tcPr>
            <w:tcW w:w="3964" w:type="dxa"/>
            <w:gridSpan w:val="2"/>
            <w:tcBorders>
              <w:left w:val="single" w:color="auto" w:sz="4" w:space="0"/>
            </w:tcBorders>
            <w:vAlign w:val="center"/>
          </w:tcPr>
          <w:p w14:paraId="6C79223E">
            <w:pPr>
              <w:rPr>
                <w:rFonts w:hint="eastAsia" w:ascii="宋体" w:hAnsi="宋体" w:cs="宋体"/>
                <w:color w:val="000000"/>
                <w:sz w:val="24"/>
                <w:szCs w:val="24"/>
                <w:highlight w:val="none"/>
              </w:rPr>
            </w:pPr>
            <w:r>
              <w:rPr>
                <w:rFonts w:hint="eastAsia" w:ascii="宋体" w:hAnsi="宋体" w:cs="宋体"/>
                <w:color w:val="000000"/>
                <w:sz w:val="24"/>
                <w:szCs w:val="24"/>
                <w:highlight w:val="none"/>
              </w:rPr>
              <w:t>测量周期最短 50 分钟/次</w:t>
            </w:r>
          </w:p>
        </w:tc>
      </w:tr>
      <w:tr w14:paraId="7421B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505AE19D">
            <w:pPr>
              <w:rPr>
                <w:rFonts w:hint="eastAsia" w:ascii="宋体" w:hAnsi="宋体" w:cs="宋体"/>
                <w:sz w:val="24"/>
                <w:szCs w:val="24"/>
                <w:highlight w:val="none"/>
              </w:rPr>
            </w:pPr>
          </w:p>
        </w:tc>
        <w:tc>
          <w:tcPr>
            <w:tcW w:w="3654" w:type="dxa"/>
            <w:tcBorders>
              <w:right w:val="single" w:color="auto" w:sz="4" w:space="0"/>
            </w:tcBorders>
            <w:vAlign w:val="center"/>
          </w:tcPr>
          <w:p w14:paraId="53DD83FA">
            <w:pPr>
              <w:spacing w:line="3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color w:val="auto"/>
                <w:sz w:val="24"/>
                <w:szCs w:val="24"/>
                <w:highlight w:val="none"/>
              </w:rPr>
              <w:t>试剂耗量。</w:t>
            </w:r>
          </w:p>
        </w:tc>
        <w:tc>
          <w:tcPr>
            <w:tcW w:w="3964" w:type="dxa"/>
            <w:gridSpan w:val="2"/>
            <w:tcBorders>
              <w:left w:val="single" w:color="auto" w:sz="4" w:space="0"/>
            </w:tcBorders>
            <w:vAlign w:val="center"/>
          </w:tcPr>
          <w:p w14:paraId="0F5A032B">
            <w:pPr>
              <w:rPr>
                <w:rFonts w:hint="eastAsia" w:ascii="宋体" w:hAnsi="宋体" w:cs="宋体"/>
                <w:color w:val="auto"/>
                <w:sz w:val="24"/>
                <w:szCs w:val="24"/>
                <w:highlight w:val="none"/>
              </w:rPr>
            </w:pPr>
            <w:r>
              <w:rPr>
                <w:rFonts w:hint="eastAsia" w:ascii="宋体" w:hAnsi="宋体" w:cs="宋体"/>
                <w:color w:val="auto"/>
                <w:sz w:val="24"/>
                <w:szCs w:val="24"/>
                <w:highlight w:val="none"/>
              </w:rPr>
              <w:t>≤0.75 毫升/次/试剂</w:t>
            </w:r>
          </w:p>
        </w:tc>
      </w:tr>
      <w:tr w14:paraId="4B561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007BDE80">
            <w:pPr>
              <w:rPr>
                <w:rFonts w:hint="eastAsia" w:ascii="宋体" w:hAnsi="宋体" w:cs="宋体"/>
                <w:sz w:val="24"/>
                <w:szCs w:val="24"/>
                <w:highlight w:val="none"/>
              </w:rPr>
            </w:pPr>
          </w:p>
        </w:tc>
        <w:tc>
          <w:tcPr>
            <w:tcW w:w="3654" w:type="dxa"/>
            <w:tcBorders>
              <w:right w:val="single" w:color="auto" w:sz="4" w:space="0"/>
            </w:tcBorders>
            <w:vAlign w:val="center"/>
          </w:tcPr>
          <w:p w14:paraId="69456AA9">
            <w:pP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▲零点漂移（24h）</w:t>
            </w:r>
          </w:p>
        </w:tc>
        <w:tc>
          <w:tcPr>
            <w:tcW w:w="3964" w:type="dxa"/>
            <w:gridSpan w:val="2"/>
            <w:tcBorders>
              <w:left w:val="single" w:color="auto" w:sz="4" w:space="0"/>
            </w:tcBorders>
            <w:vAlign w:val="center"/>
          </w:tcPr>
          <w:p w14:paraId="3452348B">
            <w:pPr>
              <w:spacing w:line="360" w:lineRule="exact"/>
              <w:rPr>
                <w:rFonts w:hint="eastAsia" w:ascii="宋体" w:hAnsi="宋体" w:cs="宋体"/>
                <w:color w:val="000000"/>
                <w:sz w:val="24"/>
                <w:szCs w:val="24"/>
                <w:highlight w:val="none"/>
              </w:rPr>
            </w:pPr>
            <w:r>
              <w:rPr>
                <w:rStyle w:val="377"/>
                <w:rFonts w:hint="default" w:ascii="宋体" w:hAnsi="宋体" w:eastAsia="宋体" w:cs="宋体"/>
                <w:sz w:val="24"/>
                <w:szCs w:val="24"/>
                <w:highlight w:val="none"/>
                <w:lang w:bidi="ar"/>
              </w:rPr>
              <w:t>±5F.S。</w:t>
            </w:r>
          </w:p>
        </w:tc>
      </w:tr>
      <w:tr w14:paraId="3B6CA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1FEC9E97">
            <w:pPr>
              <w:rPr>
                <w:rFonts w:hint="eastAsia" w:ascii="宋体" w:hAnsi="宋体" w:cs="宋体"/>
                <w:sz w:val="24"/>
                <w:szCs w:val="24"/>
                <w:highlight w:val="none"/>
              </w:rPr>
            </w:pPr>
          </w:p>
        </w:tc>
        <w:tc>
          <w:tcPr>
            <w:tcW w:w="3654" w:type="dxa"/>
            <w:tcBorders>
              <w:right w:val="single" w:color="auto" w:sz="4" w:space="0"/>
            </w:tcBorders>
            <w:vAlign w:val="center"/>
          </w:tcPr>
          <w:p w14:paraId="60A3DD08">
            <w:pP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▲量程漂移（24h）</w:t>
            </w:r>
          </w:p>
        </w:tc>
        <w:tc>
          <w:tcPr>
            <w:tcW w:w="3964" w:type="dxa"/>
            <w:gridSpan w:val="2"/>
            <w:tcBorders>
              <w:left w:val="single" w:color="auto" w:sz="4" w:space="0"/>
            </w:tcBorders>
            <w:vAlign w:val="center"/>
          </w:tcPr>
          <w:p w14:paraId="6822EF92">
            <w:pPr>
              <w:spacing w:line="360" w:lineRule="exact"/>
              <w:rPr>
                <w:rFonts w:hint="eastAsia" w:ascii="宋体" w:hAnsi="宋体" w:cs="宋体"/>
                <w:color w:val="000000"/>
                <w:sz w:val="24"/>
                <w:szCs w:val="24"/>
                <w:highlight w:val="none"/>
              </w:rPr>
            </w:pPr>
            <w:r>
              <w:rPr>
                <w:rStyle w:val="377"/>
                <w:rFonts w:hint="default" w:ascii="宋体" w:hAnsi="宋体" w:eastAsia="宋体" w:cs="宋体"/>
                <w:sz w:val="24"/>
                <w:szCs w:val="24"/>
                <w:highlight w:val="none"/>
                <w:lang w:bidi="ar"/>
              </w:rPr>
              <w:t>±5F.S。</w:t>
            </w:r>
            <w:r>
              <w:rPr>
                <w:rFonts w:hint="eastAsia" w:ascii="宋体" w:hAnsi="宋体" w:cs="宋体"/>
                <w:sz w:val="24"/>
                <w:szCs w:val="24"/>
                <w:highlight w:val="none"/>
              </w:rPr>
              <w:t>。</w:t>
            </w:r>
          </w:p>
        </w:tc>
      </w:tr>
      <w:tr w14:paraId="522BE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12B71717">
            <w:pPr>
              <w:rPr>
                <w:rFonts w:hint="eastAsia" w:ascii="宋体" w:hAnsi="宋体" w:cs="宋体"/>
                <w:sz w:val="24"/>
                <w:szCs w:val="24"/>
                <w:highlight w:val="none"/>
              </w:rPr>
            </w:pPr>
          </w:p>
        </w:tc>
        <w:tc>
          <w:tcPr>
            <w:tcW w:w="3654" w:type="dxa"/>
            <w:tcBorders>
              <w:right w:val="single" w:color="auto" w:sz="4" w:space="0"/>
            </w:tcBorders>
            <w:vAlign w:val="center"/>
          </w:tcPr>
          <w:p w14:paraId="233909F3">
            <w:pP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测量间隔</w:t>
            </w:r>
          </w:p>
        </w:tc>
        <w:tc>
          <w:tcPr>
            <w:tcW w:w="3964" w:type="dxa"/>
            <w:gridSpan w:val="2"/>
            <w:tcBorders>
              <w:left w:val="single" w:color="auto" w:sz="4" w:space="0"/>
            </w:tcBorders>
            <w:vAlign w:val="center"/>
          </w:tcPr>
          <w:p w14:paraId="4A6BD567">
            <w:pPr>
              <w:rPr>
                <w:rFonts w:hint="eastAsia" w:ascii="宋体" w:hAnsi="宋体" w:cs="宋体"/>
                <w:color w:val="000000"/>
                <w:sz w:val="24"/>
                <w:szCs w:val="24"/>
                <w:highlight w:val="none"/>
              </w:rPr>
            </w:pPr>
            <w:r>
              <w:rPr>
                <w:rStyle w:val="377"/>
                <w:rFonts w:hint="default" w:ascii="宋体" w:hAnsi="宋体" w:eastAsia="宋体" w:cs="宋体"/>
                <w:sz w:val="24"/>
                <w:szCs w:val="24"/>
                <w:highlight w:val="none"/>
                <w:lang w:bidi="ar"/>
              </w:rPr>
              <w:t>可1-24h间隔测量、整点测量、远程控制测量、流量触发启动测量。</w:t>
            </w:r>
          </w:p>
        </w:tc>
      </w:tr>
      <w:tr w14:paraId="1E763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vMerge w:val="continue"/>
          </w:tcPr>
          <w:p w14:paraId="57BFBE2E">
            <w:pPr>
              <w:rPr>
                <w:rFonts w:hint="eastAsia" w:ascii="宋体" w:hAnsi="宋体" w:cs="宋体"/>
                <w:sz w:val="24"/>
                <w:szCs w:val="24"/>
                <w:highlight w:val="none"/>
              </w:rPr>
            </w:pPr>
          </w:p>
        </w:tc>
        <w:tc>
          <w:tcPr>
            <w:tcW w:w="3654" w:type="dxa"/>
            <w:tcBorders>
              <w:right w:val="single" w:color="auto" w:sz="4" w:space="0"/>
            </w:tcBorders>
            <w:vAlign w:val="center"/>
          </w:tcPr>
          <w:p w14:paraId="2234C9EA">
            <w:pPr>
              <w:rPr>
                <w:rFonts w:hint="eastAsia" w:ascii="宋体" w:hAnsi="宋体" w:cs="宋体"/>
                <w:color w:val="000000"/>
                <w:sz w:val="24"/>
                <w:szCs w:val="24"/>
                <w:highlight w:val="none"/>
              </w:rPr>
            </w:pPr>
            <w:r>
              <w:rPr>
                <w:rFonts w:hint="eastAsia" w:ascii="宋体" w:hAnsi="宋体" w:cs="宋体"/>
                <w:sz w:val="24"/>
                <w:szCs w:val="24"/>
                <w:highlight w:val="none"/>
              </w:rPr>
              <w:t>自动标定功能</w:t>
            </w:r>
          </w:p>
        </w:tc>
        <w:tc>
          <w:tcPr>
            <w:tcW w:w="3964" w:type="dxa"/>
            <w:gridSpan w:val="2"/>
            <w:tcBorders>
              <w:left w:val="single" w:color="auto" w:sz="4" w:space="0"/>
            </w:tcBorders>
            <w:vAlign w:val="center"/>
          </w:tcPr>
          <w:p w14:paraId="2568D67D">
            <w:pPr>
              <w:adjustRightInd w:val="0"/>
              <w:snapToGrid w:val="0"/>
              <w:rPr>
                <w:rFonts w:hint="eastAsia" w:ascii="宋体" w:hAnsi="宋体" w:cs="宋体"/>
                <w:color w:val="000000"/>
                <w:sz w:val="24"/>
                <w:szCs w:val="24"/>
                <w:highlight w:val="none"/>
              </w:rPr>
            </w:pPr>
            <w:r>
              <w:rPr>
                <w:rFonts w:hint="eastAsia" w:ascii="宋体" w:hAnsi="宋体" w:cs="宋体"/>
                <w:sz w:val="24"/>
                <w:szCs w:val="24"/>
                <w:highlight w:val="none"/>
              </w:rPr>
              <w:t>仪器具备自动标定功能，可一键标定仪器标准曲线B、K值。</w:t>
            </w:r>
          </w:p>
        </w:tc>
      </w:tr>
      <w:tr w14:paraId="451F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481" w:type="dxa"/>
          </w:tcPr>
          <w:p w14:paraId="019D55AE">
            <w:pPr>
              <w:rPr>
                <w:rFonts w:hint="eastAsia" w:ascii="宋体" w:hAnsi="宋体" w:cs="宋体"/>
                <w:sz w:val="24"/>
                <w:szCs w:val="24"/>
                <w:highlight w:val="none"/>
              </w:rPr>
            </w:pPr>
          </w:p>
        </w:tc>
        <w:tc>
          <w:tcPr>
            <w:tcW w:w="3654" w:type="dxa"/>
            <w:tcBorders>
              <w:right w:val="single" w:color="auto" w:sz="4" w:space="0"/>
            </w:tcBorders>
            <w:vAlign w:val="center"/>
          </w:tcPr>
          <w:p w14:paraId="02867BE0">
            <w:pPr>
              <w:widowControl/>
              <w:jc w:val="center"/>
              <w:rPr>
                <w:rFonts w:hint="eastAsia" w:ascii="宋体" w:hAnsi="宋体" w:cs="宋体"/>
                <w:b/>
                <w:sz w:val="24"/>
                <w:szCs w:val="24"/>
                <w:highlight w:val="none"/>
              </w:rPr>
            </w:pPr>
            <w:r>
              <w:rPr>
                <w:rFonts w:hint="eastAsia" w:ascii="宋体" w:hAnsi="宋体" w:cs="宋体"/>
                <w:b/>
                <w:sz w:val="24"/>
                <w:szCs w:val="24"/>
                <w:highlight w:val="none"/>
              </w:rPr>
              <w:t>项目</w:t>
            </w:r>
          </w:p>
        </w:tc>
        <w:tc>
          <w:tcPr>
            <w:tcW w:w="3964" w:type="dxa"/>
            <w:gridSpan w:val="2"/>
            <w:tcBorders>
              <w:left w:val="single" w:color="auto" w:sz="4" w:space="0"/>
            </w:tcBorders>
            <w:vAlign w:val="center"/>
          </w:tcPr>
          <w:p w14:paraId="5A6D626C">
            <w:pPr>
              <w:widowControl/>
              <w:jc w:val="center"/>
              <w:rPr>
                <w:rFonts w:hint="eastAsia" w:ascii="宋体" w:hAnsi="宋体" w:cs="宋体"/>
                <w:b/>
                <w:sz w:val="24"/>
                <w:szCs w:val="24"/>
                <w:highlight w:val="none"/>
              </w:rPr>
            </w:pPr>
            <w:r>
              <w:rPr>
                <w:rFonts w:hint="eastAsia" w:ascii="宋体" w:hAnsi="宋体" w:cs="宋体"/>
                <w:b/>
                <w:sz w:val="24"/>
                <w:szCs w:val="24"/>
                <w:highlight w:val="none"/>
              </w:rPr>
              <w:t>技术指标</w:t>
            </w:r>
          </w:p>
        </w:tc>
      </w:tr>
      <w:tr w14:paraId="63789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restart"/>
            <w:vAlign w:val="center"/>
          </w:tcPr>
          <w:p w14:paraId="47B4C3FE">
            <w:pPr>
              <w:rPr>
                <w:rFonts w:hint="eastAsia" w:ascii="宋体" w:hAnsi="宋体" w:cs="宋体"/>
                <w:sz w:val="24"/>
                <w:szCs w:val="24"/>
                <w:highlight w:val="none"/>
              </w:rPr>
            </w:pPr>
            <w:r>
              <w:rPr>
                <w:rFonts w:hint="eastAsia" w:ascii="宋体" w:hAnsi="宋体" w:cs="宋体"/>
                <w:color w:val="000000"/>
                <w:sz w:val="24"/>
                <w:szCs w:val="24"/>
                <w:highlight w:val="none"/>
              </w:rPr>
              <w:t>高锰酸盐指数</w:t>
            </w:r>
            <w:r>
              <w:rPr>
                <w:rFonts w:hint="eastAsia" w:ascii="宋体" w:hAnsi="宋体" w:cs="宋体"/>
                <w:sz w:val="24"/>
                <w:szCs w:val="24"/>
                <w:highlight w:val="none"/>
              </w:rPr>
              <w:t>水质分析仪</w:t>
            </w:r>
          </w:p>
        </w:tc>
        <w:tc>
          <w:tcPr>
            <w:tcW w:w="3654" w:type="dxa"/>
            <w:tcBorders>
              <w:right w:val="single" w:color="auto" w:sz="4" w:space="0"/>
            </w:tcBorders>
            <w:vAlign w:val="center"/>
          </w:tcPr>
          <w:p w14:paraId="2CD1C242">
            <w:pPr>
              <w:rPr>
                <w:rFonts w:hint="eastAsia" w:ascii="宋体" w:hAnsi="宋体" w:cs="宋体"/>
                <w:sz w:val="24"/>
                <w:szCs w:val="24"/>
                <w:highlight w:val="none"/>
              </w:rPr>
            </w:pPr>
            <w:r>
              <w:rPr>
                <w:rFonts w:hint="eastAsia" w:ascii="宋体" w:hAnsi="宋体" w:cs="宋体"/>
                <w:sz w:val="24"/>
                <w:szCs w:val="24"/>
                <w:highlight w:val="none"/>
              </w:rPr>
              <w:t>测定方法</w:t>
            </w:r>
          </w:p>
        </w:tc>
        <w:tc>
          <w:tcPr>
            <w:tcW w:w="3964" w:type="dxa"/>
            <w:gridSpan w:val="2"/>
            <w:tcBorders>
              <w:left w:val="single" w:color="auto" w:sz="4" w:space="0"/>
            </w:tcBorders>
            <w:vAlign w:val="center"/>
          </w:tcPr>
          <w:p w14:paraId="502DEE4D">
            <w:pPr>
              <w:rPr>
                <w:rFonts w:hint="eastAsia" w:ascii="宋体" w:hAnsi="宋体" w:cs="宋体"/>
                <w:sz w:val="24"/>
                <w:szCs w:val="24"/>
                <w:highlight w:val="none"/>
              </w:rPr>
            </w:pPr>
            <w:r>
              <w:rPr>
                <w:rFonts w:hint="eastAsia" w:ascii="宋体" w:hAnsi="宋体" w:cs="宋体"/>
                <w:sz w:val="24"/>
                <w:szCs w:val="24"/>
                <w:highlight w:val="none"/>
              </w:rPr>
              <w:t>酸性高锰酸钾分光光度法</w:t>
            </w:r>
          </w:p>
        </w:tc>
      </w:tr>
      <w:tr w14:paraId="67281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123967F6">
            <w:pPr>
              <w:rPr>
                <w:rFonts w:hint="eastAsia" w:ascii="宋体" w:hAnsi="宋体" w:cs="宋体"/>
                <w:sz w:val="24"/>
                <w:szCs w:val="24"/>
                <w:highlight w:val="none"/>
              </w:rPr>
            </w:pPr>
          </w:p>
        </w:tc>
        <w:tc>
          <w:tcPr>
            <w:tcW w:w="3654" w:type="dxa"/>
            <w:tcBorders>
              <w:right w:val="single" w:color="auto" w:sz="4" w:space="0"/>
            </w:tcBorders>
            <w:vAlign w:val="center"/>
          </w:tcPr>
          <w:p w14:paraId="6DE8A777">
            <w:pPr>
              <w:rPr>
                <w:rFonts w:hint="eastAsia" w:ascii="宋体" w:hAnsi="宋体" w:cs="宋体"/>
                <w:sz w:val="24"/>
                <w:szCs w:val="24"/>
                <w:highlight w:val="none"/>
              </w:rPr>
            </w:pPr>
            <w:r>
              <w:rPr>
                <w:rFonts w:hint="eastAsia" w:ascii="宋体" w:hAnsi="宋体" w:cs="宋体"/>
                <w:sz w:val="24"/>
                <w:szCs w:val="24"/>
                <w:highlight w:val="none"/>
              </w:rPr>
              <w:t>量程</w:t>
            </w:r>
          </w:p>
        </w:tc>
        <w:tc>
          <w:tcPr>
            <w:tcW w:w="3964" w:type="dxa"/>
            <w:gridSpan w:val="2"/>
            <w:tcBorders>
              <w:left w:val="single" w:color="auto" w:sz="4" w:space="0"/>
            </w:tcBorders>
            <w:vAlign w:val="center"/>
          </w:tcPr>
          <w:p w14:paraId="0A2E7009">
            <w:pPr>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0~5mg/L,0~25mg/L,0~50mg/L(可拓展)</w:t>
            </w:r>
          </w:p>
        </w:tc>
      </w:tr>
      <w:tr w14:paraId="71DB6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1D44B178">
            <w:pPr>
              <w:rPr>
                <w:rFonts w:hint="eastAsia" w:ascii="宋体" w:hAnsi="宋体" w:cs="宋体"/>
                <w:sz w:val="24"/>
                <w:szCs w:val="24"/>
                <w:highlight w:val="none"/>
              </w:rPr>
            </w:pPr>
          </w:p>
        </w:tc>
        <w:tc>
          <w:tcPr>
            <w:tcW w:w="3654" w:type="dxa"/>
            <w:tcBorders>
              <w:right w:val="single" w:color="auto" w:sz="4" w:space="0"/>
            </w:tcBorders>
            <w:vAlign w:val="center"/>
          </w:tcPr>
          <w:p w14:paraId="28852AF5">
            <w:pPr>
              <w:rPr>
                <w:rFonts w:hint="eastAsia" w:ascii="宋体" w:hAnsi="宋体" w:cs="宋体"/>
                <w:sz w:val="24"/>
                <w:szCs w:val="24"/>
                <w:highlight w:val="none"/>
              </w:rPr>
            </w:pPr>
            <w:r>
              <w:rPr>
                <w:rFonts w:hint="eastAsia" w:ascii="宋体" w:hAnsi="宋体" w:cs="宋体"/>
                <w:sz w:val="24"/>
                <w:szCs w:val="24"/>
                <w:highlight w:val="none"/>
              </w:rPr>
              <w:t>▲准确度</w:t>
            </w:r>
          </w:p>
        </w:tc>
        <w:tc>
          <w:tcPr>
            <w:tcW w:w="3964" w:type="dxa"/>
            <w:gridSpan w:val="2"/>
            <w:tcBorders>
              <w:left w:val="single" w:color="auto" w:sz="4" w:space="0"/>
            </w:tcBorders>
            <w:vAlign w:val="center"/>
          </w:tcPr>
          <w:p w14:paraId="5EF5EB61">
            <w:pPr>
              <w:adjustRightInd w:val="0"/>
              <w:snapToGrid w:val="0"/>
              <w:rPr>
                <w:rFonts w:hint="eastAsia" w:ascii="宋体" w:hAnsi="宋体" w:cs="宋体"/>
                <w:sz w:val="24"/>
                <w:szCs w:val="24"/>
                <w:highlight w:val="none"/>
              </w:rPr>
            </w:pPr>
            <w:r>
              <w:rPr>
                <w:rStyle w:val="377"/>
                <w:rFonts w:hint="default" w:ascii="宋体" w:hAnsi="宋体" w:eastAsia="宋体" w:cs="宋体"/>
                <w:sz w:val="24"/>
                <w:szCs w:val="24"/>
                <w:highlight w:val="none"/>
                <w:lang w:bidi="ar"/>
              </w:rPr>
              <w:t>质控样±0.1mg/L，COD≤1mg/L；±10%，COD≥1mg/L</w:t>
            </w:r>
          </w:p>
        </w:tc>
      </w:tr>
      <w:tr w14:paraId="01137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24F5BFED">
            <w:pPr>
              <w:rPr>
                <w:rFonts w:hint="eastAsia" w:ascii="宋体" w:hAnsi="宋体" w:cs="宋体"/>
                <w:sz w:val="24"/>
                <w:szCs w:val="24"/>
                <w:highlight w:val="none"/>
              </w:rPr>
            </w:pPr>
          </w:p>
        </w:tc>
        <w:tc>
          <w:tcPr>
            <w:tcW w:w="3654" w:type="dxa"/>
            <w:tcBorders>
              <w:right w:val="single" w:color="auto" w:sz="4" w:space="0"/>
            </w:tcBorders>
            <w:vAlign w:val="center"/>
          </w:tcPr>
          <w:p w14:paraId="5328DB24">
            <w:pP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color w:val="000000"/>
                <w:sz w:val="24"/>
                <w:szCs w:val="24"/>
                <w:highlight w:val="none"/>
              </w:rPr>
              <w:t>检出限</w:t>
            </w:r>
          </w:p>
        </w:tc>
        <w:tc>
          <w:tcPr>
            <w:tcW w:w="3964" w:type="dxa"/>
            <w:gridSpan w:val="2"/>
            <w:tcBorders>
              <w:left w:val="single" w:color="auto" w:sz="4" w:space="0"/>
            </w:tcBorders>
            <w:vAlign w:val="center"/>
          </w:tcPr>
          <w:p w14:paraId="4380DBD4">
            <w:pPr>
              <w:rPr>
                <w:rFonts w:hint="eastAsia" w:ascii="宋体" w:hAnsi="宋体" w:cs="宋体"/>
                <w:sz w:val="24"/>
                <w:szCs w:val="24"/>
                <w:highlight w:val="none"/>
              </w:rPr>
            </w:pPr>
            <w:r>
              <w:rPr>
                <w:rFonts w:hint="eastAsia" w:ascii="宋体" w:hAnsi="宋体" w:cs="宋体"/>
                <w:color w:val="000000"/>
                <w:sz w:val="24"/>
                <w:szCs w:val="24"/>
                <w:highlight w:val="none"/>
              </w:rPr>
              <w:t>≤0.04mg/L。</w:t>
            </w:r>
          </w:p>
        </w:tc>
      </w:tr>
      <w:tr w14:paraId="26F6C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667983E4">
            <w:pPr>
              <w:rPr>
                <w:rFonts w:hint="eastAsia" w:ascii="宋体" w:hAnsi="宋体" w:cs="宋体"/>
                <w:sz w:val="24"/>
                <w:szCs w:val="24"/>
                <w:highlight w:val="none"/>
              </w:rPr>
            </w:pPr>
          </w:p>
        </w:tc>
        <w:tc>
          <w:tcPr>
            <w:tcW w:w="3654" w:type="dxa"/>
            <w:tcBorders>
              <w:right w:val="single" w:color="auto" w:sz="4" w:space="0"/>
            </w:tcBorders>
            <w:vAlign w:val="center"/>
          </w:tcPr>
          <w:p w14:paraId="0CD8CAD3">
            <w:pP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color w:val="000000"/>
                <w:sz w:val="24"/>
                <w:szCs w:val="24"/>
                <w:highlight w:val="none"/>
              </w:rPr>
              <w:t>零点漂移</w:t>
            </w:r>
          </w:p>
        </w:tc>
        <w:tc>
          <w:tcPr>
            <w:tcW w:w="3964" w:type="dxa"/>
            <w:gridSpan w:val="2"/>
            <w:tcBorders>
              <w:left w:val="single" w:color="auto" w:sz="4" w:space="0"/>
            </w:tcBorders>
            <w:vAlign w:val="center"/>
          </w:tcPr>
          <w:p w14:paraId="6948989B">
            <w:pPr>
              <w:rPr>
                <w:rFonts w:hint="eastAsia" w:ascii="宋体" w:hAnsi="宋体" w:cs="宋体"/>
                <w:sz w:val="24"/>
                <w:szCs w:val="24"/>
                <w:highlight w:val="none"/>
              </w:rPr>
            </w:pPr>
            <w:r>
              <w:rPr>
                <w:rFonts w:hint="eastAsia" w:ascii="宋体" w:hAnsi="宋体" w:cs="宋体"/>
                <w:color w:val="000000"/>
                <w:sz w:val="24"/>
                <w:szCs w:val="24"/>
                <w:highlight w:val="none"/>
              </w:rPr>
              <w:t>±5% F.S.</w:t>
            </w:r>
          </w:p>
        </w:tc>
      </w:tr>
      <w:tr w14:paraId="55048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60F67EA9">
            <w:pPr>
              <w:rPr>
                <w:rFonts w:hint="eastAsia" w:ascii="宋体" w:hAnsi="宋体" w:cs="宋体"/>
                <w:sz w:val="24"/>
                <w:szCs w:val="24"/>
                <w:highlight w:val="none"/>
              </w:rPr>
            </w:pPr>
          </w:p>
        </w:tc>
        <w:tc>
          <w:tcPr>
            <w:tcW w:w="3654" w:type="dxa"/>
            <w:tcBorders>
              <w:right w:val="single" w:color="auto" w:sz="4" w:space="0"/>
            </w:tcBorders>
            <w:vAlign w:val="center"/>
          </w:tcPr>
          <w:p w14:paraId="53C0DF0B">
            <w:pP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color w:val="000000"/>
                <w:sz w:val="24"/>
                <w:szCs w:val="24"/>
                <w:highlight w:val="none"/>
              </w:rPr>
              <w:t>量程漂移</w:t>
            </w:r>
          </w:p>
        </w:tc>
        <w:tc>
          <w:tcPr>
            <w:tcW w:w="3964" w:type="dxa"/>
            <w:gridSpan w:val="2"/>
            <w:tcBorders>
              <w:left w:val="single" w:color="auto" w:sz="4" w:space="0"/>
            </w:tcBorders>
            <w:vAlign w:val="center"/>
          </w:tcPr>
          <w:p w14:paraId="636D97D5">
            <w:pPr>
              <w:adjustRightInd w:val="0"/>
              <w:snapToGrid w:val="0"/>
              <w:rPr>
                <w:rFonts w:hint="eastAsia" w:ascii="宋体" w:hAnsi="宋体" w:cs="宋体"/>
                <w:sz w:val="24"/>
                <w:szCs w:val="24"/>
                <w:highlight w:val="none"/>
              </w:rPr>
            </w:pPr>
            <w:r>
              <w:rPr>
                <w:rFonts w:hint="eastAsia" w:ascii="宋体" w:hAnsi="宋体" w:cs="宋体"/>
                <w:color w:val="000000"/>
                <w:sz w:val="24"/>
                <w:szCs w:val="24"/>
                <w:highlight w:val="none"/>
              </w:rPr>
              <w:t>±5% F.S.</w:t>
            </w:r>
          </w:p>
        </w:tc>
      </w:tr>
      <w:tr w14:paraId="793A6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2A91AC92">
            <w:pPr>
              <w:rPr>
                <w:rFonts w:hint="eastAsia" w:ascii="宋体" w:hAnsi="宋体" w:cs="宋体"/>
                <w:sz w:val="24"/>
                <w:szCs w:val="24"/>
                <w:highlight w:val="none"/>
              </w:rPr>
            </w:pPr>
          </w:p>
        </w:tc>
        <w:tc>
          <w:tcPr>
            <w:tcW w:w="3654" w:type="dxa"/>
            <w:tcBorders>
              <w:right w:val="single" w:color="auto" w:sz="4" w:space="0"/>
            </w:tcBorders>
            <w:vAlign w:val="center"/>
          </w:tcPr>
          <w:p w14:paraId="3995D75A">
            <w:pPr>
              <w:spacing w:line="3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color w:val="auto"/>
                <w:sz w:val="24"/>
                <w:szCs w:val="24"/>
                <w:highlight w:val="none"/>
              </w:rPr>
              <w:t>试剂耗量</w:t>
            </w:r>
          </w:p>
        </w:tc>
        <w:tc>
          <w:tcPr>
            <w:tcW w:w="3964" w:type="dxa"/>
            <w:gridSpan w:val="2"/>
            <w:tcBorders>
              <w:left w:val="single" w:color="auto" w:sz="4" w:space="0"/>
            </w:tcBorders>
            <w:vAlign w:val="center"/>
          </w:tcPr>
          <w:p w14:paraId="0BB9ABB0">
            <w:pPr>
              <w:adjustRightInd w:val="0"/>
              <w:snapToGrid w:val="0"/>
              <w:rPr>
                <w:rFonts w:hint="eastAsia" w:ascii="宋体" w:hAnsi="宋体" w:cs="宋体"/>
                <w:color w:val="auto"/>
                <w:sz w:val="24"/>
                <w:szCs w:val="24"/>
                <w:highlight w:val="none"/>
              </w:rPr>
            </w:pPr>
            <w:r>
              <w:rPr>
                <w:rFonts w:hint="eastAsia" w:ascii="宋体" w:hAnsi="宋体" w:cs="宋体"/>
                <w:color w:val="auto"/>
                <w:sz w:val="24"/>
                <w:szCs w:val="24"/>
                <w:highlight w:val="none"/>
              </w:rPr>
              <w:t>≤0.7毫升/次/试剂。</w:t>
            </w:r>
          </w:p>
        </w:tc>
      </w:tr>
      <w:tr w14:paraId="0A387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087E7085">
            <w:pPr>
              <w:rPr>
                <w:rFonts w:hint="eastAsia" w:ascii="宋体" w:hAnsi="宋体" w:cs="宋体"/>
                <w:sz w:val="24"/>
                <w:szCs w:val="24"/>
                <w:highlight w:val="none"/>
              </w:rPr>
            </w:pPr>
          </w:p>
        </w:tc>
        <w:tc>
          <w:tcPr>
            <w:tcW w:w="3654" w:type="dxa"/>
            <w:tcBorders>
              <w:right w:val="single" w:color="auto" w:sz="4" w:space="0"/>
            </w:tcBorders>
            <w:vAlign w:val="center"/>
          </w:tcPr>
          <w:p w14:paraId="12555E18">
            <w:pPr>
              <w:rPr>
                <w:rFonts w:hint="eastAsia" w:ascii="宋体" w:hAnsi="宋体" w:cs="宋体"/>
                <w:sz w:val="24"/>
                <w:szCs w:val="24"/>
                <w:highlight w:val="none"/>
              </w:rPr>
            </w:pPr>
            <w:r>
              <w:rPr>
                <w:rFonts w:hint="eastAsia" w:ascii="宋体" w:hAnsi="宋体" w:cs="宋体"/>
                <w:sz w:val="24"/>
                <w:szCs w:val="24"/>
                <w:highlight w:val="none"/>
              </w:rPr>
              <w:t>自动标定功能</w:t>
            </w:r>
          </w:p>
        </w:tc>
        <w:tc>
          <w:tcPr>
            <w:tcW w:w="3964" w:type="dxa"/>
            <w:gridSpan w:val="2"/>
            <w:tcBorders>
              <w:left w:val="single" w:color="auto" w:sz="4" w:space="0"/>
            </w:tcBorders>
            <w:vAlign w:val="center"/>
          </w:tcPr>
          <w:p w14:paraId="39BE3DF0">
            <w:pPr>
              <w:adjustRightInd w:val="0"/>
              <w:snapToGrid w:val="0"/>
              <w:rPr>
                <w:rFonts w:hint="eastAsia" w:ascii="宋体" w:hAnsi="宋体" w:cs="宋体"/>
                <w:sz w:val="24"/>
                <w:szCs w:val="24"/>
                <w:highlight w:val="none"/>
              </w:rPr>
            </w:pPr>
            <w:r>
              <w:rPr>
                <w:rFonts w:hint="eastAsia" w:ascii="宋体" w:hAnsi="宋体" w:cs="宋体"/>
                <w:sz w:val="24"/>
                <w:szCs w:val="24"/>
                <w:highlight w:val="none"/>
              </w:rPr>
              <w:t>仪器具备自动标定功能，可一键标定仪器标准曲线B、K值。</w:t>
            </w:r>
          </w:p>
        </w:tc>
      </w:tr>
      <w:tr w14:paraId="57D0B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restart"/>
            <w:vAlign w:val="center"/>
          </w:tcPr>
          <w:p w14:paraId="0D44E1FC">
            <w:pPr>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流量计（5个点位排水口）</w:t>
            </w:r>
          </w:p>
        </w:tc>
        <w:tc>
          <w:tcPr>
            <w:tcW w:w="3654" w:type="dxa"/>
            <w:tcBorders>
              <w:right w:val="single" w:color="auto" w:sz="4" w:space="0"/>
            </w:tcBorders>
            <w:vAlign w:val="center"/>
          </w:tcPr>
          <w:p w14:paraId="6C52CD7E">
            <w:pPr>
              <w:widowControl/>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项目</w:t>
            </w:r>
          </w:p>
        </w:tc>
        <w:tc>
          <w:tcPr>
            <w:tcW w:w="3964" w:type="dxa"/>
            <w:gridSpan w:val="2"/>
            <w:tcBorders>
              <w:left w:val="single" w:color="auto" w:sz="4" w:space="0"/>
            </w:tcBorders>
            <w:vAlign w:val="center"/>
          </w:tcPr>
          <w:p w14:paraId="197FE51D">
            <w:pPr>
              <w:widowControl/>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技术指标</w:t>
            </w:r>
          </w:p>
        </w:tc>
      </w:tr>
      <w:tr w14:paraId="0C5CC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0E7CC5AE">
            <w:pPr>
              <w:rPr>
                <w:rFonts w:hint="eastAsia" w:ascii="宋体" w:hAnsi="宋体" w:cs="宋体"/>
                <w:color w:val="auto"/>
                <w:sz w:val="24"/>
                <w:szCs w:val="24"/>
                <w:highlight w:val="none"/>
              </w:rPr>
            </w:pPr>
          </w:p>
        </w:tc>
        <w:tc>
          <w:tcPr>
            <w:tcW w:w="3654" w:type="dxa"/>
            <w:tcBorders>
              <w:right w:val="single" w:color="auto" w:sz="4" w:space="0"/>
            </w:tcBorders>
            <w:vAlign w:val="center"/>
          </w:tcPr>
          <w:p w14:paraId="7218B8EC">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流量量程</w:t>
            </w:r>
          </w:p>
        </w:tc>
        <w:tc>
          <w:tcPr>
            <w:tcW w:w="3964" w:type="dxa"/>
            <w:gridSpan w:val="2"/>
            <w:tcBorders>
              <w:left w:val="single" w:color="auto" w:sz="4" w:space="0"/>
            </w:tcBorders>
            <w:vAlign w:val="center"/>
          </w:tcPr>
          <w:p w14:paraId="2ABFA201">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0.1升/秒～10米３/秒</w:t>
            </w:r>
          </w:p>
        </w:tc>
      </w:tr>
      <w:tr w14:paraId="2A729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31B62736">
            <w:pPr>
              <w:rPr>
                <w:rFonts w:hint="eastAsia" w:ascii="宋体" w:hAnsi="宋体" w:cs="宋体"/>
                <w:color w:val="auto"/>
                <w:sz w:val="24"/>
                <w:szCs w:val="24"/>
                <w:highlight w:val="none"/>
              </w:rPr>
            </w:pPr>
          </w:p>
        </w:tc>
        <w:tc>
          <w:tcPr>
            <w:tcW w:w="3654" w:type="dxa"/>
            <w:tcBorders>
              <w:right w:val="single" w:color="auto" w:sz="4" w:space="0"/>
            </w:tcBorders>
            <w:vAlign w:val="center"/>
          </w:tcPr>
          <w:p w14:paraId="409756A6">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流量精度</w:t>
            </w:r>
          </w:p>
        </w:tc>
        <w:tc>
          <w:tcPr>
            <w:tcW w:w="3964" w:type="dxa"/>
            <w:gridSpan w:val="2"/>
            <w:tcBorders>
              <w:left w:val="single" w:color="auto" w:sz="4" w:space="0"/>
            </w:tcBorders>
            <w:vAlign w:val="center"/>
          </w:tcPr>
          <w:p w14:paraId="0DF2515E">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±（1～3）%</w:t>
            </w:r>
          </w:p>
        </w:tc>
      </w:tr>
      <w:tr w14:paraId="44EDC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724092EA">
            <w:pPr>
              <w:rPr>
                <w:rFonts w:hint="eastAsia" w:ascii="宋体" w:hAnsi="宋体" w:cs="宋体"/>
                <w:color w:val="auto"/>
                <w:sz w:val="24"/>
                <w:szCs w:val="24"/>
                <w:highlight w:val="none"/>
              </w:rPr>
            </w:pPr>
          </w:p>
        </w:tc>
        <w:tc>
          <w:tcPr>
            <w:tcW w:w="3654" w:type="dxa"/>
            <w:tcBorders>
              <w:right w:val="single" w:color="auto" w:sz="4" w:space="0"/>
            </w:tcBorders>
            <w:vAlign w:val="center"/>
          </w:tcPr>
          <w:p w14:paraId="1EF171D7">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超声波最大测距</w:t>
            </w:r>
          </w:p>
        </w:tc>
        <w:tc>
          <w:tcPr>
            <w:tcW w:w="3964" w:type="dxa"/>
            <w:gridSpan w:val="2"/>
            <w:tcBorders>
              <w:left w:val="single" w:color="auto" w:sz="4" w:space="0"/>
            </w:tcBorders>
            <w:vAlign w:val="center"/>
          </w:tcPr>
          <w:p w14:paraId="131F9469">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3米</w:t>
            </w:r>
          </w:p>
        </w:tc>
      </w:tr>
      <w:tr w14:paraId="306E6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1CBCF994">
            <w:pPr>
              <w:rPr>
                <w:rFonts w:hint="eastAsia" w:ascii="宋体" w:hAnsi="宋体" w:cs="宋体"/>
                <w:color w:val="auto"/>
                <w:sz w:val="24"/>
                <w:szCs w:val="24"/>
                <w:highlight w:val="none"/>
              </w:rPr>
            </w:pPr>
          </w:p>
        </w:tc>
        <w:tc>
          <w:tcPr>
            <w:tcW w:w="3654" w:type="dxa"/>
            <w:tcBorders>
              <w:right w:val="single" w:color="auto" w:sz="4" w:space="0"/>
            </w:tcBorders>
            <w:vAlign w:val="center"/>
          </w:tcPr>
          <w:p w14:paraId="5CFD9532">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探头盲区</w:t>
            </w:r>
          </w:p>
        </w:tc>
        <w:tc>
          <w:tcPr>
            <w:tcW w:w="3964" w:type="dxa"/>
            <w:gridSpan w:val="2"/>
            <w:tcBorders>
              <w:left w:val="single" w:color="auto" w:sz="4" w:space="0"/>
            </w:tcBorders>
            <w:vAlign w:val="center"/>
          </w:tcPr>
          <w:p w14:paraId="5EB9B8C4">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≤0.4米</w:t>
            </w:r>
          </w:p>
        </w:tc>
      </w:tr>
      <w:tr w14:paraId="23013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48659262">
            <w:pPr>
              <w:rPr>
                <w:rFonts w:hint="eastAsia" w:ascii="宋体" w:hAnsi="宋体" w:cs="宋体"/>
                <w:color w:val="auto"/>
                <w:sz w:val="24"/>
                <w:szCs w:val="24"/>
                <w:highlight w:val="none"/>
              </w:rPr>
            </w:pPr>
          </w:p>
        </w:tc>
        <w:tc>
          <w:tcPr>
            <w:tcW w:w="3654" w:type="dxa"/>
            <w:tcBorders>
              <w:right w:val="single" w:color="auto" w:sz="4" w:space="0"/>
            </w:tcBorders>
            <w:vAlign w:val="center"/>
          </w:tcPr>
          <w:p w14:paraId="28657F41">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测距误差</w:t>
            </w:r>
          </w:p>
        </w:tc>
        <w:tc>
          <w:tcPr>
            <w:tcW w:w="3964" w:type="dxa"/>
            <w:gridSpan w:val="2"/>
            <w:tcBorders>
              <w:left w:val="single" w:color="auto" w:sz="4" w:space="0"/>
            </w:tcBorders>
            <w:vAlign w:val="center"/>
          </w:tcPr>
          <w:p w14:paraId="562CE7AE">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±0.3%（在3米量程内）</w:t>
            </w:r>
          </w:p>
        </w:tc>
      </w:tr>
      <w:tr w14:paraId="159EF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722DDA26">
            <w:pPr>
              <w:rPr>
                <w:rFonts w:hint="eastAsia" w:ascii="宋体" w:hAnsi="宋体" w:cs="宋体"/>
                <w:color w:val="auto"/>
                <w:sz w:val="24"/>
                <w:szCs w:val="24"/>
                <w:highlight w:val="none"/>
              </w:rPr>
            </w:pPr>
          </w:p>
        </w:tc>
        <w:tc>
          <w:tcPr>
            <w:tcW w:w="3654" w:type="dxa"/>
            <w:tcBorders>
              <w:right w:val="single" w:color="auto" w:sz="4" w:space="0"/>
            </w:tcBorders>
            <w:vAlign w:val="center"/>
          </w:tcPr>
          <w:p w14:paraId="194148A1">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仪器防护</w:t>
            </w:r>
          </w:p>
        </w:tc>
        <w:tc>
          <w:tcPr>
            <w:tcW w:w="3964" w:type="dxa"/>
            <w:gridSpan w:val="2"/>
            <w:tcBorders>
              <w:left w:val="single" w:color="auto" w:sz="4" w:space="0"/>
            </w:tcBorders>
            <w:vAlign w:val="center"/>
          </w:tcPr>
          <w:p w14:paraId="5FE64B44">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IP65</w:t>
            </w:r>
          </w:p>
        </w:tc>
      </w:tr>
      <w:tr w14:paraId="1B71D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5C046779">
            <w:pPr>
              <w:rPr>
                <w:rFonts w:hint="eastAsia" w:ascii="宋体" w:hAnsi="宋体" w:cs="宋体"/>
                <w:color w:val="auto"/>
                <w:sz w:val="24"/>
                <w:szCs w:val="24"/>
                <w:highlight w:val="none"/>
              </w:rPr>
            </w:pPr>
          </w:p>
        </w:tc>
        <w:tc>
          <w:tcPr>
            <w:tcW w:w="3654" w:type="dxa"/>
            <w:tcBorders>
              <w:right w:val="single" w:color="auto" w:sz="4" w:space="0"/>
            </w:tcBorders>
            <w:vAlign w:val="center"/>
          </w:tcPr>
          <w:p w14:paraId="6AAF8A58">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通讯接口</w:t>
            </w:r>
          </w:p>
        </w:tc>
        <w:tc>
          <w:tcPr>
            <w:tcW w:w="3964" w:type="dxa"/>
            <w:gridSpan w:val="2"/>
            <w:tcBorders>
              <w:left w:val="single" w:color="auto" w:sz="4" w:space="0"/>
            </w:tcBorders>
            <w:vAlign w:val="center"/>
          </w:tcPr>
          <w:p w14:paraId="32FEEB78">
            <w:pPr>
              <w:widowControl/>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支持1路RS485接口</w:t>
            </w:r>
          </w:p>
        </w:tc>
      </w:tr>
      <w:tr w14:paraId="15D99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restart"/>
            <w:vAlign w:val="center"/>
          </w:tcPr>
          <w:p w14:paraId="69BB9980">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视频监控</w:t>
            </w:r>
          </w:p>
        </w:tc>
        <w:tc>
          <w:tcPr>
            <w:tcW w:w="3654" w:type="dxa"/>
            <w:tcBorders>
              <w:right w:val="single" w:color="auto" w:sz="4" w:space="0"/>
            </w:tcBorders>
            <w:vAlign w:val="center"/>
          </w:tcPr>
          <w:p w14:paraId="5F40C031">
            <w:pPr>
              <w:widowControl/>
              <w:jc w:val="center"/>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rPr>
              <w:t>项目</w:t>
            </w:r>
          </w:p>
        </w:tc>
        <w:tc>
          <w:tcPr>
            <w:tcW w:w="3964" w:type="dxa"/>
            <w:gridSpan w:val="2"/>
            <w:tcBorders>
              <w:left w:val="single" w:color="auto" w:sz="4" w:space="0"/>
            </w:tcBorders>
            <w:vAlign w:val="center"/>
          </w:tcPr>
          <w:p w14:paraId="3F53CC7E">
            <w:pPr>
              <w:widowControl/>
              <w:jc w:val="center"/>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rPr>
              <w:t>技术指标</w:t>
            </w:r>
          </w:p>
        </w:tc>
      </w:tr>
      <w:tr w14:paraId="0A020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49D05E9E">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1F268B40">
            <w:pPr>
              <w:widowControl/>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像素</w:t>
            </w:r>
          </w:p>
        </w:tc>
        <w:tc>
          <w:tcPr>
            <w:tcW w:w="3964" w:type="dxa"/>
            <w:gridSpan w:val="2"/>
            <w:tcBorders>
              <w:left w:val="single" w:color="auto" w:sz="4" w:space="0"/>
            </w:tcBorders>
            <w:vAlign w:val="center"/>
          </w:tcPr>
          <w:p w14:paraId="1896189A">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00万</w:t>
            </w:r>
          </w:p>
        </w:tc>
      </w:tr>
      <w:tr w14:paraId="71EB5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22523DD7">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061FE7C8">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焦距</w:t>
            </w:r>
          </w:p>
        </w:tc>
        <w:tc>
          <w:tcPr>
            <w:tcW w:w="3964" w:type="dxa"/>
            <w:gridSpan w:val="2"/>
            <w:tcBorders>
              <w:left w:val="single" w:color="auto" w:sz="4" w:space="0"/>
            </w:tcBorders>
            <w:vAlign w:val="center"/>
          </w:tcPr>
          <w:p w14:paraId="69A7039E">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4mm</w:t>
            </w:r>
          </w:p>
        </w:tc>
      </w:tr>
      <w:tr w14:paraId="6507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23E4E41A">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5A001250">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供电方式</w:t>
            </w:r>
          </w:p>
        </w:tc>
        <w:tc>
          <w:tcPr>
            <w:tcW w:w="3964" w:type="dxa"/>
            <w:gridSpan w:val="2"/>
            <w:tcBorders>
              <w:left w:val="single" w:color="auto" w:sz="4" w:space="0"/>
            </w:tcBorders>
            <w:vAlign w:val="center"/>
          </w:tcPr>
          <w:p w14:paraId="1FECE845">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电源供电</w:t>
            </w:r>
          </w:p>
        </w:tc>
      </w:tr>
      <w:tr w14:paraId="7323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4FCCC805">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402D5E9E">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夜视类型</w:t>
            </w:r>
          </w:p>
        </w:tc>
        <w:tc>
          <w:tcPr>
            <w:tcW w:w="3964" w:type="dxa"/>
            <w:gridSpan w:val="2"/>
            <w:tcBorders>
              <w:left w:val="single" w:color="auto" w:sz="4" w:space="0"/>
            </w:tcBorders>
            <w:vAlign w:val="center"/>
          </w:tcPr>
          <w:p w14:paraId="074A13A5">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双光夜视</w:t>
            </w:r>
          </w:p>
        </w:tc>
      </w:tr>
      <w:tr w14:paraId="24EB6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262CC5AA">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06D4CC95">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监控类型</w:t>
            </w:r>
          </w:p>
        </w:tc>
        <w:tc>
          <w:tcPr>
            <w:tcW w:w="3964" w:type="dxa"/>
            <w:gridSpan w:val="2"/>
            <w:tcBorders>
              <w:left w:val="single" w:color="auto" w:sz="4" w:space="0"/>
            </w:tcBorders>
            <w:vAlign w:val="center"/>
          </w:tcPr>
          <w:p w14:paraId="13F30814">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4G监控</w:t>
            </w:r>
          </w:p>
        </w:tc>
      </w:tr>
      <w:tr w14:paraId="6C82A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3C44AF13">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0E7DF685">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语音类型</w:t>
            </w:r>
          </w:p>
        </w:tc>
        <w:tc>
          <w:tcPr>
            <w:tcW w:w="3964" w:type="dxa"/>
            <w:gridSpan w:val="2"/>
            <w:tcBorders>
              <w:left w:val="single" w:color="auto" w:sz="4" w:space="0"/>
            </w:tcBorders>
            <w:vAlign w:val="center"/>
          </w:tcPr>
          <w:p w14:paraId="298006B1">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语音对讲</w:t>
            </w:r>
          </w:p>
        </w:tc>
      </w:tr>
      <w:tr w14:paraId="14F64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81" w:type="dxa"/>
            <w:vMerge w:val="continue"/>
          </w:tcPr>
          <w:p w14:paraId="6022DE03">
            <w:pPr>
              <w:rPr>
                <w:rFonts w:hint="eastAsia" w:ascii="宋体" w:hAnsi="宋体" w:cs="宋体"/>
                <w:color w:val="auto"/>
                <w:sz w:val="24"/>
                <w:szCs w:val="24"/>
                <w:highlight w:val="none"/>
                <w:lang w:val="en-US" w:eastAsia="zh-CN"/>
              </w:rPr>
            </w:pPr>
          </w:p>
        </w:tc>
        <w:tc>
          <w:tcPr>
            <w:tcW w:w="3654" w:type="dxa"/>
            <w:tcBorders>
              <w:right w:val="single" w:color="auto" w:sz="4" w:space="0"/>
            </w:tcBorders>
            <w:vAlign w:val="center"/>
          </w:tcPr>
          <w:p w14:paraId="00B655E4">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存储方式</w:t>
            </w:r>
          </w:p>
        </w:tc>
        <w:tc>
          <w:tcPr>
            <w:tcW w:w="3964" w:type="dxa"/>
            <w:gridSpan w:val="2"/>
            <w:tcBorders>
              <w:left w:val="single" w:color="auto" w:sz="4" w:space="0"/>
            </w:tcBorders>
            <w:vAlign w:val="center"/>
          </w:tcPr>
          <w:p w14:paraId="53D62E76">
            <w:pPr>
              <w:widowControl/>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内存卡</w:t>
            </w:r>
          </w:p>
        </w:tc>
      </w:tr>
      <w:tr w14:paraId="6EFD6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jc w:val="center"/>
        </w:trPr>
        <w:tc>
          <w:tcPr>
            <w:tcW w:w="1481" w:type="dxa"/>
            <w:vAlign w:val="center"/>
          </w:tcPr>
          <w:p w14:paraId="33B95917">
            <w:pPr>
              <w:pStyle w:val="375"/>
              <w:rPr>
                <w:rFonts w:hint="eastAsia"/>
                <w:color w:val="auto"/>
                <w:sz w:val="24"/>
                <w:szCs w:val="24"/>
                <w:highlight w:val="none"/>
                <w:lang w:val="en-US" w:bidi="ar-SA"/>
              </w:rPr>
            </w:pPr>
            <w:r>
              <w:rPr>
                <w:rFonts w:hint="eastAsia"/>
                <w:color w:val="auto"/>
                <w:sz w:val="24"/>
                <w:szCs w:val="24"/>
                <w:highlight w:val="none"/>
                <w:lang w:val="en-US" w:bidi="ar-SA"/>
              </w:rPr>
              <w:t>软件平台功能</w:t>
            </w:r>
          </w:p>
        </w:tc>
        <w:tc>
          <w:tcPr>
            <w:tcW w:w="7618" w:type="dxa"/>
            <w:gridSpan w:val="3"/>
            <w:vAlign w:val="center"/>
          </w:tcPr>
          <w:p w14:paraId="7489378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软件平台支持GPRS等多种形式将数据上传平台，可实时在电脑或手机上监控现场设备运行状态，方便运维人员进行维护。支持</w:t>
            </w:r>
            <w:r>
              <w:rPr>
                <w:rFonts w:hint="eastAsia" w:ascii="宋体" w:hAnsi="宋体" w:cs="宋体"/>
                <w:color w:val="auto"/>
                <w:sz w:val="24"/>
                <w:szCs w:val="24"/>
                <w:highlight w:val="none"/>
                <w:lang w:val="en-US" w:eastAsia="zh-CN"/>
              </w:rPr>
              <w:t>水质、流量、视频等</w:t>
            </w:r>
            <w:r>
              <w:rPr>
                <w:rFonts w:hint="eastAsia" w:ascii="宋体" w:hAnsi="宋体" w:cs="宋体"/>
                <w:color w:val="auto"/>
                <w:sz w:val="24"/>
                <w:szCs w:val="24"/>
                <w:highlight w:val="none"/>
              </w:rPr>
              <w:t>各类数据</w:t>
            </w:r>
            <w:r>
              <w:rPr>
                <w:rFonts w:hint="eastAsia" w:ascii="宋体" w:hAnsi="宋体" w:cs="宋体"/>
                <w:color w:val="auto"/>
                <w:sz w:val="24"/>
                <w:szCs w:val="24"/>
                <w:highlight w:val="none"/>
                <w:lang w:val="en-US" w:eastAsia="zh-CN"/>
              </w:rPr>
              <w:t>查看；</w:t>
            </w:r>
            <w:r>
              <w:rPr>
                <w:rFonts w:hint="eastAsia" w:ascii="宋体" w:hAnsi="宋体" w:cs="宋体"/>
                <w:color w:val="auto"/>
                <w:sz w:val="24"/>
                <w:szCs w:val="24"/>
                <w:highlight w:val="none"/>
              </w:rPr>
              <w:t>具有实时数据水质检测、数据曲线、数据分析、实时报警等功能。</w:t>
            </w:r>
          </w:p>
        </w:tc>
      </w:tr>
    </w:tbl>
    <w:p w14:paraId="60A1FFD2">
      <w:pPr>
        <w:spacing w:line="360" w:lineRule="auto"/>
        <w:rPr>
          <w:rFonts w:hint="eastAsia" w:ascii="宋体" w:hAnsi="宋体" w:cs="宋体"/>
          <w:b/>
          <w:bCs/>
          <w:sz w:val="24"/>
          <w:szCs w:val="24"/>
          <w:highlight w:val="none"/>
        </w:rPr>
      </w:pPr>
    </w:p>
    <w:p w14:paraId="5DD5C63A">
      <w:pPr>
        <w:numPr>
          <w:ilvl w:val="0"/>
          <w:numId w:val="7"/>
        </w:numPr>
        <w:spacing w:line="360" w:lineRule="auto"/>
        <w:ind w:firstLine="420"/>
        <w:rPr>
          <w:rFonts w:hint="eastAsia" w:ascii="宋体" w:hAnsi="宋体" w:cs="宋体"/>
          <w:b/>
          <w:bCs/>
          <w:sz w:val="24"/>
          <w:szCs w:val="24"/>
        </w:rPr>
      </w:pPr>
      <w:r>
        <w:rPr>
          <w:rFonts w:hint="eastAsia" w:ascii="宋体" w:hAnsi="宋体" w:cs="宋体"/>
          <w:b/>
          <w:bCs/>
          <w:sz w:val="24"/>
          <w:szCs w:val="24"/>
          <w:highlight w:val="none"/>
        </w:rPr>
        <w:t>水质自动监测系统技术要求</w:t>
      </w:r>
    </w:p>
    <w:p w14:paraId="3D0B213F">
      <w:pPr>
        <w:spacing w:line="360" w:lineRule="auto"/>
        <w:ind w:firstLine="420"/>
        <w:rPr>
          <w:rFonts w:hint="eastAsia" w:ascii="宋体" w:hAnsi="宋体" w:cs="宋体"/>
          <w:sz w:val="24"/>
          <w:szCs w:val="24"/>
        </w:rPr>
      </w:pPr>
      <w:r>
        <w:rPr>
          <w:rFonts w:hint="eastAsia" w:ascii="宋体" w:hAnsi="宋体" w:cs="宋体"/>
          <w:sz w:val="24"/>
          <w:szCs w:val="24"/>
        </w:rPr>
        <w:t>（1）设计规范及标准</w:t>
      </w:r>
    </w:p>
    <w:p w14:paraId="3F06DE84">
      <w:pPr>
        <w:spacing w:line="360" w:lineRule="auto"/>
        <w:ind w:firstLine="420"/>
        <w:rPr>
          <w:rFonts w:hint="eastAsia" w:ascii="宋体" w:hAnsi="宋体" w:cs="宋体"/>
          <w:sz w:val="24"/>
          <w:szCs w:val="24"/>
        </w:rPr>
      </w:pPr>
      <w:bookmarkStart w:id="354" w:name="_Toc180517310"/>
      <w:bookmarkStart w:id="355" w:name="_Toc181158732"/>
      <w:bookmarkStart w:id="356" w:name="_Toc184033968"/>
      <w:bookmarkStart w:id="357" w:name="_Toc192924431"/>
      <w:r>
        <w:rPr>
          <w:rFonts w:hint="eastAsia" w:ascii="宋体" w:hAnsi="宋体" w:cs="宋体"/>
          <w:sz w:val="24"/>
          <w:szCs w:val="24"/>
        </w:rPr>
        <w:t>《水污染物排放总量监测技术规范》</w:t>
      </w:r>
    </w:p>
    <w:p w14:paraId="1A0D1370">
      <w:pPr>
        <w:spacing w:line="360" w:lineRule="auto"/>
        <w:ind w:firstLine="420"/>
        <w:rPr>
          <w:rFonts w:hint="eastAsia" w:ascii="宋体" w:hAnsi="宋体" w:cs="宋体"/>
          <w:sz w:val="24"/>
          <w:szCs w:val="24"/>
        </w:rPr>
      </w:pPr>
      <w:r>
        <w:rPr>
          <w:rFonts w:hint="eastAsia" w:ascii="宋体" w:hAnsi="宋体" w:cs="宋体"/>
          <w:sz w:val="24"/>
          <w:szCs w:val="24"/>
        </w:rPr>
        <w:t>《水和废水监测分析方法》（第四版）</w:t>
      </w:r>
    </w:p>
    <w:p w14:paraId="3C2A6562">
      <w:pPr>
        <w:spacing w:line="360" w:lineRule="auto"/>
        <w:ind w:firstLine="420"/>
        <w:rPr>
          <w:rFonts w:hint="eastAsia" w:ascii="宋体" w:hAnsi="宋体" w:cs="宋体"/>
          <w:sz w:val="24"/>
          <w:szCs w:val="24"/>
        </w:rPr>
      </w:pPr>
      <w:r>
        <w:rPr>
          <w:rFonts w:hint="eastAsia" w:ascii="宋体" w:hAnsi="宋体" w:cs="宋体"/>
          <w:sz w:val="24"/>
          <w:szCs w:val="24"/>
        </w:rPr>
        <w:t>《环境水质监测质量标准》（GB 3838-2002）</w:t>
      </w:r>
    </w:p>
    <w:p w14:paraId="240B771F">
      <w:pPr>
        <w:spacing w:line="360" w:lineRule="auto"/>
        <w:ind w:firstLine="420"/>
        <w:rPr>
          <w:rFonts w:hint="eastAsia" w:ascii="宋体" w:hAnsi="宋体" w:cs="宋体"/>
          <w:sz w:val="24"/>
          <w:szCs w:val="24"/>
        </w:rPr>
      </w:pPr>
      <w:r>
        <w:rPr>
          <w:rFonts w:hint="eastAsia" w:ascii="宋体" w:hAnsi="宋体" w:cs="宋体"/>
          <w:sz w:val="24"/>
          <w:szCs w:val="24"/>
        </w:rPr>
        <w:t>《氨氮水质在线自动监测仪技术要求及检测方法》（HJ 101-2019）</w:t>
      </w:r>
    </w:p>
    <w:p w14:paraId="20CFF345">
      <w:pPr>
        <w:spacing w:line="360" w:lineRule="auto"/>
        <w:ind w:firstLine="420"/>
        <w:rPr>
          <w:rFonts w:hint="eastAsia" w:ascii="宋体" w:hAnsi="宋体" w:cs="宋体"/>
          <w:sz w:val="24"/>
          <w:szCs w:val="24"/>
        </w:rPr>
      </w:pPr>
      <w:r>
        <w:rPr>
          <w:rFonts w:hint="eastAsia" w:ascii="宋体" w:hAnsi="宋体" w:cs="宋体"/>
          <w:sz w:val="24"/>
          <w:szCs w:val="24"/>
        </w:rPr>
        <w:t>《总磷水质自动分析仪技术要求》（HJ/T 103-2003）</w:t>
      </w:r>
    </w:p>
    <w:p w14:paraId="5F43C9BE">
      <w:pPr>
        <w:spacing w:line="360" w:lineRule="auto"/>
        <w:ind w:firstLine="420"/>
        <w:rPr>
          <w:rFonts w:hint="eastAsia" w:ascii="宋体" w:hAnsi="宋体" w:cs="宋体"/>
          <w:sz w:val="24"/>
          <w:szCs w:val="24"/>
        </w:rPr>
      </w:pPr>
      <w:r>
        <w:rPr>
          <w:rFonts w:hint="eastAsia" w:ascii="宋体" w:hAnsi="宋体" w:cs="宋体"/>
          <w:sz w:val="24"/>
          <w:szCs w:val="24"/>
        </w:rPr>
        <w:t>《总氮水质自动分析仪技术要求》（HJ/T 102-2003）</w:t>
      </w:r>
    </w:p>
    <w:p w14:paraId="746E92D0">
      <w:pPr>
        <w:spacing w:line="360" w:lineRule="auto"/>
        <w:ind w:firstLine="420"/>
        <w:rPr>
          <w:rFonts w:hint="eastAsia" w:ascii="宋体" w:hAnsi="宋体" w:cs="宋体"/>
          <w:sz w:val="24"/>
          <w:szCs w:val="24"/>
        </w:rPr>
      </w:pPr>
      <w:r>
        <w:rPr>
          <w:rFonts w:hint="eastAsia" w:ascii="宋体" w:hAnsi="宋体" w:cs="宋体"/>
          <w:sz w:val="24"/>
          <w:szCs w:val="24"/>
        </w:rPr>
        <w:t>《高锰酸盐指数水质自动分析仪技术要求》（HJ/T 100-2003）</w:t>
      </w:r>
    </w:p>
    <w:p w14:paraId="5BD065F4">
      <w:pPr>
        <w:spacing w:line="360" w:lineRule="auto"/>
        <w:ind w:firstLine="420"/>
        <w:rPr>
          <w:rFonts w:hint="eastAsia" w:ascii="宋体" w:hAnsi="宋体" w:cs="宋体"/>
          <w:sz w:val="24"/>
          <w:szCs w:val="24"/>
        </w:rPr>
      </w:pPr>
      <w:r>
        <w:rPr>
          <w:rFonts w:hint="eastAsia" w:ascii="宋体" w:hAnsi="宋体" w:cs="宋体"/>
          <w:sz w:val="24"/>
          <w:szCs w:val="24"/>
        </w:rPr>
        <w:t>《地表水水质自动监测站站房及采排水技术要求（试行）》苏环办2019-114号</w:t>
      </w:r>
    </w:p>
    <w:p w14:paraId="5C24959C">
      <w:pPr>
        <w:spacing w:line="360" w:lineRule="auto"/>
        <w:ind w:firstLine="420"/>
        <w:rPr>
          <w:rFonts w:hint="eastAsia" w:ascii="宋体" w:hAnsi="宋体" w:cs="宋体"/>
          <w:sz w:val="24"/>
          <w:szCs w:val="24"/>
        </w:rPr>
      </w:pPr>
      <w:r>
        <w:rPr>
          <w:rFonts w:hint="eastAsia" w:ascii="宋体" w:hAnsi="宋体" w:cs="宋体"/>
          <w:sz w:val="24"/>
          <w:szCs w:val="24"/>
        </w:rPr>
        <w:t>《江苏省环境水质（地表水）自动监测站运行维护技术规范》DB32/T 4536—2023</w:t>
      </w:r>
    </w:p>
    <w:p w14:paraId="257223DC">
      <w:pPr>
        <w:spacing w:line="360" w:lineRule="auto"/>
        <w:ind w:firstLine="420"/>
        <w:rPr>
          <w:rFonts w:hint="eastAsia" w:ascii="宋体" w:hAnsi="宋体" w:cs="宋体"/>
          <w:sz w:val="24"/>
          <w:szCs w:val="24"/>
        </w:rPr>
      </w:pPr>
      <w:r>
        <w:rPr>
          <w:rFonts w:hint="eastAsia" w:ascii="宋体" w:hAnsi="宋体" w:cs="宋体"/>
          <w:sz w:val="24"/>
          <w:szCs w:val="24"/>
        </w:rPr>
        <w:t>《地表水水质自动监测站站房及采排水技术要求（试行）》（中国环境监测站总站2020年4月）</w:t>
      </w:r>
    </w:p>
    <w:p w14:paraId="1CF0F1F1">
      <w:pPr>
        <w:spacing w:line="360" w:lineRule="auto"/>
        <w:ind w:firstLine="420"/>
        <w:rPr>
          <w:rFonts w:hint="eastAsia" w:ascii="宋体" w:hAnsi="宋体" w:cs="宋体"/>
          <w:sz w:val="24"/>
          <w:szCs w:val="24"/>
        </w:rPr>
      </w:pPr>
      <w:r>
        <w:rPr>
          <w:rFonts w:hint="eastAsia" w:ascii="宋体" w:hAnsi="宋体" w:cs="宋体"/>
          <w:sz w:val="24"/>
          <w:szCs w:val="24"/>
        </w:rPr>
        <w:t>《地表水自动监测技术规范（试行）(HJ 915-2017) 》</w:t>
      </w:r>
    </w:p>
    <w:p w14:paraId="1E3714B8">
      <w:pPr>
        <w:spacing w:line="360" w:lineRule="auto"/>
        <w:ind w:firstLine="420"/>
        <w:rPr>
          <w:rFonts w:hint="eastAsia" w:ascii="宋体" w:hAnsi="宋体" w:cs="宋体"/>
          <w:sz w:val="24"/>
          <w:szCs w:val="24"/>
        </w:rPr>
      </w:pPr>
      <w:r>
        <w:rPr>
          <w:rFonts w:hint="eastAsia" w:ascii="宋体" w:hAnsi="宋体" w:cs="宋体"/>
          <w:sz w:val="24"/>
          <w:szCs w:val="24"/>
        </w:rPr>
        <w:t>《环境监测数据弄虚作假行为判定及处理管理办法（试行》苏环2015-175号</w:t>
      </w:r>
    </w:p>
    <w:p w14:paraId="6546984E">
      <w:pPr>
        <w:spacing w:line="360" w:lineRule="auto"/>
        <w:ind w:firstLine="420"/>
        <w:rPr>
          <w:rFonts w:hint="eastAsia" w:ascii="宋体" w:hAnsi="宋体" w:cs="宋体"/>
          <w:sz w:val="24"/>
          <w:szCs w:val="24"/>
        </w:rPr>
      </w:pPr>
      <w:r>
        <w:rPr>
          <w:rFonts w:hint="eastAsia" w:ascii="宋体" w:hAnsi="宋体" w:cs="宋体"/>
          <w:sz w:val="24"/>
          <w:szCs w:val="24"/>
        </w:rPr>
        <w:t>《国家地表水环境质量监测网自动监测站监督检查管理办法（试行》</w:t>
      </w:r>
    </w:p>
    <w:p w14:paraId="25BB7B5A">
      <w:pPr>
        <w:spacing w:line="360" w:lineRule="auto"/>
        <w:ind w:firstLine="420"/>
        <w:rPr>
          <w:rFonts w:hint="eastAsia" w:ascii="宋体" w:hAnsi="宋体" w:cs="宋体"/>
          <w:sz w:val="24"/>
          <w:szCs w:val="24"/>
        </w:rPr>
      </w:pPr>
      <w:r>
        <w:rPr>
          <w:rFonts w:hint="eastAsia" w:ascii="宋体" w:hAnsi="宋体" w:cs="宋体"/>
          <w:sz w:val="24"/>
          <w:szCs w:val="24"/>
        </w:rPr>
        <w:t>国家和行业的相关标准、规范</w:t>
      </w:r>
    </w:p>
    <w:p w14:paraId="1CFC6EA2">
      <w:pPr>
        <w:spacing w:line="360" w:lineRule="auto"/>
        <w:ind w:firstLine="420"/>
        <w:rPr>
          <w:rFonts w:hint="eastAsia" w:ascii="宋体" w:hAnsi="宋体" w:cs="宋体"/>
          <w:b/>
          <w:bCs/>
          <w:sz w:val="24"/>
          <w:szCs w:val="24"/>
        </w:rPr>
      </w:pPr>
      <w:r>
        <w:rPr>
          <w:rFonts w:hint="eastAsia" w:ascii="宋体" w:hAnsi="宋体" w:cs="宋体"/>
          <w:b/>
          <w:bCs/>
          <w:sz w:val="24"/>
          <w:szCs w:val="24"/>
        </w:rPr>
        <w:t>注：以现行的最新规范标准为准。</w:t>
      </w:r>
    </w:p>
    <w:bookmarkEnd w:id="354"/>
    <w:bookmarkEnd w:id="355"/>
    <w:bookmarkEnd w:id="356"/>
    <w:bookmarkEnd w:id="357"/>
    <w:p w14:paraId="235752CB">
      <w:pPr>
        <w:spacing w:line="360" w:lineRule="auto"/>
        <w:ind w:firstLine="420"/>
        <w:rPr>
          <w:rFonts w:hint="eastAsia" w:ascii="宋体" w:hAnsi="宋体" w:cs="宋体"/>
          <w:sz w:val="24"/>
          <w:szCs w:val="24"/>
        </w:rPr>
      </w:pPr>
      <w:r>
        <w:rPr>
          <w:rFonts w:hint="eastAsia" w:ascii="宋体" w:hAnsi="宋体" w:cs="宋体"/>
          <w:sz w:val="24"/>
          <w:szCs w:val="24"/>
        </w:rPr>
        <w:t>（2）系统集成技术要求</w:t>
      </w:r>
    </w:p>
    <w:tbl>
      <w:tblPr>
        <w:tblStyle w:val="38"/>
        <w:tblW w:w="850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666"/>
        <w:gridCol w:w="1528"/>
        <w:gridCol w:w="5307"/>
      </w:tblGrid>
      <w:tr w14:paraId="3ABA87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1666" w:type="dxa"/>
            <w:vMerge w:val="restart"/>
            <w:vAlign w:val="center"/>
          </w:tcPr>
          <w:p w14:paraId="19341157">
            <w:pPr>
              <w:pStyle w:val="378"/>
              <w:jc w:val="center"/>
              <w:rPr>
                <w:rFonts w:hint="eastAsia" w:ascii="宋体" w:hAnsi="宋体" w:cs="宋体"/>
                <w:bCs/>
                <w:sz w:val="24"/>
              </w:rPr>
            </w:pPr>
            <w:r>
              <w:rPr>
                <w:rFonts w:hint="eastAsia" w:ascii="宋体" w:hAnsi="宋体" w:cs="宋体"/>
                <w:bCs/>
                <w:sz w:val="24"/>
              </w:rPr>
              <w:t>集成系统要求</w:t>
            </w:r>
          </w:p>
        </w:tc>
        <w:tc>
          <w:tcPr>
            <w:tcW w:w="1528" w:type="dxa"/>
            <w:vMerge w:val="restart"/>
            <w:vAlign w:val="center"/>
          </w:tcPr>
          <w:p w14:paraId="66A9AAFB">
            <w:pPr>
              <w:pStyle w:val="378"/>
              <w:jc w:val="center"/>
              <w:rPr>
                <w:rFonts w:hint="eastAsia" w:ascii="宋体" w:hAnsi="宋体" w:cs="宋体"/>
                <w:bCs/>
                <w:sz w:val="24"/>
              </w:rPr>
            </w:pPr>
            <w:r>
              <w:rPr>
                <w:rFonts w:hint="eastAsia" w:ascii="宋体" w:hAnsi="宋体" w:cs="宋体"/>
                <w:sz w:val="24"/>
              </w:rPr>
              <w:t>采水单元</w:t>
            </w:r>
          </w:p>
        </w:tc>
        <w:tc>
          <w:tcPr>
            <w:tcW w:w="5307" w:type="dxa"/>
            <w:vAlign w:val="center"/>
          </w:tcPr>
          <w:p w14:paraId="6E0C17D4">
            <w:pPr>
              <w:pStyle w:val="378"/>
              <w:rPr>
                <w:rFonts w:hint="eastAsia" w:ascii="宋体" w:hAnsi="宋体" w:cs="宋体"/>
                <w:color w:val="000000"/>
                <w:sz w:val="24"/>
              </w:rPr>
            </w:pPr>
            <w:r>
              <w:rPr>
                <w:rFonts w:hint="eastAsia" w:ascii="宋体" w:hAnsi="宋体" w:cs="宋体"/>
                <w:color w:val="000000"/>
                <w:sz w:val="24"/>
              </w:rPr>
              <w:t>采水单元必须根据河流实际水文状况采用合适的采水方案，中标后一周内中标人由招标人组织进行实地查看并提出方案，经招标人同意后方可实施</w:t>
            </w:r>
          </w:p>
        </w:tc>
      </w:tr>
      <w:tr w14:paraId="5C34EA0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666" w:type="dxa"/>
            <w:vMerge w:val="continue"/>
            <w:vAlign w:val="center"/>
          </w:tcPr>
          <w:p w14:paraId="1DF7F6CE">
            <w:pPr>
              <w:pStyle w:val="378"/>
              <w:jc w:val="center"/>
              <w:rPr>
                <w:rFonts w:hint="eastAsia" w:ascii="宋体" w:hAnsi="宋体" w:cs="宋体"/>
                <w:bCs/>
                <w:sz w:val="24"/>
              </w:rPr>
            </w:pPr>
          </w:p>
        </w:tc>
        <w:tc>
          <w:tcPr>
            <w:tcW w:w="1528" w:type="dxa"/>
            <w:vMerge w:val="continue"/>
            <w:vAlign w:val="center"/>
          </w:tcPr>
          <w:p w14:paraId="02716F2B">
            <w:pPr>
              <w:pStyle w:val="378"/>
              <w:jc w:val="center"/>
              <w:rPr>
                <w:rFonts w:hint="eastAsia" w:ascii="宋体" w:hAnsi="宋体" w:cs="宋体"/>
                <w:bCs/>
                <w:sz w:val="24"/>
              </w:rPr>
            </w:pPr>
          </w:p>
        </w:tc>
        <w:tc>
          <w:tcPr>
            <w:tcW w:w="5307" w:type="dxa"/>
            <w:vAlign w:val="center"/>
          </w:tcPr>
          <w:p w14:paraId="37B54155">
            <w:pPr>
              <w:pStyle w:val="378"/>
              <w:rPr>
                <w:rFonts w:hint="eastAsia" w:ascii="宋体" w:hAnsi="宋体" w:cs="宋体"/>
                <w:color w:val="000000"/>
                <w:sz w:val="24"/>
              </w:rPr>
            </w:pPr>
            <w:r>
              <w:rPr>
                <w:rFonts w:hint="eastAsia" w:ascii="宋体" w:hAnsi="宋体" w:cs="宋体"/>
                <w:color w:val="000000"/>
                <w:sz w:val="24"/>
              </w:rPr>
              <w:t>须满足采集水样的基本条件，采水方案科学可行，确保水样有代表性。</w:t>
            </w:r>
          </w:p>
        </w:tc>
      </w:tr>
      <w:tr w14:paraId="0398F46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1666" w:type="dxa"/>
            <w:vMerge w:val="continue"/>
            <w:vAlign w:val="center"/>
          </w:tcPr>
          <w:p w14:paraId="7615064D">
            <w:pPr>
              <w:pStyle w:val="378"/>
              <w:jc w:val="center"/>
              <w:rPr>
                <w:rFonts w:hint="eastAsia" w:ascii="宋体" w:hAnsi="宋体" w:cs="宋体"/>
                <w:bCs/>
                <w:sz w:val="24"/>
              </w:rPr>
            </w:pPr>
          </w:p>
        </w:tc>
        <w:tc>
          <w:tcPr>
            <w:tcW w:w="1528" w:type="dxa"/>
            <w:vMerge w:val="continue"/>
            <w:vAlign w:val="center"/>
          </w:tcPr>
          <w:p w14:paraId="27F56AD6">
            <w:pPr>
              <w:pStyle w:val="378"/>
              <w:jc w:val="center"/>
              <w:rPr>
                <w:rFonts w:hint="eastAsia" w:ascii="宋体" w:hAnsi="宋体" w:cs="宋体"/>
                <w:bCs/>
                <w:sz w:val="24"/>
              </w:rPr>
            </w:pPr>
          </w:p>
        </w:tc>
        <w:tc>
          <w:tcPr>
            <w:tcW w:w="5307" w:type="dxa"/>
            <w:vAlign w:val="center"/>
          </w:tcPr>
          <w:p w14:paraId="467630C8">
            <w:pPr>
              <w:pStyle w:val="378"/>
              <w:tabs>
                <w:tab w:val="left" w:pos="0"/>
              </w:tabs>
              <w:rPr>
                <w:rFonts w:hint="eastAsia" w:ascii="宋体" w:hAnsi="宋体" w:cs="宋体"/>
                <w:color w:val="000000"/>
                <w:sz w:val="24"/>
              </w:rPr>
            </w:pPr>
            <w:r>
              <w:rPr>
                <w:rFonts w:hint="eastAsia" w:ascii="宋体" w:hAnsi="宋体" w:cs="宋体"/>
                <w:color w:val="000000"/>
                <w:sz w:val="24"/>
              </w:rPr>
              <w:t>采用双泵，一用一备，满足实时不间断监测的要求；并且当一路出现故障时，能够自动切换到另一路进行工作，保证整个系统的正常运行。</w:t>
            </w:r>
          </w:p>
        </w:tc>
      </w:tr>
      <w:tr w14:paraId="17E1166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1666" w:type="dxa"/>
            <w:vMerge w:val="continue"/>
            <w:vAlign w:val="center"/>
          </w:tcPr>
          <w:p w14:paraId="653317C3">
            <w:pPr>
              <w:pStyle w:val="378"/>
              <w:jc w:val="center"/>
              <w:rPr>
                <w:rFonts w:hint="eastAsia" w:ascii="宋体" w:hAnsi="宋体" w:cs="宋体"/>
                <w:bCs/>
                <w:sz w:val="24"/>
              </w:rPr>
            </w:pPr>
          </w:p>
        </w:tc>
        <w:tc>
          <w:tcPr>
            <w:tcW w:w="1528" w:type="dxa"/>
            <w:vMerge w:val="continue"/>
            <w:vAlign w:val="center"/>
          </w:tcPr>
          <w:p w14:paraId="38AD7F91">
            <w:pPr>
              <w:pStyle w:val="378"/>
              <w:jc w:val="center"/>
              <w:rPr>
                <w:rFonts w:hint="eastAsia" w:ascii="宋体" w:hAnsi="宋体" w:cs="宋体"/>
                <w:bCs/>
                <w:sz w:val="24"/>
              </w:rPr>
            </w:pPr>
          </w:p>
        </w:tc>
        <w:tc>
          <w:tcPr>
            <w:tcW w:w="5307" w:type="dxa"/>
            <w:vAlign w:val="center"/>
          </w:tcPr>
          <w:p w14:paraId="457854E9">
            <w:pPr>
              <w:pStyle w:val="378"/>
              <w:rPr>
                <w:rFonts w:hint="eastAsia" w:ascii="宋体" w:hAnsi="宋体" w:cs="宋体"/>
                <w:color w:val="000000"/>
                <w:sz w:val="24"/>
              </w:rPr>
            </w:pPr>
            <w:r>
              <w:rPr>
                <w:rFonts w:hint="eastAsia" w:ascii="宋体" w:hAnsi="宋体" w:cs="宋体"/>
                <w:color w:val="000000"/>
                <w:sz w:val="24"/>
              </w:rPr>
              <w:t>采水浮筒要方便人工提升与安装，以便日常清洗和维护。水泵根据实际情况可采用自吸泵或潜水泵等。水泵应具有来电重启。</w:t>
            </w:r>
          </w:p>
        </w:tc>
      </w:tr>
      <w:tr w14:paraId="6EA7AA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92" w:hRule="atLeast"/>
          <w:jc w:val="center"/>
        </w:trPr>
        <w:tc>
          <w:tcPr>
            <w:tcW w:w="1666" w:type="dxa"/>
            <w:vMerge w:val="continue"/>
            <w:vAlign w:val="center"/>
          </w:tcPr>
          <w:p w14:paraId="3A70A64D">
            <w:pPr>
              <w:pStyle w:val="378"/>
              <w:jc w:val="center"/>
              <w:rPr>
                <w:rFonts w:hint="eastAsia" w:ascii="宋体" w:hAnsi="宋体" w:cs="宋体"/>
                <w:bCs/>
                <w:sz w:val="24"/>
              </w:rPr>
            </w:pPr>
          </w:p>
        </w:tc>
        <w:tc>
          <w:tcPr>
            <w:tcW w:w="1528" w:type="dxa"/>
            <w:vMerge w:val="continue"/>
            <w:vAlign w:val="center"/>
          </w:tcPr>
          <w:p w14:paraId="1CD17790">
            <w:pPr>
              <w:pStyle w:val="378"/>
              <w:jc w:val="center"/>
              <w:rPr>
                <w:rFonts w:hint="eastAsia" w:ascii="宋体" w:hAnsi="宋体" w:cs="宋体"/>
                <w:bCs/>
                <w:sz w:val="24"/>
              </w:rPr>
            </w:pPr>
          </w:p>
        </w:tc>
        <w:tc>
          <w:tcPr>
            <w:tcW w:w="5307" w:type="dxa"/>
            <w:vAlign w:val="center"/>
          </w:tcPr>
          <w:p w14:paraId="5EF1DC45">
            <w:pPr>
              <w:pStyle w:val="378"/>
              <w:rPr>
                <w:rFonts w:hint="eastAsia" w:ascii="宋体" w:hAnsi="宋体" w:cs="宋体"/>
                <w:color w:val="000000"/>
                <w:sz w:val="24"/>
              </w:rPr>
            </w:pPr>
            <w:r>
              <w:rPr>
                <w:rFonts w:hint="eastAsia" w:ascii="宋体" w:hAnsi="宋体" w:cs="宋体"/>
                <w:color w:val="000000"/>
                <w:sz w:val="24"/>
              </w:rPr>
              <w:t>根据采水点到站房的距离、地形等实际情况，选择自吸泵或潜水泵，采水管路的大小以保证站房的进口压力和流速达到整个系统全部仪器的要求，并具有良好的性能，确保采水系统的稳定运行。</w:t>
            </w:r>
          </w:p>
        </w:tc>
      </w:tr>
      <w:tr w14:paraId="77F85B7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1666" w:type="dxa"/>
            <w:vMerge w:val="continue"/>
            <w:vAlign w:val="center"/>
          </w:tcPr>
          <w:p w14:paraId="6C52F9FA">
            <w:pPr>
              <w:pStyle w:val="378"/>
              <w:jc w:val="center"/>
              <w:rPr>
                <w:rFonts w:hint="eastAsia" w:ascii="宋体" w:hAnsi="宋体" w:cs="宋体"/>
                <w:bCs/>
                <w:sz w:val="24"/>
              </w:rPr>
            </w:pPr>
          </w:p>
        </w:tc>
        <w:tc>
          <w:tcPr>
            <w:tcW w:w="1528" w:type="dxa"/>
            <w:vMerge w:val="continue"/>
            <w:vAlign w:val="center"/>
          </w:tcPr>
          <w:p w14:paraId="01D0E339">
            <w:pPr>
              <w:pStyle w:val="378"/>
              <w:jc w:val="center"/>
              <w:rPr>
                <w:rFonts w:hint="eastAsia" w:ascii="宋体" w:hAnsi="宋体" w:cs="宋体"/>
                <w:bCs/>
                <w:sz w:val="24"/>
              </w:rPr>
            </w:pPr>
          </w:p>
        </w:tc>
        <w:tc>
          <w:tcPr>
            <w:tcW w:w="5307" w:type="dxa"/>
            <w:vAlign w:val="center"/>
          </w:tcPr>
          <w:p w14:paraId="5BA7F1F9">
            <w:pPr>
              <w:pStyle w:val="378"/>
              <w:tabs>
                <w:tab w:val="left" w:pos="0"/>
              </w:tabs>
              <w:rPr>
                <w:rFonts w:hint="eastAsia" w:ascii="宋体" w:hAnsi="宋体" w:cs="宋体"/>
                <w:color w:val="000000"/>
                <w:sz w:val="24"/>
              </w:rPr>
            </w:pPr>
            <w:r>
              <w:rPr>
                <w:rFonts w:hint="eastAsia" w:ascii="宋体" w:hAnsi="宋体" w:cs="宋体"/>
                <w:color w:val="000000"/>
                <w:sz w:val="24"/>
              </w:rPr>
              <w:t>采水管路均要采取保温措施，采水管路采用可拆洗式，采配水管路应具备反冲洗功能。</w:t>
            </w:r>
          </w:p>
        </w:tc>
      </w:tr>
      <w:tr w14:paraId="7E7591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1666" w:type="dxa"/>
            <w:vMerge w:val="continue"/>
            <w:vAlign w:val="center"/>
          </w:tcPr>
          <w:p w14:paraId="1E7E7199">
            <w:pPr>
              <w:pStyle w:val="378"/>
              <w:jc w:val="center"/>
              <w:rPr>
                <w:rFonts w:hint="eastAsia" w:ascii="宋体" w:hAnsi="宋体" w:cs="宋体"/>
                <w:bCs/>
                <w:sz w:val="24"/>
              </w:rPr>
            </w:pPr>
          </w:p>
        </w:tc>
        <w:tc>
          <w:tcPr>
            <w:tcW w:w="1528" w:type="dxa"/>
            <w:vMerge w:val="continue"/>
            <w:vAlign w:val="center"/>
          </w:tcPr>
          <w:p w14:paraId="4EF77A91">
            <w:pPr>
              <w:pStyle w:val="378"/>
              <w:jc w:val="center"/>
              <w:rPr>
                <w:rFonts w:hint="eastAsia" w:ascii="宋体" w:hAnsi="宋体" w:cs="宋体"/>
                <w:bCs/>
                <w:sz w:val="24"/>
              </w:rPr>
            </w:pPr>
          </w:p>
        </w:tc>
        <w:tc>
          <w:tcPr>
            <w:tcW w:w="5307" w:type="dxa"/>
            <w:vAlign w:val="center"/>
          </w:tcPr>
          <w:p w14:paraId="5BF698DE">
            <w:pPr>
              <w:pStyle w:val="378"/>
              <w:rPr>
                <w:rFonts w:hint="eastAsia" w:ascii="宋体" w:hAnsi="宋体" w:cs="宋体"/>
                <w:color w:val="000000"/>
                <w:sz w:val="24"/>
              </w:rPr>
            </w:pPr>
            <w:r>
              <w:rPr>
                <w:rFonts w:hint="eastAsia" w:ascii="宋体" w:hAnsi="宋体" w:cs="宋体"/>
                <w:color w:val="000000"/>
                <w:sz w:val="24"/>
              </w:rPr>
              <w:t>采水系统可采用连续或间歇方式工作，并能够根据监测要求现场或远程设置监测频次。</w:t>
            </w:r>
          </w:p>
        </w:tc>
      </w:tr>
      <w:tr w14:paraId="7A7452F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666" w:type="dxa"/>
            <w:vMerge w:val="continue"/>
            <w:vAlign w:val="center"/>
          </w:tcPr>
          <w:p w14:paraId="4CADAB2B">
            <w:pPr>
              <w:pStyle w:val="378"/>
              <w:jc w:val="center"/>
              <w:rPr>
                <w:rFonts w:hint="eastAsia" w:ascii="宋体" w:hAnsi="宋体" w:cs="宋体"/>
                <w:bCs/>
                <w:sz w:val="24"/>
              </w:rPr>
            </w:pPr>
          </w:p>
        </w:tc>
        <w:tc>
          <w:tcPr>
            <w:tcW w:w="1528" w:type="dxa"/>
            <w:vMerge w:val="continue"/>
            <w:vAlign w:val="center"/>
          </w:tcPr>
          <w:p w14:paraId="400C7553">
            <w:pPr>
              <w:pStyle w:val="378"/>
              <w:jc w:val="center"/>
              <w:rPr>
                <w:rFonts w:hint="eastAsia" w:ascii="宋体" w:hAnsi="宋体" w:cs="宋体"/>
                <w:bCs/>
                <w:sz w:val="24"/>
              </w:rPr>
            </w:pPr>
          </w:p>
        </w:tc>
        <w:tc>
          <w:tcPr>
            <w:tcW w:w="5307" w:type="dxa"/>
            <w:vAlign w:val="center"/>
          </w:tcPr>
          <w:p w14:paraId="782EFA54">
            <w:pPr>
              <w:pStyle w:val="378"/>
              <w:rPr>
                <w:rFonts w:hint="eastAsia" w:ascii="宋体" w:hAnsi="宋体" w:cs="宋体"/>
                <w:color w:val="000000"/>
                <w:sz w:val="24"/>
              </w:rPr>
            </w:pPr>
            <w:r>
              <w:rPr>
                <w:rFonts w:hint="eastAsia" w:ascii="宋体" w:hAnsi="宋体" w:cs="宋体"/>
                <w:color w:val="000000"/>
                <w:sz w:val="24"/>
              </w:rPr>
              <w:t>采水系统的构造保障在汛期或枯水期能正常工作而不至被损坏。</w:t>
            </w:r>
          </w:p>
        </w:tc>
      </w:tr>
      <w:tr w14:paraId="5D63C51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666" w:type="dxa"/>
            <w:vMerge w:val="continue"/>
            <w:vAlign w:val="center"/>
          </w:tcPr>
          <w:p w14:paraId="1EA0277B">
            <w:pPr>
              <w:pStyle w:val="378"/>
              <w:jc w:val="center"/>
              <w:rPr>
                <w:rFonts w:hint="eastAsia" w:ascii="宋体" w:hAnsi="宋体" w:cs="宋体"/>
                <w:bCs/>
                <w:sz w:val="24"/>
              </w:rPr>
            </w:pPr>
          </w:p>
        </w:tc>
        <w:tc>
          <w:tcPr>
            <w:tcW w:w="1528" w:type="dxa"/>
            <w:vMerge w:val="continue"/>
            <w:vAlign w:val="center"/>
          </w:tcPr>
          <w:p w14:paraId="6CA49F03">
            <w:pPr>
              <w:pStyle w:val="378"/>
              <w:jc w:val="center"/>
              <w:rPr>
                <w:rFonts w:hint="eastAsia" w:ascii="宋体" w:hAnsi="宋体" w:cs="宋体"/>
                <w:bCs/>
                <w:sz w:val="24"/>
              </w:rPr>
            </w:pPr>
          </w:p>
        </w:tc>
        <w:tc>
          <w:tcPr>
            <w:tcW w:w="5307" w:type="dxa"/>
            <w:vAlign w:val="center"/>
          </w:tcPr>
          <w:p w14:paraId="00F3D797">
            <w:pPr>
              <w:pStyle w:val="378"/>
              <w:rPr>
                <w:rFonts w:hint="eastAsia" w:ascii="宋体" w:hAnsi="宋体" w:cs="宋体"/>
                <w:color w:val="000000"/>
                <w:sz w:val="24"/>
              </w:rPr>
            </w:pPr>
            <w:r>
              <w:rPr>
                <w:rFonts w:hint="eastAsia" w:ascii="宋体" w:hAnsi="宋体" w:cs="宋体"/>
                <w:color w:val="000000"/>
                <w:sz w:val="24"/>
              </w:rPr>
              <w:t>采水点应采取一定的措施防止漂浮物的堵塞。</w:t>
            </w:r>
          </w:p>
        </w:tc>
      </w:tr>
      <w:tr w14:paraId="6880476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1666" w:type="dxa"/>
            <w:vMerge w:val="continue"/>
            <w:vAlign w:val="center"/>
          </w:tcPr>
          <w:p w14:paraId="08AC3D37">
            <w:pPr>
              <w:pStyle w:val="378"/>
              <w:jc w:val="center"/>
              <w:rPr>
                <w:rFonts w:hint="eastAsia" w:ascii="宋体" w:hAnsi="宋体" w:cs="宋体"/>
                <w:bCs/>
                <w:sz w:val="24"/>
              </w:rPr>
            </w:pPr>
          </w:p>
        </w:tc>
        <w:tc>
          <w:tcPr>
            <w:tcW w:w="1528" w:type="dxa"/>
            <w:vMerge w:val="continue"/>
            <w:vAlign w:val="center"/>
          </w:tcPr>
          <w:p w14:paraId="1316BACB">
            <w:pPr>
              <w:pStyle w:val="378"/>
              <w:jc w:val="center"/>
              <w:rPr>
                <w:rFonts w:hint="eastAsia" w:ascii="宋体" w:hAnsi="宋体" w:cs="宋体"/>
                <w:bCs/>
                <w:sz w:val="24"/>
              </w:rPr>
            </w:pPr>
          </w:p>
        </w:tc>
        <w:tc>
          <w:tcPr>
            <w:tcW w:w="5307" w:type="dxa"/>
            <w:vAlign w:val="center"/>
          </w:tcPr>
          <w:p w14:paraId="1E606A1B">
            <w:pPr>
              <w:pStyle w:val="378"/>
              <w:rPr>
                <w:rFonts w:hint="eastAsia" w:ascii="宋体" w:hAnsi="宋体" w:cs="宋体"/>
                <w:color w:val="000000"/>
                <w:sz w:val="24"/>
              </w:rPr>
            </w:pPr>
            <w:r>
              <w:rPr>
                <w:rFonts w:hint="eastAsia" w:ascii="宋体" w:hAnsi="宋体" w:cs="宋体"/>
                <w:color w:val="000000"/>
                <w:sz w:val="24"/>
              </w:rPr>
              <w:t>采水系统中的所有部件均要选用优质产品，自吸泵采用知名品牌产品，保证采水系统工作的可靠性和使用寿命。</w:t>
            </w:r>
          </w:p>
        </w:tc>
      </w:tr>
      <w:tr w14:paraId="75E8B3B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666" w:type="dxa"/>
            <w:vMerge w:val="continue"/>
            <w:vAlign w:val="center"/>
          </w:tcPr>
          <w:p w14:paraId="7D9F0C47">
            <w:pPr>
              <w:pStyle w:val="378"/>
              <w:jc w:val="center"/>
              <w:rPr>
                <w:rFonts w:hint="eastAsia" w:ascii="宋体" w:hAnsi="宋体" w:cs="宋体"/>
                <w:bCs/>
                <w:sz w:val="24"/>
              </w:rPr>
            </w:pPr>
          </w:p>
        </w:tc>
        <w:tc>
          <w:tcPr>
            <w:tcW w:w="1528" w:type="dxa"/>
            <w:vMerge w:val="continue"/>
            <w:vAlign w:val="center"/>
          </w:tcPr>
          <w:p w14:paraId="5EDD24CE">
            <w:pPr>
              <w:pStyle w:val="378"/>
              <w:jc w:val="center"/>
              <w:rPr>
                <w:rFonts w:hint="eastAsia" w:ascii="宋体" w:hAnsi="宋体" w:cs="宋体"/>
                <w:bCs/>
                <w:sz w:val="24"/>
              </w:rPr>
            </w:pPr>
          </w:p>
        </w:tc>
        <w:tc>
          <w:tcPr>
            <w:tcW w:w="5307" w:type="dxa"/>
            <w:vAlign w:val="center"/>
          </w:tcPr>
          <w:p w14:paraId="100585CC">
            <w:pPr>
              <w:pStyle w:val="378"/>
              <w:tabs>
                <w:tab w:val="left" w:pos="0"/>
              </w:tabs>
              <w:rPr>
                <w:rFonts w:hint="eastAsia" w:ascii="宋体" w:hAnsi="宋体" w:cs="宋体"/>
                <w:color w:val="000000"/>
                <w:sz w:val="24"/>
              </w:rPr>
            </w:pPr>
            <w:r>
              <w:rPr>
                <w:rFonts w:hint="eastAsia" w:ascii="宋体" w:hAnsi="宋体" w:cs="宋体"/>
                <w:color w:val="000000"/>
                <w:sz w:val="24"/>
              </w:rPr>
              <w:t>管路内径、提水流量、流速应满足测站内仪器分析需要，并留有余量。</w:t>
            </w:r>
          </w:p>
        </w:tc>
      </w:tr>
      <w:tr w14:paraId="3BC33C5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666" w:type="dxa"/>
            <w:vMerge w:val="continue"/>
            <w:vAlign w:val="center"/>
          </w:tcPr>
          <w:p w14:paraId="37521FB9">
            <w:pPr>
              <w:pStyle w:val="378"/>
              <w:jc w:val="center"/>
              <w:rPr>
                <w:rFonts w:hint="eastAsia" w:ascii="宋体" w:hAnsi="宋体" w:cs="宋体"/>
                <w:bCs/>
                <w:sz w:val="24"/>
              </w:rPr>
            </w:pPr>
          </w:p>
        </w:tc>
        <w:tc>
          <w:tcPr>
            <w:tcW w:w="1528" w:type="dxa"/>
            <w:vMerge w:val="continue"/>
            <w:vAlign w:val="center"/>
          </w:tcPr>
          <w:p w14:paraId="28F23844">
            <w:pPr>
              <w:pStyle w:val="378"/>
              <w:jc w:val="center"/>
              <w:rPr>
                <w:rFonts w:hint="eastAsia" w:ascii="宋体" w:hAnsi="宋体" w:cs="宋体"/>
                <w:bCs/>
                <w:sz w:val="24"/>
              </w:rPr>
            </w:pPr>
          </w:p>
        </w:tc>
        <w:tc>
          <w:tcPr>
            <w:tcW w:w="5307" w:type="dxa"/>
            <w:vAlign w:val="center"/>
          </w:tcPr>
          <w:p w14:paraId="78C34C80">
            <w:pPr>
              <w:pStyle w:val="378"/>
              <w:rPr>
                <w:rFonts w:hint="eastAsia" w:ascii="宋体" w:hAnsi="宋体" w:cs="宋体"/>
                <w:color w:val="000000"/>
                <w:sz w:val="24"/>
              </w:rPr>
            </w:pPr>
            <w:r>
              <w:rPr>
                <w:rFonts w:hint="eastAsia" w:ascii="宋体" w:hAnsi="宋体" w:cs="宋体"/>
                <w:color w:val="000000"/>
                <w:sz w:val="24"/>
              </w:rPr>
              <w:t>考虑到不对环境造成二次污染，设计中应不使用对环境产生污染的清洗方法。</w:t>
            </w:r>
          </w:p>
        </w:tc>
      </w:tr>
      <w:tr w14:paraId="4044E62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1666" w:type="dxa"/>
            <w:vMerge w:val="restart"/>
            <w:vAlign w:val="center"/>
          </w:tcPr>
          <w:p w14:paraId="42CEAF44">
            <w:pPr>
              <w:pStyle w:val="378"/>
              <w:jc w:val="center"/>
              <w:rPr>
                <w:rFonts w:hint="eastAsia" w:ascii="宋体" w:hAnsi="宋体" w:cs="宋体"/>
                <w:bCs/>
                <w:sz w:val="24"/>
              </w:rPr>
            </w:pPr>
            <w:r>
              <w:rPr>
                <w:rFonts w:hint="eastAsia" w:ascii="宋体" w:hAnsi="宋体" w:cs="宋体"/>
                <w:bCs/>
                <w:sz w:val="24"/>
              </w:rPr>
              <w:t>集成系统要求</w:t>
            </w:r>
          </w:p>
        </w:tc>
        <w:tc>
          <w:tcPr>
            <w:tcW w:w="1528" w:type="dxa"/>
            <w:vMerge w:val="restart"/>
            <w:vAlign w:val="center"/>
          </w:tcPr>
          <w:p w14:paraId="064CB987">
            <w:pPr>
              <w:pStyle w:val="378"/>
              <w:jc w:val="center"/>
              <w:rPr>
                <w:rFonts w:hint="eastAsia" w:ascii="宋体" w:hAnsi="宋体" w:cs="宋体"/>
                <w:bCs/>
                <w:sz w:val="24"/>
              </w:rPr>
            </w:pPr>
            <w:r>
              <w:rPr>
                <w:rFonts w:hint="eastAsia" w:ascii="宋体" w:hAnsi="宋体" w:cs="宋体"/>
                <w:bCs/>
                <w:sz w:val="24"/>
              </w:rPr>
              <w:t>配水及</w:t>
            </w:r>
            <w:r>
              <w:rPr>
                <w:rFonts w:hint="eastAsia" w:ascii="宋体" w:hAnsi="宋体" w:cs="宋体"/>
                <w:sz w:val="24"/>
              </w:rPr>
              <w:t>预处理</w:t>
            </w:r>
            <w:r>
              <w:rPr>
                <w:rFonts w:hint="eastAsia" w:ascii="宋体" w:hAnsi="宋体" w:cs="宋体"/>
                <w:bCs/>
                <w:sz w:val="24"/>
              </w:rPr>
              <w:t>单元要求</w:t>
            </w:r>
          </w:p>
        </w:tc>
        <w:tc>
          <w:tcPr>
            <w:tcW w:w="5307" w:type="dxa"/>
            <w:vAlign w:val="center"/>
          </w:tcPr>
          <w:p w14:paraId="39B74E2B">
            <w:pPr>
              <w:pStyle w:val="378"/>
              <w:rPr>
                <w:rFonts w:hint="eastAsia" w:ascii="宋体" w:hAnsi="宋体" w:cs="宋体"/>
                <w:color w:val="000000"/>
                <w:sz w:val="24"/>
              </w:rPr>
            </w:pPr>
            <w:r>
              <w:rPr>
                <w:rFonts w:hint="eastAsia" w:ascii="宋体" w:hAnsi="宋体" w:cs="宋体"/>
                <w:color w:val="000000"/>
                <w:sz w:val="24"/>
              </w:rPr>
              <w:t>配水管路设计合理，流向清晰，便于维护；保证仪器分析测试的水样应能代表断面水质情况并满足仪器测试需求</w:t>
            </w:r>
          </w:p>
        </w:tc>
      </w:tr>
      <w:tr w14:paraId="58317C7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1666" w:type="dxa"/>
            <w:vMerge w:val="continue"/>
            <w:vAlign w:val="center"/>
          </w:tcPr>
          <w:p w14:paraId="3AAE550D">
            <w:pPr>
              <w:pStyle w:val="378"/>
              <w:jc w:val="center"/>
              <w:rPr>
                <w:rFonts w:hint="eastAsia" w:ascii="宋体" w:hAnsi="宋体" w:cs="宋体"/>
                <w:bCs/>
                <w:sz w:val="24"/>
              </w:rPr>
            </w:pPr>
          </w:p>
        </w:tc>
        <w:tc>
          <w:tcPr>
            <w:tcW w:w="1528" w:type="dxa"/>
            <w:vMerge w:val="continue"/>
            <w:vAlign w:val="center"/>
          </w:tcPr>
          <w:p w14:paraId="756941D4">
            <w:pPr>
              <w:pStyle w:val="378"/>
              <w:jc w:val="center"/>
              <w:rPr>
                <w:rFonts w:hint="eastAsia" w:ascii="宋体" w:hAnsi="宋体" w:cs="宋体"/>
                <w:bCs/>
                <w:sz w:val="24"/>
              </w:rPr>
            </w:pPr>
          </w:p>
        </w:tc>
        <w:tc>
          <w:tcPr>
            <w:tcW w:w="5307" w:type="dxa"/>
            <w:vAlign w:val="center"/>
          </w:tcPr>
          <w:p w14:paraId="7524B4E3">
            <w:pPr>
              <w:pStyle w:val="378"/>
              <w:rPr>
                <w:rFonts w:hint="eastAsia" w:ascii="宋体" w:hAnsi="宋体" w:cs="宋体"/>
                <w:color w:val="000000"/>
                <w:sz w:val="24"/>
              </w:rPr>
            </w:pPr>
            <w:r>
              <w:rPr>
                <w:rFonts w:hint="eastAsia" w:ascii="宋体" w:hAnsi="宋体" w:cs="宋体"/>
                <w:color w:val="000000"/>
                <w:sz w:val="24"/>
              </w:rPr>
              <w:t>所选管材机械强度及化学稳定性好、使用寿命长、便于安装维护，不会对水样水质造成影响；管路内径、压力、流量、流速满足仪器分析需要，并留有余量</w:t>
            </w:r>
          </w:p>
        </w:tc>
      </w:tr>
      <w:tr w14:paraId="4CD1C17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66" w:type="dxa"/>
            <w:vMerge w:val="continue"/>
            <w:vAlign w:val="center"/>
          </w:tcPr>
          <w:p w14:paraId="27241B54">
            <w:pPr>
              <w:pStyle w:val="378"/>
              <w:jc w:val="center"/>
              <w:rPr>
                <w:rFonts w:hint="eastAsia" w:ascii="宋体" w:hAnsi="宋体" w:cs="宋体"/>
                <w:bCs/>
                <w:sz w:val="24"/>
              </w:rPr>
            </w:pPr>
          </w:p>
        </w:tc>
        <w:tc>
          <w:tcPr>
            <w:tcW w:w="1528" w:type="dxa"/>
            <w:vMerge w:val="continue"/>
            <w:vAlign w:val="center"/>
          </w:tcPr>
          <w:p w14:paraId="4137CA70">
            <w:pPr>
              <w:pStyle w:val="378"/>
              <w:jc w:val="center"/>
              <w:rPr>
                <w:rFonts w:hint="eastAsia" w:ascii="宋体" w:hAnsi="宋体" w:cs="宋体"/>
                <w:bCs/>
                <w:sz w:val="24"/>
              </w:rPr>
            </w:pPr>
          </w:p>
        </w:tc>
        <w:tc>
          <w:tcPr>
            <w:tcW w:w="5307" w:type="dxa"/>
            <w:vAlign w:val="center"/>
          </w:tcPr>
          <w:p w14:paraId="58FFE026">
            <w:pPr>
              <w:pStyle w:val="378"/>
              <w:rPr>
                <w:rFonts w:hint="eastAsia" w:ascii="宋体" w:hAnsi="宋体" w:cs="宋体"/>
                <w:color w:val="000000"/>
                <w:sz w:val="24"/>
              </w:rPr>
            </w:pPr>
            <w:r>
              <w:rPr>
                <w:rFonts w:hint="eastAsia" w:ascii="宋体" w:hAnsi="宋体" w:cs="宋体"/>
                <w:color w:val="000000"/>
                <w:sz w:val="24"/>
              </w:rPr>
              <w:t>配水单元的所有操作均可通过控制单元实现运行控制，并可以接受平台端的远程控制</w:t>
            </w:r>
          </w:p>
        </w:tc>
      </w:tr>
      <w:tr w14:paraId="7CD7F7F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1666" w:type="dxa"/>
            <w:vMerge w:val="continue"/>
            <w:vAlign w:val="center"/>
          </w:tcPr>
          <w:p w14:paraId="416FEBF9">
            <w:pPr>
              <w:pStyle w:val="378"/>
              <w:jc w:val="center"/>
              <w:rPr>
                <w:rFonts w:hint="eastAsia" w:ascii="宋体" w:hAnsi="宋体" w:cs="宋体"/>
                <w:bCs/>
                <w:sz w:val="24"/>
              </w:rPr>
            </w:pPr>
          </w:p>
        </w:tc>
        <w:tc>
          <w:tcPr>
            <w:tcW w:w="1528" w:type="dxa"/>
            <w:vMerge w:val="continue"/>
            <w:vAlign w:val="center"/>
          </w:tcPr>
          <w:p w14:paraId="422BF8D3">
            <w:pPr>
              <w:pStyle w:val="378"/>
              <w:jc w:val="center"/>
              <w:rPr>
                <w:rFonts w:hint="eastAsia" w:ascii="宋体" w:hAnsi="宋体" w:cs="宋体"/>
                <w:bCs/>
                <w:sz w:val="24"/>
              </w:rPr>
            </w:pPr>
          </w:p>
        </w:tc>
        <w:tc>
          <w:tcPr>
            <w:tcW w:w="5307" w:type="dxa"/>
            <w:vAlign w:val="center"/>
          </w:tcPr>
          <w:p w14:paraId="2064D5B0">
            <w:pPr>
              <w:pStyle w:val="378"/>
              <w:rPr>
                <w:rFonts w:hint="eastAsia" w:ascii="宋体" w:hAnsi="宋体" w:cs="宋体"/>
                <w:color w:val="000000"/>
                <w:sz w:val="24"/>
              </w:rPr>
            </w:pPr>
            <w:r>
              <w:rPr>
                <w:rFonts w:hint="eastAsia" w:ascii="宋体" w:hAnsi="宋体" w:cs="宋体"/>
                <w:color w:val="000000"/>
                <w:sz w:val="24"/>
              </w:rPr>
              <w:t>能配合系统实现水样自动分配、自动预处理、故障自动报警、关键部件工作状态的显示和反控等功能</w:t>
            </w:r>
          </w:p>
        </w:tc>
      </w:tr>
      <w:tr w14:paraId="03A95B2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1666" w:type="dxa"/>
            <w:vMerge w:val="continue"/>
            <w:vAlign w:val="center"/>
          </w:tcPr>
          <w:p w14:paraId="7444817B">
            <w:pPr>
              <w:pStyle w:val="378"/>
              <w:jc w:val="center"/>
              <w:rPr>
                <w:rFonts w:hint="eastAsia" w:ascii="宋体" w:hAnsi="宋体" w:cs="宋体"/>
                <w:bCs/>
                <w:sz w:val="24"/>
              </w:rPr>
            </w:pPr>
          </w:p>
        </w:tc>
        <w:tc>
          <w:tcPr>
            <w:tcW w:w="1528" w:type="dxa"/>
            <w:vMerge w:val="continue"/>
            <w:vAlign w:val="center"/>
          </w:tcPr>
          <w:p w14:paraId="708BC96F">
            <w:pPr>
              <w:pStyle w:val="378"/>
              <w:jc w:val="center"/>
              <w:rPr>
                <w:rFonts w:hint="eastAsia" w:ascii="宋体" w:hAnsi="宋体" w:cs="宋体"/>
                <w:bCs/>
                <w:sz w:val="24"/>
              </w:rPr>
            </w:pPr>
          </w:p>
        </w:tc>
        <w:tc>
          <w:tcPr>
            <w:tcW w:w="5307" w:type="dxa"/>
            <w:vAlign w:val="center"/>
          </w:tcPr>
          <w:p w14:paraId="5D508446">
            <w:pPr>
              <w:pStyle w:val="378"/>
              <w:rPr>
                <w:rFonts w:hint="eastAsia" w:ascii="宋体" w:hAnsi="宋体" w:cs="宋体"/>
                <w:color w:val="000000"/>
                <w:sz w:val="24"/>
              </w:rPr>
            </w:pPr>
            <w:r>
              <w:rPr>
                <w:rFonts w:hint="eastAsia" w:ascii="宋体" w:hAnsi="宋体" w:cs="宋体"/>
                <w:color w:val="000000"/>
                <w:sz w:val="24"/>
              </w:rPr>
              <w:t>配水主管路采用串联方式，各仪器之间管路采用并联方式，每台仪器从各自的取样杯中取水，任何仪器的配水管路出现故障不能影响其他仪器的测试</w:t>
            </w:r>
          </w:p>
        </w:tc>
      </w:tr>
      <w:tr w14:paraId="4CDDFA4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1666" w:type="dxa"/>
            <w:vMerge w:val="continue"/>
            <w:vAlign w:val="center"/>
          </w:tcPr>
          <w:p w14:paraId="6C5AB0FB">
            <w:pPr>
              <w:pStyle w:val="378"/>
              <w:jc w:val="center"/>
              <w:rPr>
                <w:rFonts w:hint="eastAsia" w:ascii="宋体" w:hAnsi="宋体" w:cs="宋体"/>
                <w:bCs/>
                <w:sz w:val="24"/>
              </w:rPr>
            </w:pPr>
          </w:p>
        </w:tc>
        <w:tc>
          <w:tcPr>
            <w:tcW w:w="1528" w:type="dxa"/>
            <w:vMerge w:val="continue"/>
            <w:vAlign w:val="center"/>
          </w:tcPr>
          <w:p w14:paraId="6F3DAABF">
            <w:pPr>
              <w:pStyle w:val="378"/>
              <w:jc w:val="center"/>
              <w:rPr>
                <w:rFonts w:hint="eastAsia" w:ascii="宋体" w:hAnsi="宋体" w:cs="宋体"/>
                <w:bCs/>
                <w:sz w:val="24"/>
              </w:rPr>
            </w:pPr>
          </w:p>
        </w:tc>
        <w:tc>
          <w:tcPr>
            <w:tcW w:w="5307" w:type="dxa"/>
            <w:vAlign w:val="center"/>
          </w:tcPr>
          <w:p w14:paraId="68910452">
            <w:pPr>
              <w:pStyle w:val="378"/>
              <w:rPr>
                <w:rFonts w:hint="eastAsia" w:ascii="宋体" w:hAnsi="宋体" w:cs="宋体"/>
                <w:color w:val="000000"/>
                <w:sz w:val="24"/>
              </w:rPr>
            </w:pPr>
            <w:r>
              <w:rPr>
                <w:rFonts w:hint="eastAsia" w:ascii="宋体" w:hAnsi="宋体" w:cs="宋体"/>
                <w:color w:val="000000"/>
                <w:sz w:val="24"/>
              </w:rPr>
              <w:t>配水单元具备自动反清（吹）洗功能，防止菌类和藻类等微生物对样品污染或对系统工作造成不良影响</w:t>
            </w:r>
          </w:p>
        </w:tc>
      </w:tr>
      <w:tr w14:paraId="173879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666" w:type="dxa"/>
            <w:vMerge w:val="continue"/>
            <w:vAlign w:val="center"/>
          </w:tcPr>
          <w:p w14:paraId="1DE2AE3A">
            <w:pPr>
              <w:pStyle w:val="378"/>
              <w:jc w:val="center"/>
              <w:rPr>
                <w:rFonts w:hint="eastAsia" w:ascii="宋体" w:hAnsi="宋体" w:cs="宋体"/>
                <w:bCs/>
                <w:sz w:val="24"/>
              </w:rPr>
            </w:pPr>
          </w:p>
        </w:tc>
        <w:tc>
          <w:tcPr>
            <w:tcW w:w="1528" w:type="dxa"/>
            <w:vMerge w:val="continue"/>
            <w:vAlign w:val="center"/>
          </w:tcPr>
          <w:p w14:paraId="5417C0BF">
            <w:pPr>
              <w:pStyle w:val="378"/>
              <w:jc w:val="center"/>
              <w:rPr>
                <w:rFonts w:hint="eastAsia" w:ascii="宋体" w:hAnsi="宋体" w:cs="宋体"/>
                <w:bCs/>
                <w:sz w:val="24"/>
              </w:rPr>
            </w:pPr>
          </w:p>
        </w:tc>
        <w:tc>
          <w:tcPr>
            <w:tcW w:w="5307" w:type="dxa"/>
            <w:vAlign w:val="center"/>
          </w:tcPr>
          <w:p w14:paraId="7063689A">
            <w:pPr>
              <w:pStyle w:val="378"/>
              <w:rPr>
                <w:rFonts w:hint="eastAsia" w:ascii="宋体" w:hAnsi="宋体" w:cs="宋体"/>
                <w:color w:val="000000"/>
                <w:sz w:val="24"/>
              </w:rPr>
            </w:pPr>
            <w:r>
              <w:rPr>
                <w:rFonts w:hint="eastAsia" w:ascii="宋体" w:hAnsi="宋体" w:cs="宋体"/>
                <w:color w:val="000000"/>
                <w:sz w:val="24"/>
              </w:rPr>
              <w:t>能配合系统实现水样分配、预处理、故障报警、关键部件工作状态和反控等功能</w:t>
            </w:r>
          </w:p>
        </w:tc>
      </w:tr>
      <w:tr w14:paraId="11E1C4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1666" w:type="dxa"/>
            <w:vMerge w:val="restart"/>
            <w:vAlign w:val="center"/>
          </w:tcPr>
          <w:p w14:paraId="5CF5AF62">
            <w:pPr>
              <w:pStyle w:val="378"/>
              <w:jc w:val="center"/>
              <w:rPr>
                <w:rFonts w:hint="eastAsia" w:ascii="宋体" w:hAnsi="宋体" w:cs="宋体"/>
                <w:bCs/>
                <w:sz w:val="24"/>
              </w:rPr>
            </w:pPr>
            <w:r>
              <w:rPr>
                <w:rFonts w:hint="eastAsia" w:ascii="宋体" w:hAnsi="宋体" w:cs="宋体"/>
                <w:bCs/>
                <w:sz w:val="24"/>
              </w:rPr>
              <w:t>集成系统要求</w:t>
            </w:r>
          </w:p>
        </w:tc>
        <w:tc>
          <w:tcPr>
            <w:tcW w:w="1528" w:type="dxa"/>
            <w:vMerge w:val="restart"/>
            <w:vAlign w:val="center"/>
          </w:tcPr>
          <w:p w14:paraId="5866736B">
            <w:pPr>
              <w:pStyle w:val="378"/>
              <w:jc w:val="center"/>
              <w:rPr>
                <w:rFonts w:hint="eastAsia" w:ascii="宋体" w:hAnsi="宋体" w:cs="宋体"/>
                <w:sz w:val="24"/>
              </w:rPr>
            </w:pPr>
            <w:r>
              <w:rPr>
                <w:rFonts w:hint="eastAsia" w:ascii="宋体" w:hAnsi="宋体" w:cs="宋体"/>
                <w:bCs/>
                <w:sz w:val="24"/>
              </w:rPr>
              <w:t>控制单元</w:t>
            </w:r>
          </w:p>
        </w:tc>
        <w:tc>
          <w:tcPr>
            <w:tcW w:w="5307" w:type="dxa"/>
            <w:vAlign w:val="center"/>
          </w:tcPr>
          <w:p w14:paraId="176F1D80">
            <w:pPr>
              <w:pStyle w:val="378"/>
              <w:rPr>
                <w:rFonts w:hint="eastAsia" w:ascii="宋体" w:hAnsi="宋体" w:cs="宋体"/>
                <w:color w:val="000000"/>
                <w:sz w:val="24"/>
              </w:rPr>
            </w:pPr>
            <w:r>
              <w:rPr>
                <w:rFonts w:hint="eastAsia" w:ascii="宋体" w:hAnsi="宋体" w:cs="宋体"/>
                <w:color w:val="000000"/>
                <w:sz w:val="24"/>
              </w:rPr>
              <w:t>必须支持中文显示，操作方便</w:t>
            </w:r>
          </w:p>
        </w:tc>
      </w:tr>
      <w:tr w14:paraId="6EEF2F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1666" w:type="dxa"/>
            <w:vMerge w:val="continue"/>
            <w:vAlign w:val="center"/>
          </w:tcPr>
          <w:p w14:paraId="49882CFB">
            <w:pPr>
              <w:pStyle w:val="378"/>
              <w:jc w:val="center"/>
              <w:rPr>
                <w:rFonts w:hint="eastAsia" w:ascii="宋体" w:hAnsi="宋体" w:cs="宋体"/>
                <w:bCs/>
                <w:sz w:val="24"/>
              </w:rPr>
            </w:pPr>
          </w:p>
        </w:tc>
        <w:tc>
          <w:tcPr>
            <w:tcW w:w="1528" w:type="dxa"/>
            <w:vMerge w:val="continue"/>
            <w:vAlign w:val="center"/>
          </w:tcPr>
          <w:p w14:paraId="103080C3">
            <w:pPr>
              <w:pStyle w:val="378"/>
              <w:jc w:val="center"/>
              <w:rPr>
                <w:rFonts w:hint="eastAsia" w:ascii="宋体" w:hAnsi="宋体" w:cs="宋体"/>
                <w:bCs/>
                <w:sz w:val="24"/>
              </w:rPr>
            </w:pPr>
          </w:p>
        </w:tc>
        <w:tc>
          <w:tcPr>
            <w:tcW w:w="5307" w:type="dxa"/>
            <w:vAlign w:val="center"/>
          </w:tcPr>
          <w:p w14:paraId="2980D192">
            <w:pPr>
              <w:pStyle w:val="378"/>
              <w:rPr>
                <w:rFonts w:hint="eastAsia" w:ascii="宋体" w:hAnsi="宋体" w:cs="宋体"/>
                <w:color w:val="000000"/>
                <w:sz w:val="24"/>
              </w:rPr>
            </w:pPr>
            <w:r>
              <w:rPr>
                <w:rFonts w:hint="eastAsia" w:ascii="宋体" w:hAnsi="宋体" w:cs="宋体"/>
                <w:color w:val="000000"/>
                <w:sz w:val="24"/>
              </w:rPr>
              <w:t>具有断电保护功能，能够在断电时保存系统参数和历史数据，在来电时自动恢复系统</w:t>
            </w:r>
          </w:p>
        </w:tc>
      </w:tr>
      <w:tr w14:paraId="7A9A8E3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33" w:hRule="atLeast"/>
          <w:jc w:val="center"/>
        </w:trPr>
        <w:tc>
          <w:tcPr>
            <w:tcW w:w="1666" w:type="dxa"/>
            <w:vMerge w:val="continue"/>
            <w:vAlign w:val="center"/>
          </w:tcPr>
          <w:p w14:paraId="10E6FF32">
            <w:pPr>
              <w:pStyle w:val="378"/>
              <w:jc w:val="center"/>
              <w:rPr>
                <w:rFonts w:hint="eastAsia" w:ascii="宋体" w:hAnsi="宋体" w:cs="宋体"/>
                <w:bCs/>
                <w:sz w:val="24"/>
              </w:rPr>
            </w:pPr>
          </w:p>
        </w:tc>
        <w:tc>
          <w:tcPr>
            <w:tcW w:w="1528" w:type="dxa"/>
            <w:vMerge w:val="continue"/>
            <w:vAlign w:val="center"/>
          </w:tcPr>
          <w:p w14:paraId="12DF0C7F">
            <w:pPr>
              <w:pStyle w:val="378"/>
              <w:jc w:val="center"/>
              <w:rPr>
                <w:rFonts w:hint="eastAsia" w:ascii="宋体" w:hAnsi="宋体" w:cs="宋体"/>
                <w:bCs/>
                <w:sz w:val="24"/>
              </w:rPr>
            </w:pPr>
          </w:p>
        </w:tc>
        <w:tc>
          <w:tcPr>
            <w:tcW w:w="5307" w:type="dxa"/>
            <w:vAlign w:val="center"/>
          </w:tcPr>
          <w:p w14:paraId="51624415">
            <w:pPr>
              <w:pStyle w:val="378"/>
              <w:rPr>
                <w:rFonts w:hint="eastAsia" w:ascii="宋体" w:hAnsi="宋体" w:cs="宋体"/>
                <w:color w:val="000000"/>
                <w:sz w:val="24"/>
              </w:rPr>
            </w:pPr>
            <w:r>
              <w:rPr>
                <w:rFonts w:hint="eastAsia" w:ascii="宋体" w:hAnsi="宋体" w:cs="宋体"/>
                <w:color w:val="000000"/>
                <w:sz w:val="24"/>
              </w:rPr>
              <w:t>具备自动采集数据功能，包括自动采集水质自动分析仪器数据、集成控制数据等，采集的数据应自动添加数据标识，异常监测数据能自动识别，并主动上传至中心平台</w:t>
            </w:r>
          </w:p>
        </w:tc>
      </w:tr>
      <w:tr w14:paraId="4B46A4B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1666" w:type="dxa"/>
            <w:vMerge w:val="continue"/>
            <w:vAlign w:val="center"/>
          </w:tcPr>
          <w:p w14:paraId="7838E1EC">
            <w:pPr>
              <w:pStyle w:val="378"/>
              <w:jc w:val="center"/>
              <w:rPr>
                <w:rFonts w:hint="eastAsia" w:ascii="宋体" w:hAnsi="宋体" w:cs="宋体"/>
                <w:bCs/>
                <w:sz w:val="24"/>
              </w:rPr>
            </w:pPr>
          </w:p>
        </w:tc>
        <w:tc>
          <w:tcPr>
            <w:tcW w:w="1528" w:type="dxa"/>
            <w:vMerge w:val="continue"/>
            <w:vAlign w:val="center"/>
          </w:tcPr>
          <w:p w14:paraId="7AF0FB62">
            <w:pPr>
              <w:pStyle w:val="378"/>
              <w:jc w:val="center"/>
              <w:rPr>
                <w:rFonts w:hint="eastAsia" w:ascii="宋体" w:hAnsi="宋体" w:cs="宋体"/>
                <w:bCs/>
                <w:sz w:val="24"/>
              </w:rPr>
            </w:pPr>
          </w:p>
        </w:tc>
        <w:tc>
          <w:tcPr>
            <w:tcW w:w="5307" w:type="dxa"/>
            <w:vAlign w:val="center"/>
          </w:tcPr>
          <w:p w14:paraId="578BB901">
            <w:pPr>
              <w:pStyle w:val="378"/>
              <w:rPr>
                <w:rFonts w:hint="eastAsia" w:ascii="宋体" w:hAnsi="宋体" w:cs="宋体"/>
                <w:color w:val="000000"/>
                <w:sz w:val="24"/>
              </w:rPr>
            </w:pPr>
            <w:r>
              <w:rPr>
                <w:rFonts w:hint="eastAsia" w:ascii="宋体" w:hAnsi="宋体" w:cs="宋体"/>
                <w:color w:val="000000"/>
                <w:sz w:val="24"/>
              </w:rPr>
              <w:t>实现对单一控制点（阀、泵等）进行调试，对采水单元、配水及预处理单元、分析单元等的控制，并将控制点状态信息，以及水泵的开关状态等记录和显示</w:t>
            </w:r>
          </w:p>
        </w:tc>
      </w:tr>
      <w:tr w14:paraId="6958F92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666" w:type="dxa"/>
            <w:vMerge w:val="continue"/>
            <w:vAlign w:val="center"/>
          </w:tcPr>
          <w:p w14:paraId="65BB0D1B">
            <w:pPr>
              <w:pStyle w:val="378"/>
              <w:jc w:val="center"/>
              <w:rPr>
                <w:rFonts w:hint="eastAsia" w:ascii="宋体" w:hAnsi="宋体" w:cs="宋体"/>
                <w:bCs/>
                <w:sz w:val="24"/>
              </w:rPr>
            </w:pPr>
          </w:p>
        </w:tc>
        <w:tc>
          <w:tcPr>
            <w:tcW w:w="1528" w:type="dxa"/>
            <w:vMerge w:val="continue"/>
            <w:vAlign w:val="center"/>
          </w:tcPr>
          <w:p w14:paraId="60A3E3DB">
            <w:pPr>
              <w:pStyle w:val="378"/>
              <w:jc w:val="center"/>
              <w:rPr>
                <w:rFonts w:hint="eastAsia" w:ascii="宋体" w:hAnsi="宋体" w:cs="宋体"/>
                <w:sz w:val="24"/>
              </w:rPr>
            </w:pPr>
          </w:p>
        </w:tc>
        <w:tc>
          <w:tcPr>
            <w:tcW w:w="5307" w:type="dxa"/>
            <w:vAlign w:val="center"/>
          </w:tcPr>
          <w:p w14:paraId="6E9ED1DF">
            <w:pPr>
              <w:pStyle w:val="378"/>
              <w:rPr>
                <w:rFonts w:hint="eastAsia" w:ascii="宋体" w:hAnsi="宋体" w:cs="宋体"/>
                <w:color w:val="000000"/>
                <w:sz w:val="24"/>
              </w:rPr>
            </w:pPr>
            <w:r>
              <w:rPr>
                <w:rFonts w:hint="eastAsia" w:ascii="宋体" w:hAnsi="宋体" w:cs="宋体"/>
                <w:color w:val="000000"/>
                <w:sz w:val="24"/>
              </w:rPr>
              <w:t>具备对自动分析仪器的启停、校时、校准、质控测试等控制功能</w:t>
            </w:r>
          </w:p>
        </w:tc>
      </w:tr>
      <w:tr w14:paraId="0203DA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6" w:type="dxa"/>
            <w:vMerge w:val="continue"/>
            <w:vAlign w:val="center"/>
          </w:tcPr>
          <w:p w14:paraId="3BD21060">
            <w:pPr>
              <w:pStyle w:val="378"/>
              <w:jc w:val="center"/>
              <w:rPr>
                <w:rFonts w:hint="eastAsia" w:ascii="宋体" w:hAnsi="宋体" w:cs="宋体"/>
                <w:bCs/>
                <w:sz w:val="24"/>
              </w:rPr>
            </w:pPr>
          </w:p>
        </w:tc>
        <w:tc>
          <w:tcPr>
            <w:tcW w:w="1528" w:type="dxa"/>
            <w:vMerge w:val="continue"/>
            <w:vAlign w:val="center"/>
          </w:tcPr>
          <w:p w14:paraId="43EB4DCA">
            <w:pPr>
              <w:pStyle w:val="378"/>
              <w:jc w:val="center"/>
              <w:rPr>
                <w:rFonts w:hint="eastAsia" w:ascii="宋体" w:hAnsi="宋体" w:cs="宋体"/>
                <w:sz w:val="24"/>
              </w:rPr>
            </w:pPr>
          </w:p>
        </w:tc>
        <w:tc>
          <w:tcPr>
            <w:tcW w:w="5307" w:type="dxa"/>
            <w:vAlign w:val="center"/>
          </w:tcPr>
          <w:p w14:paraId="2674BE01">
            <w:pPr>
              <w:pStyle w:val="378"/>
              <w:rPr>
                <w:rFonts w:hint="eastAsia" w:ascii="宋体" w:hAnsi="宋体" w:cs="宋体"/>
                <w:color w:val="000000"/>
                <w:sz w:val="24"/>
              </w:rPr>
            </w:pPr>
            <w:r>
              <w:rPr>
                <w:rFonts w:hint="eastAsia" w:ascii="宋体" w:hAnsi="宋体" w:cs="宋体"/>
                <w:color w:val="000000"/>
                <w:sz w:val="24"/>
              </w:rPr>
              <w:t>控制器符合抗电磁辐射、电磁感应的相关规定，具备电源隔离和信号隔离措施</w:t>
            </w:r>
          </w:p>
        </w:tc>
      </w:tr>
      <w:tr w14:paraId="43585AB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1666" w:type="dxa"/>
            <w:vMerge w:val="continue"/>
            <w:vAlign w:val="center"/>
          </w:tcPr>
          <w:p w14:paraId="20099034">
            <w:pPr>
              <w:pStyle w:val="378"/>
              <w:jc w:val="center"/>
              <w:rPr>
                <w:rFonts w:hint="eastAsia" w:ascii="宋体" w:hAnsi="宋体" w:cs="宋体"/>
                <w:bCs/>
                <w:sz w:val="24"/>
              </w:rPr>
            </w:pPr>
          </w:p>
        </w:tc>
        <w:tc>
          <w:tcPr>
            <w:tcW w:w="1528" w:type="dxa"/>
            <w:vMerge w:val="continue"/>
            <w:vAlign w:val="center"/>
          </w:tcPr>
          <w:p w14:paraId="17D69E32">
            <w:pPr>
              <w:pStyle w:val="378"/>
              <w:jc w:val="center"/>
              <w:rPr>
                <w:rFonts w:hint="eastAsia" w:ascii="宋体" w:hAnsi="宋体" w:cs="宋体"/>
                <w:sz w:val="24"/>
              </w:rPr>
            </w:pPr>
          </w:p>
        </w:tc>
        <w:tc>
          <w:tcPr>
            <w:tcW w:w="5307" w:type="dxa"/>
            <w:vAlign w:val="center"/>
          </w:tcPr>
          <w:p w14:paraId="4FE85AE3">
            <w:pPr>
              <w:pStyle w:val="378"/>
              <w:rPr>
                <w:rFonts w:hint="eastAsia" w:ascii="宋体" w:hAnsi="宋体" w:cs="宋体"/>
                <w:color w:val="000000"/>
                <w:sz w:val="24"/>
              </w:rPr>
            </w:pPr>
            <w:r>
              <w:rPr>
                <w:rFonts w:hint="eastAsia" w:ascii="宋体" w:hAnsi="宋体" w:cs="宋体"/>
                <w:color w:val="000000"/>
                <w:sz w:val="24"/>
              </w:rPr>
              <w:t>具备参数设置功能，能够对小数位、单位、仪器测定上下限、报警（超标）上下限等参数进行设置</w:t>
            </w:r>
          </w:p>
        </w:tc>
      </w:tr>
      <w:tr w14:paraId="6091B85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666" w:type="dxa"/>
            <w:vMerge w:val="continue"/>
            <w:vAlign w:val="center"/>
          </w:tcPr>
          <w:p w14:paraId="0420BC13">
            <w:pPr>
              <w:pStyle w:val="378"/>
              <w:jc w:val="center"/>
              <w:rPr>
                <w:rFonts w:hint="eastAsia" w:ascii="宋体" w:hAnsi="宋体" w:cs="宋体"/>
                <w:bCs/>
                <w:sz w:val="24"/>
              </w:rPr>
            </w:pPr>
          </w:p>
        </w:tc>
        <w:tc>
          <w:tcPr>
            <w:tcW w:w="1528" w:type="dxa"/>
            <w:vMerge w:val="continue"/>
            <w:vAlign w:val="center"/>
          </w:tcPr>
          <w:p w14:paraId="37C84CEC">
            <w:pPr>
              <w:pStyle w:val="378"/>
              <w:jc w:val="center"/>
              <w:rPr>
                <w:rFonts w:hint="eastAsia" w:ascii="宋体" w:hAnsi="宋体" w:cs="宋体"/>
                <w:sz w:val="24"/>
              </w:rPr>
            </w:pPr>
          </w:p>
        </w:tc>
        <w:tc>
          <w:tcPr>
            <w:tcW w:w="5307" w:type="dxa"/>
            <w:vAlign w:val="center"/>
          </w:tcPr>
          <w:p w14:paraId="122DBB9F">
            <w:pPr>
              <w:pStyle w:val="378"/>
              <w:rPr>
                <w:rFonts w:hint="eastAsia" w:ascii="宋体" w:hAnsi="宋体" w:cs="宋体"/>
                <w:color w:val="000000"/>
                <w:sz w:val="24"/>
              </w:rPr>
            </w:pPr>
            <w:r>
              <w:rPr>
                <w:rFonts w:hint="eastAsia" w:ascii="宋体" w:hAnsi="宋体" w:cs="宋体"/>
                <w:color w:val="000000"/>
                <w:sz w:val="24"/>
              </w:rPr>
              <w:t>具备各仪器监测结果、状态参数、运行流程、报警信息等显示的功能</w:t>
            </w:r>
          </w:p>
        </w:tc>
      </w:tr>
      <w:tr w14:paraId="4715B3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1666" w:type="dxa"/>
            <w:vMerge w:val="continue"/>
            <w:vAlign w:val="center"/>
          </w:tcPr>
          <w:p w14:paraId="2E506B33">
            <w:pPr>
              <w:pStyle w:val="378"/>
              <w:jc w:val="center"/>
              <w:rPr>
                <w:rFonts w:hint="eastAsia" w:ascii="宋体" w:hAnsi="宋体" w:cs="宋体"/>
                <w:bCs/>
                <w:sz w:val="24"/>
              </w:rPr>
            </w:pPr>
          </w:p>
        </w:tc>
        <w:tc>
          <w:tcPr>
            <w:tcW w:w="1528" w:type="dxa"/>
            <w:vMerge w:val="continue"/>
            <w:vAlign w:val="center"/>
          </w:tcPr>
          <w:p w14:paraId="6900173C">
            <w:pPr>
              <w:pStyle w:val="378"/>
              <w:jc w:val="center"/>
              <w:rPr>
                <w:rFonts w:hint="eastAsia" w:ascii="宋体" w:hAnsi="宋体" w:cs="宋体"/>
                <w:sz w:val="24"/>
              </w:rPr>
            </w:pPr>
          </w:p>
        </w:tc>
        <w:tc>
          <w:tcPr>
            <w:tcW w:w="5307" w:type="dxa"/>
            <w:vAlign w:val="center"/>
          </w:tcPr>
          <w:p w14:paraId="27CF8F5E">
            <w:pPr>
              <w:pStyle w:val="378"/>
              <w:rPr>
                <w:rFonts w:hint="eastAsia" w:ascii="宋体" w:hAnsi="宋体" w:cs="宋体"/>
                <w:color w:val="000000"/>
                <w:sz w:val="24"/>
              </w:rPr>
            </w:pPr>
            <w:r>
              <w:rPr>
                <w:rFonts w:hint="eastAsia" w:ascii="宋体" w:hAnsi="宋体" w:cs="宋体"/>
                <w:color w:val="000000"/>
                <w:sz w:val="24"/>
              </w:rPr>
              <w:t>具有三级权限管理功能</w:t>
            </w:r>
          </w:p>
        </w:tc>
      </w:tr>
      <w:tr w14:paraId="3C4A3AE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33" w:hRule="atLeast"/>
          <w:jc w:val="center"/>
        </w:trPr>
        <w:tc>
          <w:tcPr>
            <w:tcW w:w="1666" w:type="dxa"/>
            <w:vMerge w:val="continue"/>
            <w:vAlign w:val="center"/>
          </w:tcPr>
          <w:p w14:paraId="6DB597FC">
            <w:pPr>
              <w:pStyle w:val="378"/>
              <w:jc w:val="center"/>
              <w:rPr>
                <w:rFonts w:hint="eastAsia" w:ascii="宋体" w:hAnsi="宋体" w:cs="宋体"/>
                <w:bCs/>
                <w:sz w:val="24"/>
              </w:rPr>
            </w:pPr>
          </w:p>
        </w:tc>
        <w:tc>
          <w:tcPr>
            <w:tcW w:w="1528" w:type="dxa"/>
            <w:vMerge w:val="continue"/>
            <w:vAlign w:val="center"/>
          </w:tcPr>
          <w:p w14:paraId="64D97E1B">
            <w:pPr>
              <w:pStyle w:val="378"/>
              <w:jc w:val="center"/>
              <w:rPr>
                <w:rFonts w:hint="eastAsia" w:ascii="宋体" w:hAnsi="宋体" w:cs="宋体"/>
                <w:sz w:val="24"/>
              </w:rPr>
            </w:pPr>
          </w:p>
        </w:tc>
        <w:tc>
          <w:tcPr>
            <w:tcW w:w="5307" w:type="dxa"/>
            <w:vAlign w:val="center"/>
          </w:tcPr>
          <w:p w14:paraId="650BA8B7">
            <w:pPr>
              <w:pStyle w:val="378"/>
              <w:rPr>
                <w:rFonts w:hint="eastAsia" w:ascii="宋体" w:hAnsi="宋体" w:cs="宋体"/>
                <w:color w:val="000000"/>
                <w:sz w:val="24"/>
              </w:rPr>
            </w:pPr>
            <w:r>
              <w:rPr>
                <w:rFonts w:hint="eastAsia" w:ascii="宋体" w:hAnsi="宋体" w:cs="宋体"/>
                <w:color w:val="000000"/>
                <w:sz w:val="24"/>
              </w:rPr>
              <w:t>具有监测数据查询、导出、自动备份功能，可分类查询水质周期数据、质控数据（空白测试数据、标样核查数据等）及其对应的仪器、系统日志流程信息</w:t>
            </w:r>
          </w:p>
        </w:tc>
      </w:tr>
      <w:tr w14:paraId="724F4C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666" w:type="dxa"/>
            <w:vMerge w:val="continue"/>
            <w:vAlign w:val="center"/>
          </w:tcPr>
          <w:p w14:paraId="30C1463E">
            <w:pPr>
              <w:pStyle w:val="378"/>
              <w:jc w:val="center"/>
              <w:rPr>
                <w:rFonts w:hint="eastAsia" w:ascii="宋体" w:hAnsi="宋体" w:cs="宋体"/>
                <w:bCs/>
                <w:sz w:val="24"/>
              </w:rPr>
            </w:pPr>
          </w:p>
        </w:tc>
        <w:tc>
          <w:tcPr>
            <w:tcW w:w="1528" w:type="dxa"/>
            <w:vMerge w:val="continue"/>
            <w:vAlign w:val="center"/>
          </w:tcPr>
          <w:p w14:paraId="04D15C31">
            <w:pPr>
              <w:pStyle w:val="378"/>
              <w:jc w:val="center"/>
              <w:rPr>
                <w:rFonts w:hint="eastAsia" w:ascii="宋体" w:hAnsi="宋体" w:cs="宋体"/>
                <w:sz w:val="24"/>
              </w:rPr>
            </w:pPr>
          </w:p>
        </w:tc>
        <w:tc>
          <w:tcPr>
            <w:tcW w:w="5307" w:type="dxa"/>
            <w:vAlign w:val="center"/>
          </w:tcPr>
          <w:p w14:paraId="7B5EC987">
            <w:pPr>
              <w:pStyle w:val="378"/>
              <w:rPr>
                <w:rFonts w:hint="eastAsia" w:ascii="宋体" w:hAnsi="宋体" w:cs="宋体"/>
                <w:color w:val="000000"/>
                <w:sz w:val="24"/>
              </w:rPr>
            </w:pPr>
            <w:r>
              <w:rPr>
                <w:rFonts w:hint="eastAsia" w:ascii="宋体" w:hAnsi="宋体" w:cs="宋体"/>
                <w:color w:val="000000"/>
                <w:sz w:val="24"/>
              </w:rPr>
              <w:t>具有监测数据查询功能、数据分类功能，存储不少于1年的原始数据和运行日志</w:t>
            </w:r>
          </w:p>
        </w:tc>
      </w:tr>
      <w:tr w14:paraId="6CCAD44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81" w:hRule="atLeast"/>
          <w:jc w:val="center"/>
        </w:trPr>
        <w:tc>
          <w:tcPr>
            <w:tcW w:w="1666" w:type="dxa"/>
            <w:vMerge w:val="continue"/>
            <w:vAlign w:val="center"/>
          </w:tcPr>
          <w:p w14:paraId="7D963330">
            <w:pPr>
              <w:pStyle w:val="378"/>
              <w:jc w:val="center"/>
              <w:rPr>
                <w:rFonts w:hint="eastAsia" w:ascii="宋体" w:hAnsi="宋体" w:cs="宋体"/>
                <w:bCs/>
                <w:sz w:val="24"/>
              </w:rPr>
            </w:pPr>
          </w:p>
        </w:tc>
        <w:tc>
          <w:tcPr>
            <w:tcW w:w="1528" w:type="dxa"/>
            <w:vMerge w:val="continue"/>
            <w:vAlign w:val="center"/>
          </w:tcPr>
          <w:p w14:paraId="1189ABDF">
            <w:pPr>
              <w:pStyle w:val="378"/>
              <w:jc w:val="center"/>
              <w:rPr>
                <w:rFonts w:hint="eastAsia" w:ascii="宋体" w:hAnsi="宋体" w:cs="宋体"/>
                <w:sz w:val="24"/>
              </w:rPr>
            </w:pPr>
          </w:p>
        </w:tc>
        <w:tc>
          <w:tcPr>
            <w:tcW w:w="5307" w:type="dxa"/>
            <w:vAlign w:val="center"/>
          </w:tcPr>
          <w:p w14:paraId="63934225">
            <w:pPr>
              <w:pStyle w:val="378"/>
              <w:rPr>
                <w:rFonts w:hint="eastAsia" w:ascii="宋体" w:hAnsi="宋体" w:cs="宋体"/>
                <w:color w:val="000000"/>
                <w:sz w:val="24"/>
              </w:rPr>
            </w:pPr>
            <w:r>
              <w:rPr>
                <w:rFonts w:hint="eastAsia" w:ascii="宋体" w:hAnsi="宋体" w:cs="宋体"/>
                <w:color w:val="000000"/>
                <w:sz w:val="24"/>
              </w:rPr>
              <w:t>采集自动分析仪器的监测数据，并分类保存</w:t>
            </w:r>
          </w:p>
        </w:tc>
      </w:tr>
      <w:tr w14:paraId="0D849DF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666" w:type="dxa"/>
            <w:vMerge w:val="continue"/>
            <w:vAlign w:val="center"/>
          </w:tcPr>
          <w:p w14:paraId="353558E6">
            <w:pPr>
              <w:pStyle w:val="378"/>
              <w:jc w:val="center"/>
              <w:rPr>
                <w:rFonts w:hint="eastAsia" w:ascii="宋体" w:hAnsi="宋体" w:cs="宋体"/>
                <w:bCs/>
                <w:sz w:val="24"/>
              </w:rPr>
            </w:pPr>
          </w:p>
        </w:tc>
        <w:tc>
          <w:tcPr>
            <w:tcW w:w="1528" w:type="dxa"/>
            <w:vMerge w:val="continue"/>
            <w:vAlign w:val="center"/>
          </w:tcPr>
          <w:p w14:paraId="04B063EF">
            <w:pPr>
              <w:pStyle w:val="378"/>
              <w:jc w:val="center"/>
              <w:rPr>
                <w:rFonts w:hint="eastAsia" w:ascii="宋体" w:hAnsi="宋体" w:cs="宋体"/>
                <w:sz w:val="24"/>
              </w:rPr>
            </w:pPr>
          </w:p>
        </w:tc>
        <w:tc>
          <w:tcPr>
            <w:tcW w:w="5307" w:type="dxa"/>
            <w:vAlign w:val="center"/>
          </w:tcPr>
          <w:p w14:paraId="17AD614B">
            <w:pPr>
              <w:pStyle w:val="378"/>
              <w:rPr>
                <w:rFonts w:hint="eastAsia" w:ascii="宋体" w:hAnsi="宋体" w:cs="宋体"/>
                <w:color w:val="000000"/>
                <w:sz w:val="24"/>
              </w:rPr>
            </w:pPr>
            <w:r>
              <w:rPr>
                <w:rFonts w:hint="eastAsia" w:ascii="宋体" w:hAnsi="宋体" w:cs="宋体"/>
                <w:color w:val="000000"/>
                <w:sz w:val="24"/>
              </w:rPr>
              <w:t>采集自动分析仪器和集成系统各单元的工作状态量，并以运行日志的形式记录保存</w:t>
            </w:r>
          </w:p>
        </w:tc>
      </w:tr>
      <w:tr w14:paraId="2F3CEE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1666" w:type="dxa"/>
            <w:vMerge w:val="continue"/>
            <w:vAlign w:val="center"/>
          </w:tcPr>
          <w:p w14:paraId="3C978458">
            <w:pPr>
              <w:pStyle w:val="378"/>
              <w:jc w:val="center"/>
              <w:rPr>
                <w:rFonts w:hint="eastAsia" w:ascii="宋体" w:hAnsi="宋体" w:cs="宋体"/>
                <w:bCs/>
                <w:sz w:val="24"/>
              </w:rPr>
            </w:pPr>
          </w:p>
        </w:tc>
        <w:tc>
          <w:tcPr>
            <w:tcW w:w="1528" w:type="dxa"/>
            <w:vMerge w:val="continue"/>
            <w:vAlign w:val="center"/>
          </w:tcPr>
          <w:p w14:paraId="31BCDE3D">
            <w:pPr>
              <w:pStyle w:val="378"/>
              <w:jc w:val="center"/>
              <w:rPr>
                <w:rFonts w:hint="eastAsia" w:ascii="宋体" w:hAnsi="宋体" w:cs="宋体"/>
                <w:sz w:val="24"/>
              </w:rPr>
            </w:pPr>
          </w:p>
        </w:tc>
        <w:tc>
          <w:tcPr>
            <w:tcW w:w="5307" w:type="dxa"/>
            <w:vAlign w:val="center"/>
          </w:tcPr>
          <w:p w14:paraId="14B8AAD2">
            <w:pPr>
              <w:pStyle w:val="378"/>
              <w:rPr>
                <w:rFonts w:hint="eastAsia" w:ascii="宋体" w:hAnsi="宋体" w:cs="宋体"/>
                <w:color w:val="000000"/>
                <w:sz w:val="24"/>
              </w:rPr>
            </w:pPr>
            <w:r>
              <w:rPr>
                <w:rFonts w:hint="eastAsia" w:ascii="宋体" w:hAnsi="宋体" w:cs="宋体"/>
                <w:color w:val="000000"/>
                <w:sz w:val="24"/>
              </w:rPr>
              <w:t>采用无线、有线的通讯方式满足数据传输要求</w:t>
            </w:r>
          </w:p>
        </w:tc>
      </w:tr>
      <w:tr w14:paraId="6C2EF1E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7" w:hRule="atLeast"/>
          <w:jc w:val="center"/>
        </w:trPr>
        <w:tc>
          <w:tcPr>
            <w:tcW w:w="1666" w:type="dxa"/>
            <w:vMerge w:val="continue"/>
            <w:vAlign w:val="center"/>
          </w:tcPr>
          <w:p w14:paraId="65478A1E">
            <w:pPr>
              <w:pStyle w:val="378"/>
              <w:jc w:val="center"/>
              <w:rPr>
                <w:rFonts w:hint="eastAsia" w:ascii="宋体" w:hAnsi="宋体" w:cs="宋体"/>
                <w:bCs/>
                <w:sz w:val="24"/>
              </w:rPr>
            </w:pPr>
          </w:p>
        </w:tc>
        <w:tc>
          <w:tcPr>
            <w:tcW w:w="1528" w:type="dxa"/>
            <w:vMerge w:val="continue"/>
            <w:vAlign w:val="center"/>
          </w:tcPr>
          <w:p w14:paraId="2D4CCFEE">
            <w:pPr>
              <w:pStyle w:val="378"/>
              <w:jc w:val="center"/>
              <w:rPr>
                <w:rFonts w:hint="eastAsia" w:ascii="宋体" w:hAnsi="宋体" w:cs="宋体"/>
                <w:sz w:val="24"/>
              </w:rPr>
            </w:pPr>
          </w:p>
        </w:tc>
        <w:tc>
          <w:tcPr>
            <w:tcW w:w="5307" w:type="dxa"/>
            <w:vAlign w:val="center"/>
          </w:tcPr>
          <w:p w14:paraId="147D8263">
            <w:pPr>
              <w:pStyle w:val="378"/>
              <w:rPr>
                <w:rFonts w:hint="eastAsia" w:ascii="宋体" w:hAnsi="宋体" w:cs="宋体"/>
                <w:color w:val="000000"/>
                <w:sz w:val="24"/>
              </w:rPr>
            </w:pPr>
            <w:r>
              <w:rPr>
                <w:rFonts w:hint="eastAsia" w:ascii="宋体" w:hAnsi="宋体" w:cs="宋体"/>
                <w:color w:val="000000"/>
                <w:sz w:val="24"/>
              </w:rPr>
              <w:t>具备对通信链路的自动诊断功能，具备超时补发功能</w:t>
            </w:r>
          </w:p>
        </w:tc>
      </w:tr>
      <w:tr w14:paraId="62B9CBC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666" w:type="dxa"/>
            <w:vMerge w:val="restart"/>
            <w:vAlign w:val="center"/>
          </w:tcPr>
          <w:p w14:paraId="5DF89C8F">
            <w:pPr>
              <w:pStyle w:val="378"/>
              <w:jc w:val="center"/>
              <w:rPr>
                <w:rFonts w:hint="eastAsia" w:ascii="宋体" w:hAnsi="宋体" w:cs="宋体"/>
                <w:bCs/>
                <w:sz w:val="24"/>
              </w:rPr>
            </w:pPr>
            <w:r>
              <w:rPr>
                <w:rFonts w:hint="eastAsia" w:ascii="宋体" w:hAnsi="宋体" w:cs="宋体"/>
                <w:bCs/>
                <w:sz w:val="24"/>
              </w:rPr>
              <w:t>集成系统要求</w:t>
            </w:r>
          </w:p>
        </w:tc>
        <w:tc>
          <w:tcPr>
            <w:tcW w:w="1528" w:type="dxa"/>
            <w:vMerge w:val="restart"/>
            <w:vAlign w:val="center"/>
          </w:tcPr>
          <w:p w14:paraId="5DDC0635">
            <w:pPr>
              <w:pStyle w:val="378"/>
              <w:jc w:val="center"/>
              <w:rPr>
                <w:rFonts w:hint="eastAsia" w:ascii="宋体" w:hAnsi="宋体" w:cs="宋体"/>
                <w:bCs/>
                <w:sz w:val="24"/>
              </w:rPr>
            </w:pPr>
            <w:r>
              <w:rPr>
                <w:rFonts w:hint="eastAsia" w:ascii="宋体" w:hAnsi="宋体" w:cs="宋体"/>
                <w:bCs/>
                <w:sz w:val="24"/>
              </w:rPr>
              <w:t>辅助单元</w:t>
            </w:r>
          </w:p>
        </w:tc>
        <w:tc>
          <w:tcPr>
            <w:tcW w:w="5307" w:type="dxa"/>
            <w:vAlign w:val="center"/>
          </w:tcPr>
          <w:p w14:paraId="6C1FCC83">
            <w:pPr>
              <w:pStyle w:val="378"/>
              <w:rPr>
                <w:rFonts w:hint="eastAsia" w:ascii="宋体" w:hAnsi="宋体" w:cs="宋体"/>
                <w:color w:val="000000"/>
                <w:sz w:val="24"/>
              </w:rPr>
            </w:pPr>
            <w:r>
              <w:rPr>
                <w:rFonts w:hint="eastAsia" w:ascii="宋体" w:hAnsi="宋体" w:cs="宋体"/>
                <w:color w:val="000000"/>
                <w:sz w:val="24"/>
              </w:rPr>
              <w:t>配备废液自动处理单元或废液收集单元，满足两周以上废液量的收集</w:t>
            </w:r>
          </w:p>
        </w:tc>
      </w:tr>
      <w:tr w14:paraId="28B09F4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6" w:type="dxa"/>
            <w:vMerge w:val="continue"/>
            <w:vAlign w:val="center"/>
          </w:tcPr>
          <w:p w14:paraId="250B2FE1">
            <w:pPr>
              <w:pStyle w:val="378"/>
              <w:jc w:val="center"/>
              <w:rPr>
                <w:rFonts w:hint="eastAsia" w:ascii="宋体" w:hAnsi="宋体" w:cs="宋体"/>
                <w:bCs/>
                <w:sz w:val="24"/>
              </w:rPr>
            </w:pPr>
          </w:p>
        </w:tc>
        <w:tc>
          <w:tcPr>
            <w:tcW w:w="1528" w:type="dxa"/>
            <w:vMerge w:val="continue"/>
            <w:vAlign w:val="center"/>
          </w:tcPr>
          <w:p w14:paraId="05C0DFED">
            <w:pPr>
              <w:pStyle w:val="378"/>
              <w:jc w:val="center"/>
              <w:rPr>
                <w:rFonts w:hint="eastAsia" w:ascii="宋体" w:hAnsi="宋体" w:cs="宋体"/>
                <w:bCs/>
                <w:sz w:val="24"/>
              </w:rPr>
            </w:pPr>
          </w:p>
        </w:tc>
        <w:tc>
          <w:tcPr>
            <w:tcW w:w="5307" w:type="dxa"/>
            <w:vAlign w:val="center"/>
          </w:tcPr>
          <w:p w14:paraId="28047DC9">
            <w:pPr>
              <w:pStyle w:val="378"/>
              <w:rPr>
                <w:rFonts w:hint="eastAsia" w:ascii="宋体" w:hAnsi="宋体" w:cs="宋体"/>
                <w:color w:val="000000"/>
                <w:sz w:val="24"/>
              </w:rPr>
            </w:pPr>
            <w:r>
              <w:rPr>
                <w:rFonts w:hint="eastAsia" w:ascii="宋体" w:hAnsi="宋体" w:cs="宋体"/>
                <w:color w:val="000000"/>
                <w:sz w:val="24"/>
              </w:rPr>
              <w:t>为保证系统稳定、可靠运行，必须具有电源、信号等设施的三级防雷措施</w:t>
            </w:r>
          </w:p>
        </w:tc>
      </w:tr>
    </w:tbl>
    <w:p w14:paraId="33843663">
      <w:pPr>
        <w:spacing w:line="360" w:lineRule="auto"/>
        <w:ind w:firstLine="420"/>
        <w:rPr>
          <w:rFonts w:hint="eastAsia" w:ascii="宋体" w:hAnsi="宋体" w:cs="宋体"/>
          <w:b/>
          <w:sz w:val="24"/>
          <w:szCs w:val="24"/>
        </w:rPr>
      </w:pPr>
    </w:p>
    <w:p w14:paraId="23BC6893">
      <w:pPr>
        <w:spacing w:line="440" w:lineRule="exact"/>
        <w:outlineLvl w:val="1"/>
        <w:rPr>
          <w:rFonts w:hint="eastAsia" w:ascii="宋体" w:hAnsi="宋体" w:cs="宋体"/>
          <w:b/>
          <w:bCs/>
          <w:sz w:val="28"/>
        </w:rPr>
      </w:pPr>
      <w:bookmarkStart w:id="358" w:name="_Toc26999"/>
      <w:r>
        <w:rPr>
          <w:rFonts w:hint="eastAsia" w:ascii="宋体" w:hAnsi="宋体" w:cs="宋体"/>
          <w:b/>
          <w:bCs/>
          <w:sz w:val="28"/>
        </w:rPr>
        <w:t>四、</w:t>
      </w:r>
      <w:bookmarkEnd w:id="351"/>
      <w:bookmarkEnd w:id="352"/>
      <w:bookmarkEnd w:id="353"/>
      <w:bookmarkStart w:id="359" w:name="_Toc101375110"/>
      <w:bookmarkStart w:id="360" w:name="_Toc115443342"/>
      <w:bookmarkStart w:id="361" w:name="_Toc132653376"/>
      <w:r>
        <w:rPr>
          <w:rFonts w:hint="eastAsia" w:ascii="宋体" w:hAnsi="宋体" w:cs="宋体"/>
          <w:b/>
          <w:bCs/>
          <w:sz w:val="28"/>
        </w:rPr>
        <w:t>运维技术要求：</w:t>
      </w:r>
      <w:bookmarkEnd w:id="358"/>
    </w:p>
    <w:p w14:paraId="7D257B23">
      <w:pPr>
        <w:spacing w:line="360" w:lineRule="auto"/>
        <w:ind w:firstLine="420"/>
        <w:rPr>
          <w:rFonts w:hint="eastAsia" w:ascii="宋体" w:hAnsi="宋体" w:cs="宋体"/>
          <w:sz w:val="24"/>
          <w:szCs w:val="24"/>
        </w:rPr>
      </w:pPr>
      <w:r>
        <w:rPr>
          <w:rFonts w:hint="eastAsia" w:ascii="宋体" w:hAnsi="宋体" w:cs="宋体"/>
          <w:sz w:val="24"/>
          <w:szCs w:val="24"/>
        </w:rPr>
        <w:t>1、备品备件及备机要求</w:t>
      </w:r>
    </w:p>
    <w:p w14:paraId="5A8E8755">
      <w:pPr>
        <w:spacing w:line="360" w:lineRule="auto"/>
        <w:ind w:firstLine="420"/>
        <w:rPr>
          <w:rFonts w:hint="eastAsia" w:ascii="宋体" w:hAnsi="宋体" w:cs="宋体"/>
          <w:sz w:val="24"/>
          <w:szCs w:val="24"/>
        </w:rPr>
      </w:pPr>
      <w:r>
        <w:rPr>
          <w:rFonts w:hint="eastAsia" w:ascii="宋体" w:hAnsi="宋体" w:cs="宋体"/>
          <w:sz w:val="24"/>
          <w:szCs w:val="24"/>
        </w:rPr>
        <w:t>1.1.在项目建设时，准备所涉及的各类设备的备件库，用于快速、高效以更换配件或维修，保证整套设备正常运行。投标人应具备完善的系统配件、仪表配件供应渠道。</w:t>
      </w:r>
    </w:p>
    <w:p w14:paraId="1B203220">
      <w:pPr>
        <w:spacing w:line="360" w:lineRule="auto"/>
        <w:ind w:firstLine="420"/>
        <w:rPr>
          <w:rFonts w:hint="eastAsia" w:ascii="宋体" w:hAnsi="宋体" w:cs="宋体"/>
          <w:sz w:val="24"/>
          <w:szCs w:val="24"/>
        </w:rPr>
      </w:pPr>
      <w:r>
        <w:rPr>
          <w:rFonts w:hint="eastAsia" w:ascii="宋体" w:hAnsi="宋体" w:cs="宋体"/>
          <w:sz w:val="24"/>
          <w:szCs w:val="24"/>
        </w:rPr>
        <w:t>1.2.投标人须配置充足的水质自动站的分析仪表备用机，在水质自动站仪器仪表发生故障且24小时不能修复时，须用备机替代工作。</w:t>
      </w:r>
    </w:p>
    <w:p w14:paraId="581B4642">
      <w:pPr>
        <w:spacing w:line="360" w:lineRule="auto"/>
        <w:ind w:firstLine="420"/>
        <w:rPr>
          <w:rFonts w:hint="eastAsia" w:ascii="宋体" w:hAnsi="宋体" w:cs="宋体"/>
          <w:sz w:val="24"/>
          <w:szCs w:val="24"/>
        </w:rPr>
      </w:pPr>
      <w:r>
        <w:rPr>
          <w:rFonts w:hint="eastAsia" w:ascii="宋体" w:hAnsi="宋体" w:cs="宋体"/>
          <w:sz w:val="24"/>
          <w:szCs w:val="24"/>
        </w:rPr>
        <w:t>2、数据保密要求</w:t>
      </w:r>
    </w:p>
    <w:p w14:paraId="05138503">
      <w:pPr>
        <w:spacing w:line="360" w:lineRule="auto"/>
        <w:ind w:firstLine="420"/>
        <w:rPr>
          <w:rFonts w:hint="eastAsia" w:ascii="宋体" w:hAnsi="宋体" w:cs="宋体"/>
          <w:sz w:val="24"/>
          <w:szCs w:val="24"/>
        </w:rPr>
      </w:pPr>
      <w:r>
        <w:rPr>
          <w:rFonts w:hint="eastAsia" w:ascii="宋体" w:hAnsi="宋体" w:cs="宋体"/>
          <w:sz w:val="24"/>
          <w:szCs w:val="24"/>
        </w:rPr>
        <w:t>2.1.在水质自动站运行维护期间，中标人不得以任何形式外包合同规定的运行维护任务。不论何时，中标人都须承担监测数据的保密责任；中标人按照采购人的要求，进行报告和传输有关的监测数据；未经招标方许可不得以任何方式和渠道向外界传递任何监测数据，否则采购人有权终止合同，并追究中标人相关法律责任。不论何时，中标人无权将采购人的任何资产进行对外投资、合作、经济担保及资产抵押。</w:t>
      </w:r>
    </w:p>
    <w:p w14:paraId="30643E8D">
      <w:pPr>
        <w:spacing w:line="360" w:lineRule="auto"/>
        <w:ind w:firstLine="420"/>
        <w:rPr>
          <w:rFonts w:hint="eastAsia" w:ascii="宋体" w:hAnsi="宋体" w:cs="宋体"/>
          <w:sz w:val="24"/>
          <w:szCs w:val="24"/>
        </w:rPr>
      </w:pPr>
      <w:r>
        <w:rPr>
          <w:rFonts w:hint="eastAsia" w:ascii="宋体" w:hAnsi="宋体" w:cs="宋体"/>
          <w:sz w:val="24"/>
          <w:szCs w:val="24"/>
        </w:rPr>
        <w:t>3、运维方案及管理要求</w:t>
      </w:r>
    </w:p>
    <w:p w14:paraId="72DE057E">
      <w:pPr>
        <w:spacing w:line="360" w:lineRule="auto"/>
        <w:ind w:firstLine="420"/>
        <w:rPr>
          <w:rFonts w:hint="eastAsia" w:ascii="宋体" w:hAnsi="宋体" w:cs="宋体"/>
          <w:sz w:val="24"/>
          <w:szCs w:val="24"/>
        </w:rPr>
      </w:pPr>
      <w:r>
        <w:rPr>
          <w:rFonts w:hint="eastAsia" w:ascii="宋体" w:hAnsi="宋体" w:cs="宋体"/>
          <w:sz w:val="24"/>
          <w:szCs w:val="24"/>
        </w:rPr>
        <w:t>3.1.投标人须提供完整的水质自动站在线监测仪器运行维护实施方案（包括应急事故处理方案等）。明确维护方法、周期、响应时间、内容和技术保障。</w:t>
      </w:r>
    </w:p>
    <w:p w14:paraId="1DCF2207">
      <w:pPr>
        <w:spacing w:line="360" w:lineRule="auto"/>
        <w:ind w:firstLine="420"/>
        <w:rPr>
          <w:rFonts w:hint="eastAsia" w:ascii="宋体" w:hAnsi="宋体" w:cs="宋体"/>
          <w:sz w:val="24"/>
          <w:szCs w:val="24"/>
        </w:rPr>
      </w:pPr>
      <w:r>
        <w:rPr>
          <w:rFonts w:hint="eastAsia" w:ascii="宋体" w:hAnsi="宋体" w:cs="宋体"/>
          <w:sz w:val="24"/>
          <w:szCs w:val="24"/>
        </w:rPr>
        <w:t>3.2.在运行维护期间，中标人必须遵守国家的有关法律法规及其他规定，本着为采购人负责的精神，依照规范，科学管理，使各监测监控系统运行达到国家及行业颁布的技术标准和采购人要求；使水质自动站系统运行真正发挥其效能和作用。</w:t>
      </w:r>
    </w:p>
    <w:p w14:paraId="5C17F93C">
      <w:pPr>
        <w:spacing w:line="360" w:lineRule="auto"/>
        <w:ind w:firstLine="420"/>
        <w:rPr>
          <w:rFonts w:hint="eastAsia" w:ascii="宋体" w:hAnsi="宋体" w:cs="宋体"/>
          <w:sz w:val="24"/>
          <w:szCs w:val="24"/>
        </w:rPr>
      </w:pPr>
      <w:r>
        <w:rPr>
          <w:rFonts w:hint="eastAsia" w:ascii="宋体" w:hAnsi="宋体" w:cs="宋体"/>
          <w:sz w:val="24"/>
          <w:szCs w:val="24"/>
        </w:rPr>
        <w:t>3.3.提供配制并定期更换水质自动站仪表所需试剂和标样，并承担相应费用。</w:t>
      </w:r>
    </w:p>
    <w:p w14:paraId="68106AF4">
      <w:pPr>
        <w:spacing w:line="360" w:lineRule="auto"/>
        <w:ind w:firstLine="420"/>
        <w:rPr>
          <w:rFonts w:hint="eastAsia" w:ascii="宋体" w:hAnsi="宋体" w:cs="宋体"/>
          <w:sz w:val="24"/>
          <w:szCs w:val="24"/>
        </w:rPr>
      </w:pPr>
      <w:r>
        <w:rPr>
          <w:rFonts w:hint="eastAsia" w:ascii="宋体" w:hAnsi="宋体" w:cs="宋体"/>
          <w:sz w:val="24"/>
          <w:szCs w:val="24"/>
        </w:rPr>
        <w:t>3.4.提供并定期更换水质自动站系统和仪表所需备品备件，并承担相应费用。</w:t>
      </w:r>
    </w:p>
    <w:p w14:paraId="06AE2267">
      <w:pPr>
        <w:spacing w:line="360" w:lineRule="auto"/>
        <w:ind w:firstLine="420"/>
        <w:rPr>
          <w:rFonts w:hint="eastAsia" w:ascii="宋体" w:hAnsi="宋体" w:cs="宋体"/>
          <w:sz w:val="24"/>
          <w:szCs w:val="24"/>
        </w:rPr>
      </w:pPr>
      <w:r>
        <w:rPr>
          <w:rFonts w:hint="eastAsia" w:ascii="宋体" w:hAnsi="宋体" w:cs="宋体"/>
          <w:sz w:val="24"/>
          <w:szCs w:val="24"/>
        </w:rPr>
        <w:t>3.5.对水质自动站系统和仪表进行定期检修、维护保养。</w:t>
      </w:r>
    </w:p>
    <w:p w14:paraId="50BACE30">
      <w:pPr>
        <w:spacing w:line="360" w:lineRule="auto"/>
        <w:ind w:firstLine="420"/>
        <w:rPr>
          <w:rFonts w:hint="eastAsia" w:ascii="宋体" w:hAnsi="宋体" w:cs="宋体"/>
          <w:sz w:val="24"/>
          <w:szCs w:val="24"/>
        </w:rPr>
      </w:pPr>
      <w:r>
        <w:rPr>
          <w:rFonts w:hint="eastAsia" w:ascii="宋体" w:hAnsi="宋体" w:cs="宋体"/>
          <w:sz w:val="24"/>
          <w:szCs w:val="24"/>
        </w:rPr>
        <w:t>3.6.及时排除在线分析仪器出现的故障，要求中标人在2小时内响应。如24小时内无法解决故障，须通过更换备机或委托有资质的检测机构进行检测以确保数据的完整性，所需费用由中标人负责。对于一些关键维护，包括贵重消耗件的更换，需与采购人沟通确认，所产生的维修费用由中标人承担。</w:t>
      </w:r>
    </w:p>
    <w:p w14:paraId="7567A7C0">
      <w:pPr>
        <w:spacing w:line="440" w:lineRule="exact"/>
        <w:rPr>
          <w:rFonts w:hint="eastAsia" w:ascii="宋体" w:hAnsi="宋体" w:cs="宋体"/>
          <w:b/>
          <w:bCs/>
          <w:sz w:val="28"/>
        </w:rPr>
      </w:pPr>
    </w:p>
    <w:p w14:paraId="64C36BDA">
      <w:pPr>
        <w:spacing w:line="440" w:lineRule="exact"/>
        <w:outlineLvl w:val="1"/>
        <w:rPr>
          <w:rFonts w:hint="eastAsia" w:ascii="宋体" w:hAnsi="宋体" w:cs="宋体"/>
          <w:b/>
          <w:bCs/>
          <w:sz w:val="28"/>
        </w:rPr>
      </w:pPr>
      <w:bookmarkStart w:id="362" w:name="_Toc30026"/>
      <w:r>
        <w:rPr>
          <w:rFonts w:hint="eastAsia" w:ascii="宋体" w:hAnsi="宋体" w:cs="宋体"/>
          <w:b/>
          <w:bCs/>
          <w:sz w:val="28"/>
        </w:rPr>
        <w:t>五、投标报价要求：</w:t>
      </w:r>
      <w:bookmarkEnd w:id="359"/>
      <w:bookmarkEnd w:id="360"/>
      <w:bookmarkEnd w:id="361"/>
      <w:bookmarkEnd w:id="362"/>
    </w:p>
    <w:p w14:paraId="4672A645">
      <w:pPr>
        <w:spacing w:line="440" w:lineRule="exact"/>
        <w:ind w:firstLine="480" w:firstLineChars="200"/>
        <w:rPr>
          <w:rFonts w:hint="eastAsia" w:ascii="宋体" w:hAnsi="宋体" w:cs="宋体"/>
          <w:color w:val="auto"/>
          <w:sz w:val="24"/>
          <w:szCs w:val="24"/>
          <w:highlight w:val="none"/>
        </w:rPr>
      </w:pPr>
      <w:r>
        <w:rPr>
          <w:rFonts w:hint="eastAsia" w:ascii="宋体" w:hAnsi="宋体" w:cs="宋体"/>
          <w:sz w:val="24"/>
          <w:szCs w:val="24"/>
        </w:rPr>
        <w:t>1、投标人应对本项目中的所有需求货物</w:t>
      </w:r>
      <w:r>
        <w:rPr>
          <w:rFonts w:hint="eastAsia" w:ascii="宋体" w:hAnsi="宋体" w:cs="宋体"/>
          <w:color w:val="auto"/>
          <w:sz w:val="24"/>
          <w:szCs w:val="24"/>
          <w:highlight w:val="none"/>
        </w:rPr>
        <w:t>和服务进行报价，不得漏报，否则作无效投标处理。</w:t>
      </w:r>
    </w:p>
    <w:p w14:paraId="477325D7">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投标人应以人民币报价，投标总价包括：各分析仪药剂费、消耗品费、社会化运行维护费、设备维修费、标准物质等测试质量控制费、设备费、材料费、仓储费、运输费、安装调试费、技术支持与培训费、售后服务费、配套辅材费、中标服务费、货物本身已支付或将支付的各种税费以及其他交付用户使用前所产生的所有费用。</w:t>
      </w:r>
    </w:p>
    <w:p w14:paraId="6A465E21">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3、请投标人根据自身经验，充分考虑本项目的潜在风险，并自行承担由此而产生的一切费用，采购人不因项目不可预见的情况而支付任何费用。</w:t>
      </w:r>
    </w:p>
    <w:p w14:paraId="72F92EAF">
      <w:pPr>
        <w:spacing w:line="440" w:lineRule="exact"/>
        <w:ind w:firstLine="480" w:firstLineChars="200"/>
        <w:rPr>
          <w:rFonts w:hint="eastAsia" w:ascii="宋体" w:hAnsi="宋体" w:cs="宋体"/>
          <w:color w:val="auto"/>
          <w:sz w:val="24"/>
          <w:szCs w:val="24"/>
          <w:highlight w:val="none"/>
        </w:rPr>
      </w:pPr>
    </w:p>
    <w:p w14:paraId="78779CCF">
      <w:pPr>
        <w:spacing w:line="440" w:lineRule="exact"/>
        <w:outlineLvl w:val="1"/>
        <w:rPr>
          <w:rFonts w:hint="eastAsia" w:ascii="宋体" w:hAnsi="宋体" w:cs="宋体"/>
          <w:b/>
          <w:bCs/>
          <w:color w:val="auto"/>
          <w:sz w:val="28"/>
          <w:highlight w:val="none"/>
        </w:rPr>
      </w:pPr>
      <w:bookmarkStart w:id="363" w:name="_Toc26075"/>
      <w:bookmarkStart w:id="364" w:name="_Toc132653377"/>
      <w:bookmarkStart w:id="365" w:name="_Toc101375111"/>
      <w:bookmarkStart w:id="366" w:name="_Toc115443343"/>
      <w:r>
        <w:rPr>
          <w:rFonts w:hint="eastAsia" w:ascii="宋体" w:hAnsi="宋体" w:cs="宋体"/>
          <w:b/>
          <w:bCs/>
          <w:color w:val="auto"/>
          <w:sz w:val="28"/>
          <w:highlight w:val="none"/>
        </w:rPr>
        <w:t>六、质量保证和售后服务要求：</w:t>
      </w:r>
      <w:bookmarkEnd w:id="363"/>
      <w:bookmarkEnd w:id="364"/>
      <w:bookmarkEnd w:id="365"/>
      <w:bookmarkEnd w:id="366"/>
    </w:p>
    <w:p w14:paraId="6CA5731A">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1.1质保期</w:t>
      </w:r>
    </w:p>
    <w:p w14:paraId="02C2BCBE">
      <w:pPr>
        <w:spacing w:line="440" w:lineRule="exact"/>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1.1.1、设备免费质保期</w:t>
      </w:r>
      <w:r>
        <w:rPr>
          <w:rFonts w:hint="eastAsia" w:ascii="宋体" w:hAnsi="宋体" w:cs="宋体"/>
          <w:color w:val="auto"/>
          <w:sz w:val="24"/>
          <w:szCs w:val="24"/>
          <w:highlight w:val="none"/>
          <w:lang w:val="en-US" w:eastAsia="zh-CN"/>
        </w:rPr>
        <w:t>及运维服务免费质保期</w:t>
      </w:r>
      <w:r>
        <w:rPr>
          <w:rFonts w:hint="eastAsia" w:ascii="宋体" w:hAnsi="宋体" w:cs="宋体"/>
          <w:color w:val="auto"/>
          <w:sz w:val="24"/>
          <w:szCs w:val="24"/>
          <w:highlight w:val="none"/>
        </w:rPr>
        <w:t>为项目最终验收之日起</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年。中标人明确签署服务承诺。质保期内应免费提供技术服务，技术服务包括系统的维修和技术支持</w:t>
      </w:r>
      <w:r>
        <w:rPr>
          <w:rFonts w:hint="eastAsia" w:ascii="宋体" w:hAnsi="宋体" w:cs="宋体"/>
          <w:color w:val="auto"/>
          <w:sz w:val="24"/>
          <w:szCs w:val="24"/>
          <w:highlight w:val="none"/>
          <w:lang w:eastAsia="zh-CN"/>
        </w:rPr>
        <w:t>；免费质保期内</w:t>
      </w:r>
      <w:r>
        <w:rPr>
          <w:rFonts w:hint="eastAsia" w:ascii="宋体" w:hAnsi="宋体" w:cs="宋体"/>
          <w:color w:val="auto"/>
          <w:sz w:val="24"/>
          <w:szCs w:val="24"/>
          <w:highlight w:val="none"/>
          <w:lang w:val="en-US" w:eastAsia="zh-CN"/>
        </w:rPr>
        <w:t>所有耗材及备品备件免费供应。</w:t>
      </w:r>
      <w:r>
        <w:rPr>
          <w:rFonts w:hint="eastAsia" w:ascii="宋体" w:hAnsi="宋体" w:cs="宋体"/>
          <w:color w:val="auto"/>
          <w:sz w:val="24"/>
          <w:szCs w:val="24"/>
          <w:highlight w:val="none"/>
        </w:rPr>
        <w:t>（详细列出每个自动站一年所需的常用备品、备件和耗材清单以及日常维护所需的各种专用工具清单及价格）</w:t>
      </w:r>
    </w:p>
    <w:p w14:paraId="6E6B7386">
      <w:pPr>
        <w:spacing w:line="440" w:lineRule="exact"/>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1.1.2、质保期结束后，中标人保证6年内的耗材及备品备件的正常供应</w:t>
      </w:r>
      <w:r>
        <w:rPr>
          <w:rFonts w:hint="eastAsia" w:ascii="宋体" w:hAnsi="宋体" w:cs="宋体"/>
          <w:color w:val="auto"/>
          <w:sz w:val="24"/>
          <w:szCs w:val="24"/>
          <w:highlight w:val="none"/>
          <w:lang w:val="en-US" w:eastAsia="zh-CN"/>
        </w:rPr>
        <w:t>，并同时</w:t>
      </w:r>
      <w:r>
        <w:rPr>
          <w:rFonts w:hint="eastAsia" w:ascii="宋体" w:hAnsi="宋体" w:cs="宋体"/>
          <w:color w:val="auto"/>
          <w:sz w:val="24"/>
          <w:szCs w:val="24"/>
          <w:highlight w:val="none"/>
        </w:rPr>
        <w:t>提供系统运行维护手册,内容详细,方法简便。编制运行费用表。</w:t>
      </w:r>
    </w:p>
    <w:p w14:paraId="3667DFC0">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1.2服务和技术支持要求</w:t>
      </w:r>
    </w:p>
    <w:p w14:paraId="4A693FE3">
      <w:pPr>
        <w:spacing w:line="440" w:lineRule="exact"/>
        <w:ind w:firstLine="720" w:firstLineChars="300"/>
        <w:rPr>
          <w:rFonts w:hint="eastAsia" w:ascii="宋体" w:hAnsi="宋体" w:cs="宋体"/>
          <w:sz w:val="24"/>
          <w:szCs w:val="24"/>
        </w:rPr>
      </w:pPr>
      <w:r>
        <w:rPr>
          <w:rFonts w:hint="eastAsia" w:ascii="宋体" w:hAnsi="宋体" w:cs="宋体"/>
          <w:color w:val="auto"/>
          <w:sz w:val="24"/>
          <w:szCs w:val="24"/>
          <w:highlight w:val="none"/>
        </w:rPr>
        <w:t>1.2.1在安装调试、试运行期间和质保期内，投标人应保证提供及时充足的技术服务。系统出现故障时，中标人应在接到通知后能够2小时响应、12小时到</w:t>
      </w:r>
      <w:r>
        <w:rPr>
          <w:rFonts w:hint="eastAsia" w:ascii="宋体" w:hAnsi="宋体" w:cs="宋体"/>
          <w:sz w:val="24"/>
          <w:szCs w:val="24"/>
        </w:rPr>
        <w:t>达现场服务以及故障应急处理方案，并负责24小时内修复出现的问题。否则采购人将自行采取必要的措施，由此产生风险和费用应由投标人承担。</w:t>
      </w:r>
    </w:p>
    <w:p w14:paraId="441BE4A3">
      <w:pPr>
        <w:spacing w:line="440" w:lineRule="exact"/>
        <w:ind w:firstLine="720" w:firstLineChars="300"/>
        <w:rPr>
          <w:rFonts w:hint="eastAsia" w:ascii="宋体" w:hAnsi="宋体" w:cs="宋体"/>
          <w:sz w:val="24"/>
          <w:szCs w:val="24"/>
        </w:rPr>
      </w:pPr>
      <w:r>
        <w:rPr>
          <w:rFonts w:hint="eastAsia" w:ascii="宋体" w:hAnsi="宋体" w:cs="宋体"/>
          <w:sz w:val="24"/>
          <w:szCs w:val="24"/>
        </w:rPr>
        <w:t>1.2.2投标人在提交投标文件时应提供售后服务方案和应急方案，包括售后服务的经费问题。</w:t>
      </w:r>
    </w:p>
    <w:p w14:paraId="6E396CC0">
      <w:pPr>
        <w:spacing w:line="440" w:lineRule="exact"/>
        <w:ind w:firstLine="720" w:firstLineChars="300"/>
        <w:rPr>
          <w:rFonts w:hint="eastAsia" w:ascii="宋体" w:hAnsi="宋体" w:cs="宋体"/>
          <w:sz w:val="24"/>
          <w:szCs w:val="24"/>
        </w:rPr>
      </w:pPr>
      <w:r>
        <w:rPr>
          <w:rFonts w:hint="eastAsia" w:ascii="宋体" w:hAnsi="宋体" w:cs="宋体"/>
          <w:sz w:val="24"/>
          <w:szCs w:val="24"/>
        </w:rPr>
        <w:t>1.2.3要求合同签订后规定时间内完成系统所有建设内容。试运行1个月后组织整体验收，试运行期间保证正常运行。投标人应制订明确的合同交货进度表。</w:t>
      </w:r>
    </w:p>
    <w:p w14:paraId="1E2569B5">
      <w:pPr>
        <w:spacing w:line="440" w:lineRule="exact"/>
        <w:ind w:firstLine="480" w:firstLineChars="200"/>
        <w:rPr>
          <w:rFonts w:hint="eastAsia" w:ascii="宋体" w:hAnsi="宋体" w:cs="宋体"/>
          <w:sz w:val="24"/>
          <w:szCs w:val="24"/>
        </w:rPr>
      </w:pPr>
      <w:r>
        <w:rPr>
          <w:rFonts w:hint="eastAsia" w:ascii="宋体" w:hAnsi="宋体" w:cs="宋体"/>
          <w:sz w:val="24"/>
          <w:szCs w:val="24"/>
        </w:rPr>
        <w:t>1.3培训要求</w:t>
      </w:r>
    </w:p>
    <w:p w14:paraId="4A7211AC">
      <w:pPr>
        <w:spacing w:line="440" w:lineRule="exact"/>
        <w:ind w:firstLine="720" w:firstLineChars="300"/>
        <w:rPr>
          <w:rFonts w:hint="eastAsia" w:ascii="宋体" w:hAnsi="宋体" w:cs="宋体"/>
          <w:sz w:val="24"/>
          <w:szCs w:val="24"/>
        </w:rPr>
      </w:pPr>
      <w:r>
        <w:rPr>
          <w:rFonts w:hint="eastAsia" w:ascii="宋体" w:hAnsi="宋体" w:cs="宋体"/>
          <w:sz w:val="24"/>
          <w:szCs w:val="24"/>
        </w:rPr>
        <w:t>中标人应承诺向采购人相关人员进行培训，服务期间，采购人可以要求中标人对有培训要求的人员做点对点的培训，次数不限，以采购人需求为准，以便对项目实施进行有效管理，同时保证采购人能够进行系统的应用操作。投标供应商需要提供详细的培训方案。</w:t>
      </w:r>
    </w:p>
    <w:p w14:paraId="5E5BC1BC">
      <w:pPr>
        <w:spacing w:line="440" w:lineRule="exact"/>
        <w:ind w:firstLine="480" w:firstLineChars="200"/>
        <w:rPr>
          <w:rFonts w:hint="eastAsia" w:ascii="宋体" w:hAnsi="宋体" w:cs="宋体"/>
          <w:sz w:val="24"/>
          <w:szCs w:val="24"/>
        </w:rPr>
      </w:pPr>
    </w:p>
    <w:p w14:paraId="274528CD">
      <w:pPr>
        <w:spacing w:line="440" w:lineRule="exact"/>
        <w:outlineLvl w:val="1"/>
        <w:rPr>
          <w:rFonts w:hint="eastAsia" w:ascii="宋体" w:hAnsi="宋体" w:cs="宋体"/>
          <w:b/>
          <w:bCs/>
          <w:sz w:val="28"/>
        </w:rPr>
      </w:pPr>
      <w:bookmarkStart w:id="367" w:name="_Toc29055"/>
      <w:bookmarkStart w:id="368" w:name="_Toc132653378"/>
      <w:bookmarkStart w:id="369" w:name="_Toc101375112"/>
      <w:bookmarkStart w:id="370" w:name="_Toc115443344"/>
      <w:r>
        <w:rPr>
          <w:rFonts w:hint="eastAsia" w:ascii="宋体" w:hAnsi="宋体" w:cs="宋体"/>
          <w:b/>
          <w:bCs/>
          <w:sz w:val="28"/>
        </w:rPr>
        <w:t>七、验收及其他要求：</w:t>
      </w:r>
      <w:bookmarkEnd w:id="367"/>
      <w:bookmarkEnd w:id="368"/>
      <w:bookmarkEnd w:id="369"/>
      <w:bookmarkEnd w:id="370"/>
    </w:p>
    <w:p w14:paraId="60200B5C">
      <w:pPr>
        <w:spacing w:line="440" w:lineRule="exact"/>
        <w:rPr>
          <w:rFonts w:hint="eastAsia" w:ascii="宋体" w:hAnsi="宋体" w:cs="宋体"/>
          <w:b/>
          <w:sz w:val="24"/>
          <w:szCs w:val="24"/>
        </w:rPr>
      </w:pPr>
      <w:r>
        <w:rPr>
          <w:rFonts w:hint="eastAsia" w:ascii="宋体" w:hAnsi="宋体" w:cs="宋体"/>
          <w:b/>
          <w:sz w:val="24"/>
          <w:szCs w:val="24"/>
        </w:rPr>
        <w:t>（一）验收要求</w:t>
      </w:r>
    </w:p>
    <w:p w14:paraId="18254EDC">
      <w:pPr>
        <w:spacing w:line="440" w:lineRule="exact"/>
        <w:ind w:firstLine="480" w:firstLineChars="200"/>
        <w:rPr>
          <w:rFonts w:hint="eastAsia" w:ascii="宋体" w:hAnsi="宋体" w:cs="宋体"/>
          <w:sz w:val="24"/>
          <w:szCs w:val="24"/>
        </w:rPr>
      </w:pPr>
      <w:r>
        <w:rPr>
          <w:rFonts w:hint="eastAsia" w:ascii="宋体" w:hAnsi="宋体" w:cs="宋体"/>
          <w:sz w:val="24"/>
          <w:szCs w:val="24"/>
        </w:rPr>
        <w:t>水质自动监测系统按照环境保护部发布的《地表水自动监测技术规范（试行）(HJ 915-2017) 》和《地表水水质自动监测站站房及采排水技术要求（试行）》（中国环境监测站总站2020年4月）技术要求进行验收。水质自动采样设备和流量监测设备按照《水质自动采样器技术要求及监测方法》（HJ/T 372-2007）。验收时需提供配套的调试工具和其他专用工具、全套仪器操作说明书、系统使用手册、硬件设备清单。</w:t>
      </w:r>
    </w:p>
    <w:p w14:paraId="35AF9899">
      <w:pPr>
        <w:spacing w:line="440" w:lineRule="exact"/>
        <w:ind w:firstLine="480" w:firstLineChars="200"/>
        <w:rPr>
          <w:rFonts w:hint="eastAsia" w:ascii="宋体" w:hAnsi="宋体" w:cs="宋体"/>
          <w:sz w:val="24"/>
          <w:szCs w:val="24"/>
        </w:rPr>
      </w:pPr>
      <w:r>
        <w:rPr>
          <w:rFonts w:hint="eastAsia" w:ascii="宋体" w:hAnsi="宋体" w:cs="宋体"/>
          <w:sz w:val="24"/>
          <w:szCs w:val="24"/>
        </w:rPr>
        <w:t>(1)质量标准</w:t>
      </w:r>
    </w:p>
    <w:p w14:paraId="35909DE0">
      <w:pPr>
        <w:spacing w:line="440" w:lineRule="exact"/>
        <w:ind w:firstLine="480" w:firstLineChars="200"/>
        <w:rPr>
          <w:rFonts w:hint="eastAsia" w:ascii="宋体" w:hAnsi="宋体" w:cs="宋体"/>
          <w:sz w:val="24"/>
          <w:szCs w:val="24"/>
        </w:rPr>
      </w:pPr>
      <w:r>
        <w:rPr>
          <w:rFonts w:hint="eastAsia" w:ascii="宋体" w:hAnsi="宋体" w:cs="宋体"/>
          <w:sz w:val="24"/>
          <w:szCs w:val="24"/>
        </w:rPr>
        <w:t>投标人保证提供的货物或服务质量应符合中华人民共和国相关标准及相应的技术规范、本次采购相关文件中的全部相关要求及投标人相关货物或服务标准及相应的技术规范中之较高者。</w:t>
      </w:r>
    </w:p>
    <w:p w14:paraId="6332F7C0">
      <w:pPr>
        <w:spacing w:line="440" w:lineRule="exact"/>
        <w:ind w:firstLine="480" w:firstLineChars="200"/>
        <w:rPr>
          <w:rFonts w:hint="eastAsia" w:ascii="宋体" w:hAnsi="宋体" w:cs="宋体"/>
          <w:sz w:val="24"/>
          <w:szCs w:val="24"/>
        </w:rPr>
      </w:pPr>
      <w:r>
        <w:rPr>
          <w:rFonts w:hint="eastAsia" w:ascii="宋体" w:hAnsi="宋体" w:cs="宋体"/>
          <w:sz w:val="24"/>
          <w:szCs w:val="24"/>
        </w:rPr>
        <w:t>(2)验收组织</w:t>
      </w:r>
    </w:p>
    <w:p w14:paraId="07E97A86">
      <w:pPr>
        <w:spacing w:line="440" w:lineRule="exact"/>
        <w:ind w:firstLine="480" w:firstLineChars="200"/>
        <w:rPr>
          <w:rFonts w:hint="eastAsia" w:ascii="宋体" w:hAnsi="宋体" w:cs="宋体"/>
          <w:sz w:val="24"/>
          <w:szCs w:val="24"/>
        </w:rPr>
      </w:pPr>
      <w:r>
        <w:rPr>
          <w:rFonts w:hint="eastAsia" w:ascii="宋体" w:hAnsi="宋体" w:cs="宋体"/>
          <w:sz w:val="24"/>
          <w:szCs w:val="24"/>
        </w:rPr>
        <w:t>采购人负责组织验收工作，成立验收小组， 验收成员应由采购人代表组成。</w:t>
      </w:r>
    </w:p>
    <w:p w14:paraId="0EAD3B9A">
      <w:pPr>
        <w:spacing w:line="440" w:lineRule="exact"/>
        <w:ind w:firstLine="480" w:firstLineChars="200"/>
        <w:rPr>
          <w:rFonts w:hint="eastAsia" w:ascii="宋体" w:hAnsi="宋体" w:cs="宋体"/>
          <w:sz w:val="24"/>
          <w:szCs w:val="24"/>
        </w:rPr>
      </w:pPr>
      <w:r>
        <w:rPr>
          <w:rFonts w:hint="eastAsia" w:ascii="宋体" w:hAnsi="宋体" w:cs="宋体"/>
          <w:sz w:val="24"/>
          <w:szCs w:val="24"/>
        </w:rPr>
        <w:t>(3)验收办法</w:t>
      </w:r>
    </w:p>
    <w:p w14:paraId="1E70A20D">
      <w:pPr>
        <w:spacing w:line="440" w:lineRule="exact"/>
        <w:ind w:firstLine="480" w:firstLineChars="200"/>
        <w:rPr>
          <w:rFonts w:hint="eastAsia" w:ascii="宋体" w:hAnsi="宋体" w:cs="宋体"/>
          <w:sz w:val="24"/>
          <w:szCs w:val="24"/>
        </w:rPr>
      </w:pPr>
      <w:r>
        <w:rPr>
          <w:rFonts w:hint="eastAsia" w:ascii="宋体" w:hAnsi="宋体" w:cs="宋体"/>
          <w:sz w:val="24"/>
          <w:szCs w:val="24"/>
        </w:rPr>
        <w:t>水质自动监测系统按照招标文件中水质自动监测站的相关技术要求进行验收。验收时需提供配套的调试工具和其他专用工具、全套仪器操作说明书、系统使用手册、硬件设备清单、第三方软件授权及维保的承诺函。</w:t>
      </w:r>
    </w:p>
    <w:p w14:paraId="74E8EBB8">
      <w:pPr>
        <w:spacing w:line="440" w:lineRule="exact"/>
        <w:rPr>
          <w:rFonts w:hint="eastAsia" w:ascii="宋体" w:hAnsi="宋体" w:cs="宋体"/>
          <w:b/>
          <w:sz w:val="24"/>
          <w:szCs w:val="24"/>
          <w:highlight w:val="none"/>
        </w:rPr>
      </w:pPr>
      <w:r>
        <w:rPr>
          <w:rFonts w:hint="eastAsia" w:ascii="宋体" w:hAnsi="宋体" w:cs="宋体"/>
          <w:b/>
          <w:sz w:val="24"/>
          <w:szCs w:val="24"/>
          <w:highlight w:val="none"/>
        </w:rPr>
        <w:t>（二）其他：</w:t>
      </w:r>
    </w:p>
    <w:p w14:paraId="1E7D1EB2">
      <w:pPr>
        <w:pStyle w:val="373"/>
        <w:ind w:firstLine="482"/>
        <w:jc w:val="left"/>
        <w:rPr>
          <w:rFonts w:hint="eastAsia" w:ascii="宋体" w:hAnsi="宋体" w:cs="宋体"/>
        </w:rPr>
      </w:pPr>
      <w:r>
        <w:rPr>
          <w:rFonts w:hint="eastAsia" w:ascii="宋体" w:hAnsi="宋体" w:cs="宋体"/>
          <w:b/>
          <w:highlight w:val="none"/>
        </w:rPr>
        <w:t>1、本项目招标文件中标“</w:t>
      </w:r>
      <w:r>
        <w:rPr>
          <w:rFonts w:hint="eastAsia" w:ascii="宋体" w:hAnsi="宋体" w:cs="宋体"/>
          <w:b/>
          <w:sz w:val="28"/>
          <w:szCs w:val="28"/>
          <w:highlight w:val="none"/>
        </w:rPr>
        <w:t>★</w:t>
      </w:r>
      <w:r>
        <w:rPr>
          <w:rFonts w:hint="eastAsia" w:ascii="宋体" w:hAnsi="宋体" w:cs="宋体"/>
          <w:b/>
          <w:highlight w:val="none"/>
        </w:rPr>
        <w:t xml:space="preserve">”项为实质性要求，必须满足，否则将按无效投标处理；“第四章 </w:t>
      </w:r>
      <w:r>
        <w:rPr>
          <w:rFonts w:hint="eastAsia" w:ascii="宋体" w:hAnsi="宋体" w:cs="宋体"/>
          <w:b/>
          <w:highlight w:val="none"/>
          <w:lang w:eastAsia="zh-CN"/>
        </w:rPr>
        <w:t>采购需求</w:t>
      </w:r>
      <w:r>
        <w:rPr>
          <w:rFonts w:hint="eastAsia" w:ascii="宋体" w:hAnsi="宋体" w:cs="宋体"/>
          <w:b/>
          <w:highlight w:val="none"/>
        </w:rPr>
        <w:t>”的“三、技术性能参数要求”中，标“▲”项为重要参数，标“▲”项之外的为常规参数。</w:t>
      </w:r>
      <w:r>
        <w:rPr>
          <w:rFonts w:hint="eastAsia" w:ascii="宋体" w:hAnsi="宋体" w:cs="宋体"/>
        </w:rPr>
        <w:br w:type="page"/>
      </w:r>
    </w:p>
    <w:p w14:paraId="1BFB0CB4">
      <w:pPr>
        <w:keepNext/>
        <w:ind w:firstLine="880"/>
        <w:jc w:val="center"/>
        <w:outlineLvl w:val="0"/>
        <w:rPr>
          <w:rFonts w:hint="eastAsia" w:ascii="宋体" w:hAnsi="宋体" w:cs="宋体"/>
          <w:b/>
          <w:bCs/>
          <w:sz w:val="40"/>
          <w:szCs w:val="40"/>
        </w:rPr>
      </w:pPr>
      <w:bookmarkStart w:id="371" w:name="_Toc3070"/>
      <w:r>
        <w:rPr>
          <w:rFonts w:hint="eastAsia" w:ascii="宋体" w:hAnsi="宋体" w:cs="宋体"/>
          <w:b/>
          <w:bCs/>
          <w:sz w:val="40"/>
          <w:szCs w:val="40"/>
        </w:rPr>
        <w:t>第五章  评标方法与评标标准</w:t>
      </w:r>
      <w:bookmarkEnd w:id="371"/>
    </w:p>
    <w:p w14:paraId="0BD52E6A">
      <w:pPr>
        <w:rPr>
          <w:rFonts w:hint="eastAsia" w:ascii="宋体" w:hAnsi="宋体" w:cs="宋体"/>
          <w:szCs w:val="21"/>
        </w:rPr>
      </w:pPr>
    </w:p>
    <w:p w14:paraId="3D3DEDBC">
      <w:pPr>
        <w:spacing w:line="480" w:lineRule="exact"/>
        <w:rPr>
          <w:rFonts w:hint="eastAsia" w:ascii="宋体" w:hAnsi="宋体" w:cs="宋体"/>
          <w:b/>
          <w:bCs/>
          <w:sz w:val="28"/>
        </w:rPr>
      </w:pPr>
      <w:bookmarkStart w:id="372" w:name="_Toc17476"/>
      <w:bookmarkStart w:id="373" w:name="_Toc16264"/>
      <w:bookmarkStart w:id="374" w:name="_Toc698"/>
      <w:r>
        <w:rPr>
          <w:rFonts w:hint="eastAsia" w:ascii="宋体" w:hAnsi="宋体" w:cs="宋体"/>
          <w:b/>
          <w:bCs/>
          <w:sz w:val="28"/>
        </w:rPr>
        <w:t>一、评标办法：</w:t>
      </w:r>
      <w:bookmarkEnd w:id="372"/>
      <w:bookmarkEnd w:id="373"/>
      <w:bookmarkEnd w:id="374"/>
    </w:p>
    <w:p w14:paraId="08B49191">
      <w:pPr>
        <w:spacing w:line="48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1、评标办法采用</w:t>
      </w:r>
      <w:r>
        <w:rPr>
          <w:rFonts w:hint="eastAsia" w:asciiTheme="minorEastAsia" w:hAnsiTheme="minorEastAsia" w:eastAsiaTheme="minorEastAsia" w:cstheme="minorEastAsia"/>
          <w:b/>
          <w:sz w:val="24"/>
          <w:szCs w:val="24"/>
        </w:rPr>
        <w:t>综合评分法</w:t>
      </w:r>
      <w:r>
        <w:rPr>
          <w:rFonts w:hint="eastAsia" w:asciiTheme="minorEastAsia" w:hAnsiTheme="minorEastAsia" w:eastAsiaTheme="minorEastAsia" w:cstheme="minorEastAsia"/>
          <w:sz w:val="24"/>
          <w:szCs w:val="24"/>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2E368898">
      <w:pPr>
        <w:spacing w:line="48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二、评分标准：</w:t>
      </w:r>
    </w:p>
    <w:p w14:paraId="0A80A3A8">
      <w:pPr>
        <w:spacing w:line="480" w:lineRule="exact"/>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1、投标报价30分</w:t>
      </w:r>
    </w:p>
    <w:p w14:paraId="3C58DC54">
      <w:pPr>
        <w:spacing w:line="480" w:lineRule="exact"/>
        <w:ind w:firstLine="4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满足招标文件要求且投标价格最低的投标报价为评标基准价，其价格分为30分；其他投标人的价格分按下列公式计算：投标报价得分＝（评标基准价／投标报价）×30分。</w:t>
      </w:r>
    </w:p>
    <w:p w14:paraId="3E23CE6F">
      <w:pPr>
        <w:spacing w:line="480" w:lineRule="exact"/>
        <w:ind w:firstLine="48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p>
    <w:p w14:paraId="5F147F91">
      <w:pPr>
        <w:spacing w:line="480" w:lineRule="exact"/>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2、设备配置及技术性能参数2</w:t>
      </w: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885"/>
        <w:gridCol w:w="850"/>
        <w:gridCol w:w="6043"/>
      </w:tblGrid>
      <w:tr w14:paraId="7464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vAlign w:val="center"/>
          </w:tcPr>
          <w:p w14:paraId="3316060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885" w:type="dxa"/>
            <w:vAlign w:val="center"/>
          </w:tcPr>
          <w:p w14:paraId="0881207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评审因素</w:t>
            </w:r>
          </w:p>
        </w:tc>
        <w:tc>
          <w:tcPr>
            <w:tcW w:w="850" w:type="dxa"/>
            <w:vAlign w:val="center"/>
          </w:tcPr>
          <w:p w14:paraId="3955C72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权值</w:t>
            </w:r>
          </w:p>
        </w:tc>
        <w:tc>
          <w:tcPr>
            <w:tcW w:w="6043" w:type="dxa"/>
            <w:vAlign w:val="center"/>
          </w:tcPr>
          <w:p w14:paraId="769E8E3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tc>
      </w:tr>
      <w:tr w14:paraId="5539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737" w:type="dxa"/>
            <w:vAlign w:val="center"/>
          </w:tcPr>
          <w:p w14:paraId="1D6B8B3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85" w:type="dxa"/>
            <w:vAlign w:val="center"/>
          </w:tcPr>
          <w:p w14:paraId="5FD24CF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主要产品性能参数响应性</w:t>
            </w:r>
          </w:p>
        </w:tc>
        <w:tc>
          <w:tcPr>
            <w:tcW w:w="850" w:type="dxa"/>
            <w:vAlign w:val="center"/>
          </w:tcPr>
          <w:p w14:paraId="1191BCF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rPr>
              <w:t>分</w:t>
            </w:r>
          </w:p>
        </w:tc>
        <w:tc>
          <w:tcPr>
            <w:tcW w:w="6043" w:type="dxa"/>
            <w:vAlign w:val="center"/>
          </w:tcPr>
          <w:p w14:paraId="3A806FA2">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仪器产品（</w:t>
            </w:r>
            <w:r>
              <w:rPr>
                <w:rFonts w:hint="eastAsia" w:asciiTheme="minorEastAsia" w:hAnsiTheme="minorEastAsia" w:eastAsiaTheme="minorEastAsia" w:cstheme="minorEastAsia"/>
                <w:color w:val="auto"/>
                <w:sz w:val="24"/>
                <w:szCs w:val="24"/>
                <w:lang w:val="zh-CN"/>
              </w:rPr>
              <w:t>常规五参数、氨氮、总磷、总氮、高锰酸盐指数分析仪、</w:t>
            </w:r>
            <w:r>
              <w:rPr>
                <w:rFonts w:hint="eastAsia" w:asciiTheme="minorEastAsia" w:hAnsiTheme="minorEastAsia" w:eastAsiaTheme="minorEastAsia" w:cstheme="minorEastAsia"/>
                <w:color w:val="auto"/>
                <w:sz w:val="24"/>
                <w:szCs w:val="24"/>
                <w:lang w:val="en-US" w:eastAsia="zh-CN"/>
              </w:rPr>
              <w:t>流量计、视频监控</w:t>
            </w:r>
            <w:r>
              <w:rPr>
                <w:rFonts w:hint="eastAsia" w:asciiTheme="minorEastAsia" w:hAnsiTheme="minorEastAsia" w:eastAsiaTheme="minorEastAsia" w:cstheme="minorEastAsia"/>
                <w:color w:val="auto"/>
                <w:sz w:val="24"/>
                <w:szCs w:val="24"/>
                <w:lang w:val="zh-CN"/>
              </w:rPr>
              <w:t>）对照采购需求中“水质自动监测站技术参数要求“所列的技术参数、技术指标，全部满足</w:t>
            </w:r>
            <w:r>
              <w:rPr>
                <w:rFonts w:hint="eastAsia" w:asciiTheme="minorEastAsia" w:hAnsiTheme="minorEastAsia" w:eastAsiaTheme="minorEastAsia" w:cstheme="minorEastAsia"/>
                <w:sz w:val="24"/>
                <w:szCs w:val="24"/>
                <w:lang w:val="zh-CN"/>
              </w:rPr>
              <w:t>要求的得基本分2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zh-CN"/>
              </w:rPr>
              <w:t>分。其中标“▲”项（共1</w:t>
            </w: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lang w:val="zh-CN"/>
              </w:rPr>
              <w:t>条）为重要参数，其余（共</w:t>
            </w:r>
            <w:r>
              <w:rPr>
                <w:rFonts w:hint="eastAsia" w:asciiTheme="minorEastAsia" w:hAnsiTheme="minorEastAsia" w:cstheme="minorEastAsia"/>
                <w:sz w:val="24"/>
                <w:szCs w:val="24"/>
                <w:lang w:val="en-US" w:eastAsia="zh-CN"/>
              </w:rPr>
              <w:t>51</w:t>
            </w:r>
            <w:r>
              <w:rPr>
                <w:rFonts w:hint="eastAsia" w:asciiTheme="minorEastAsia" w:hAnsiTheme="minorEastAsia" w:eastAsiaTheme="minorEastAsia" w:cstheme="minorEastAsia"/>
                <w:sz w:val="24"/>
                <w:szCs w:val="24"/>
                <w:lang w:val="zh-CN"/>
              </w:rPr>
              <w:t>条）为常规参数；重要参数每负偏离一项扣1分；常规参数每负偏离一项扣0.1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分。本项最高得</w:t>
            </w:r>
            <w:r>
              <w:rPr>
                <w:rFonts w:hint="eastAsia" w:asciiTheme="minorEastAsia" w:hAnsiTheme="minorEastAsia" w:cstheme="minorEastAsia"/>
                <w:sz w:val="24"/>
                <w:szCs w:val="24"/>
                <w:lang w:val="en-US" w:eastAsia="zh-CN"/>
              </w:rPr>
              <w:t>24</w:t>
            </w:r>
            <w:r>
              <w:rPr>
                <w:rFonts w:hint="eastAsia" w:asciiTheme="minorEastAsia" w:hAnsiTheme="minorEastAsia" w:eastAsiaTheme="minorEastAsia" w:cstheme="minorEastAsia"/>
                <w:sz w:val="24"/>
                <w:szCs w:val="24"/>
                <w:lang w:val="zh-CN"/>
              </w:rPr>
              <w:t>分，最低扣至0分。</w:t>
            </w:r>
          </w:p>
          <w:p w14:paraId="4E5413A3">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zh-CN"/>
              </w:rPr>
              <w:t>注：</w:t>
            </w:r>
            <w:r>
              <w:rPr>
                <w:rFonts w:hint="eastAsia" w:asciiTheme="minorEastAsia" w:hAnsiTheme="minorEastAsia" w:cstheme="minorEastAsia"/>
                <w:b/>
                <w:bCs/>
                <w:sz w:val="24"/>
                <w:szCs w:val="24"/>
                <w:lang w:val="en-US" w:eastAsia="zh-CN"/>
              </w:rPr>
              <w:t>所有</w:t>
            </w:r>
            <w:r>
              <w:rPr>
                <w:rFonts w:hint="eastAsia" w:asciiTheme="minorEastAsia" w:hAnsiTheme="minorEastAsia" w:eastAsiaTheme="minorEastAsia" w:cstheme="minorEastAsia"/>
                <w:b/>
                <w:bCs/>
                <w:sz w:val="24"/>
                <w:szCs w:val="24"/>
                <w:lang w:val="zh-CN"/>
              </w:rPr>
              <w:t>技术参数在投标文件中提供相关证明材料扫描件（</w:t>
            </w:r>
            <w:r>
              <w:rPr>
                <w:rFonts w:hint="eastAsia" w:asciiTheme="minorEastAsia" w:hAnsiTheme="minorEastAsia" w:eastAsiaTheme="minorEastAsia" w:cstheme="minorEastAsia"/>
                <w:b/>
                <w:bCs/>
                <w:sz w:val="24"/>
                <w:szCs w:val="24"/>
              </w:rPr>
              <w:t>产品</w:t>
            </w:r>
            <w:r>
              <w:rPr>
                <w:rFonts w:hint="eastAsia" w:asciiTheme="minorEastAsia" w:hAnsiTheme="minorEastAsia" w:eastAsiaTheme="minorEastAsia" w:cstheme="minorEastAsia"/>
                <w:b/>
                <w:bCs/>
                <w:sz w:val="24"/>
                <w:szCs w:val="24"/>
                <w:lang w:val="zh-CN"/>
              </w:rPr>
              <w:t>检测报告</w:t>
            </w:r>
            <w:r>
              <w:rPr>
                <w:rFonts w:hint="eastAsia" w:asciiTheme="minorEastAsia" w:hAnsiTheme="minorEastAsia" w:eastAsiaTheme="minorEastAsia" w:cstheme="minorEastAsia"/>
                <w:b/>
                <w:bCs/>
                <w:sz w:val="24"/>
                <w:szCs w:val="24"/>
              </w:rPr>
              <w:t>或</w:t>
            </w:r>
            <w:r>
              <w:rPr>
                <w:rFonts w:hint="eastAsia" w:asciiTheme="minorEastAsia" w:hAnsiTheme="minorEastAsia" w:eastAsiaTheme="minorEastAsia" w:cstheme="minorEastAsia"/>
                <w:b/>
                <w:bCs/>
                <w:sz w:val="24"/>
                <w:szCs w:val="24"/>
                <w:lang w:val="zh-CN"/>
              </w:rPr>
              <w:t>产品彩页</w:t>
            </w:r>
            <w:r>
              <w:rPr>
                <w:rFonts w:hint="eastAsia" w:asciiTheme="minorEastAsia" w:hAnsiTheme="minorEastAsia" w:eastAsiaTheme="minorEastAsia" w:cstheme="minorEastAsia"/>
                <w:b/>
                <w:bCs/>
                <w:sz w:val="24"/>
                <w:szCs w:val="24"/>
              </w:rPr>
              <w:t>或</w:t>
            </w:r>
            <w:r>
              <w:rPr>
                <w:rFonts w:hint="eastAsia" w:asciiTheme="minorEastAsia" w:hAnsiTheme="minorEastAsia" w:eastAsiaTheme="minorEastAsia" w:cstheme="minorEastAsia"/>
                <w:b/>
                <w:bCs/>
                <w:sz w:val="24"/>
                <w:szCs w:val="24"/>
                <w:lang w:val="zh-CN"/>
              </w:rPr>
              <w:t>说明书），且均需在技术响应偏差表详尽真实的提供偏差情况，否则视为负偏离。</w:t>
            </w:r>
          </w:p>
        </w:tc>
      </w:tr>
      <w:tr w14:paraId="1D50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737" w:type="dxa"/>
            <w:vAlign w:val="center"/>
          </w:tcPr>
          <w:p w14:paraId="49A447A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885" w:type="dxa"/>
            <w:vAlign w:val="center"/>
          </w:tcPr>
          <w:p w14:paraId="17C96BB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设备详细配置</w:t>
            </w:r>
          </w:p>
        </w:tc>
        <w:tc>
          <w:tcPr>
            <w:tcW w:w="850" w:type="dxa"/>
            <w:vAlign w:val="center"/>
          </w:tcPr>
          <w:p w14:paraId="02EA90E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tc>
        <w:tc>
          <w:tcPr>
            <w:tcW w:w="6043" w:type="dxa"/>
            <w:vAlign w:val="center"/>
          </w:tcPr>
          <w:p w14:paraId="40A683A5">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shd w:val="clear" w:color="auto" w:fill="FFFFFF"/>
              </w:rPr>
              <w:t>投标设备的配置情况及总体需求满足度说明，根据其配置合理性，需求满足度等进行综合评定，配置成熟完善、需求完全满足或优于</w:t>
            </w:r>
            <w:r>
              <w:rPr>
                <w:rFonts w:hint="eastAsia" w:asciiTheme="minorEastAsia" w:hAnsiTheme="minorEastAsia" w:eastAsiaTheme="minorEastAsia" w:cstheme="minorEastAsia"/>
                <w:sz w:val="24"/>
                <w:szCs w:val="24"/>
                <w:shd w:val="clear" w:color="auto" w:fill="FFFFFF"/>
                <w:lang w:eastAsia="zh-CN"/>
              </w:rPr>
              <w:t>采购需求</w:t>
            </w:r>
            <w:r>
              <w:rPr>
                <w:rFonts w:hint="eastAsia" w:asciiTheme="minorEastAsia" w:hAnsiTheme="minorEastAsia" w:eastAsiaTheme="minorEastAsia" w:cstheme="minorEastAsia"/>
                <w:sz w:val="24"/>
                <w:szCs w:val="24"/>
                <w:shd w:val="clear" w:color="auto" w:fill="FFFFFF"/>
              </w:rPr>
              <w:t>的得</w:t>
            </w:r>
            <w:r>
              <w:rPr>
                <w:rFonts w:hint="eastAsia" w:asciiTheme="minorEastAsia" w:hAnsiTheme="minorEastAsia" w:eastAsiaTheme="minorEastAsia" w:cstheme="minorEastAsia"/>
                <w:sz w:val="24"/>
                <w:szCs w:val="24"/>
                <w:shd w:val="clear" w:color="auto" w:fill="FFFFFF"/>
                <w:lang w:val="en-US" w:eastAsia="zh-CN"/>
              </w:rPr>
              <w:t>2</w:t>
            </w:r>
            <w:r>
              <w:rPr>
                <w:rFonts w:hint="eastAsia" w:asciiTheme="minorEastAsia" w:hAnsiTheme="minorEastAsia" w:eastAsiaTheme="minorEastAsia" w:cstheme="minorEastAsia"/>
                <w:sz w:val="24"/>
                <w:szCs w:val="24"/>
                <w:shd w:val="clear" w:color="auto" w:fill="FFFFFF"/>
              </w:rPr>
              <w:t>分；设备配置完善、能满足</w:t>
            </w:r>
            <w:r>
              <w:rPr>
                <w:rFonts w:hint="eastAsia" w:asciiTheme="minorEastAsia" w:hAnsiTheme="minorEastAsia" w:eastAsiaTheme="minorEastAsia" w:cstheme="minorEastAsia"/>
                <w:sz w:val="24"/>
                <w:szCs w:val="24"/>
                <w:shd w:val="clear" w:color="auto" w:fill="FFFFFF"/>
                <w:lang w:eastAsia="zh-CN"/>
              </w:rPr>
              <w:t>采购需求</w:t>
            </w:r>
            <w:r>
              <w:rPr>
                <w:rFonts w:hint="eastAsia" w:asciiTheme="minorEastAsia" w:hAnsiTheme="minorEastAsia" w:eastAsiaTheme="minorEastAsia" w:cstheme="minorEastAsia"/>
                <w:sz w:val="24"/>
                <w:szCs w:val="24"/>
                <w:shd w:val="clear" w:color="auto" w:fill="FFFFFF"/>
              </w:rPr>
              <w:t>的得1分；配置有所欠缺的得0分。未作说明的不得分</w:t>
            </w:r>
            <w:r>
              <w:rPr>
                <w:rFonts w:hint="eastAsia" w:asciiTheme="minorEastAsia" w:hAnsiTheme="minorEastAsia" w:eastAsiaTheme="minorEastAsia" w:cstheme="minorEastAsia"/>
                <w:sz w:val="24"/>
                <w:szCs w:val="24"/>
                <w:shd w:val="clear" w:color="auto" w:fill="FFFFFF"/>
                <w:lang w:eastAsia="zh-CN"/>
              </w:rPr>
              <w:t>。</w:t>
            </w:r>
          </w:p>
        </w:tc>
      </w:tr>
    </w:tbl>
    <w:p w14:paraId="4B169ADD">
      <w:pPr>
        <w:spacing w:line="480" w:lineRule="exact"/>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3、项目实施方案2</w:t>
      </w: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rPr>
        <w:t>分</w:t>
      </w:r>
    </w:p>
    <w:tbl>
      <w:tblPr>
        <w:tblStyle w:val="38"/>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935"/>
        <w:gridCol w:w="810"/>
        <w:gridCol w:w="6003"/>
      </w:tblGrid>
      <w:tr w14:paraId="644E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F63620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5AFB79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14:paraId="40EF1A1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权值</w:t>
            </w:r>
          </w:p>
        </w:tc>
        <w:tc>
          <w:tcPr>
            <w:tcW w:w="6003" w:type="dxa"/>
            <w:tcBorders>
              <w:top w:val="single" w:color="auto" w:sz="4" w:space="0"/>
              <w:left w:val="single" w:color="auto" w:sz="4" w:space="0"/>
              <w:bottom w:val="single" w:color="auto" w:sz="4" w:space="0"/>
              <w:right w:val="single" w:color="auto" w:sz="4" w:space="0"/>
            </w:tcBorders>
            <w:vAlign w:val="center"/>
          </w:tcPr>
          <w:p w14:paraId="751D18F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tc>
      </w:tr>
      <w:tr w14:paraId="6569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583531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35" w:type="dxa"/>
            <w:tcBorders>
              <w:top w:val="single" w:color="auto" w:sz="4" w:space="0"/>
              <w:left w:val="single" w:color="auto" w:sz="4" w:space="0"/>
              <w:bottom w:val="single" w:color="auto" w:sz="4" w:space="0"/>
              <w:right w:val="single" w:color="auto" w:sz="4" w:space="0"/>
            </w:tcBorders>
            <w:vAlign w:val="center"/>
          </w:tcPr>
          <w:p w14:paraId="7D4B685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项目实施方案</w:t>
            </w:r>
          </w:p>
        </w:tc>
        <w:tc>
          <w:tcPr>
            <w:tcW w:w="810" w:type="dxa"/>
            <w:tcBorders>
              <w:top w:val="single" w:color="auto" w:sz="4" w:space="0"/>
              <w:left w:val="single" w:color="auto" w:sz="4" w:space="0"/>
              <w:bottom w:val="single" w:color="auto" w:sz="4" w:space="0"/>
              <w:right w:val="single" w:color="auto" w:sz="4" w:space="0"/>
            </w:tcBorders>
            <w:vAlign w:val="center"/>
          </w:tcPr>
          <w:p w14:paraId="33BB3B9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tc>
        <w:tc>
          <w:tcPr>
            <w:tcW w:w="6003" w:type="dxa"/>
            <w:tcBorders>
              <w:top w:val="single" w:color="auto" w:sz="4" w:space="0"/>
              <w:left w:val="single" w:color="auto" w:sz="4" w:space="0"/>
              <w:bottom w:val="single" w:color="auto" w:sz="4" w:space="0"/>
              <w:right w:val="single" w:color="auto" w:sz="4" w:space="0"/>
            </w:tcBorders>
            <w:vAlign w:val="center"/>
          </w:tcPr>
          <w:p w14:paraId="010F0E74">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根据投标人提供的项目实施方案，包括①供货方案、②仪器设备安装、③项目履约进度计划、④测试及调试方案</w:t>
            </w:r>
            <w:r>
              <w:rPr>
                <w:rFonts w:hint="eastAsia" w:asciiTheme="minorEastAsia" w:hAnsiTheme="minorEastAsia" w:eastAsiaTheme="minorEastAsia" w:cstheme="minorEastAsia"/>
                <w:sz w:val="24"/>
                <w:szCs w:val="24"/>
                <w:highlight w:val="none"/>
                <w:shd w:val="clear" w:color="auto" w:fill="FFFFFF"/>
                <w:lang w:eastAsia="zh-CN"/>
              </w:rPr>
              <w:t>、</w:t>
            </w:r>
            <w:r>
              <w:rPr>
                <w:rFonts w:hint="eastAsia" w:asciiTheme="minorEastAsia" w:hAnsiTheme="minorEastAsia" w:eastAsiaTheme="minorEastAsia" w:cstheme="minorEastAsia"/>
                <w:sz w:val="24"/>
                <w:szCs w:val="24"/>
                <w:highlight w:val="none"/>
                <w:shd w:val="clear" w:color="auto" w:fill="FFFFFF"/>
                <w:lang w:val="en-US" w:eastAsia="zh-CN"/>
              </w:rPr>
              <w:t>⑤建设实施方案</w:t>
            </w:r>
            <w:r>
              <w:rPr>
                <w:rFonts w:hint="eastAsia" w:asciiTheme="minorEastAsia" w:hAnsiTheme="minorEastAsia" w:eastAsiaTheme="minorEastAsia" w:cstheme="minorEastAsia"/>
                <w:sz w:val="24"/>
                <w:szCs w:val="24"/>
                <w:highlight w:val="none"/>
                <w:shd w:val="clear" w:color="auto" w:fill="FFFFFF"/>
              </w:rPr>
              <w:t>进行评定。每项内容全面、条理清晰、具有可操作性的，有一项得1分，最高得</w:t>
            </w:r>
            <w:r>
              <w:rPr>
                <w:rFonts w:hint="eastAsia" w:asciiTheme="minorEastAsia" w:hAnsiTheme="minorEastAsia" w:eastAsiaTheme="minorEastAsia" w:cstheme="minorEastAsia"/>
                <w:sz w:val="24"/>
                <w:szCs w:val="24"/>
                <w:highlight w:val="none"/>
                <w:shd w:val="clear" w:color="auto" w:fill="FFFFFF"/>
                <w:lang w:val="en-US" w:eastAsia="zh-CN"/>
              </w:rPr>
              <w:t>5</w:t>
            </w:r>
            <w:r>
              <w:rPr>
                <w:rFonts w:hint="eastAsia" w:asciiTheme="minorEastAsia" w:hAnsiTheme="minorEastAsia" w:eastAsiaTheme="minorEastAsia" w:cstheme="minorEastAsia"/>
                <w:sz w:val="24"/>
                <w:szCs w:val="24"/>
                <w:highlight w:val="none"/>
                <w:shd w:val="clear" w:color="auto" w:fill="FFFFFF"/>
              </w:rPr>
              <w:t>分。不合理或者严重缺失的得0分。</w:t>
            </w:r>
          </w:p>
        </w:tc>
      </w:tr>
      <w:tr w14:paraId="7B52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0A775D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35" w:type="dxa"/>
            <w:tcBorders>
              <w:top w:val="single" w:color="auto" w:sz="4" w:space="0"/>
              <w:left w:val="single" w:color="auto" w:sz="4" w:space="0"/>
              <w:bottom w:val="single" w:color="auto" w:sz="4" w:space="0"/>
              <w:right w:val="single" w:color="auto" w:sz="4" w:space="0"/>
            </w:tcBorders>
            <w:vAlign w:val="center"/>
          </w:tcPr>
          <w:p w14:paraId="1088DB8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系统集成及联网方案</w:t>
            </w:r>
          </w:p>
        </w:tc>
        <w:tc>
          <w:tcPr>
            <w:tcW w:w="810" w:type="dxa"/>
            <w:tcBorders>
              <w:top w:val="single" w:color="auto" w:sz="4" w:space="0"/>
              <w:left w:val="single" w:color="auto" w:sz="4" w:space="0"/>
              <w:bottom w:val="single" w:color="auto" w:sz="4" w:space="0"/>
              <w:right w:val="single" w:color="auto" w:sz="4" w:space="0"/>
            </w:tcBorders>
            <w:vAlign w:val="center"/>
          </w:tcPr>
          <w:p w14:paraId="4EE984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9分</w:t>
            </w:r>
          </w:p>
        </w:tc>
        <w:tc>
          <w:tcPr>
            <w:tcW w:w="6003" w:type="dxa"/>
            <w:tcBorders>
              <w:top w:val="single" w:color="auto" w:sz="4" w:space="0"/>
              <w:left w:val="single" w:color="auto" w:sz="4" w:space="0"/>
              <w:bottom w:val="single" w:color="auto" w:sz="4" w:space="0"/>
              <w:right w:val="single" w:color="auto" w:sz="4" w:space="0"/>
            </w:tcBorders>
            <w:vAlign w:val="center"/>
          </w:tcPr>
          <w:p w14:paraId="03F78851">
            <w:pPr>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投标人针对技术要求并结合地域、人员、仪器设备和水质等情况提供完整的系统集成</w:t>
            </w:r>
            <w:r>
              <w:rPr>
                <w:rFonts w:hint="eastAsia" w:asciiTheme="minorEastAsia" w:hAnsiTheme="minorEastAsia" w:eastAsiaTheme="minorEastAsia" w:cstheme="minorEastAsia"/>
                <w:sz w:val="24"/>
                <w:szCs w:val="24"/>
                <w:highlight w:val="none"/>
                <w:lang w:eastAsia="zh-CN"/>
              </w:rPr>
              <w:t>、联网</w:t>
            </w:r>
            <w:r>
              <w:rPr>
                <w:rFonts w:hint="eastAsia" w:asciiTheme="minorEastAsia" w:hAnsiTheme="minorEastAsia" w:eastAsiaTheme="minorEastAsia" w:cstheme="minorEastAsia"/>
                <w:sz w:val="24"/>
                <w:szCs w:val="24"/>
                <w:highlight w:val="none"/>
                <w:lang w:val="en-US" w:eastAsia="zh-CN"/>
              </w:rPr>
              <w:t>及平台扩展</w:t>
            </w:r>
            <w:r>
              <w:rPr>
                <w:rFonts w:hint="eastAsia" w:asciiTheme="minorEastAsia" w:hAnsiTheme="minorEastAsia" w:eastAsiaTheme="minorEastAsia" w:cstheme="minorEastAsia"/>
                <w:sz w:val="24"/>
                <w:szCs w:val="24"/>
                <w:highlight w:val="none"/>
                <w:lang w:eastAsia="zh-CN"/>
              </w:rPr>
              <w:t>方案</w:t>
            </w:r>
            <w:r>
              <w:rPr>
                <w:rFonts w:hint="eastAsia" w:asciiTheme="minorEastAsia" w:hAnsiTheme="minorEastAsia" w:eastAsiaTheme="minorEastAsia" w:cstheme="minorEastAsia"/>
                <w:sz w:val="24"/>
                <w:szCs w:val="24"/>
                <w:highlight w:val="none"/>
              </w:rPr>
              <w:t>综合评定</w:t>
            </w:r>
            <w:r>
              <w:rPr>
                <w:rFonts w:hint="eastAsia" w:asciiTheme="minorEastAsia" w:hAnsiTheme="minorEastAsia" w:eastAsiaTheme="minorEastAsia" w:cstheme="minorEastAsia"/>
                <w:sz w:val="24"/>
                <w:szCs w:val="24"/>
                <w:highlight w:val="none"/>
                <w:lang w:eastAsia="zh-CN"/>
              </w:rPr>
              <w:t>：</w:t>
            </w:r>
          </w:p>
          <w:p w14:paraId="68658A0A">
            <w:pPr>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rPr>
              <w:t>系统集成方案</w:t>
            </w:r>
            <w:r>
              <w:rPr>
                <w:rFonts w:hint="eastAsia" w:asciiTheme="minorEastAsia" w:hAnsiTheme="minorEastAsia" w:eastAsiaTheme="minorEastAsia" w:cstheme="minorEastAsia"/>
                <w:sz w:val="24"/>
                <w:szCs w:val="24"/>
                <w:highlight w:val="none"/>
              </w:rPr>
              <w:t>包括①水质自动监测系统中配水及预处理单元、②分析单元、③控制单元、④数据采集与传输、⑤辅助单元等各单元</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color w:val="000000"/>
                <w:sz w:val="24"/>
                <w:szCs w:val="24"/>
                <w:highlight w:val="none"/>
              </w:rPr>
              <w:t>每项方案内容全面、条理清晰、具有可操作性的，有一项得1分，最高得5分。不合理或者严重缺失的得0分。</w:t>
            </w:r>
          </w:p>
          <w:p w14:paraId="01427216">
            <w:pPr>
              <w:numPr>
                <w:ilvl w:val="0"/>
                <w:numId w:val="0"/>
              </w:numPr>
              <w:jc w:val="left"/>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b/>
                <w:bCs/>
                <w:kern w:val="2"/>
                <w:sz w:val="24"/>
                <w:szCs w:val="24"/>
                <w:highlight w:val="none"/>
                <w:lang w:val="en-US" w:eastAsia="zh-CN"/>
              </w:rPr>
              <w:t>2、联网及平台扩展方案</w:t>
            </w:r>
            <w:r>
              <w:rPr>
                <w:rFonts w:hint="eastAsia" w:asciiTheme="minorEastAsia" w:hAnsiTheme="minorEastAsia" w:eastAsiaTheme="minorEastAsia" w:cstheme="minorEastAsia"/>
                <w:kern w:val="2"/>
                <w:sz w:val="24"/>
                <w:szCs w:val="24"/>
                <w:highlight w:val="none"/>
              </w:rPr>
              <w:t>能实现数据顺利传输至采购人要求的数据管理平台</w:t>
            </w:r>
            <w:r>
              <w:rPr>
                <w:rFonts w:hint="eastAsia" w:asciiTheme="minorEastAsia" w:hAnsiTheme="minorEastAsia" w:eastAsiaTheme="minorEastAsia" w:cstheme="minorEastAsia"/>
                <w:kern w:val="2"/>
                <w:sz w:val="24"/>
                <w:szCs w:val="24"/>
                <w:highlight w:val="none"/>
                <w:lang w:val="en-US" w:eastAsia="zh-CN"/>
              </w:rPr>
              <w:t>并具有较强可扩展性</w:t>
            </w:r>
            <w:r>
              <w:rPr>
                <w:rFonts w:hint="eastAsia" w:asciiTheme="minorEastAsia" w:hAnsiTheme="minorEastAsia" w:eastAsiaTheme="minorEastAsia" w:cstheme="minorEastAsia"/>
                <w:kern w:val="2"/>
                <w:sz w:val="24"/>
                <w:szCs w:val="24"/>
                <w:highlight w:val="none"/>
              </w:rPr>
              <w:t>，切实可行，全面完善有保证的得4分；有助于项目实施的得2分；不合理或者严重缺失的得0分。</w:t>
            </w:r>
          </w:p>
        </w:tc>
      </w:tr>
      <w:tr w14:paraId="3211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650CFD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35" w:type="dxa"/>
            <w:tcBorders>
              <w:top w:val="single" w:color="auto" w:sz="4" w:space="0"/>
              <w:left w:val="single" w:color="auto" w:sz="4" w:space="0"/>
              <w:bottom w:val="single" w:color="auto" w:sz="4" w:space="0"/>
              <w:right w:val="single" w:color="auto" w:sz="4" w:space="0"/>
            </w:tcBorders>
            <w:vAlign w:val="center"/>
          </w:tcPr>
          <w:p w14:paraId="63936C0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运维方案</w:t>
            </w:r>
          </w:p>
        </w:tc>
        <w:tc>
          <w:tcPr>
            <w:tcW w:w="810" w:type="dxa"/>
            <w:tcBorders>
              <w:top w:val="single" w:color="auto" w:sz="4" w:space="0"/>
              <w:left w:val="single" w:color="auto" w:sz="4" w:space="0"/>
              <w:bottom w:val="single" w:color="auto" w:sz="4" w:space="0"/>
              <w:right w:val="single" w:color="auto" w:sz="4" w:space="0"/>
            </w:tcBorders>
            <w:vAlign w:val="center"/>
          </w:tcPr>
          <w:p w14:paraId="6CE2DBF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6分</w:t>
            </w:r>
          </w:p>
        </w:tc>
        <w:tc>
          <w:tcPr>
            <w:tcW w:w="6003" w:type="dxa"/>
            <w:tcBorders>
              <w:top w:val="single" w:color="auto" w:sz="4" w:space="0"/>
              <w:left w:val="single" w:color="auto" w:sz="4" w:space="0"/>
              <w:bottom w:val="single" w:color="auto" w:sz="4" w:space="0"/>
              <w:right w:val="single" w:color="auto" w:sz="4" w:space="0"/>
            </w:tcBorders>
            <w:vAlign w:val="center"/>
          </w:tcPr>
          <w:p w14:paraId="6DA4E448">
            <w:pPr>
              <w:jc w:val="left"/>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sz w:val="24"/>
                <w:szCs w:val="24"/>
              </w:rPr>
              <w:t>投标人根据本项目的情况提供详细的运维实施方案，包括但不限于：①日常管理制度、②备品备件保障、③运维工作要求、④运维操作规程、⑤交接方案、⑥安全保障措施进行评定。</w:t>
            </w:r>
            <w:r>
              <w:rPr>
                <w:rFonts w:hint="eastAsia" w:asciiTheme="minorEastAsia" w:hAnsiTheme="minorEastAsia" w:eastAsiaTheme="minorEastAsia" w:cstheme="minorEastAsia"/>
                <w:kern w:val="2"/>
                <w:sz w:val="24"/>
                <w:szCs w:val="24"/>
              </w:rPr>
              <w:t>每项内容全面、条理清晰、具有可操作性的，有一项得1分，最高得6分。不合理或者严重缺失的得0分。</w:t>
            </w:r>
          </w:p>
        </w:tc>
      </w:tr>
      <w:tr w14:paraId="33B0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6004EBD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935" w:type="dxa"/>
            <w:tcBorders>
              <w:top w:val="single" w:color="auto" w:sz="4" w:space="0"/>
              <w:left w:val="single" w:color="auto" w:sz="4" w:space="0"/>
              <w:bottom w:val="single" w:color="auto" w:sz="4" w:space="0"/>
              <w:right w:val="single" w:color="auto" w:sz="4" w:space="0"/>
            </w:tcBorders>
            <w:vAlign w:val="center"/>
          </w:tcPr>
          <w:p w14:paraId="6D2D34A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项目团队</w:t>
            </w:r>
            <w:r>
              <w:rPr>
                <w:rFonts w:hint="eastAsia" w:asciiTheme="minorEastAsia" w:hAnsiTheme="minorEastAsia" w:eastAsiaTheme="minorEastAsia" w:cstheme="minorEastAsia"/>
                <w:sz w:val="24"/>
                <w:szCs w:val="24"/>
                <w:lang w:val="en-US" w:eastAsia="zh-CN" w:bidi="ar"/>
              </w:rPr>
              <w:t>及资源</w:t>
            </w:r>
            <w:r>
              <w:rPr>
                <w:rFonts w:hint="eastAsia" w:asciiTheme="minorEastAsia" w:hAnsiTheme="minorEastAsia" w:eastAsiaTheme="minorEastAsia" w:cstheme="minorEastAsia"/>
                <w:sz w:val="24"/>
                <w:szCs w:val="24"/>
                <w:lang w:bidi="ar"/>
              </w:rPr>
              <w:t>配备</w:t>
            </w:r>
          </w:p>
        </w:tc>
        <w:tc>
          <w:tcPr>
            <w:tcW w:w="810" w:type="dxa"/>
            <w:tcBorders>
              <w:top w:val="single" w:color="auto" w:sz="4" w:space="0"/>
              <w:left w:val="single" w:color="auto" w:sz="4" w:space="0"/>
              <w:bottom w:val="single" w:color="auto" w:sz="4" w:space="0"/>
              <w:right w:val="single" w:color="auto" w:sz="4" w:space="0"/>
            </w:tcBorders>
            <w:vAlign w:val="center"/>
          </w:tcPr>
          <w:p w14:paraId="4A37DAE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分</w:t>
            </w:r>
          </w:p>
        </w:tc>
        <w:tc>
          <w:tcPr>
            <w:tcW w:w="6003" w:type="dxa"/>
            <w:tcBorders>
              <w:top w:val="single" w:color="auto" w:sz="4" w:space="0"/>
              <w:left w:val="single" w:color="auto" w:sz="4" w:space="0"/>
              <w:bottom w:val="single" w:color="auto" w:sz="4" w:space="0"/>
              <w:right w:val="single" w:color="auto" w:sz="4" w:space="0"/>
            </w:tcBorders>
            <w:vAlign w:val="center"/>
          </w:tcPr>
          <w:p w14:paraId="5BCC1C82">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根据投标人拟投入本项目的</w:t>
            </w:r>
            <w:r>
              <w:rPr>
                <w:rFonts w:hint="eastAsia" w:asciiTheme="minorEastAsia" w:hAnsiTheme="minorEastAsia" w:eastAsiaTheme="minorEastAsia" w:cstheme="minorEastAsia"/>
                <w:sz w:val="24"/>
                <w:szCs w:val="24"/>
                <w:highlight w:val="none"/>
                <w:lang w:bidi="ar"/>
              </w:rPr>
              <w:t>项目团队配备</w:t>
            </w:r>
            <w:r>
              <w:rPr>
                <w:rFonts w:hint="eastAsia" w:asciiTheme="minorEastAsia" w:hAnsiTheme="minorEastAsia" w:eastAsiaTheme="minorEastAsia" w:cstheme="minorEastAsia"/>
                <w:sz w:val="24"/>
                <w:szCs w:val="24"/>
                <w:highlight w:val="none"/>
              </w:rPr>
              <w:t>情况进行评定：</w:t>
            </w:r>
          </w:p>
          <w:p w14:paraId="37701937">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（1）投标人拟投入本项目的</w:t>
            </w:r>
            <w:r>
              <w:rPr>
                <w:rFonts w:hint="eastAsia" w:asciiTheme="minorEastAsia" w:hAnsiTheme="minorEastAsia" w:eastAsiaTheme="minorEastAsia" w:cstheme="minorEastAsia"/>
                <w:b/>
                <w:bCs/>
                <w:sz w:val="24"/>
                <w:szCs w:val="24"/>
                <w:highlight w:val="none"/>
              </w:rPr>
              <w:t>项目负责人（一人）</w:t>
            </w:r>
            <w:r>
              <w:rPr>
                <w:rFonts w:hint="eastAsia" w:asciiTheme="minorEastAsia" w:hAnsiTheme="minorEastAsia" w:eastAsiaTheme="minorEastAsia" w:cstheme="minorEastAsia"/>
                <w:sz w:val="24"/>
                <w:szCs w:val="24"/>
                <w:highlight w:val="none"/>
              </w:rPr>
              <w:t>具有信息系统项目管理师（高级）证书的，得2分。</w:t>
            </w:r>
          </w:p>
          <w:p w14:paraId="4306E6BA">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（2）投标人拟投入本项目的</w:t>
            </w:r>
            <w:r>
              <w:rPr>
                <w:rFonts w:hint="eastAsia" w:asciiTheme="minorEastAsia" w:hAnsiTheme="minorEastAsia" w:eastAsiaTheme="minorEastAsia" w:cstheme="minorEastAsia"/>
                <w:sz w:val="24"/>
                <w:szCs w:val="24"/>
                <w:highlight w:val="none"/>
                <w:lang w:val="en-US" w:eastAsia="zh-CN"/>
              </w:rPr>
              <w:t>所有项目组人员（不少于4人）中，具有电子信息类高级（及以上）职称的，每有一人得2分；具有电子信息类中级职称的，每有一人得1分；其余不得分。本小项最高得4分。</w:t>
            </w:r>
          </w:p>
          <w:p w14:paraId="57F38A84">
            <w:pPr>
              <w:spacing w:line="32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zh-CN"/>
              </w:rPr>
              <w:t>注：</w:t>
            </w:r>
            <w:r>
              <w:rPr>
                <w:rFonts w:hint="eastAsia" w:asciiTheme="minorEastAsia" w:hAnsiTheme="minorEastAsia" w:eastAsiaTheme="minorEastAsia" w:cstheme="minorEastAsia"/>
                <w:b/>
                <w:sz w:val="24"/>
                <w:szCs w:val="24"/>
                <w:highlight w:val="none"/>
              </w:rPr>
              <w:t>投标文件中须提供上述人员相关证书及投标人为其缴纳近三个月任意一个月的社会保险的证明材料，否则不得分。</w:t>
            </w:r>
          </w:p>
        </w:tc>
      </w:tr>
    </w:tbl>
    <w:p w14:paraId="6FEEC8F9">
      <w:pPr>
        <w:spacing w:line="480" w:lineRule="exact"/>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4、质量保证及服务承诺</w:t>
      </w: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b/>
          <w:bCs/>
          <w:sz w:val="24"/>
          <w:szCs w:val="24"/>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44"/>
        <w:gridCol w:w="851"/>
        <w:gridCol w:w="6049"/>
      </w:tblGrid>
      <w:tr w14:paraId="2A9F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51" w:type="dxa"/>
            <w:vAlign w:val="center"/>
          </w:tcPr>
          <w:p w14:paraId="210BAFC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844" w:type="dxa"/>
            <w:vAlign w:val="center"/>
          </w:tcPr>
          <w:p w14:paraId="7A2931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评审因素</w:t>
            </w:r>
          </w:p>
        </w:tc>
        <w:tc>
          <w:tcPr>
            <w:tcW w:w="851" w:type="dxa"/>
            <w:vAlign w:val="center"/>
          </w:tcPr>
          <w:p w14:paraId="5B26665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权值</w:t>
            </w:r>
          </w:p>
        </w:tc>
        <w:tc>
          <w:tcPr>
            <w:tcW w:w="6049" w:type="dxa"/>
            <w:vAlign w:val="center"/>
          </w:tcPr>
          <w:p w14:paraId="38AF005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tc>
      </w:tr>
      <w:tr w14:paraId="5288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851" w:type="dxa"/>
            <w:vAlign w:val="center"/>
          </w:tcPr>
          <w:p w14:paraId="501BF33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44" w:type="dxa"/>
            <w:vAlign w:val="center"/>
          </w:tcPr>
          <w:p w14:paraId="74EE7AA9">
            <w:pPr>
              <w:pStyle w:val="14"/>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免费质量保证</w:t>
            </w:r>
          </w:p>
        </w:tc>
        <w:tc>
          <w:tcPr>
            <w:tcW w:w="851" w:type="dxa"/>
            <w:vAlign w:val="center"/>
          </w:tcPr>
          <w:p w14:paraId="2172CE9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2分</w:t>
            </w:r>
          </w:p>
        </w:tc>
        <w:tc>
          <w:tcPr>
            <w:tcW w:w="6049" w:type="dxa"/>
            <w:vAlign w:val="center"/>
          </w:tcPr>
          <w:p w14:paraId="407A9BC7">
            <w:pPr>
              <w:numPr>
                <w:ilvl w:val="0"/>
                <w:numId w:val="0"/>
              </w:num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投标货物及运维服务</w:t>
            </w:r>
            <w:r>
              <w:rPr>
                <w:rFonts w:hint="eastAsia" w:asciiTheme="minorEastAsia" w:hAnsiTheme="minorEastAsia" w:eastAsiaTheme="minorEastAsia" w:cstheme="minorEastAsia"/>
                <w:color w:val="auto"/>
                <w:sz w:val="24"/>
                <w:szCs w:val="24"/>
                <w:highlight w:val="none"/>
              </w:rPr>
              <w:t>免费质保期满足招标文件要求的</w:t>
            </w:r>
            <w:r>
              <w:rPr>
                <w:rFonts w:hint="eastAsia" w:asciiTheme="minorEastAsia" w:hAnsiTheme="minorEastAsia" w:eastAsiaTheme="minorEastAsia" w:cstheme="minorEastAsia"/>
                <w:color w:val="auto"/>
                <w:sz w:val="24"/>
                <w:szCs w:val="24"/>
                <w:highlight w:val="none"/>
                <w:lang w:val="en-US" w:eastAsia="zh-CN"/>
              </w:rPr>
              <w:t>基础上</w:t>
            </w:r>
            <w:r>
              <w:rPr>
                <w:rFonts w:hint="eastAsia" w:asciiTheme="minorEastAsia" w:hAnsiTheme="minorEastAsia" w:eastAsiaTheme="minorEastAsia" w:cstheme="minorEastAsia"/>
                <w:color w:val="auto"/>
                <w:sz w:val="24"/>
                <w:szCs w:val="24"/>
                <w:highlight w:val="none"/>
              </w:rPr>
              <w:t>，每</w:t>
            </w:r>
            <w:r>
              <w:rPr>
                <w:rFonts w:hint="eastAsia" w:asciiTheme="minorEastAsia" w:hAnsiTheme="minorEastAsia" w:eastAsiaTheme="minorEastAsia" w:cstheme="minorEastAsia"/>
                <w:color w:val="auto"/>
                <w:sz w:val="24"/>
                <w:szCs w:val="24"/>
                <w:highlight w:val="none"/>
                <w:lang w:val="en-US" w:eastAsia="zh-CN"/>
              </w:rPr>
              <w:t>承诺增加</w:t>
            </w:r>
            <w:r>
              <w:rPr>
                <w:rFonts w:hint="eastAsia" w:asciiTheme="minorEastAsia" w:hAnsiTheme="minorEastAsia" w:eastAsiaTheme="minorEastAsia" w:cstheme="minorEastAsia"/>
                <w:color w:val="auto"/>
                <w:sz w:val="24"/>
                <w:szCs w:val="24"/>
                <w:highlight w:val="none"/>
              </w:rPr>
              <w:t>半年</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加</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分，最多</w:t>
            </w:r>
            <w:r>
              <w:rPr>
                <w:rFonts w:hint="eastAsia" w:asciiTheme="minorEastAsia" w:hAnsiTheme="minorEastAsia" w:eastAsiaTheme="minorEastAsia" w:cstheme="minorEastAsia"/>
                <w:color w:val="auto"/>
                <w:sz w:val="24"/>
                <w:szCs w:val="24"/>
                <w:highlight w:val="none"/>
                <w:lang w:val="en-US" w:eastAsia="zh-CN"/>
              </w:rPr>
              <w:t>得2</w:t>
            </w:r>
            <w:r>
              <w:rPr>
                <w:rFonts w:hint="eastAsia" w:asciiTheme="minorEastAsia" w:hAnsiTheme="minorEastAsia" w:eastAsiaTheme="minorEastAsia" w:cstheme="minorEastAsia"/>
                <w:color w:val="auto"/>
                <w:sz w:val="24"/>
                <w:szCs w:val="24"/>
                <w:highlight w:val="none"/>
              </w:rPr>
              <w:t>分；质保未达到招标文件要求或未作说明的不得分。</w:t>
            </w:r>
          </w:p>
          <w:p w14:paraId="2A377307">
            <w:pPr>
              <w:rPr>
                <w:rFonts w:hint="eastAsia" w:asciiTheme="minorEastAsia" w:hAnsiTheme="minorEastAsia" w:eastAsiaTheme="minorEastAsia" w:cstheme="minorEastAsia"/>
                <w:color w:val="auto"/>
                <w:sz w:val="24"/>
                <w:szCs w:val="24"/>
                <w:highlight w:val="none"/>
              </w:rPr>
            </w:pPr>
            <w:r>
              <w:rPr>
                <w:rFonts w:hint="eastAsia"/>
                <w:b/>
                <w:bCs/>
                <w:color w:val="auto"/>
                <w:sz w:val="24"/>
                <w:szCs w:val="24"/>
                <w:highlight w:val="none"/>
              </w:rPr>
              <w:t>注：投标人需对项目整体</w:t>
            </w:r>
            <w:r>
              <w:rPr>
                <w:rFonts w:hint="eastAsia"/>
                <w:b/>
                <w:bCs/>
                <w:color w:val="auto"/>
                <w:sz w:val="24"/>
                <w:szCs w:val="24"/>
                <w:highlight w:val="none"/>
                <w:lang w:eastAsia="zh-CN"/>
              </w:rPr>
              <w:t>（</w:t>
            </w:r>
            <w:r>
              <w:rPr>
                <w:rFonts w:hint="eastAsia"/>
                <w:b/>
                <w:bCs/>
                <w:color w:val="auto"/>
                <w:sz w:val="24"/>
                <w:szCs w:val="24"/>
                <w:highlight w:val="none"/>
                <w:lang w:val="en-US" w:eastAsia="zh-CN"/>
              </w:rPr>
              <w:t>货物、运维服务</w:t>
            </w:r>
            <w:r>
              <w:rPr>
                <w:rFonts w:hint="eastAsia"/>
                <w:b/>
                <w:bCs/>
                <w:color w:val="auto"/>
                <w:sz w:val="24"/>
                <w:szCs w:val="24"/>
                <w:highlight w:val="none"/>
                <w:lang w:eastAsia="zh-CN"/>
              </w:rPr>
              <w:t>）</w:t>
            </w:r>
            <w:r>
              <w:rPr>
                <w:rFonts w:hint="eastAsia"/>
                <w:b/>
                <w:bCs/>
                <w:color w:val="auto"/>
                <w:sz w:val="24"/>
                <w:szCs w:val="24"/>
                <w:highlight w:val="none"/>
              </w:rPr>
              <w:t>做出承诺</w:t>
            </w:r>
            <w:r>
              <w:rPr>
                <w:rFonts w:hint="eastAsia"/>
                <w:b/>
                <w:bCs/>
                <w:color w:val="auto"/>
                <w:sz w:val="24"/>
                <w:szCs w:val="24"/>
                <w:highlight w:val="none"/>
                <w:lang w:eastAsia="zh-CN"/>
              </w:rPr>
              <w:t>（</w:t>
            </w:r>
            <w:r>
              <w:rPr>
                <w:rFonts w:hint="eastAsia"/>
                <w:b/>
                <w:bCs/>
                <w:color w:val="auto"/>
                <w:sz w:val="24"/>
                <w:szCs w:val="24"/>
                <w:highlight w:val="none"/>
                <w:lang w:val="en-US" w:eastAsia="zh-CN"/>
              </w:rPr>
              <w:t>包含耗材及备品备件</w:t>
            </w:r>
            <w:r>
              <w:rPr>
                <w:rFonts w:hint="eastAsia"/>
                <w:b/>
                <w:bCs/>
                <w:color w:val="auto"/>
                <w:sz w:val="24"/>
                <w:szCs w:val="24"/>
                <w:highlight w:val="none"/>
                <w:lang w:eastAsia="zh-CN"/>
              </w:rPr>
              <w:t>）</w:t>
            </w:r>
            <w:r>
              <w:rPr>
                <w:rFonts w:hint="eastAsia"/>
                <w:b/>
                <w:bCs/>
                <w:color w:val="auto"/>
                <w:sz w:val="24"/>
                <w:szCs w:val="24"/>
                <w:highlight w:val="none"/>
              </w:rPr>
              <w:t>，只对部分货物</w:t>
            </w:r>
            <w:r>
              <w:rPr>
                <w:rFonts w:hint="eastAsia"/>
                <w:b/>
                <w:bCs/>
                <w:color w:val="auto"/>
                <w:sz w:val="24"/>
                <w:szCs w:val="24"/>
                <w:highlight w:val="none"/>
                <w:lang w:val="en-US" w:eastAsia="zh-CN"/>
              </w:rPr>
              <w:t>或服务</w:t>
            </w:r>
            <w:r>
              <w:rPr>
                <w:rFonts w:hint="eastAsia"/>
                <w:b/>
                <w:bCs/>
                <w:color w:val="auto"/>
                <w:sz w:val="24"/>
                <w:szCs w:val="24"/>
                <w:highlight w:val="none"/>
              </w:rPr>
              <w:t>增加的不得分，承诺函格式自拟。</w:t>
            </w:r>
          </w:p>
        </w:tc>
      </w:tr>
      <w:tr w14:paraId="5CAB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jc w:val="center"/>
        </w:trPr>
        <w:tc>
          <w:tcPr>
            <w:tcW w:w="851" w:type="dxa"/>
            <w:vAlign w:val="center"/>
          </w:tcPr>
          <w:p w14:paraId="6BFA5E9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844" w:type="dxa"/>
            <w:vAlign w:val="center"/>
          </w:tcPr>
          <w:p w14:paraId="5CA4B1D9">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售后服务承诺</w:t>
            </w:r>
          </w:p>
        </w:tc>
        <w:tc>
          <w:tcPr>
            <w:tcW w:w="851" w:type="dxa"/>
            <w:vAlign w:val="center"/>
          </w:tcPr>
          <w:p w14:paraId="2F835E6F">
            <w:pPr>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3分</w:t>
            </w:r>
          </w:p>
        </w:tc>
        <w:tc>
          <w:tcPr>
            <w:tcW w:w="6049" w:type="dxa"/>
            <w:vAlign w:val="center"/>
          </w:tcPr>
          <w:p w14:paraId="12AC1B4F">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bidi="ar"/>
              </w:rPr>
              <w:t>根据售后服务承诺进行综合评定，售后服务体系完善、售后服务能力强、承诺到位的得3分；售后服务</w:t>
            </w:r>
            <w:r>
              <w:rPr>
                <w:rFonts w:hint="eastAsia" w:asciiTheme="minorEastAsia" w:hAnsiTheme="minorEastAsia" w:eastAsiaTheme="minorEastAsia" w:cstheme="minorEastAsia"/>
                <w:sz w:val="24"/>
                <w:szCs w:val="24"/>
              </w:rPr>
              <w:t>方案笼统但基本可行的得1.5分；未提供或者严重缺失的得0分。</w:t>
            </w:r>
          </w:p>
        </w:tc>
      </w:tr>
      <w:tr w14:paraId="39A6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851" w:type="dxa"/>
            <w:vAlign w:val="center"/>
          </w:tcPr>
          <w:p w14:paraId="29FFE81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844" w:type="dxa"/>
            <w:vAlign w:val="center"/>
          </w:tcPr>
          <w:p w14:paraId="72287551">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zh-TW" w:eastAsia="zh-TW"/>
              </w:rPr>
              <w:t>培训方案</w:t>
            </w:r>
          </w:p>
        </w:tc>
        <w:tc>
          <w:tcPr>
            <w:tcW w:w="851" w:type="dxa"/>
            <w:vAlign w:val="center"/>
          </w:tcPr>
          <w:p w14:paraId="025264F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zh-TW" w:eastAsia="zh-TW"/>
              </w:rPr>
              <w:t>分</w:t>
            </w:r>
          </w:p>
        </w:tc>
        <w:tc>
          <w:tcPr>
            <w:tcW w:w="6049" w:type="dxa"/>
            <w:vAlign w:val="center"/>
          </w:tcPr>
          <w:p w14:paraId="5C63BBE6">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zh-TW" w:eastAsia="zh-TW"/>
              </w:rPr>
              <w:t>根据投标人提供的培训方案进行评定，</w:t>
            </w:r>
            <w:r>
              <w:rPr>
                <w:rFonts w:hint="eastAsia" w:asciiTheme="minorEastAsia" w:hAnsiTheme="minorEastAsia" w:eastAsiaTheme="minorEastAsia" w:cstheme="minorEastAsia"/>
                <w:color w:val="000000"/>
                <w:sz w:val="24"/>
                <w:szCs w:val="24"/>
              </w:rPr>
              <w:t>包括但不限于培训流程、培训时间、培训课程等，</w:t>
            </w:r>
            <w:r>
              <w:rPr>
                <w:rFonts w:hint="eastAsia" w:asciiTheme="minorEastAsia" w:hAnsiTheme="minorEastAsia" w:eastAsiaTheme="minorEastAsia" w:cstheme="minorEastAsia"/>
                <w:sz w:val="24"/>
                <w:szCs w:val="24"/>
              </w:rPr>
              <w:t>方案科学合理、切实可行、全面完善有保证的得3分；方案笼统但基本可行的得1.5分；未提供或者严重缺失的得0分。</w:t>
            </w:r>
          </w:p>
        </w:tc>
      </w:tr>
      <w:tr w14:paraId="385D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851" w:type="dxa"/>
            <w:vAlign w:val="center"/>
          </w:tcPr>
          <w:p w14:paraId="6FAB7B4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1844" w:type="dxa"/>
            <w:vAlign w:val="center"/>
          </w:tcPr>
          <w:p w14:paraId="1DD158F8">
            <w:pPr>
              <w:spacing w:line="360" w:lineRule="exact"/>
              <w:jc w:val="center"/>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响应时间承诺</w:t>
            </w:r>
          </w:p>
        </w:tc>
        <w:tc>
          <w:tcPr>
            <w:tcW w:w="851" w:type="dxa"/>
            <w:vAlign w:val="center"/>
          </w:tcPr>
          <w:p w14:paraId="3C2AB12B">
            <w:pPr>
              <w:spacing w:line="44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2分</w:t>
            </w:r>
          </w:p>
        </w:tc>
        <w:tc>
          <w:tcPr>
            <w:tcW w:w="6049" w:type="dxa"/>
            <w:vAlign w:val="center"/>
          </w:tcPr>
          <w:p w14:paraId="73D5EB32">
            <w:pPr>
              <w:spacing w:line="360" w:lineRule="exact"/>
              <w:rPr>
                <w:rFonts w:hint="eastAsia" w:asciiTheme="minorEastAsia" w:hAnsiTheme="minorEastAsia" w:eastAsiaTheme="minorEastAsia" w:cstheme="minorEastAsia"/>
                <w:color w:val="000000"/>
                <w:sz w:val="24"/>
                <w:szCs w:val="24"/>
                <w:lang w:val="zh-TW" w:eastAsia="zh-TW"/>
              </w:rPr>
            </w:pPr>
            <w:r>
              <w:rPr>
                <w:rFonts w:hint="eastAsia" w:asciiTheme="minorEastAsia" w:hAnsiTheme="minorEastAsia" w:eastAsiaTheme="minorEastAsia" w:cstheme="minorEastAsia"/>
                <w:color w:val="000000"/>
                <w:sz w:val="24"/>
                <w:szCs w:val="24"/>
                <w:lang w:val="zh-TW" w:eastAsia="zh-TW"/>
              </w:rPr>
              <w:t>根据投标人针对本项目提供的服务响应时间进行评定：投标人承诺项目中标后，在接到采购人书面或口头通知工作指令后能在1小时内响应的，得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lang w:val="zh-TW" w:eastAsia="zh-TW"/>
              </w:rPr>
              <w:t>分；能在2小时内响应的，得1分。</w:t>
            </w:r>
          </w:p>
          <w:p w14:paraId="19556EB8">
            <w:pPr>
              <w:spacing w:line="360" w:lineRule="exact"/>
              <w:rPr>
                <w:rFonts w:hint="eastAsia" w:asciiTheme="minorEastAsia" w:hAnsiTheme="minorEastAsia" w:eastAsiaTheme="minorEastAsia" w:cstheme="minorEastAsia"/>
                <w:color w:val="000000"/>
                <w:sz w:val="24"/>
                <w:szCs w:val="24"/>
                <w:lang w:val="zh-TW" w:eastAsia="zh-TW"/>
              </w:rPr>
            </w:pPr>
            <w:r>
              <w:rPr>
                <w:rFonts w:hint="eastAsia" w:asciiTheme="minorEastAsia" w:hAnsiTheme="minorEastAsia" w:eastAsiaTheme="minorEastAsia" w:cstheme="minorEastAsia"/>
                <w:b/>
                <w:bCs/>
                <w:color w:val="000000"/>
                <w:sz w:val="24"/>
                <w:szCs w:val="24"/>
                <w:lang w:val="zh-TW" w:eastAsia="zh-TW"/>
              </w:rPr>
              <w:t>注：投标文件中须提供承诺书（格式自拟），未提供的或超过2小时响应的不得分。</w:t>
            </w:r>
          </w:p>
        </w:tc>
      </w:tr>
    </w:tbl>
    <w:p w14:paraId="06FA613D">
      <w:pPr>
        <w:spacing w:line="480" w:lineRule="exact"/>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5、综合实力</w:t>
      </w: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42"/>
        <w:gridCol w:w="850"/>
        <w:gridCol w:w="6115"/>
      </w:tblGrid>
      <w:tr w14:paraId="2601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51" w:type="dxa"/>
            <w:vAlign w:val="center"/>
          </w:tcPr>
          <w:p w14:paraId="1FE8B15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842" w:type="dxa"/>
            <w:vAlign w:val="center"/>
          </w:tcPr>
          <w:p w14:paraId="7011585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评审因素</w:t>
            </w:r>
          </w:p>
        </w:tc>
        <w:tc>
          <w:tcPr>
            <w:tcW w:w="850" w:type="dxa"/>
            <w:vAlign w:val="center"/>
          </w:tcPr>
          <w:p w14:paraId="2D4195A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权值</w:t>
            </w:r>
          </w:p>
        </w:tc>
        <w:tc>
          <w:tcPr>
            <w:tcW w:w="6115" w:type="dxa"/>
            <w:vAlign w:val="center"/>
          </w:tcPr>
          <w:p w14:paraId="5ADC959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tc>
      </w:tr>
      <w:tr w14:paraId="1945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851" w:type="dxa"/>
            <w:vAlign w:val="center"/>
          </w:tcPr>
          <w:p w14:paraId="569CC30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42" w:type="dxa"/>
            <w:vAlign w:val="center"/>
          </w:tcPr>
          <w:p w14:paraId="45DDFEB0">
            <w:pPr>
              <w:pStyle w:val="14"/>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业绩情况</w:t>
            </w:r>
          </w:p>
        </w:tc>
        <w:tc>
          <w:tcPr>
            <w:tcW w:w="850" w:type="dxa"/>
            <w:vAlign w:val="center"/>
          </w:tcPr>
          <w:p w14:paraId="75C8D14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6分</w:t>
            </w:r>
          </w:p>
        </w:tc>
        <w:tc>
          <w:tcPr>
            <w:tcW w:w="6115" w:type="dxa"/>
            <w:vAlign w:val="center"/>
          </w:tcPr>
          <w:p w14:paraId="6DAF73C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根据投标人或设备制造商2021年1月1日至今（以签订合同日期为准）实施的水质自动监测</w:t>
            </w:r>
            <w:r>
              <w:rPr>
                <w:rFonts w:hint="eastAsia" w:asciiTheme="minorEastAsia" w:hAnsiTheme="minorEastAsia" w:eastAsiaTheme="minorEastAsia" w:cstheme="minorEastAsia"/>
                <w:sz w:val="24"/>
                <w:szCs w:val="24"/>
                <w:lang w:val="en-US" w:eastAsia="zh-CN"/>
              </w:rPr>
              <w:t>设备</w:t>
            </w:r>
            <w:r>
              <w:rPr>
                <w:rFonts w:hint="eastAsia" w:asciiTheme="minorEastAsia" w:hAnsiTheme="minorEastAsia" w:eastAsiaTheme="minorEastAsia" w:cstheme="minorEastAsia"/>
                <w:sz w:val="24"/>
                <w:szCs w:val="24"/>
              </w:rPr>
              <w:t>项目业绩情况进行评定：每提供一个得2分，最高得6分。</w:t>
            </w:r>
          </w:p>
          <w:p w14:paraId="5B4EE90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注：投标文件中须提供业绩相关合同证明材料（包括合同首页、标的金额所在页、签字盖章页）。未提供或资料提供不全的不得分。</w:t>
            </w:r>
          </w:p>
        </w:tc>
      </w:tr>
      <w:tr w14:paraId="4463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7663CCAF">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1842" w:type="dxa"/>
            <w:vAlign w:val="center"/>
          </w:tcPr>
          <w:p w14:paraId="54A33FA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商务条件响应性</w:t>
            </w:r>
          </w:p>
        </w:tc>
        <w:tc>
          <w:tcPr>
            <w:tcW w:w="850" w:type="dxa"/>
            <w:vAlign w:val="center"/>
          </w:tcPr>
          <w:p w14:paraId="6CB992F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tc>
        <w:tc>
          <w:tcPr>
            <w:tcW w:w="6115" w:type="dxa"/>
            <w:vAlign w:val="center"/>
          </w:tcPr>
          <w:p w14:paraId="0AC5482D">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投标人对招标文件中合同条款（共27条）商务条件完全响应的得</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分；有负偏离的条款，每条扣0.1分。</w:t>
            </w:r>
            <w:r>
              <w:rPr>
                <w:rFonts w:hint="eastAsia" w:asciiTheme="minorEastAsia" w:hAnsiTheme="minorEastAsia" w:eastAsiaTheme="minorEastAsia" w:cstheme="minorEastAsia"/>
                <w:b/>
                <w:sz w:val="24"/>
                <w:szCs w:val="24"/>
              </w:rPr>
              <w:t>（付款方式不响应的按无效投标处理）</w:t>
            </w:r>
          </w:p>
        </w:tc>
      </w:tr>
    </w:tbl>
    <w:p w14:paraId="16A9A416">
      <w:pPr>
        <w:spacing w:line="440" w:lineRule="exact"/>
        <w:rPr>
          <w:rFonts w:hint="eastAsia" w:ascii="宋体" w:hAnsi="宋体"/>
          <w:b/>
          <w:bCs/>
          <w:sz w:val="24"/>
          <w:szCs w:val="24"/>
        </w:rPr>
      </w:pPr>
      <w:r>
        <w:rPr>
          <w:rFonts w:hint="eastAsia" w:ascii="宋体" w:hAnsi="宋体"/>
          <w:b/>
          <w:bCs/>
          <w:sz w:val="24"/>
          <w:szCs w:val="24"/>
        </w:rPr>
        <w:t>注：（1）上述投标文件中提供的相关证明材料需为清晰完整的彩色扫描件（照片），如存在扫描件（照片）无效、不清晰、不完整等情形使得评委会无法准确评审的，相关评审风险由投标人自行承担。</w:t>
      </w:r>
    </w:p>
    <w:p w14:paraId="544C8811">
      <w:pPr>
        <w:spacing w:line="440" w:lineRule="exact"/>
        <w:ind w:firstLine="482" w:firstLineChars="200"/>
        <w:rPr>
          <w:rFonts w:hint="eastAsia" w:ascii="宋体" w:hAnsi="宋体"/>
          <w:b/>
          <w:bCs/>
          <w:sz w:val="24"/>
          <w:szCs w:val="24"/>
        </w:rPr>
      </w:pPr>
      <w:r>
        <w:rPr>
          <w:rFonts w:hint="eastAsia" w:ascii="宋体" w:hAnsi="宋体"/>
          <w:b/>
          <w:bCs/>
          <w:sz w:val="24"/>
          <w:szCs w:val="24"/>
        </w:rPr>
        <w:t>（2）投标人在制作投标文件时请按投标文件规定的顺序编制，要求简洁、明了，并添加投标文件目录、页码、书签，便于评标委员会评审查阅。</w:t>
      </w:r>
    </w:p>
    <w:p w14:paraId="01DEF68C">
      <w:pPr>
        <w:spacing w:line="440" w:lineRule="exact"/>
        <w:ind w:firstLine="482" w:firstLineChars="200"/>
        <w:rPr>
          <w:rFonts w:hint="eastAsia" w:ascii="宋体" w:hAnsi="宋体"/>
          <w:b/>
          <w:bCs/>
          <w:sz w:val="24"/>
          <w:szCs w:val="24"/>
        </w:rPr>
      </w:pPr>
      <w:r>
        <w:rPr>
          <w:rFonts w:hint="eastAsia" w:ascii="宋体" w:hAnsi="宋体"/>
          <w:b/>
          <w:bCs/>
          <w:sz w:val="24"/>
          <w:szCs w:val="24"/>
        </w:rPr>
        <w:t>（3）对应第五章评分中服务响应/商务条件响应性说明：负偏离【以（一）****(每条)1.1****(每项)】。</w:t>
      </w:r>
    </w:p>
    <w:p w14:paraId="16E35E4D">
      <w:pPr>
        <w:spacing w:line="440" w:lineRule="exact"/>
        <w:rPr>
          <w:rFonts w:hint="eastAsia" w:hAnsi="宋体"/>
          <w:b/>
          <w:bCs/>
          <w:color w:val="000000" w:themeColor="text1"/>
          <w:sz w:val="28"/>
          <w14:textFill>
            <w14:solidFill>
              <w14:schemeClr w14:val="tx1"/>
            </w14:solidFill>
          </w14:textFill>
        </w:rPr>
      </w:pPr>
      <w:r>
        <w:rPr>
          <w:rFonts w:hint="eastAsia" w:hAnsi="宋体"/>
          <w:b/>
          <w:bCs/>
          <w:color w:val="000000" w:themeColor="text1"/>
          <w:sz w:val="28"/>
          <w14:textFill>
            <w14:solidFill>
              <w14:schemeClr w14:val="tx1"/>
            </w14:solidFill>
          </w14:textFill>
        </w:rPr>
        <w:t>三、政府采购政策：</w:t>
      </w:r>
    </w:p>
    <w:p w14:paraId="15991374">
      <w:pPr>
        <w:spacing w:line="440" w:lineRule="exact"/>
        <w:ind w:firstLine="482" w:firstLineChars="200"/>
        <w:rPr>
          <w:rFonts w:hint="eastAsia" w:ascii="宋体" w:hAnsi="宋体" w:cs="宋体"/>
          <w:b/>
          <w:bCs/>
          <w:sz w:val="24"/>
          <w:szCs w:val="24"/>
        </w:rPr>
      </w:pPr>
      <w:bookmarkStart w:id="375" w:name="_Toc22323"/>
      <w:r>
        <w:rPr>
          <w:rFonts w:hint="eastAsia" w:ascii="宋体" w:hAnsi="宋体" w:cs="宋体"/>
          <w:b/>
          <w:bCs/>
          <w:sz w:val="24"/>
          <w:szCs w:val="24"/>
        </w:rPr>
        <w:t>1、落实政府采购政策需满足的资格要求：</w:t>
      </w:r>
    </w:p>
    <w:p w14:paraId="6B661B8D">
      <w:pPr>
        <w:spacing w:line="440" w:lineRule="exact"/>
        <w:ind w:firstLine="482" w:firstLineChars="200"/>
        <w:rPr>
          <w:rFonts w:hint="eastAsia" w:ascii="宋体" w:hAnsi="宋体" w:cs="宋体"/>
          <w:b/>
          <w:bCs/>
          <w:sz w:val="24"/>
          <w:szCs w:val="24"/>
        </w:rPr>
      </w:pPr>
      <w:r>
        <w:rPr>
          <w:rFonts w:hint="eastAsia" w:ascii="宋体" w:hAnsi="宋体" w:cs="宋体"/>
          <w:b/>
          <w:bCs/>
          <w:sz w:val="24"/>
          <w:szCs w:val="24"/>
        </w:rPr>
        <w:t>（1）本项目专门面向中小企业采购，所属行业为工业。</w:t>
      </w:r>
    </w:p>
    <w:p w14:paraId="6383F6A0">
      <w:pPr>
        <w:spacing w:line="440" w:lineRule="exact"/>
        <w:ind w:firstLine="480" w:firstLineChars="200"/>
        <w:rPr>
          <w:rFonts w:hint="eastAsia" w:ascii="宋体" w:hAnsi="宋体" w:cs="宋体"/>
          <w:sz w:val="24"/>
          <w:szCs w:val="24"/>
        </w:rPr>
      </w:pPr>
      <w:r>
        <w:rPr>
          <w:rFonts w:hint="eastAsia" w:ascii="宋体" w:hAnsi="宋体" w:cs="宋体"/>
          <w:sz w:val="24"/>
          <w:szCs w:val="24"/>
        </w:rPr>
        <w:t>（2）在投标文件中须提供《中小企业声明函》。（填报严格按工信部联企业〔2011〕300号通知中的《中小企业划型标准规定》进行）。</w:t>
      </w:r>
    </w:p>
    <w:p w14:paraId="5875486C">
      <w:pPr>
        <w:spacing w:line="440" w:lineRule="exact"/>
        <w:ind w:firstLine="480" w:firstLineChars="200"/>
        <w:rPr>
          <w:rFonts w:hint="eastAsia" w:ascii="宋体" w:hAnsi="宋体" w:cs="宋体"/>
          <w:sz w:val="24"/>
          <w:szCs w:val="24"/>
        </w:rPr>
      </w:pPr>
      <w:r>
        <w:rPr>
          <w:rFonts w:hint="eastAsia" w:ascii="宋体" w:hAnsi="宋体" w:cs="宋体"/>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1C742C1">
      <w:pPr>
        <w:spacing w:line="440" w:lineRule="exact"/>
        <w:ind w:firstLine="480" w:firstLineChars="200"/>
        <w:rPr>
          <w:rFonts w:hint="eastAsia" w:ascii="宋体" w:hAnsi="宋体" w:cs="宋体"/>
          <w:sz w:val="24"/>
          <w:szCs w:val="24"/>
        </w:rPr>
      </w:pPr>
      <w:r>
        <w:rPr>
          <w:rFonts w:hint="eastAsia" w:ascii="宋体" w:hAnsi="宋体" w:cs="宋体"/>
          <w:sz w:val="24"/>
          <w:szCs w:val="24"/>
        </w:rPr>
        <w:t>（4）享受政府采购支持政策的残疾人福利性单位应当同时满足以下条件：</w:t>
      </w:r>
    </w:p>
    <w:p w14:paraId="54422467">
      <w:pPr>
        <w:spacing w:line="440" w:lineRule="exact"/>
        <w:ind w:firstLine="480" w:firstLineChars="200"/>
        <w:rPr>
          <w:rFonts w:hint="eastAsia" w:ascii="宋体" w:hAnsi="宋体" w:cs="宋体"/>
          <w:sz w:val="24"/>
          <w:szCs w:val="24"/>
        </w:rPr>
      </w:pPr>
      <w:r>
        <w:rPr>
          <w:rFonts w:hint="eastAsia" w:ascii="宋体" w:hAnsi="宋体" w:cs="宋体"/>
          <w:sz w:val="24"/>
          <w:szCs w:val="24"/>
        </w:rPr>
        <w:t>安置的残疾人占本单位在职职工人数的比例不低于25%（含25%），并且安置的残疾人人数不少于10人（含10人）；依法与安置的每位残疾人签订了一年以上（含一年）的劳动合同或服务协议；</w:t>
      </w:r>
    </w:p>
    <w:p w14:paraId="114CB39B">
      <w:pPr>
        <w:spacing w:line="440" w:lineRule="exact"/>
        <w:ind w:firstLine="480" w:firstLineChars="200"/>
        <w:rPr>
          <w:rFonts w:hint="eastAsia" w:ascii="宋体" w:hAnsi="宋体" w:cs="宋体"/>
          <w:sz w:val="24"/>
          <w:szCs w:val="24"/>
        </w:rPr>
      </w:pPr>
      <w:r>
        <w:rPr>
          <w:rFonts w:hint="eastAsia" w:ascii="宋体" w:hAnsi="宋体" w:cs="宋体"/>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525A8DB">
      <w:pPr>
        <w:spacing w:line="440" w:lineRule="exact"/>
        <w:ind w:firstLine="480" w:firstLineChars="200"/>
        <w:rPr>
          <w:rFonts w:hint="eastAsia" w:ascii="宋体" w:hAnsi="宋体" w:cs="宋体"/>
          <w:sz w:val="24"/>
          <w:szCs w:val="24"/>
        </w:rPr>
      </w:pPr>
      <w:r>
        <w:rPr>
          <w:rFonts w:hint="eastAsia" w:ascii="宋体" w:hAnsi="宋体" w:cs="宋体"/>
          <w:sz w:val="24"/>
          <w:szCs w:val="24"/>
        </w:rPr>
        <w:t>提供本单位制造的货物、承担的工程或者服务，或者提供其他残疾人福利性单位制造的货物（不包括使用非残疾人福利性单位注册商标的货物）。</w:t>
      </w:r>
    </w:p>
    <w:p w14:paraId="19B72ECD">
      <w:pPr>
        <w:spacing w:line="440" w:lineRule="exact"/>
        <w:ind w:firstLine="480" w:firstLineChars="200"/>
        <w:rPr>
          <w:rFonts w:hint="eastAsia" w:ascii="宋体" w:hAnsi="宋体" w:cs="宋体"/>
          <w:sz w:val="24"/>
          <w:szCs w:val="24"/>
        </w:rPr>
      </w:pPr>
      <w:r>
        <w:rPr>
          <w:rFonts w:hint="eastAsia" w:ascii="宋体" w:hAnsi="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D6AE64">
      <w:pPr>
        <w:spacing w:line="440" w:lineRule="exact"/>
        <w:ind w:firstLine="480" w:firstLineChars="200"/>
        <w:rPr>
          <w:rFonts w:hint="eastAsia" w:ascii="宋体" w:hAnsi="宋体" w:cs="宋体"/>
          <w:sz w:val="24"/>
          <w:szCs w:val="24"/>
        </w:rPr>
      </w:pPr>
      <w:r>
        <w:rPr>
          <w:rFonts w:hint="eastAsia" w:ascii="宋体" w:hAnsi="宋体" w:cs="宋体"/>
          <w:sz w:val="24"/>
          <w:szCs w:val="24"/>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375"/>
    <w:p w14:paraId="113466AF">
      <w:pPr>
        <w:spacing w:line="440" w:lineRule="exact"/>
        <w:ind w:firstLine="241" w:firstLineChars="100"/>
        <w:rPr>
          <w:rFonts w:hint="eastAsia" w:ascii="宋体" w:hAnsi="宋体" w:cs="宋体"/>
          <w:b/>
          <w:sz w:val="24"/>
          <w:szCs w:val="24"/>
        </w:rPr>
      </w:pPr>
      <w:r>
        <w:rPr>
          <w:rFonts w:hint="eastAsia" w:ascii="宋体" w:hAnsi="宋体" w:cs="宋体"/>
          <w:b/>
          <w:sz w:val="24"/>
          <w:szCs w:val="24"/>
        </w:rPr>
        <w:t>2、信用信息查询</w:t>
      </w:r>
    </w:p>
    <w:p w14:paraId="16171209">
      <w:pPr>
        <w:spacing w:line="440" w:lineRule="exact"/>
        <w:ind w:firstLine="480" w:firstLineChars="200"/>
        <w:rPr>
          <w:rFonts w:hint="eastAsia" w:ascii="宋体" w:hAnsi="宋体" w:cs="宋体"/>
          <w:sz w:val="24"/>
          <w:szCs w:val="24"/>
        </w:rPr>
      </w:pPr>
      <w:r>
        <w:rPr>
          <w:rFonts w:hint="eastAsia" w:ascii="宋体" w:hAnsi="宋体" w:cs="宋体"/>
          <w:sz w:val="24"/>
          <w:szCs w:val="24"/>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51017856">
      <w:pPr>
        <w:spacing w:line="440" w:lineRule="exact"/>
        <w:ind w:firstLine="480" w:firstLineChars="200"/>
        <w:rPr>
          <w:rFonts w:hint="eastAsia" w:ascii="宋体" w:hAnsi="宋体" w:cs="宋体"/>
          <w:sz w:val="24"/>
          <w:szCs w:val="24"/>
        </w:rPr>
      </w:pPr>
      <w:r>
        <w:rPr>
          <w:rFonts w:hint="eastAsia" w:ascii="宋体" w:hAnsi="宋体" w:cs="宋体"/>
          <w:sz w:val="24"/>
          <w:szCs w:val="24"/>
        </w:rPr>
        <w:t>1、查询截止时点：投标文件递交截止时间。</w:t>
      </w:r>
    </w:p>
    <w:p w14:paraId="78A52A9F">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2、查询渠道：信用中国 （ https://www.creditchina.gov.cn/ ）查询相关主体信用记录，并采取必要方式做好信用信息报告等查询记录留存，信用信息报告等查询记录应当与其他招标文件一并保存。 </w:t>
      </w:r>
    </w:p>
    <w:p w14:paraId="07517A08">
      <w:pPr>
        <w:spacing w:line="440" w:lineRule="exact"/>
        <w:ind w:firstLine="480" w:firstLineChars="200"/>
        <w:rPr>
          <w:rFonts w:hint="eastAsia" w:ascii="宋体" w:hAnsi="宋体" w:cs="宋体"/>
          <w:sz w:val="24"/>
          <w:szCs w:val="24"/>
        </w:rPr>
      </w:pPr>
      <w:r>
        <w:rPr>
          <w:rFonts w:hint="eastAsia" w:ascii="宋体" w:hAnsi="宋体" w:cs="宋体"/>
          <w:sz w:val="24"/>
          <w:szCs w:val="24"/>
        </w:rPr>
        <w:t>3、查询证据留存方式：</w:t>
      </w:r>
    </w:p>
    <w:p w14:paraId="6F3AA540">
      <w:pPr>
        <w:spacing w:line="440" w:lineRule="exact"/>
        <w:ind w:firstLine="480" w:firstLineChars="200"/>
        <w:rPr>
          <w:rFonts w:hint="eastAsia" w:ascii="宋体" w:hAnsi="宋体" w:cs="宋体"/>
          <w:sz w:val="24"/>
          <w:szCs w:val="24"/>
        </w:rPr>
      </w:pPr>
      <w:r>
        <w:rPr>
          <w:rFonts w:hint="eastAsia" w:ascii="宋体" w:hAnsi="宋体" w:cs="宋体"/>
          <w:sz w:val="24"/>
          <w:szCs w:val="24"/>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6F45697C">
      <w:pPr>
        <w:spacing w:line="440" w:lineRule="exact"/>
        <w:ind w:firstLine="480" w:firstLineChars="200"/>
        <w:rPr>
          <w:rFonts w:hint="eastAsia" w:ascii="宋体" w:hAnsi="宋体" w:cs="宋体"/>
          <w:sz w:val="24"/>
          <w:szCs w:val="24"/>
        </w:rPr>
      </w:pPr>
      <w:r>
        <w:rPr>
          <w:rFonts w:hint="eastAsia" w:ascii="宋体" w:hAnsi="宋体" w:cs="宋体"/>
          <w:sz w:val="24"/>
          <w:szCs w:val="24"/>
        </w:rPr>
        <w:t>4、信用记录使用规则：</w:t>
      </w:r>
    </w:p>
    <w:p w14:paraId="50163975">
      <w:pPr>
        <w:ind w:firstLine="480" w:firstLineChars="200"/>
        <w:rPr>
          <w:rFonts w:hint="eastAsia" w:ascii="宋体" w:hAnsi="宋体" w:cs="宋体"/>
          <w:b/>
          <w:color w:val="000000" w:themeColor="text1"/>
          <w:sz w:val="36"/>
          <w14:textFill>
            <w14:solidFill>
              <w14:schemeClr w14:val="tx1"/>
            </w14:solidFill>
          </w14:textFill>
        </w:rPr>
      </w:pPr>
      <w:r>
        <w:rPr>
          <w:rFonts w:hint="eastAsia" w:ascii="宋体" w:hAnsi="宋体" w:cs="宋体"/>
          <w:sz w:val="24"/>
          <w:szCs w:val="24"/>
        </w:rPr>
        <w:t>评标委员会在对投标人进行资格性审查时，应根据查询结果对投标人的不良信用记录逐项甄别确认。</w:t>
      </w:r>
    </w:p>
    <w:p w14:paraId="5E71983F">
      <w:pPr>
        <w:spacing w:line="440" w:lineRule="exact"/>
        <w:ind w:firstLine="241" w:firstLineChars="100"/>
        <w:rPr>
          <w:rFonts w:hint="eastAsia" w:ascii="宋体" w:hAnsi="宋体" w:cs="宋体"/>
          <w:b/>
          <w:sz w:val="24"/>
          <w:szCs w:val="24"/>
        </w:rPr>
      </w:pPr>
      <w:r>
        <w:rPr>
          <w:rFonts w:hint="eastAsia" w:ascii="宋体" w:hAnsi="宋体" w:cs="宋体"/>
          <w:b/>
          <w:sz w:val="24"/>
          <w:szCs w:val="24"/>
        </w:rPr>
        <w:t>3、节能产品和环境标志产品：</w:t>
      </w:r>
    </w:p>
    <w:p w14:paraId="08545C07">
      <w:pPr>
        <w:spacing w:line="480" w:lineRule="exact"/>
        <w:ind w:firstLine="420"/>
        <w:rPr>
          <w:rFonts w:hint="eastAsia" w:ascii="宋体" w:hAnsi="宋体" w:cs="宋体"/>
          <w:sz w:val="24"/>
          <w:szCs w:val="24"/>
        </w:rPr>
      </w:pPr>
      <w:r>
        <w:rPr>
          <w:rFonts w:hint="eastAsia" w:ascii="宋体" w:hAnsi="宋体" w:cs="宋体"/>
          <w:sz w:val="24"/>
          <w:szCs w:val="24"/>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0B95585">
      <w:pPr>
        <w:spacing w:line="480" w:lineRule="exact"/>
        <w:ind w:firstLine="420"/>
        <w:rPr>
          <w:rFonts w:hint="eastAsia" w:ascii="宋体" w:hAnsi="宋体" w:cs="宋体"/>
          <w:sz w:val="24"/>
          <w:szCs w:val="24"/>
        </w:rPr>
      </w:pPr>
      <w:r>
        <w:rPr>
          <w:rFonts w:hint="eastAsia" w:ascii="宋体" w:hAnsi="宋体" w:cs="宋体"/>
          <w:sz w:val="24"/>
          <w:szCs w:val="24"/>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438F03C8">
      <w:pPr>
        <w:autoSpaceDE w:val="0"/>
        <w:autoSpaceDN w:val="0"/>
        <w:spacing w:line="440" w:lineRule="exact"/>
        <w:ind w:firstLine="480" w:firstLineChars="200"/>
        <w:jc w:val="center"/>
        <w:outlineLvl w:val="0"/>
        <w:rPr>
          <w:rFonts w:hint="eastAsia" w:ascii="宋体" w:hAnsi="宋体" w:cs="宋体"/>
          <w:b/>
          <w:bCs/>
          <w:sz w:val="40"/>
          <w:szCs w:val="40"/>
        </w:rPr>
      </w:pPr>
      <w:r>
        <w:rPr>
          <w:rFonts w:hint="eastAsia" w:ascii="宋体" w:hAnsi="宋体" w:cs="宋体"/>
          <w:sz w:val="24"/>
          <w:szCs w:val="24"/>
        </w:rPr>
        <w:br w:type="page"/>
      </w:r>
      <w:bookmarkStart w:id="376" w:name="_Toc17387"/>
      <w:r>
        <w:rPr>
          <w:rFonts w:hint="eastAsia" w:ascii="宋体" w:hAnsi="宋体" w:cs="宋体"/>
          <w:b/>
          <w:bCs/>
          <w:sz w:val="40"/>
          <w:szCs w:val="40"/>
        </w:rPr>
        <w:t>第六章  投标</w:t>
      </w:r>
      <w:bookmarkEnd w:id="333"/>
      <w:bookmarkEnd w:id="334"/>
      <w:bookmarkEnd w:id="335"/>
      <w:r>
        <w:rPr>
          <w:rFonts w:hint="eastAsia" w:ascii="宋体" w:hAnsi="宋体" w:cs="宋体"/>
          <w:b/>
          <w:bCs/>
          <w:sz w:val="40"/>
          <w:szCs w:val="40"/>
        </w:rPr>
        <w:t>文件格式</w:t>
      </w:r>
      <w:bookmarkEnd w:id="376"/>
      <w:r>
        <w:rPr>
          <w:rFonts w:hint="eastAsia" w:ascii="宋体" w:hAnsi="宋体" w:cs="宋体"/>
          <w:b/>
          <w:bCs/>
          <w:sz w:val="40"/>
          <w:szCs w:val="40"/>
        </w:rPr>
        <w:t xml:space="preserve"> </w:t>
      </w:r>
    </w:p>
    <w:p w14:paraId="03445A9D">
      <w:pPr>
        <w:ind w:firstLine="1446"/>
        <w:jc w:val="center"/>
        <w:rPr>
          <w:rFonts w:hint="eastAsia" w:ascii="宋体" w:hAnsi="宋体" w:cs="宋体"/>
          <w:b/>
          <w:sz w:val="72"/>
          <w:szCs w:val="21"/>
        </w:rPr>
      </w:pPr>
      <w:bookmarkStart w:id="377" w:name="_Hlt26955039"/>
      <w:bookmarkEnd w:id="377"/>
      <w:bookmarkStart w:id="378" w:name="_Hlt26671244"/>
      <w:bookmarkEnd w:id="378"/>
      <w:bookmarkStart w:id="379" w:name="_Toc49090576"/>
      <w:bookmarkStart w:id="380" w:name="_Toc120614282"/>
      <w:bookmarkStart w:id="381" w:name="_Toc26554094"/>
    </w:p>
    <w:p w14:paraId="0542813D">
      <w:pPr>
        <w:ind w:firstLine="1446"/>
        <w:jc w:val="center"/>
        <w:rPr>
          <w:rFonts w:hint="eastAsia" w:ascii="宋体" w:hAnsi="宋体" w:cs="宋体"/>
          <w:b/>
          <w:sz w:val="72"/>
          <w:szCs w:val="21"/>
        </w:rPr>
      </w:pPr>
      <w:r>
        <w:rPr>
          <w:rFonts w:hint="eastAsia" w:ascii="宋体" w:hAnsi="宋体" w:cs="宋体"/>
          <w:b/>
          <w:sz w:val="72"/>
          <w:szCs w:val="21"/>
        </w:rPr>
        <w:t>投  标  文  件</w:t>
      </w:r>
    </w:p>
    <w:p w14:paraId="10DB1970">
      <w:pPr>
        <w:ind w:firstLine="1446"/>
        <w:jc w:val="center"/>
        <w:rPr>
          <w:rFonts w:hint="eastAsia" w:ascii="宋体" w:hAnsi="宋体" w:cs="宋体"/>
          <w:b/>
          <w:sz w:val="72"/>
          <w:szCs w:val="21"/>
        </w:rPr>
      </w:pPr>
    </w:p>
    <w:p w14:paraId="1866E893">
      <w:pPr>
        <w:ind w:firstLine="1446"/>
        <w:jc w:val="center"/>
        <w:rPr>
          <w:rFonts w:hint="eastAsia" w:ascii="宋体" w:hAnsi="宋体" w:cs="宋体"/>
          <w:b/>
          <w:sz w:val="72"/>
          <w:szCs w:val="21"/>
        </w:rPr>
      </w:pPr>
    </w:p>
    <w:p w14:paraId="25D791AF">
      <w:pPr>
        <w:ind w:firstLine="723"/>
        <w:jc w:val="center"/>
        <w:rPr>
          <w:rFonts w:hint="eastAsia" w:ascii="宋体" w:hAnsi="宋体" w:cs="宋体"/>
          <w:b/>
          <w:sz w:val="36"/>
          <w:szCs w:val="21"/>
        </w:rPr>
      </w:pPr>
    </w:p>
    <w:p w14:paraId="08047BEA">
      <w:pPr>
        <w:ind w:firstLine="723"/>
        <w:jc w:val="center"/>
        <w:rPr>
          <w:rFonts w:hint="eastAsia" w:ascii="宋体" w:hAnsi="宋体" w:cs="宋体"/>
          <w:b/>
          <w:sz w:val="36"/>
          <w:szCs w:val="21"/>
        </w:rPr>
      </w:pPr>
    </w:p>
    <w:p w14:paraId="72580DFB">
      <w:pPr>
        <w:ind w:firstLine="723"/>
        <w:jc w:val="center"/>
        <w:rPr>
          <w:rFonts w:hint="eastAsia" w:ascii="宋体" w:hAnsi="宋体" w:cs="宋体"/>
          <w:b/>
          <w:sz w:val="36"/>
          <w:szCs w:val="21"/>
        </w:rPr>
      </w:pPr>
    </w:p>
    <w:p w14:paraId="1E1AC9B3">
      <w:pPr>
        <w:spacing w:line="480" w:lineRule="exact"/>
        <w:ind w:firstLine="803" w:firstLineChars="200"/>
        <w:rPr>
          <w:rFonts w:hint="eastAsia" w:ascii="宋体" w:hAnsi="宋体" w:cs="宋体"/>
          <w:b/>
          <w:sz w:val="40"/>
        </w:rPr>
      </w:pPr>
      <w:r>
        <w:rPr>
          <w:rFonts w:hint="eastAsia" w:ascii="宋体" w:hAnsi="宋体" w:cs="宋体"/>
          <w:b/>
          <w:sz w:val="40"/>
        </w:rPr>
        <w:t>项 目 名 称：</w:t>
      </w:r>
      <w:r>
        <w:rPr>
          <w:rFonts w:hint="eastAsia" w:ascii="宋体" w:hAnsi="宋体" w:cs="宋体"/>
          <w:b/>
          <w:sz w:val="36"/>
          <w:szCs w:val="24"/>
        </w:rPr>
        <w:t>2024年常熟市农业绿色发展监测项目（硬件设施建设）</w:t>
      </w:r>
    </w:p>
    <w:p w14:paraId="0C15DB0C">
      <w:pPr>
        <w:spacing w:line="480" w:lineRule="exact"/>
        <w:ind w:firstLine="803"/>
        <w:rPr>
          <w:rFonts w:hint="eastAsia" w:ascii="宋体" w:hAnsi="宋体" w:cs="宋体"/>
          <w:b/>
          <w:sz w:val="40"/>
        </w:rPr>
      </w:pPr>
    </w:p>
    <w:p w14:paraId="5C1E1EEF">
      <w:pPr>
        <w:spacing w:line="480" w:lineRule="exact"/>
        <w:ind w:firstLine="803" w:firstLineChars="200"/>
        <w:rPr>
          <w:rFonts w:hint="eastAsia" w:ascii="宋体" w:hAnsi="宋体" w:eastAsia="宋体" w:cs="宋体"/>
          <w:b/>
          <w:sz w:val="40"/>
          <w:u w:val="single"/>
          <w:lang w:eastAsia="zh-CN"/>
        </w:rPr>
      </w:pPr>
      <w:r>
        <w:rPr>
          <w:rFonts w:hint="eastAsia" w:ascii="宋体" w:hAnsi="宋体" w:cs="宋体"/>
          <w:b/>
          <w:sz w:val="40"/>
        </w:rPr>
        <w:t>项 目 编 号：</w:t>
      </w:r>
      <w:r>
        <w:rPr>
          <w:rFonts w:hint="eastAsia" w:ascii="宋体" w:hAnsi="宋体" w:cs="宋体"/>
          <w:b/>
          <w:sz w:val="36"/>
          <w:szCs w:val="24"/>
          <w:lang w:eastAsia="zh-CN"/>
        </w:rPr>
        <w:t>JSZC-320581-HXGW-G2024-0096</w:t>
      </w:r>
    </w:p>
    <w:p w14:paraId="5C589639">
      <w:pPr>
        <w:spacing w:line="480" w:lineRule="exact"/>
        <w:ind w:firstLine="803"/>
        <w:rPr>
          <w:rFonts w:hint="eastAsia" w:ascii="宋体" w:hAnsi="宋体" w:cs="宋体"/>
          <w:b/>
          <w:sz w:val="40"/>
        </w:rPr>
      </w:pPr>
    </w:p>
    <w:p w14:paraId="2DA53150">
      <w:pPr>
        <w:spacing w:line="480" w:lineRule="exact"/>
        <w:ind w:firstLine="803"/>
        <w:rPr>
          <w:rFonts w:hint="eastAsia" w:ascii="宋体" w:hAnsi="宋体" w:cs="宋体"/>
          <w:b/>
          <w:sz w:val="40"/>
        </w:rPr>
      </w:pPr>
    </w:p>
    <w:p w14:paraId="25BEACC3">
      <w:pPr>
        <w:spacing w:line="480" w:lineRule="exact"/>
        <w:ind w:firstLine="803"/>
        <w:rPr>
          <w:rFonts w:hint="eastAsia" w:ascii="宋体" w:hAnsi="宋体" w:cs="宋体"/>
          <w:b/>
          <w:sz w:val="40"/>
        </w:rPr>
      </w:pPr>
    </w:p>
    <w:p w14:paraId="63EF9D2F">
      <w:pPr>
        <w:spacing w:line="480" w:lineRule="exact"/>
        <w:ind w:firstLine="803"/>
        <w:rPr>
          <w:rFonts w:hint="eastAsia" w:ascii="宋体" w:hAnsi="宋体" w:cs="宋体"/>
          <w:b/>
          <w:sz w:val="40"/>
        </w:rPr>
      </w:pPr>
    </w:p>
    <w:p w14:paraId="24444B05">
      <w:pPr>
        <w:spacing w:line="480" w:lineRule="exact"/>
        <w:ind w:firstLine="803"/>
        <w:rPr>
          <w:rFonts w:hint="eastAsia" w:ascii="宋体" w:hAnsi="宋体" w:cs="宋体"/>
          <w:b/>
          <w:sz w:val="40"/>
        </w:rPr>
      </w:pPr>
    </w:p>
    <w:p w14:paraId="17450E61">
      <w:pPr>
        <w:spacing w:line="480" w:lineRule="exact"/>
        <w:ind w:firstLine="803"/>
        <w:rPr>
          <w:rFonts w:hint="eastAsia" w:ascii="宋体" w:hAnsi="宋体" w:cs="宋体"/>
          <w:b/>
          <w:sz w:val="40"/>
        </w:rPr>
      </w:pPr>
    </w:p>
    <w:p w14:paraId="661EF4B4">
      <w:pPr>
        <w:spacing w:line="480" w:lineRule="exact"/>
        <w:ind w:firstLine="803"/>
        <w:rPr>
          <w:rFonts w:hint="eastAsia" w:ascii="宋体" w:hAnsi="宋体" w:cs="宋体"/>
          <w:b/>
          <w:sz w:val="40"/>
        </w:rPr>
      </w:pPr>
    </w:p>
    <w:p w14:paraId="01BFD54D">
      <w:pPr>
        <w:spacing w:line="480" w:lineRule="exact"/>
        <w:ind w:firstLine="803"/>
        <w:rPr>
          <w:rFonts w:hint="eastAsia" w:ascii="宋体" w:hAnsi="宋体" w:cs="宋体"/>
          <w:b/>
          <w:sz w:val="40"/>
        </w:rPr>
      </w:pPr>
    </w:p>
    <w:p w14:paraId="6571686E">
      <w:pPr>
        <w:spacing w:line="480" w:lineRule="exact"/>
        <w:ind w:firstLine="803"/>
        <w:jc w:val="center"/>
        <w:rPr>
          <w:rFonts w:hint="eastAsia" w:ascii="宋体" w:hAnsi="宋体" w:cs="宋体"/>
          <w:b/>
          <w:sz w:val="40"/>
          <w:u w:val="single"/>
        </w:rPr>
      </w:pPr>
      <w:r>
        <w:rPr>
          <w:rFonts w:hint="eastAsia" w:ascii="宋体" w:hAnsi="宋体" w:cs="宋体"/>
          <w:b/>
          <w:sz w:val="40"/>
        </w:rPr>
        <w:t>投标人名称 ：</w:t>
      </w:r>
      <w:r>
        <w:rPr>
          <w:rFonts w:hint="eastAsia" w:ascii="宋体" w:hAnsi="宋体" w:cs="宋体"/>
          <w:b/>
          <w:sz w:val="40"/>
          <w:u w:val="single"/>
        </w:rPr>
        <w:t>（加盖CA电子公章）</w:t>
      </w:r>
    </w:p>
    <w:p w14:paraId="349637AA">
      <w:pPr>
        <w:spacing w:line="480" w:lineRule="exact"/>
        <w:ind w:firstLine="803"/>
        <w:jc w:val="center"/>
        <w:rPr>
          <w:rFonts w:hint="eastAsia" w:ascii="宋体" w:hAnsi="宋体" w:cs="宋体"/>
          <w:b/>
          <w:sz w:val="40"/>
        </w:rPr>
      </w:pPr>
    </w:p>
    <w:p w14:paraId="5AF8B721">
      <w:pPr>
        <w:spacing w:line="480" w:lineRule="exact"/>
        <w:ind w:firstLine="803"/>
        <w:jc w:val="center"/>
        <w:rPr>
          <w:rFonts w:hint="eastAsia" w:ascii="宋体" w:hAnsi="宋体" w:cs="宋体"/>
          <w:b/>
          <w:sz w:val="40"/>
          <w:u w:val="single"/>
        </w:rPr>
      </w:pPr>
      <w:r>
        <w:rPr>
          <w:rFonts w:hint="eastAsia" w:ascii="宋体" w:hAnsi="宋体" w:cs="宋体"/>
          <w:b/>
          <w:sz w:val="40"/>
        </w:rPr>
        <w:t>日      期 ：</w:t>
      </w:r>
      <w:r>
        <w:rPr>
          <w:rFonts w:hint="eastAsia" w:ascii="宋体" w:hAnsi="宋体" w:cs="宋体"/>
          <w:b/>
          <w:sz w:val="36"/>
          <w:szCs w:val="24"/>
        </w:rPr>
        <w:t>2024</w:t>
      </w:r>
      <w:r>
        <w:rPr>
          <w:rFonts w:hint="eastAsia" w:ascii="宋体" w:hAnsi="宋体" w:cs="宋体"/>
          <w:b/>
          <w:sz w:val="40"/>
          <w:szCs w:val="40"/>
        </w:rPr>
        <w:t>年   月     日</w:t>
      </w:r>
    </w:p>
    <w:p w14:paraId="5F46DA85">
      <w:pPr>
        <w:spacing w:line="440" w:lineRule="exact"/>
        <w:rPr>
          <w:rFonts w:hint="eastAsia" w:ascii="宋体" w:hAnsi="宋体" w:cs="宋体"/>
          <w:szCs w:val="21"/>
        </w:rPr>
      </w:pPr>
    </w:p>
    <w:p w14:paraId="4A2673BC">
      <w:pPr>
        <w:widowControl/>
        <w:ind w:firstLine="643"/>
        <w:jc w:val="left"/>
        <w:rPr>
          <w:rFonts w:hint="eastAsia" w:ascii="宋体" w:hAnsi="宋体" w:cs="宋体"/>
          <w:b/>
          <w:bCs/>
          <w:sz w:val="32"/>
          <w:szCs w:val="32"/>
        </w:rPr>
      </w:pPr>
      <w:r>
        <w:rPr>
          <w:rFonts w:hint="eastAsia" w:ascii="宋体" w:hAnsi="宋体" w:cs="宋体"/>
          <w:b/>
          <w:bCs/>
          <w:sz w:val="32"/>
          <w:szCs w:val="32"/>
        </w:rPr>
        <w:br w:type="page"/>
      </w:r>
    </w:p>
    <w:p w14:paraId="034BB3E9">
      <w:pPr>
        <w:spacing w:line="440" w:lineRule="exact"/>
        <w:ind w:firstLine="643"/>
        <w:jc w:val="center"/>
        <w:rPr>
          <w:rFonts w:hint="eastAsia" w:ascii="宋体" w:hAnsi="宋体" w:cs="宋体"/>
          <w:b/>
          <w:bCs/>
          <w:sz w:val="32"/>
          <w:szCs w:val="32"/>
        </w:rPr>
      </w:pPr>
      <w:r>
        <w:rPr>
          <w:rFonts w:hint="eastAsia" w:ascii="宋体" w:hAnsi="宋体" w:cs="宋体"/>
          <w:b/>
          <w:bCs/>
          <w:sz w:val="32"/>
          <w:szCs w:val="32"/>
        </w:rPr>
        <w:t>投标文件目录</w:t>
      </w:r>
    </w:p>
    <w:p w14:paraId="6CA3084A">
      <w:pPr>
        <w:spacing w:line="400" w:lineRule="exact"/>
        <w:ind w:firstLine="482" w:firstLineChars="200"/>
        <w:rPr>
          <w:rFonts w:hint="eastAsia" w:ascii="宋体" w:hAnsi="宋体"/>
          <w:b/>
          <w:bCs/>
          <w:sz w:val="24"/>
          <w:szCs w:val="24"/>
        </w:rPr>
      </w:pPr>
      <w:r>
        <w:rPr>
          <w:rFonts w:hint="eastAsia" w:ascii="宋体" w:hAnsi="宋体"/>
          <w:b/>
          <w:bCs/>
          <w:sz w:val="24"/>
          <w:szCs w:val="24"/>
        </w:rPr>
        <w:t>一、基本目录</w:t>
      </w:r>
    </w:p>
    <w:p w14:paraId="4646EEB1">
      <w:pPr>
        <w:spacing w:line="400" w:lineRule="exact"/>
        <w:ind w:firstLine="480" w:firstLineChars="200"/>
        <w:rPr>
          <w:rFonts w:hint="eastAsia" w:ascii="宋体" w:hAnsi="宋体"/>
          <w:sz w:val="24"/>
          <w:szCs w:val="24"/>
        </w:rPr>
      </w:pPr>
      <w:r>
        <w:rPr>
          <w:rFonts w:hint="eastAsia" w:ascii="宋体" w:hAnsi="宋体"/>
          <w:sz w:val="24"/>
          <w:szCs w:val="24"/>
        </w:rPr>
        <w:t>*1、</w:t>
      </w:r>
      <w:r>
        <w:rPr>
          <w:rFonts w:hint="eastAsia" w:ascii="宋体" w:hAnsi="宋体"/>
          <w:sz w:val="24"/>
        </w:rPr>
        <w:t>开标一览表</w:t>
      </w:r>
      <w:r>
        <w:rPr>
          <w:rFonts w:hint="eastAsia" w:ascii="宋体" w:hAnsi="宋体"/>
          <w:sz w:val="24"/>
          <w:szCs w:val="24"/>
        </w:rPr>
        <w:t>（格式见附件1）</w:t>
      </w:r>
    </w:p>
    <w:p w14:paraId="356A9D1B">
      <w:pPr>
        <w:spacing w:line="40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rPr>
        <w:t>报价明细表</w:t>
      </w:r>
      <w:r>
        <w:rPr>
          <w:rFonts w:hint="eastAsia" w:ascii="宋体" w:hAnsi="宋体"/>
          <w:sz w:val="24"/>
          <w:szCs w:val="24"/>
        </w:rPr>
        <w:t>（格式见附件2）</w:t>
      </w:r>
    </w:p>
    <w:p w14:paraId="77234779">
      <w:pPr>
        <w:spacing w:line="400" w:lineRule="exact"/>
        <w:ind w:firstLine="482" w:firstLineChars="200"/>
        <w:rPr>
          <w:rFonts w:hint="eastAsia" w:ascii="宋体" w:hAnsi="宋体"/>
          <w:b/>
          <w:bCs/>
          <w:sz w:val="24"/>
          <w:szCs w:val="24"/>
        </w:rPr>
      </w:pPr>
      <w:r>
        <w:rPr>
          <w:rFonts w:hint="eastAsia" w:ascii="宋体" w:hAnsi="宋体"/>
          <w:b/>
          <w:bCs/>
          <w:sz w:val="24"/>
          <w:szCs w:val="24"/>
        </w:rPr>
        <w:t>二、资格审查内容</w:t>
      </w:r>
    </w:p>
    <w:p w14:paraId="3F71C393">
      <w:pPr>
        <w:spacing w:line="400" w:lineRule="exact"/>
        <w:ind w:firstLine="480" w:firstLineChars="20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203E578A">
      <w:pPr>
        <w:spacing w:line="400" w:lineRule="exact"/>
        <w:ind w:firstLine="720" w:firstLineChars="300"/>
        <w:rPr>
          <w:rFonts w:hint="eastAsia" w:ascii="宋体" w:hAnsi="宋体"/>
          <w:sz w:val="24"/>
          <w:szCs w:val="24"/>
        </w:rPr>
      </w:pPr>
      <w:r>
        <w:rPr>
          <w:rFonts w:hint="eastAsia" w:ascii="宋体" w:hAnsi="宋体"/>
          <w:sz w:val="24"/>
          <w:szCs w:val="24"/>
        </w:rPr>
        <w:t>1.1 法人或者其他组织的营业执照等证明文件；</w:t>
      </w:r>
    </w:p>
    <w:p w14:paraId="117D1B18">
      <w:pPr>
        <w:spacing w:line="400" w:lineRule="exact"/>
        <w:ind w:firstLine="720" w:firstLineChars="300"/>
        <w:rPr>
          <w:rFonts w:hint="eastAsia" w:ascii="宋体" w:hAnsi="宋体"/>
          <w:sz w:val="24"/>
          <w:szCs w:val="24"/>
        </w:rPr>
      </w:pPr>
      <w:r>
        <w:rPr>
          <w:rFonts w:hint="eastAsia" w:ascii="宋体" w:hAnsi="宋体"/>
          <w:sz w:val="24"/>
          <w:szCs w:val="24"/>
        </w:rPr>
        <w:t xml:space="preserve">1.2 </w:t>
      </w:r>
      <w:r>
        <w:rPr>
          <w:rFonts w:hint="eastAsia" w:ascii="宋体" w:hAnsi="宋体" w:cs="宋体"/>
          <w:b/>
          <w:sz w:val="24"/>
          <w:szCs w:val="24"/>
        </w:rPr>
        <w:t>2022年</w:t>
      </w:r>
      <w:r>
        <w:rPr>
          <w:rFonts w:hint="eastAsia" w:ascii="宋体" w:hAnsi="宋体" w:cs="宋体"/>
          <w:bCs/>
          <w:sz w:val="24"/>
          <w:szCs w:val="24"/>
        </w:rPr>
        <w:t>至今任意一期</w:t>
      </w:r>
      <w:r>
        <w:rPr>
          <w:rFonts w:hint="eastAsia" w:ascii="宋体" w:hAnsi="宋体" w:cs="宋体"/>
          <w:b/>
          <w:sz w:val="24"/>
          <w:szCs w:val="24"/>
        </w:rPr>
        <w:t>经审计</w:t>
      </w:r>
      <w:r>
        <w:rPr>
          <w:rFonts w:hint="eastAsia" w:ascii="宋体" w:hAnsi="宋体" w:cs="宋体"/>
          <w:bCs/>
          <w:sz w:val="24"/>
          <w:szCs w:val="24"/>
        </w:rPr>
        <w:t>的财务报告或者近期由银行出具的资信证明</w:t>
      </w:r>
      <w:r>
        <w:rPr>
          <w:rFonts w:hint="eastAsia" w:ascii="宋体" w:hAnsi="宋体"/>
          <w:bCs/>
          <w:sz w:val="24"/>
          <w:szCs w:val="24"/>
        </w:rPr>
        <w:t>；</w:t>
      </w:r>
    </w:p>
    <w:p w14:paraId="25D6B3FE">
      <w:pPr>
        <w:spacing w:line="400" w:lineRule="exact"/>
        <w:ind w:firstLine="720" w:firstLineChars="300"/>
        <w:rPr>
          <w:rFonts w:hint="eastAsia" w:ascii="宋体" w:hAnsi="宋体"/>
          <w:sz w:val="24"/>
          <w:szCs w:val="24"/>
        </w:rPr>
      </w:pPr>
      <w:r>
        <w:rPr>
          <w:rFonts w:hint="eastAsia" w:ascii="宋体" w:hAnsi="宋体"/>
          <w:sz w:val="24"/>
          <w:szCs w:val="24"/>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7464D086">
      <w:pPr>
        <w:spacing w:line="400" w:lineRule="exact"/>
        <w:ind w:firstLine="720" w:firstLineChars="300"/>
        <w:rPr>
          <w:rFonts w:hint="eastAsia" w:ascii="宋体" w:hAnsi="宋体"/>
          <w:sz w:val="24"/>
          <w:szCs w:val="24"/>
        </w:rPr>
      </w:pPr>
      <w:r>
        <w:rPr>
          <w:rFonts w:hint="eastAsia" w:ascii="宋体" w:hAnsi="宋体"/>
          <w:sz w:val="24"/>
          <w:szCs w:val="24"/>
        </w:rPr>
        <w:t>1.4 具备履行合同所必需的设备和专业技术能力的书面声明（格式见附件10）</w:t>
      </w:r>
    </w:p>
    <w:p w14:paraId="23D186B4">
      <w:pPr>
        <w:spacing w:line="400" w:lineRule="exact"/>
        <w:ind w:firstLine="720" w:firstLineChars="300"/>
        <w:rPr>
          <w:rFonts w:hint="eastAsia" w:ascii="宋体" w:hAnsi="宋体"/>
          <w:sz w:val="24"/>
          <w:szCs w:val="24"/>
        </w:rPr>
      </w:pPr>
      <w:r>
        <w:rPr>
          <w:rFonts w:hint="eastAsia" w:ascii="宋体" w:hAnsi="宋体"/>
          <w:sz w:val="24"/>
          <w:szCs w:val="24"/>
        </w:rPr>
        <w:t>1.5 参加政府采购活动前 3 年内在经营活动中没有重大违法记录的书面声明（格式见附件11）</w:t>
      </w:r>
    </w:p>
    <w:p w14:paraId="34E4309B">
      <w:pPr>
        <w:spacing w:line="400" w:lineRule="exact"/>
        <w:ind w:firstLine="480" w:firstLineChars="200"/>
        <w:rPr>
          <w:rFonts w:hint="eastAsia" w:ascii="宋体" w:hAnsi="宋体"/>
          <w:sz w:val="24"/>
          <w:szCs w:val="24"/>
        </w:rPr>
      </w:pPr>
      <w:r>
        <w:rPr>
          <w:rFonts w:hint="eastAsia" w:ascii="宋体" w:hAnsi="宋体"/>
          <w:sz w:val="24"/>
          <w:szCs w:val="24"/>
        </w:rPr>
        <w:t>*2、中小企业声明函（格式见附件13）或残疾人福利性单位声明函（格式见附件14）或省级以上监狱管理局、戒毒管理局（含新疆生产建设兵团）出具的属于监狱企业的证明文件</w:t>
      </w:r>
    </w:p>
    <w:p w14:paraId="44DB3ECB">
      <w:pPr>
        <w:spacing w:line="400" w:lineRule="exact"/>
        <w:ind w:firstLine="482" w:firstLineChars="200"/>
        <w:rPr>
          <w:rFonts w:hint="eastAsia" w:ascii="宋体" w:hAnsi="宋体"/>
          <w:b/>
          <w:bCs/>
          <w:sz w:val="24"/>
          <w:szCs w:val="24"/>
        </w:rPr>
      </w:pPr>
      <w:r>
        <w:rPr>
          <w:rFonts w:hint="eastAsia" w:ascii="宋体" w:hAnsi="宋体"/>
          <w:b/>
          <w:bCs/>
          <w:sz w:val="24"/>
          <w:szCs w:val="24"/>
        </w:rPr>
        <w:t>注：其中加“*”项目若有缺失或无效，将导致其投标文件无效且不允许在投标文件开启时间后补正。</w:t>
      </w:r>
    </w:p>
    <w:p w14:paraId="41A061F3">
      <w:pPr>
        <w:spacing w:line="400" w:lineRule="exact"/>
        <w:ind w:firstLine="482" w:firstLineChars="200"/>
        <w:rPr>
          <w:rFonts w:hint="eastAsia" w:ascii="宋体" w:hAnsi="宋体"/>
          <w:b/>
          <w:bCs/>
          <w:sz w:val="24"/>
          <w:szCs w:val="24"/>
        </w:rPr>
      </w:pPr>
      <w:r>
        <w:rPr>
          <w:rFonts w:hint="eastAsia" w:ascii="宋体" w:hAnsi="宋体"/>
          <w:b/>
          <w:bCs/>
          <w:sz w:val="24"/>
          <w:szCs w:val="24"/>
        </w:rPr>
        <w:t>三、符合性审查内容</w:t>
      </w:r>
    </w:p>
    <w:p w14:paraId="18FE96C4">
      <w:pPr>
        <w:spacing w:line="400" w:lineRule="exact"/>
        <w:ind w:firstLine="480" w:firstLineChars="200"/>
        <w:rPr>
          <w:rFonts w:hint="eastAsia" w:ascii="宋体" w:hAnsi="宋体"/>
          <w:sz w:val="24"/>
          <w:szCs w:val="24"/>
        </w:rPr>
      </w:pPr>
      <w:r>
        <w:rPr>
          <w:rFonts w:hint="eastAsia" w:ascii="宋体" w:hAnsi="宋体"/>
          <w:sz w:val="24"/>
          <w:szCs w:val="24"/>
        </w:rPr>
        <w:t>1.法人授权书（格式见附件12）（如法定代表人签署投标文件的，法人授权书无需提供）</w:t>
      </w:r>
    </w:p>
    <w:p w14:paraId="1E50DB4F">
      <w:pPr>
        <w:spacing w:line="400" w:lineRule="exact"/>
        <w:ind w:firstLine="480" w:firstLineChars="200"/>
        <w:rPr>
          <w:rFonts w:hint="eastAsia" w:ascii="宋体" w:hAnsi="宋体"/>
          <w:sz w:val="24"/>
          <w:szCs w:val="24"/>
        </w:rPr>
      </w:pPr>
      <w:r>
        <w:rPr>
          <w:rFonts w:hint="eastAsia" w:ascii="宋体" w:hAnsi="宋体"/>
          <w:sz w:val="24"/>
          <w:szCs w:val="24"/>
        </w:rPr>
        <w:t>2.投标函（格式见附件15）</w:t>
      </w:r>
    </w:p>
    <w:p w14:paraId="4117F526">
      <w:pPr>
        <w:spacing w:line="400" w:lineRule="exact"/>
        <w:ind w:firstLine="480" w:firstLineChars="200"/>
        <w:rPr>
          <w:rFonts w:hint="eastAsia" w:ascii="宋体" w:hAnsi="宋体"/>
          <w:sz w:val="24"/>
          <w:szCs w:val="24"/>
        </w:rPr>
      </w:pPr>
      <w:r>
        <w:rPr>
          <w:rFonts w:hint="eastAsia" w:ascii="宋体" w:hAnsi="宋体"/>
          <w:sz w:val="24"/>
        </w:rPr>
        <w:t>3.</w:t>
      </w:r>
      <w:r>
        <w:rPr>
          <w:rFonts w:hint="eastAsia" w:ascii="宋体" w:hAnsi="宋体"/>
          <w:sz w:val="24"/>
          <w:szCs w:val="24"/>
        </w:rPr>
        <w:t>实质性要求响应及偏离表（格式见附件16）</w:t>
      </w:r>
    </w:p>
    <w:p w14:paraId="0C5D4723">
      <w:pPr>
        <w:spacing w:line="400" w:lineRule="exact"/>
        <w:ind w:firstLine="480" w:firstLineChars="200"/>
        <w:rPr>
          <w:rFonts w:hint="eastAsia" w:ascii="宋体" w:hAnsi="宋体"/>
          <w:sz w:val="24"/>
        </w:rPr>
      </w:pPr>
      <w:r>
        <w:rPr>
          <w:rFonts w:hint="eastAsia" w:ascii="宋体" w:hAnsi="宋体"/>
          <w:sz w:val="24"/>
        </w:rPr>
        <w:t>4.技术参数响应及偏离表（格式见</w:t>
      </w:r>
      <w:r>
        <w:rPr>
          <w:rFonts w:ascii="宋体" w:hAnsi="宋体"/>
          <w:sz w:val="24"/>
        </w:rPr>
        <w:t>附件</w:t>
      </w:r>
      <w:r>
        <w:rPr>
          <w:rFonts w:hint="eastAsia" w:ascii="宋体" w:hAnsi="宋体"/>
          <w:sz w:val="24"/>
        </w:rPr>
        <w:t>3）</w:t>
      </w:r>
    </w:p>
    <w:p w14:paraId="59B3C819">
      <w:pPr>
        <w:spacing w:line="400" w:lineRule="exact"/>
        <w:ind w:firstLine="480" w:firstLineChars="200"/>
        <w:rPr>
          <w:rFonts w:hint="eastAsia" w:ascii="宋体" w:hAnsi="宋体"/>
          <w:sz w:val="24"/>
          <w:szCs w:val="24"/>
        </w:rPr>
      </w:pPr>
      <w:r>
        <w:rPr>
          <w:rFonts w:hint="eastAsia" w:ascii="宋体" w:hAnsi="宋体"/>
          <w:sz w:val="24"/>
        </w:rPr>
        <w:t>5.商务要求响应及偏离表</w:t>
      </w:r>
      <w:r>
        <w:rPr>
          <w:rFonts w:hint="eastAsia" w:ascii="宋体" w:hAnsi="宋体"/>
          <w:sz w:val="24"/>
          <w:szCs w:val="24"/>
        </w:rPr>
        <w:t>（格式见附件9）</w:t>
      </w:r>
    </w:p>
    <w:p w14:paraId="6759C4B1">
      <w:pPr>
        <w:spacing w:line="400" w:lineRule="exact"/>
        <w:ind w:firstLine="482" w:firstLineChars="200"/>
        <w:rPr>
          <w:rFonts w:hint="eastAsia" w:ascii="宋体" w:hAnsi="宋体"/>
          <w:b/>
          <w:bCs/>
          <w:sz w:val="24"/>
          <w:szCs w:val="24"/>
        </w:rPr>
      </w:pPr>
      <w:r>
        <w:rPr>
          <w:rFonts w:hint="eastAsia" w:ascii="宋体" w:hAnsi="宋体"/>
          <w:b/>
          <w:bCs/>
          <w:sz w:val="24"/>
          <w:szCs w:val="24"/>
        </w:rPr>
        <w:t>四、综合评审文件</w:t>
      </w:r>
    </w:p>
    <w:p w14:paraId="3B1D393F">
      <w:pPr>
        <w:spacing w:line="400" w:lineRule="exact"/>
        <w:ind w:firstLine="480" w:firstLineChars="200"/>
        <w:rPr>
          <w:rFonts w:hint="eastAsia" w:ascii="宋体" w:hAnsi="宋体"/>
          <w:sz w:val="24"/>
          <w:szCs w:val="24"/>
        </w:rPr>
      </w:pPr>
      <w:r>
        <w:rPr>
          <w:rFonts w:hint="eastAsia" w:ascii="宋体" w:hAnsi="宋体"/>
          <w:sz w:val="24"/>
          <w:szCs w:val="24"/>
        </w:rPr>
        <w:t>1、投标货物综合说明（格式见附件4）</w:t>
      </w:r>
    </w:p>
    <w:p w14:paraId="698B3693">
      <w:pPr>
        <w:spacing w:line="400" w:lineRule="exact"/>
        <w:ind w:firstLine="480" w:firstLineChars="200"/>
        <w:rPr>
          <w:rFonts w:hint="eastAsia" w:ascii="宋体" w:hAnsi="宋体"/>
          <w:sz w:val="24"/>
          <w:szCs w:val="24"/>
        </w:rPr>
      </w:pPr>
      <w:r>
        <w:rPr>
          <w:rFonts w:hint="eastAsia" w:ascii="宋体" w:hAnsi="宋体"/>
          <w:sz w:val="24"/>
          <w:szCs w:val="24"/>
        </w:rPr>
        <w:t>2、项目实施方案（格式见附件5）</w:t>
      </w:r>
    </w:p>
    <w:p w14:paraId="7811F043">
      <w:pPr>
        <w:spacing w:line="400" w:lineRule="exact"/>
        <w:ind w:firstLine="480" w:firstLineChars="200"/>
        <w:rPr>
          <w:rFonts w:hint="eastAsia" w:ascii="宋体" w:hAnsi="宋体"/>
          <w:sz w:val="24"/>
          <w:szCs w:val="24"/>
        </w:rPr>
      </w:pPr>
      <w:r>
        <w:rPr>
          <w:rFonts w:hint="eastAsia" w:ascii="宋体" w:hAnsi="宋体"/>
          <w:sz w:val="24"/>
          <w:szCs w:val="24"/>
        </w:rPr>
        <w:t>3、人员配置表（格式见附件6）</w:t>
      </w:r>
    </w:p>
    <w:p w14:paraId="035BA19F">
      <w:pPr>
        <w:spacing w:line="400" w:lineRule="exact"/>
        <w:ind w:firstLine="480" w:firstLineChars="200"/>
        <w:rPr>
          <w:rFonts w:hint="eastAsia" w:ascii="宋体" w:hAnsi="宋体"/>
          <w:sz w:val="24"/>
          <w:szCs w:val="24"/>
        </w:rPr>
      </w:pPr>
      <w:r>
        <w:rPr>
          <w:rFonts w:hint="eastAsia" w:ascii="宋体" w:hAnsi="宋体"/>
          <w:sz w:val="24"/>
          <w:szCs w:val="24"/>
        </w:rPr>
        <w:t>4、质量保证及售后服务承诺（格式见附件7）</w:t>
      </w:r>
    </w:p>
    <w:p w14:paraId="6DD446CC">
      <w:pPr>
        <w:spacing w:line="400" w:lineRule="exact"/>
        <w:ind w:firstLine="480" w:firstLineChars="200"/>
        <w:rPr>
          <w:rFonts w:hint="eastAsia" w:ascii="宋体" w:hAnsi="宋体"/>
          <w:sz w:val="24"/>
          <w:szCs w:val="24"/>
        </w:rPr>
      </w:pPr>
      <w:r>
        <w:rPr>
          <w:rFonts w:hint="eastAsia" w:ascii="宋体" w:hAnsi="宋体"/>
          <w:sz w:val="24"/>
          <w:szCs w:val="24"/>
        </w:rPr>
        <w:t>5、业绩一览表（格式见附件8）</w:t>
      </w:r>
    </w:p>
    <w:p w14:paraId="092F4A48">
      <w:pPr>
        <w:spacing w:line="400" w:lineRule="exact"/>
        <w:ind w:firstLine="480" w:firstLineChars="200"/>
        <w:rPr>
          <w:rFonts w:hint="eastAsia" w:ascii="宋体" w:hAnsi="宋体"/>
          <w:sz w:val="24"/>
          <w:szCs w:val="24"/>
        </w:rPr>
      </w:pPr>
      <w:r>
        <w:rPr>
          <w:rFonts w:hint="eastAsia" w:ascii="宋体" w:hAnsi="宋体"/>
          <w:sz w:val="24"/>
          <w:szCs w:val="24"/>
        </w:rPr>
        <w:t>6、其他证明文件（格式见附件17）</w:t>
      </w:r>
    </w:p>
    <w:p w14:paraId="2BE5B2BA">
      <w:pPr>
        <w:spacing w:line="400" w:lineRule="exact"/>
        <w:ind w:firstLine="482" w:firstLineChars="200"/>
        <w:rPr>
          <w:rFonts w:hint="eastAsia" w:ascii="宋体" w:hAnsi="宋体"/>
          <w:b/>
          <w:bCs/>
          <w:sz w:val="24"/>
          <w:szCs w:val="24"/>
        </w:rPr>
      </w:pPr>
      <w:r>
        <w:rPr>
          <w:rFonts w:hint="eastAsia" w:ascii="宋体" w:hAnsi="宋体"/>
          <w:b/>
          <w:bCs/>
          <w:sz w:val="24"/>
          <w:szCs w:val="24"/>
        </w:rPr>
        <w:t>备注：针对“二、资格审查内容”和“三</w:t>
      </w:r>
      <w:r>
        <w:rPr>
          <w:rFonts w:ascii="宋体" w:hAnsi="宋体"/>
          <w:b/>
          <w:bCs/>
          <w:sz w:val="24"/>
          <w:szCs w:val="24"/>
        </w:rPr>
        <w:t>、</w:t>
      </w:r>
      <w:r>
        <w:rPr>
          <w:rFonts w:hint="eastAsia" w:ascii="宋体" w:hAnsi="宋体"/>
          <w:b/>
          <w:bCs/>
          <w:sz w:val="24"/>
          <w:szCs w:val="24"/>
        </w:rPr>
        <w:t>符合性</w:t>
      </w:r>
      <w:r>
        <w:rPr>
          <w:rFonts w:ascii="宋体" w:hAnsi="宋体"/>
          <w:b/>
          <w:bCs/>
          <w:sz w:val="24"/>
          <w:szCs w:val="24"/>
        </w:rPr>
        <w:t>审查内容</w:t>
      </w:r>
      <w:r>
        <w:rPr>
          <w:rFonts w:hint="eastAsia" w:ascii="宋体" w:hAnsi="宋体"/>
          <w:b/>
          <w:bCs/>
          <w:sz w:val="24"/>
          <w:szCs w:val="24"/>
        </w:rPr>
        <w:t>”，投标人必须在投标文件中提供相关材料，</w:t>
      </w:r>
      <w:r>
        <w:rPr>
          <w:rFonts w:ascii="宋体" w:hAnsi="宋体"/>
          <w:b/>
          <w:bCs/>
          <w:sz w:val="24"/>
          <w:szCs w:val="24"/>
        </w:rPr>
        <w:t>若有缺失或无效</w:t>
      </w:r>
      <w:r>
        <w:rPr>
          <w:rFonts w:hint="eastAsia" w:ascii="宋体" w:hAnsi="宋体"/>
          <w:b/>
          <w:bCs/>
          <w:sz w:val="24"/>
          <w:szCs w:val="24"/>
        </w:rPr>
        <w:t>的</w:t>
      </w:r>
      <w:r>
        <w:rPr>
          <w:rFonts w:ascii="宋体" w:hAnsi="宋体"/>
          <w:b/>
          <w:bCs/>
          <w:sz w:val="24"/>
          <w:szCs w:val="24"/>
        </w:rPr>
        <w:t>，将导致其投标</w:t>
      </w:r>
      <w:r>
        <w:rPr>
          <w:rFonts w:hint="eastAsia" w:ascii="宋体" w:hAnsi="宋体"/>
          <w:b/>
          <w:bCs/>
          <w:sz w:val="24"/>
          <w:szCs w:val="24"/>
        </w:rPr>
        <w:t>无效。</w:t>
      </w:r>
    </w:p>
    <w:p w14:paraId="343D1B1C">
      <w:pPr>
        <w:spacing w:line="440" w:lineRule="exact"/>
        <w:ind w:firstLine="482"/>
        <w:jc w:val="center"/>
        <w:outlineLvl w:val="1"/>
        <w:rPr>
          <w:rFonts w:hint="eastAsia" w:ascii="宋体" w:hAnsi="宋体" w:cs="宋体"/>
          <w:b/>
          <w:bCs/>
          <w:sz w:val="28"/>
          <w:szCs w:val="28"/>
        </w:rPr>
      </w:pPr>
      <w:r>
        <w:rPr>
          <w:rFonts w:hint="eastAsia" w:ascii="宋体" w:hAnsi="宋体" w:cs="宋体"/>
          <w:b/>
          <w:sz w:val="24"/>
          <w:szCs w:val="24"/>
        </w:rPr>
        <w:br w:type="page" w:clear="all"/>
      </w:r>
      <w:bookmarkStart w:id="382" w:name="_Toc1746"/>
      <w:r>
        <w:rPr>
          <w:rFonts w:hint="eastAsia" w:ascii="宋体" w:hAnsi="宋体" w:cs="宋体"/>
          <w:b/>
          <w:bCs/>
          <w:sz w:val="28"/>
          <w:szCs w:val="28"/>
        </w:rPr>
        <w:t>附件1 开标一览表</w:t>
      </w:r>
      <w:bookmarkEnd w:id="382"/>
    </w:p>
    <w:p w14:paraId="71A15BD5">
      <w:pPr>
        <w:ind w:firstLine="482"/>
        <w:rPr>
          <w:rFonts w:hint="eastAsia" w:ascii="宋体" w:hAnsi="宋体" w:cs="宋体"/>
          <w:b/>
          <w:sz w:val="24"/>
          <w:szCs w:val="24"/>
        </w:rPr>
      </w:pPr>
    </w:p>
    <w:p w14:paraId="5007C442">
      <w:pPr>
        <w:spacing w:line="440" w:lineRule="exact"/>
        <w:ind w:firstLine="482"/>
        <w:rPr>
          <w:rFonts w:hint="eastAsia" w:ascii="宋体" w:hAnsi="宋体" w:cs="宋体"/>
          <w:sz w:val="24"/>
          <w:szCs w:val="24"/>
        </w:rPr>
      </w:pPr>
      <w:r>
        <w:rPr>
          <w:rFonts w:hint="eastAsia" w:ascii="宋体" w:hAnsi="宋体" w:cs="宋体"/>
          <w:sz w:val="24"/>
          <w:szCs w:val="24"/>
        </w:rPr>
        <w:t>投标人全称（加盖CA电子签章）：</w:t>
      </w:r>
    </w:p>
    <w:p w14:paraId="1516472F">
      <w:pPr>
        <w:spacing w:line="440" w:lineRule="exact"/>
        <w:ind w:firstLine="482"/>
        <w:rPr>
          <w:rFonts w:hint="eastAsia" w:ascii="宋体" w:hAnsi="宋体" w:cs="宋体"/>
          <w:sz w:val="24"/>
          <w:szCs w:val="24"/>
        </w:rPr>
      </w:pPr>
      <w:r>
        <w:rPr>
          <w:rFonts w:hint="eastAsia" w:ascii="宋体" w:hAnsi="宋体" w:cs="宋体"/>
          <w:sz w:val="24"/>
          <w:szCs w:val="24"/>
        </w:rPr>
        <w:t>项目名称：2024年常熟市农业绿色发展监测项目（硬件设施建设）</w:t>
      </w:r>
    </w:p>
    <w:p w14:paraId="3E2C6E57">
      <w:pPr>
        <w:spacing w:line="440" w:lineRule="exact"/>
        <w:ind w:firstLine="482"/>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sz w:val="24"/>
          <w:szCs w:val="24"/>
          <w:lang w:eastAsia="zh-CN"/>
        </w:rPr>
        <w:t>JSZC-320581-HXGW-G2024-0096</w:t>
      </w:r>
    </w:p>
    <w:tbl>
      <w:tblPr>
        <w:tblStyle w:val="38"/>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60"/>
      </w:tblGrid>
      <w:tr w14:paraId="16E6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9" w:hRule="atLeast"/>
          <w:jc w:val="center"/>
        </w:trPr>
        <w:tc>
          <w:tcPr>
            <w:tcW w:w="9160" w:type="dxa"/>
            <w:vAlign w:val="center"/>
          </w:tcPr>
          <w:p w14:paraId="5EFAD1A4">
            <w:pPr>
              <w:jc w:val="center"/>
              <w:rPr>
                <w:rFonts w:hint="eastAsia" w:ascii="宋体" w:hAnsi="宋体" w:cs="宋体"/>
                <w:sz w:val="24"/>
                <w:szCs w:val="24"/>
              </w:rPr>
            </w:pPr>
            <w:r>
              <w:rPr>
                <w:rFonts w:hint="eastAsia" w:ascii="宋体" w:hAnsi="宋体" w:cs="宋体"/>
                <w:sz w:val="24"/>
                <w:szCs w:val="24"/>
              </w:rPr>
              <w:t>投标总报价</w:t>
            </w:r>
          </w:p>
        </w:tc>
      </w:tr>
      <w:tr w14:paraId="75510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8" w:hRule="atLeast"/>
          <w:jc w:val="center"/>
        </w:trPr>
        <w:tc>
          <w:tcPr>
            <w:tcW w:w="9160" w:type="dxa"/>
            <w:vAlign w:val="center"/>
          </w:tcPr>
          <w:p w14:paraId="70EF3FE2">
            <w:pPr>
              <w:spacing w:line="500" w:lineRule="exact"/>
              <w:rPr>
                <w:rFonts w:hint="eastAsia" w:ascii="宋体" w:hAnsi="宋体" w:cs="宋体"/>
                <w:sz w:val="24"/>
              </w:rPr>
            </w:pPr>
            <w:r>
              <w:rPr>
                <w:rFonts w:hint="eastAsia" w:ascii="宋体" w:hAnsi="宋体" w:cs="宋体"/>
                <w:sz w:val="24"/>
                <w:szCs w:val="24"/>
              </w:rPr>
              <w:t>小写：                    （人民币：        元）</w:t>
            </w:r>
          </w:p>
        </w:tc>
      </w:tr>
      <w:bookmarkEnd w:id="178"/>
      <w:bookmarkEnd w:id="179"/>
      <w:bookmarkEnd w:id="379"/>
      <w:bookmarkEnd w:id="380"/>
      <w:bookmarkEnd w:id="381"/>
    </w:tbl>
    <w:p w14:paraId="552EA7FB">
      <w:pPr>
        <w:rPr>
          <w:rFonts w:hint="eastAsia" w:ascii="宋体" w:hAnsi="宋体" w:cs="宋体"/>
          <w:sz w:val="24"/>
          <w:szCs w:val="24"/>
        </w:rPr>
      </w:pPr>
    </w:p>
    <w:p w14:paraId="34A6D1A7">
      <w:pPr>
        <w:ind w:firstLine="482"/>
        <w:rPr>
          <w:rFonts w:hint="eastAsia" w:ascii="宋体" w:hAnsi="宋体" w:cs="宋体"/>
          <w:b/>
          <w:sz w:val="24"/>
          <w:szCs w:val="24"/>
        </w:rPr>
      </w:pPr>
    </w:p>
    <w:p w14:paraId="01DEEFEA">
      <w:pPr>
        <w:ind w:firstLine="482"/>
        <w:rPr>
          <w:rFonts w:hint="eastAsia" w:ascii="宋体" w:hAnsi="宋体" w:cs="宋体"/>
          <w:b/>
          <w:sz w:val="24"/>
          <w:szCs w:val="24"/>
        </w:rPr>
      </w:pPr>
    </w:p>
    <w:p w14:paraId="46C9D6D5">
      <w:pPr>
        <w:ind w:firstLine="482"/>
        <w:rPr>
          <w:rFonts w:hint="eastAsia" w:ascii="宋体" w:hAnsi="宋体" w:cs="宋体"/>
          <w:b/>
          <w:sz w:val="24"/>
          <w:szCs w:val="24"/>
        </w:rPr>
      </w:pPr>
    </w:p>
    <w:p w14:paraId="26EB9A9A">
      <w:pPr>
        <w:ind w:firstLine="482"/>
        <w:rPr>
          <w:rFonts w:hint="eastAsia" w:ascii="宋体" w:hAnsi="宋体" w:cs="宋体"/>
          <w:b/>
          <w:sz w:val="24"/>
          <w:szCs w:val="24"/>
        </w:rPr>
      </w:pPr>
    </w:p>
    <w:p w14:paraId="542EACFF">
      <w:pPr>
        <w:ind w:firstLine="482"/>
        <w:rPr>
          <w:rFonts w:hint="eastAsia" w:ascii="宋体" w:hAnsi="宋体" w:cs="宋体"/>
          <w:b/>
          <w:sz w:val="24"/>
          <w:szCs w:val="24"/>
        </w:rPr>
      </w:pPr>
    </w:p>
    <w:p w14:paraId="36747AE0">
      <w:pPr>
        <w:ind w:firstLine="482"/>
        <w:rPr>
          <w:rFonts w:hint="eastAsia" w:ascii="宋体" w:hAnsi="宋体" w:cs="宋体"/>
          <w:b/>
          <w:sz w:val="24"/>
          <w:szCs w:val="24"/>
        </w:rPr>
      </w:pPr>
    </w:p>
    <w:p w14:paraId="51E70101">
      <w:pPr>
        <w:ind w:firstLine="482"/>
        <w:rPr>
          <w:rFonts w:hint="eastAsia" w:ascii="宋体" w:hAnsi="宋体" w:cs="宋体"/>
          <w:b/>
          <w:sz w:val="24"/>
          <w:szCs w:val="24"/>
        </w:rPr>
      </w:pPr>
    </w:p>
    <w:p w14:paraId="59C4160F">
      <w:pPr>
        <w:ind w:firstLine="482"/>
        <w:rPr>
          <w:rFonts w:hint="eastAsia" w:ascii="宋体" w:hAnsi="宋体" w:cs="宋体"/>
          <w:b/>
          <w:sz w:val="24"/>
          <w:szCs w:val="24"/>
        </w:rPr>
      </w:pPr>
    </w:p>
    <w:p w14:paraId="57DA8C45">
      <w:pPr>
        <w:ind w:firstLine="482"/>
        <w:rPr>
          <w:rFonts w:hint="eastAsia" w:ascii="宋体" w:hAnsi="宋体" w:cs="宋体"/>
          <w:b/>
          <w:sz w:val="24"/>
          <w:szCs w:val="24"/>
        </w:rPr>
      </w:pPr>
    </w:p>
    <w:p w14:paraId="30A8091A">
      <w:pPr>
        <w:ind w:firstLine="482"/>
        <w:rPr>
          <w:rFonts w:hint="eastAsia" w:ascii="宋体" w:hAnsi="宋体" w:cs="宋体"/>
          <w:b/>
          <w:sz w:val="24"/>
          <w:szCs w:val="24"/>
        </w:rPr>
      </w:pPr>
    </w:p>
    <w:p w14:paraId="2BCB2556">
      <w:pPr>
        <w:ind w:firstLine="482"/>
        <w:rPr>
          <w:rFonts w:hint="eastAsia" w:ascii="宋体" w:hAnsi="宋体" w:cs="宋体"/>
          <w:b/>
          <w:sz w:val="24"/>
          <w:szCs w:val="24"/>
        </w:rPr>
      </w:pPr>
    </w:p>
    <w:p w14:paraId="17149485">
      <w:pPr>
        <w:ind w:firstLine="482"/>
        <w:rPr>
          <w:rFonts w:hint="eastAsia" w:ascii="宋体" w:hAnsi="宋体" w:cs="宋体"/>
          <w:b/>
          <w:sz w:val="24"/>
          <w:szCs w:val="24"/>
        </w:rPr>
      </w:pPr>
    </w:p>
    <w:p w14:paraId="4290E7A2">
      <w:pPr>
        <w:ind w:firstLine="482"/>
        <w:rPr>
          <w:rFonts w:hint="eastAsia" w:ascii="宋体" w:hAnsi="宋体" w:cs="宋体"/>
          <w:b/>
          <w:sz w:val="24"/>
          <w:szCs w:val="24"/>
        </w:rPr>
      </w:pPr>
    </w:p>
    <w:p w14:paraId="6A623830">
      <w:pPr>
        <w:ind w:firstLine="482"/>
        <w:rPr>
          <w:rFonts w:hint="eastAsia" w:ascii="宋体" w:hAnsi="宋体" w:cs="宋体"/>
          <w:b/>
          <w:sz w:val="24"/>
          <w:szCs w:val="24"/>
        </w:rPr>
      </w:pPr>
    </w:p>
    <w:p w14:paraId="25AF86A8">
      <w:pPr>
        <w:ind w:firstLine="482"/>
        <w:rPr>
          <w:rFonts w:hint="eastAsia" w:ascii="宋体" w:hAnsi="宋体" w:cs="宋体"/>
          <w:b/>
          <w:sz w:val="24"/>
          <w:szCs w:val="24"/>
        </w:rPr>
      </w:pPr>
    </w:p>
    <w:p w14:paraId="18792BE7">
      <w:pPr>
        <w:ind w:firstLine="482"/>
        <w:rPr>
          <w:rFonts w:hint="eastAsia" w:ascii="宋体" w:hAnsi="宋体" w:cs="宋体"/>
          <w:b/>
          <w:sz w:val="24"/>
          <w:szCs w:val="24"/>
        </w:rPr>
      </w:pPr>
    </w:p>
    <w:p w14:paraId="3AC09FC4">
      <w:pPr>
        <w:ind w:firstLine="482"/>
        <w:rPr>
          <w:rFonts w:hint="eastAsia" w:ascii="宋体" w:hAnsi="宋体" w:cs="宋体"/>
          <w:b/>
          <w:sz w:val="24"/>
          <w:szCs w:val="24"/>
        </w:rPr>
      </w:pPr>
    </w:p>
    <w:p w14:paraId="794EEFEC">
      <w:pPr>
        <w:ind w:firstLine="482"/>
        <w:rPr>
          <w:rFonts w:hint="eastAsia" w:ascii="宋体" w:hAnsi="宋体" w:cs="宋体"/>
          <w:b/>
          <w:sz w:val="24"/>
          <w:szCs w:val="24"/>
        </w:rPr>
      </w:pPr>
    </w:p>
    <w:p w14:paraId="7EA7B534">
      <w:pPr>
        <w:ind w:firstLine="482"/>
        <w:rPr>
          <w:rFonts w:hint="eastAsia" w:ascii="宋体" w:hAnsi="宋体" w:cs="宋体"/>
          <w:b/>
          <w:sz w:val="24"/>
          <w:szCs w:val="24"/>
        </w:rPr>
      </w:pPr>
    </w:p>
    <w:p w14:paraId="62842D43">
      <w:pPr>
        <w:ind w:firstLine="482"/>
        <w:rPr>
          <w:rFonts w:hint="eastAsia" w:ascii="宋体" w:hAnsi="宋体" w:cs="宋体"/>
          <w:b/>
          <w:sz w:val="24"/>
          <w:szCs w:val="24"/>
        </w:rPr>
      </w:pPr>
    </w:p>
    <w:p w14:paraId="3AA899B4">
      <w:pPr>
        <w:ind w:firstLine="482"/>
        <w:rPr>
          <w:rFonts w:hint="eastAsia" w:ascii="宋体" w:hAnsi="宋体" w:cs="宋体"/>
          <w:b/>
          <w:sz w:val="24"/>
          <w:szCs w:val="24"/>
        </w:rPr>
      </w:pPr>
    </w:p>
    <w:p w14:paraId="14B27552">
      <w:pPr>
        <w:ind w:firstLine="482"/>
        <w:rPr>
          <w:rFonts w:hint="eastAsia" w:ascii="宋体" w:hAnsi="宋体" w:cs="宋体"/>
          <w:b/>
          <w:sz w:val="24"/>
          <w:szCs w:val="24"/>
        </w:rPr>
      </w:pPr>
    </w:p>
    <w:p w14:paraId="28DEACC8">
      <w:pPr>
        <w:ind w:firstLine="482"/>
        <w:rPr>
          <w:rFonts w:hint="eastAsia" w:ascii="宋体" w:hAnsi="宋体" w:cs="宋体"/>
          <w:b/>
          <w:sz w:val="24"/>
          <w:szCs w:val="24"/>
        </w:rPr>
      </w:pPr>
    </w:p>
    <w:p w14:paraId="69ED10EC">
      <w:pPr>
        <w:ind w:firstLine="482"/>
        <w:rPr>
          <w:rFonts w:hint="eastAsia" w:ascii="宋体" w:hAnsi="宋体" w:cs="宋体"/>
          <w:b/>
          <w:sz w:val="24"/>
          <w:szCs w:val="24"/>
        </w:rPr>
      </w:pPr>
    </w:p>
    <w:p w14:paraId="406D482A">
      <w:pPr>
        <w:ind w:firstLine="482"/>
        <w:rPr>
          <w:rFonts w:hint="eastAsia" w:ascii="宋体" w:hAnsi="宋体" w:cs="宋体"/>
          <w:b/>
          <w:sz w:val="24"/>
          <w:szCs w:val="24"/>
        </w:rPr>
      </w:pPr>
    </w:p>
    <w:p w14:paraId="4A690501">
      <w:pPr>
        <w:ind w:firstLine="482"/>
        <w:rPr>
          <w:rFonts w:hint="eastAsia" w:ascii="宋体" w:hAnsi="宋体" w:cs="宋体"/>
          <w:b/>
          <w:sz w:val="24"/>
          <w:szCs w:val="24"/>
        </w:rPr>
      </w:pPr>
    </w:p>
    <w:p w14:paraId="02A59E3B">
      <w:pPr>
        <w:spacing w:line="440" w:lineRule="exact"/>
        <w:ind w:firstLine="482"/>
        <w:jc w:val="center"/>
        <w:outlineLvl w:val="1"/>
        <w:rPr>
          <w:rFonts w:hint="eastAsia" w:ascii="宋体" w:hAnsi="宋体" w:cs="宋体"/>
          <w:b/>
          <w:bCs/>
          <w:sz w:val="28"/>
          <w:szCs w:val="28"/>
        </w:rPr>
      </w:pPr>
      <w:r>
        <w:rPr>
          <w:rFonts w:hint="eastAsia" w:ascii="宋体" w:hAnsi="宋体" w:cs="宋体"/>
          <w:b/>
          <w:sz w:val="24"/>
          <w:szCs w:val="24"/>
        </w:rPr>
        <w:br w:type="page" w:clear="all"/>
      </w:r>
      <w:bookmarkStart w:id="383" w:name="_Toc15173"/>
      <w:r>
        <w:rPr>
          <w:rFonts w:hint="eastAsia" w:ascii="宋体" w:hAnsi="宋体" w:cs="宋体"/>
          <w:b/>
          <w:bCs/>
          <w:sz w:val="28"/>
          <w:szCs w:val="28"/>
        </w:rPr>
        <w:t>附件2 报价明细表</w:t>
      </w:r>
      <w:bookmarkEnd w:id="383"/>
    </w:p>
    <w:tbl>
      <w:tblPr>
        <w:tblStyle w:val="38"/>
        <w:tblW w:w="102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1774"/>
        <w:gridCol w:w="2250"/>
        <w:gridCol w:w="872"/>
        <w:gridCol w:w="887"/>
        <w:gridCol w:w="1281"/>
        <w:gridCol w:w="1323"/>
        <w:gridCol w:w="1097"/>
      </w:tblGrid>
      <w:tr w14:paraId="46C862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0"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7BE2953">
            <w:pPr>
              <w:jc w:val="center"/>
              <w:rPr>
                <w:rFonts w:hint="eastAsia" w:ascii="宋体" w:hAnsi="宋体" w:cs="宋体"/>
                <w:sz w:val="24"/>
                <w:szCs w:val="24"/>
              </w:rPr>
            </w:pPr>
            <w:r>
              <w:rPr>
                <w:rFonts w:hint="eastAsia" w:ascii="宋体" w:hAnsi="宋体" w:cs="宋体"/>
                <w:sz w:val="24"/>
                <w:szCs w:val="24"/>
              </w:rPr>
              <w:t>序号</w:t>
            </w:r>
          </w:p>
        </w:tc>
        <w:tc>
          <w:tcPr>
            <w:tcW w:w="1774" w:type="dxa"/>
            <w:tcBorders>
              <w:top w:val="single" w:color="auto" w:sz="4" w:space="0"/>
              <w:left w:val="nil"/>
              <w:bottom w:val="single" w:color="auto" w:sz="4" w:space="0"/>
              <w:right w:val="single" w:color="auto" w:sz="4" w:space="0"/>
            </w:tcBorders>
            <w:vAlign w:val="center"/>
          </w:tcPr>
          <w:p w14:paraId="58121893">
            <w:pPr>
              <w:jc w:val="center"/>
              <w:rPr>
                <w:rFonts w:hint="eastAsia" w:ascii="宋体" w:hAnsi="宋体" w:cs="宋体"/>
                <w:sz w:val="24"/>
                <w:szCs w:val="24"/>
              </w:rPr>
            </w:pPr>
            <w:r>
              <w:rPr>
                <w:rFonts w:hint="eastAsia" w:ascii="宋体" w:hAnsi="宋体" w:cs="宋体"/>
                <w:kern w:val="2"/>
                <w:sz w:val="24"/>
                <w:szCs w:val="20"/>
                <w:lang w:bidi="ar"/>
              </w:rPr>
              <w:t>货物/费用名称</w:t>
            </w:r>
          </w:p>
        </w:tc>
        <w:tc>
          <w:tcPr>
            <w:tcW w:w="2250" w:type="dxa"/>
            <w:tcBorders>
              <w:top w:val="single" w:color="auto" w:sz="4" w:space="0"/>
              <w:left w:val="nil"/>
              <w:bottom w:val="single" w:color="auto" w:sz="4" w:space="0"/>
              <w:right w:val="single" w:color="auto" w:sz="4" w:space="0"/>
            </w:tcBorders>
            <w:vAlign w:val="center"/>
          </w:tcPr>
          <w:p w14:paraId="5957E91D">
            <w:pPr>
              <w:jc w:val="center"/>
              <w:rPr>
                <w:rFonts w:hint="eastAsia" w:ascii="宋体" w:hAnsi="宋体" w:cs="宋体"/>
                <w:sz w:val="24"/>
                <w:szCs w:val="24"/>
              </w:rPr>
            </w:pPr>
            <w:r>
              <w:rPr>
                <w:rFonts w:hint="eastAsia" w:ascii="宋体" w:hAnsi="宋体" w:cs="宋体"/>
                <w:kern w:val="2"/>
                <w:sz w:val="24"/>
                <w:szCs w:val="20"/>
                <w:lang w:bidi="ar"/>
              </w:rPr>
              <w:t>品牌、规格及型号</w:t>
            </w:r>
          </w:p>
        </w:tc>
        <w:tc>
          <w:tcPr>
            <w:tcW w:w="872" w:type="dxa"/>
            <w:tcBorders>
              <w:top w:val="single" w:color="auto" w:sz="4" w:space="0"/>
              <w:left w:val="nil"/>
              <w:bottom w:val="single" w:color="auto" w:sz="4" w:space="0"/>
              <w:right w:val="single" w:color="auto" w:sz="4" w:space="0"/>
            </w:tcBorders>
            <w:vAlign w:val="center"/>
          </w:tcPr>
          <w:p w14:paraId="182995EE">
            <w:pPr>
              <w:jc w:val="center"/>
              <w:rPr>
                <w:rFonts w:hint="eastAsia" w:ascii="宋体" w:hAnsi="宋体" w:cs="宋体"/>
                <w:sz w:val="24"/>
                <w:szCs w:val="24"/>
              </w:rPr>
            </w:pPr>
            <w:r>
              <w:rPr>
                <w:rFonts w:hint="eastAsia" w:ascii="宋体" w:hAnsi="宋体" w:cs="宋体"/>
                <w:sz w:val="24"/>
                <w:szCs w:val="24"/>
              </w:rPr>
              <w:t>单位</w:t>
            </w:r>
          </w:p>
        </w:tc>
        <w:tc>
          <w:tcPr>
            <w:tcW w:w="887" w:type="dxa"/>
            <w:tcBorders>
              <w:top w:val="single" w:color="auto" w:sz="4" w:space="0"/>
              <w:left w:val="nil"/>
              <w:bottom w:val="single" w:color="auto" w:sz="4" w:space="0"/>
              <w:right w:val="single" w:color="auto" w:sz="4" w:space="0"/>
            </w:tcBorders>
            <w:vAlign w:val="center"/>
          </w:tcPr>
          <w:p w14:paraId="57AE1485">
            <w:pPr>
              <w:jc w:val="center"/>
              <w:rPr>
                <w:rFonts w:hint="eastAsia" w:ascii="宋体" w:hAnsi="宋体" w:cs="宋体"/>
                <w:sz w:val="24"/>
                <w:szCs w:val="24"/>
              </w:rPr>
            </w:pPr>
            <w:r>
              <w:rPr>
                <w:rFonts w:hint="eastAsia" w:ascii="宋体" w:hAnsi="宋体" w:cs="宋体"/>
                <w:sz w:val="24"/>
                <w:szCs w:val="24"/>
              </w:rPr>
              <w:t>数量</w:t>
            </w:r>
          </w:p>
        </w:tc>
        <w:tc>
          <w:tcPr>
            <w:tcW w:w="1281" w:type="dxa"/>
            <w:tcBorders>
              <w:top w:val="single" w:color="auto" w:sz="4" w:space="0"/>
              <w:left w:val="nil"/>
              <w:bottom w:val="single" w:color="auto" w:sz="4" w:space="0"/>
              <w:right w:val="single" w:color="auto" w:sz="4" w:space="0"/>
            </w:tcBorders>
            <w:vAlign w:val="center"/>
          </w:tcPr>
          <w:p w14:paraId="67A5FD53">
            <w:pPr>
              <w:jc w:val="center"/>
              <w:rPr>
                <w:rFonts w:hint="eastAsia" w:ascii="宋体" w:hAnsi="宋体" w:cs="宋体"/>
                <w:sz w:val="24"/>
                <w:szCs w:val="24"/>
              </w:rPr>
            </w:pPr>
            <w:r>
              <w:rPr>
                <w:rFonts w:hint="eastAsia" w:ascii="宋体" w:hAnsi="宋体" w:cs="宋体"/>
                <w:sz w:val="24"/>
                <w:szCs w:val="24"/>
              </w:rPr>
              <w:t>单价（元）</w:t>
            </w:r>
          </w:p>
        </w:tc>
        <w:tc>
          <w:tcPr>
            <w:tcW w:w="1323" w:type="dxa"/>
            <w:tcBorders>
              <w:top w:val="single" w:color="auto" w:sz="4" w:space="0"/>
              <w:left w:val="nil"/>
              <w:bottom w:val="single" w:color="auto" w:sz="4" w:space="0"/>
              <w:right w:val="single" w:color="auto" w:sz="4" w:space="0"/>
            </w:tcBorders>
            <w:vAlign w:val="center"/>
          </w:tcPr>
          <w:p w14:paraId="18F1BAC0">
            <w:pPr>
              <w:jc w:val="center"/>
              <w:rPr>
                <w:rFonts w:hint="eastAsia" w:ascii="宋体" w:hAnsi="宋体" w:cs="宋体"/>
                <w:sz w:val="24"/>
                <w:szCs w:val="24"/>
              </w:rPr>
            </w:pPr>
            <w:r>
              <w:rPr>
                <w:rFonts w:hint="eastAsia" w:ascii="宋体" w:hAnsi="宋体" w:cs="宋体"/>
                <w:sz w:val="24"/>
                <w:szCs w:val="24"/>
              </w:rPr>
              <w:t>分类总价（元）</w:t>
            </w:r>
          </w:p>
        </w:tc>
        <w:tc>
          <w:tcPr>
            <w:tcW w:w="1097" w:type="dxa"/>
            <w:tcBorders>
              <w:top w:val="single" w:color="auto" w:sz="4" w:space="0"/>
              <w:left w:val="nil"/>
              <w:bottom w:val="single" w:color="auto" w:sz="4" w:space="0"/>
              <w:right w:val="single" w:color="auto" w:sz="4" w:space="0"/>
            </w:tcBorders>
            <w:vAlign w:val="center"/>
          </w:tcPr>
          <w:p w14:paraId="4B5733AE">
            <w:pPr>
              <w:jc w:val="center"/>
              <w:rPr>
                <w:rFonts w:hint="eastAsia" w:ascii="宋体" w:hAnsi="宋体" w:cs="宋体"/>
                <w:sz w:val="24"/>
                <w:szCs w:val="24"/>
              </w:rPr>
            </w:pPr>
            <w:r>
              <w:rPr>
                <w:rFonts w:hint="eastAsia" w:ascii="宋体" w:hAnsi="宋体" w:cs="宋体"/>
                <w:sz w:val="24"/>
                <w:szCs w:val="24"/>
              </w:rPr>
              <w:t>备注</w:t>
            </w:r>
          </w:p>
        </w:tc>
      </w:tr>
      <w:tr w14:paraId="6E1452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4CC4D9CC">
            <w:pPr>
              <w:jc w:val="center"/>
              <w:rPr>
                <w:rFonts w:hint="eastAsia" w:ascii="宋体" w:hAnsi="宋体" w:cs="宋体"/>
                <w:sz w:val="24"/>
                <w:szCs w:val="24"/>
              </w:rPr>
            </w:pPr>
            <w:r>
              <w:rPr>
                <w:rFonts w:hint="eastAsia" w:ascii="宋体" w:hAnsi="宋体" w:cs="宋体"/>
                <w:sz w:val="24"/>
                <w:szCs w:val="24"/>
              </w:rPr>
              <w:t>1</w:t>
            </w:r>
          </w:p>
        </w:tc>
        <w:tc>
          <w:tcPr>
            <w:tcW w:w="1774" w:type="dxa"/>
            <w:tcBorders>
              <w:top w:val="single" w:color="auto" w:sz="4" w:space="0"/>
              <w:left w:val="nil"/>
              <w:bottom w:val="single" w:color="auto" w:sz="4" w:space="0"/>
              <w:right w:val="single" w:color="auto" w:sz="4" w:space="0"/>
            </w:tcBorders>
            <w:vAlign w:val="center"/>
          </w:tcPr>
          <w:p w14:paraId="18D4E30D">
            <w:pPr>
              <w:jc w:val="center"/>
              <w:rPr>
                <w:rFonts w:hint="eastAsia" w:ascii="宋体" w:hAnsi="宋体" w:cs="宋体"/>
                <w:sz w:val="24"/>
                <w:szCs w:val="24"/>
              </w:rPr>
            </w:pPr>
          </w:p>
        </w:tc>
        <w:tc>
          <w:tcPr>
            <w:tcW w:w="2250" w:type="dxa"/>
            <w:tcBorders>
              <w:top w:val="single" w:color="auto" w:sz="4" w:space="0"/>
              <w:left w:val="nil"/>
              <w:bottom w:val="single" w:color="auto" w:sz="4" w:space="0"/>
              <w:right w:val="single" w:color="auto" w:sz="4" w:space="0"/>
            </w:tcBorders>
            <w:vAlign w:val="center"/>
          </w:tcPr>
          <w:p w14:paraId="52228DA3">
            <w:pPr>
              <w:jc w:val="center"/>
              <w:rPr>
                <w:rFonts w:hint="eastAsia" w:ascii="宋体" w:hAnsi="宋体" w:cs="宋体"/>
                <w:sz w:val="24"/>
                <w:szCs w:val="24"/>
              </w:rPr>
            </w:pPr>
          </w:p>
        </w:tc>
        <w:tc>
          <w:tcPr>
            <w:tcW w:w="872" w:type="dxa"/>
            <w:tcBorders>
              <w:top w:val="single" w:color="auto" w:sz="4" w:space="0"/>
              <w:left w:val="nil"/>
              <w:bottom w:val="single" w:color="auto" w:sz="4" w:space="0"/>
              <w:right w:val="single" w:color="auto" w:sz="4" w:space="0"/>
            </w:tcBorders>
            <w:vAlign w:val="center"/>
          </w:tcPr>
          <w:p w14:paraId="211A07A5">
            <w:pPr>
              <w:jc w:val="center"/>
              <w:rPr>
                <w:rFonts w:hint="eastAsia" w:ascii="宋体" w:hAnsi="宋体" w:cs="宋体"/>
                <w:sz w:val="24"/>
                <w:szCs w:val="24"/>
              </w:rPr>
            </w:pPr>
          </w:p>
        </w:tc>
        <w:tc>
          <w:tcPr>
            <w:tcW w:w="887" w:type="dxa"/>
            <w:tcBorders>
              <w:top w:val="single" w:color="auto" w:sz="4" w:space="0"/>
              <w:left w:val="nil"/>
              <w:bottom w:val="single" w:color="auto" w:sz="4" w:space="0"/>
              <w:right w:val="single" w:color="auto" w:sz="4" w:space="0"/>
            </w:tcBorders>
            <w:vAlign w:val="center"/>
          </w:tcPr>
          <w:p w14:paraId="22A68DAF">
            <w:pPr>
              <w:jc w:val="center"/>
              <w:rPr>
                <w:rFonts w:hint="eastAsia" w:ascii="宋体" w:hAnsi="宋体" w:cs="宋体"/>
                <w:sz w:val="24"/>
                <w:szCs w:val="24"/>
              </w:rPr>
            </w:pPr>
          </w:p>
        </w:tc>
        <w:tc>
          <w:tcPr>
            <w:tcW w:w="1281" w:type="dxa"/>
            <w:tcBorders>
              <w:top w:val="single" w:color="auto" w:sz="4" w:space="0"/>
              <w:left w:val="nil"/>
              <w:bottom w:val="single" w:color="auto" w:sz="4" w:space="0"/>
              <w:right w:val="single" w:color="auto" w:sz="4" w:space="0"/>
            </w:tcBorders>
            <w:vAlign w:val="center"/>
          </w:tcPr>
          <w:p w14:paraId="7A875EEB">
            <w:pPr>
              <w:jc w:val="center"/>
              <w:rPr>
                <w:rFonts w:hint="eastAsia" w:ascii="宋体" w:hAnsi="宋体" w:cs="宋体"/>
                <w:sz w:val="24"/>
                <w:szCs w:val="24"/>
              </w:rPr>
            </w:pPr>
          </w:p>
        </w:tc>
        <w:tc>
          <w:tcPr>
            <w:tcW w:w="1323" w:type="dxa"/>
            <w:tcBorders>
              <w:top w:val="single" w:color="auto" w:sz="4" w:space="0"/>
              <w:left w:val="nil"/>
              <w:bottom w:val="single" w:color="auto" w:sz="4" w:space="0"/>
              <w:right w:val="single" w:color="auto" w:sz="4" w:space="0"/>
            </w:tcBorders>
            <w:vAlign w:val="center"/>
          </w:tcPr>
          <w:p w14:paraId="20B10B63">
            <w:pPr>
              <w:jc w:val="center"/>
              <w:rPr>
                <w:rFonts w:hint="eastAsia" w:ascii="宋体" w:hAnsi="宋体" w:cs="宋体"/>
                <w:sz w:val="24"/>
                <w:szCs w:val="24"/>
              </w:rPr>
            </w:pPr>
          </w:p>
        </w:tc>
        <w:tc>
          <w:tcPr>
            <w:tcW w:w="1097" w:type="dxa"/>
            <w:tcBorders>
              <w:top w:val="single" w:color="auto" w:sz="4" w:space="0"/>
              <w:left w:val="nil"/>
              <w:bottom w:val="single" w:color="auto" w:sz="4" w:space="0"/>
              <w:right w:val="single" w:color="auto" w:sz="4" w:space="0"/>
            </w:tcBorders>
            <w:vAlign w:val="center"/>
          </w:tcPr>
          <w:p w14:paraId="46F7AA66">
            <w:pPr>
              <w:jc w:val="center"/>
              <w:rPr>
                <w:rFonts w:hint="eastAsia" w:ascii="宋体" w:hAnsi="宋体" w:cs="宋体"/>
                <w:sz w:val="24"/>
                <w:szCs w:val="24"/>
              </w:rPr>
            </w:pPr>
          </w:p>
        </w:tc>
      </w:tr>
      <w:tr w14:paraId="5C504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8208702">
            <w:pPr>
              <w:jc w:val="center"/>
              <w:rPr>
                <w:rFonts w:hint="eastAsia" w:ascii="宋体" w:hAnsi="宋体" w:cs="宋体"/>
                <w:sz w:val="24"/>
                <w:szCs w:val="24"/>
              </w:rPr>
            </w:pPr>
            <w:r>
              <w:rPr>
                <w:rFonts w:hint="eastAsia" w:ascii="宋体" w:hAnsi="宋体" w:cs="宋体"/>
                <w:sz w:val="24"/>
                <w:szCs w:val="24"/>
              </w:rPr>
              <w:t>2</w:t>
            </w:r>
          </w:p>
        </w:tc>
        <w:tc>
          <w:tcPr>
            <w:tcW w:w="1774" w:type="dxa"/>
            <w:tcBorders>
              <w:top w:val="single" w:color="auto" w:sz="4" w:space="0"/>
              <w:left w:val="nil"/>
              <w:bottom w:val="single" w:color="auto" w:sz="4" w:space="0"/>
              <w:right w:val="single" w:color="auto" w:sz="4" w:space="0"/>
            </w:tcBorders>
            <w:vAlign w:val="center"/>
          </w:tcPr>
          <w:p w14:paraId="2CCE3462">
            <w:pPr>
              <w:jc w:val="center"/>
              <w:rPr>
                <w:rFonts w:hint="eastAsia" w:ascii="宋体" w:hAnsi="宋体" w:cs="宋体"/>
                <w:sz w:val="24"/>
                <w:szCs w:val="24"/>
              </w:rPr>
            </w:pPr>
          </w:p>
        </w:tc>
        <w:tc>
          <w:tcPr>
            <w:tcW w:w="2250" w:type="dxa"/>
            <w:tcBorders>
              <w:top w:val="single" w:color="auto" w:sz="4" w:space="0"/>
              <w:left w:val="nil"/>
              <w:bottom w:val="single" w:color="auto" w:sz="4" w:space="0"/>
              <w:right w:val="single" w:color="auto" w:sz="4" w:space="0"/>
            </w:tcBorders>
            <w:vAlign w:val="center"/>
          </w:tcPr>
          <w:p w14:paraId="1200EDB5">
            <w:pPr>
              <w:jc w:val="center"/>
              <w:rPr>
                <w:rFonts w:hint="eastAsia" w:ascii="宋体" w:hAnsi="宋体" w:cs="宋体"/>
                <w:sz w:val="24"/>
                <w:szCs w:val="24"/>
              </w:rPr>
            </w:pPr>
          </w:p>
        </w:tc>
        <w:tc>
          <w:tcPr>
            <w:tcW w:w="872" w:type="dxa"/>
            <w:tcBorders>
              <w:top w:val="single" w:color="auto" w:sz="4" w:space="0"/>
              <w:left w:val="nil"/>
              <w:bottom w:val="single" w:color="auto" w:sz="4" w:space="0"/>
              <w:right w:val="single" w:color="auto" w:sz="4" w:space="0"/>
            </w:tcBorders>
            <w:vAlign w:val="center"/>
          </w:tcPr>
          <w:p w14:paraId="0437644B">
            <w:pPr>
              <w:jc w:val="center"/>
              <w:rPr>
                <w:rFonts w:hint="eastAsia" w:ascii="宋体" w:hAnsi="宋体" w:cs="宋体"/>
                <w:sz w:val="24"/>
                <w:szCs w:val="24"/>
              </w:rPr>
            </w:pPr>
          </w:p>
        </w:tc>
        <w:tc>
          <w:tcPr>
            <w:tcW w:w="887" w:type="dxa"/>
            <w:tcBorders>
              <w:top w:val="single" w:color="auto" w:sz="4" w:space="0"/>
              <w:left w:val="nil"/>
              <w:bottom w:val="single" w:color="auto" w:sz="4" w:space="0"/>
              <w:right w:val="single" w:color="auto" w:sz="4" w:space="0"/>
            </w:tcBorders>
            <w:vAlign w:val="center"/>
          </w:tcPr>
          <w:p w14:paraId="4C345BBE">
            <w:pPr>
              <w:jc w:val="center"/>
              <w:rPr>
                <w:rFonts w:hint="eastAsia" w:ascii="宋体" w:hAnsi="宋体" w:cs="宋体"/>
                <w:sz w:val="24"/>
                <w:szCs w:val="24"/>
              </w:rPr>
            </w:pPr>
          </w:p>
        </w:tc>
        <w:tc>
          <w:tcPr>
            <w:tcW w:w="1281" w:type="dxa"/>
            <w:tcBorders>
              <w:top w:val="single" w:color="auto" w:sz="4" w:space="0"/>
              <w:left w:val="nil"/>
              <w:bottom w:val="single" w:color="auto" w:sz="4" w:space="0"/>
              <w:right w:val="single" w:color="auto" w:sz="4" w:space="0"/>
            </w:tcBorders>
            <w:vAlign w:val="center"/>
          </w:tcPr>
          <w:p w14:paraId="7D6F7B7A">
            <w:pPr>
              <w:jc w:val="center"/>
              <w:rPr>
                <w:rFonts w:hint="eastAsia" w:ascii="宋体" w:hAnsi="宋体" w:cs="宋体"/>
                <w:sz w:val="24"/>
                <w:szCs w:val="24"/>
              </w:rPr>
            </w:pPr>
          </w:p>
        </w:tc>
        <w:tc>
          <w:tcPr>
            <w:tcW w:w="1323" w:type="dxa"/>
            <w:tcBorders>
              <w:top w:val="single" w:color="auto" w:sz="4" w:space="0"/>
              <w:left w:val="nil"/>
              <w:bottom w:val="single" w:color="auto" w:sz="4" w:space="0"/>
              <w:right w:val="single" w:color="auto" w:sz="4" w:space="0"/>
            </w:tcBorders>
            <w:vAlign w:val="center"/>
          </w:tcPr>
          <w:p w14:paraId="25394138">
            <w:pPr>
              <w:jc w:val="center"/>
              <w:rPr>
                <w:rFonts w:hint="eastAsia" w:ascii="宋体" w:hAnsi="宋体" w:cs="宋体"/>
                <w:sz w:val="24"/>
                <w:szCs w:val="24"/>
              </w:rPr>
            </w:pPr>
          </w:p>
        </w:tc>
        <w:tc>
          <w:tcPr>
            <w:tcW w:w="1097" w:type="dxa"/>
            <w:tcBorders>
              <w:top w:val="single" w:color="auto" w:sz="4" w:space="0"/>
              <w:left w:val="nil"/>
              <w:bottom w:val="single" w:color="auto" w:sz="4" w:space="0"/>
              <w:right w:val="single" w:color="auto" w:sz="4" w:space="0"/>
            </w:tcBorders>
            <w:vAlign w:val="center"/>
          </w:tcPr>
          <w:p w14:paraId="46F0EE60">
            <w:pPr>
              <w:jc w:val="center"/>
              <w:rPr>
                <w:rFonts w:hint="eastAsia" w:ascii="宋体" w:hAnsi="宋体" w:cs="宋体"/>
                <w:sz w:val="24"/>
                <w:szCs w:val="24"/>
              </w:rPr>
            </w:pPr>
          </w:p>
        </w:tc>
      </w:tr>
      <w:tr w14:paraId="03DC7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D086B3E">
            <w:pPr>
              <w:widowControl/>
              <w:jc w:val="center"/>
              <w:rPr>
                <w:rFonts w:hint="eastAsia" w:ascii="宋体" w:hAnsi="宋体" w:cs="宋体"/>
                <w:sz w:val="24"/>
                <w:szCs w:val="24"/>
              </w:rPr>
            </w:pPr>
            <w:r>
              <w:rPr>
                <w:rFonts w:hint="eastAsia" w:ascii="宋体" w:hAnsi="宋体" w:cs="宋体"/>
                <w:sz w:val="24"/>
                <w:szCs w:val="24"/>
              </w:rPr>
              <w:t>3</w:t>
            </w:r>
          </w:p>
        </w:tc>
        <w:tc>
          <w:tcPr>
            <w:tcW w:w="1774" w:type="dxa"/>
            <w:tcBorders>
              <w:top w:val="single" w:color="auto" w:sz="4" w:space="0"/>
              <w:left w:val="nil"/>
              <w:bottom w:val="single" w:color="auto" w:sz="4" w:space="0"/>
              <w:right w:val="single" w:color="auto" w:sz="4" w:space="0"/>
            </w:tcBorders>
            <w:vAlign w:val="center"/>
          </w:tcPr>
          <w:p w14:paraId="596388C8">
            <w:pPr>
              <w:widowControl/>
              <w:jc w:val="center"/>
              <w:rPr>
                <w:rFonts w:hint="eastAsia" w:ascii="宋体" w:hAnsi="宋体" w:cs="宋体"/>
                <w:sz w:val="24"/>
                <w:szCs w:val="24"/>
              </w:rPr>
            </w:pPr>
          </w:p>
        </w:tc>
        <w:tc>
          <w:tcPr>
            <w:tcW w:w="2250" w:type="dxa"/>
            <w:tcBorders>
              <w:top w:val="single" w:color="auto" w:sz="4" w:space="0"/>
              <w:left w:val="nil"/>
              <w:bottom w:val="single" w:color="auto" w:sz="4" w:space="0"/>
              <w:right w:val="single" w:color="auto" w:sz="4" w:space="0"/>
            </w:tcBorders>
            <w:vAlign w:val="center"/>
          </w:tcPr>
          <w:p w14:paraId="4238EC0B">
            <w:pPr>
              <w:widowControl/>
              <w:jc w:val="center"/>
              <w:rPr>
                <w:rFonts w:hint="eastAsia" w:ascii="宋体" w:hAnsi="宋体" w:cs="宋体"/>
                <w:sz w:val="24"/>
                <w:szCs w:val="24"/>
              </w:rPr>
            </w:pPr>
          </w:p>
        </w:tc>
        <w:tc>
          <w:tcPr>
            <w:tcW w:w="872" w:type="dxa"/>
            <w:tcBorders>
              <w:top w:val="single" w:color="auto" w:sz="4" w:space="0"/>
              <w:left w:val="nil"/>
              <w:bottom w:val="single" w:color="auto" w:sz="4" w:space="0"/>
              <w:right w:val="single" w:color="auto" w:sz="4" w:space="0"/>
            </w:tcBorders>
            <w:vAlign w:val="center"/>
          </w:tcPr>
          <w:p w14:paraId="4FB5ACC1">
            <w:pPr>
              <w:jc w:val="center"/>
              <w:rPr>
                <w:rFonts w:hint="eastAsia" w:ascii="宋体" w:hAnsi="宋体" w:cs="宋体"/>
                <w:sz w:val="24"/>
                <w:szCs w:val="24"/>
              </w:rPr>
            </w:pPr>
          </w:p>
        </w:tc>
        <w:tc>
          <w:tcPr>
            <w:tcW w:w="887" w:type="dxa"/>
            <w:tcBorders>
              <w:top w:val="single" w:color="auto" w:sz="4" w:space="0"/>
              <w:left w:val="nil"/>
              <w:bottom w:val="single" w:color="auto" w:sz="4" w:space="0"/>
              <w:right w:val="single" w:color="auto" w:sz="4" w:space="0"/>
            </w:tcBorders>
            <w:vAlign w:val="center"/>
          </w:tcPr>
          <w:p w14:paraId="094E3D1E">
            <w:pPr>
              <w:jc w:val="center"/>
              <w:rPr>
                <w:rFonts w:hint="eastAsia" w:ascii="宋体" w:hAnsi="宋体" w:cs="宋体"/>
                <w:sz w:val="24"/>
                <w:szCs w:val="24"/>
              </w:rPr>
            </w:pPr>
          </w:p>
        </w:tc>
        <w:tc>
          <w:tcPr>
            <w:tcW w:w="1281" w:type="dxa"/>
            <w:tcBorders>
              <w:top w:val="single" w:color="auto" w:sz="4" w:space="0"/>
              <w:left w:val="nil"/>
              <w:bottom w:val="single" w:color="auto" w:sz="4" w:space="0"/>
              <w:right w:val="single" w:color="auto" w:sz="4" w:space="0"/>
            </w:tcBorders>
            <w:vAlign w:val="center"/>
          </w:tcPr>
          <w:p w14:paraId="7638258E">
            <w:pPr>
              <w:jc w:val="center"/>
              <w:rPr>
                <w:rFonts w:hint="eastAsia" w:ascii="宋体" w:hAnsi="宋体" w:cs="宋体"/>
                <w:sz w:val="24"/>
                <w:szCs w:val="24"/>
              </w:rPr>
            </w:pPr>
          </w:p>
        </w:tc>
        <w:tc>
          <w:tcPr>
            <w:tcW w:w="1323" w:type="dxa"/>
            <w:tcBorders>
              <w:top w:val="single" w:color="auto" w:sz="4" w:space="0"/>
              <w:left w:val="nil"/>
              <w:bottom w:val="single" w:color="auto" w:sz="4" w:space="0"/>
              <w:right w:val="single" w:color="auto" w:sz="4" w:space="0"/>
            </w:tcBorders>
            <w:vAlign w:val="center"/>
          </w:tcPr>
          <w:p w14:paraId="6EDA443F">
            <w:pPr>
              <w:jc w:val="center"/>
              <w:rPr>
                <w:rFonts w:hint="eastAsia" w:ascii="宋体" w:hAnsi="宋体" w:cs="宋体"/>
                <w:sz w:val="24"/>
                <w:szCs w:val="24"/>
              </w:rPr>
            </w:pPr>
          </w:p>
        </w:tc>
        <w:tc>
          <w:tcPr>
            <w:tcW w:w="1097" w:type="dxa"/>
            <w:tcBorders>
              <w:top w:val="single" w:color="auto" w:sz="4" w:space="0"/>
              <w:left w:val="nil"/>
              <w:bottom w:val="single" w:color="auto" w:sz="4" w:space="0"/>
              <w:right w:val="single" w:color="auto" w:sz="4" w:space="0"/>
            </w:tcBorders>
            <w:vAlign w:val="center"/>
          </w:tcPr>
          <w:p w14:paraId="58F4D436">
            <w:pPr>
              <w:jc w:val="center"/>
              <w:rPr>
                <w:rFonts w:hint="eastAsia" w:ascii="宋体" w:hAnsi="宋体" w:cs="宋体"/>
                <w:sz w:val="24"/>
                <w:szCs w:val="24"/>
              </w:rPr>
            </w:pPr>
          </w:p>
        </w:tc>
      </w:tr>
      <w:tr w14:paraId="657D5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5EA9C2A6">
            <w:pPr>
              <w:widowControl/>
              <w:jc w:val="center"/>
              <w:rPr>
                <w:rFonts w:hint="eastAsia" w:ascii="宋体" w:hAnsi="宋体" w:cs="宋体"/>
                <w:sz w:val="24"/>
                <w:szCs w:val="24"/>
              </w:rPr>
            </w:pPr>
            <w:r>
              <w:rPr>
                <w:rFonts w:hint="eastAsia" w:ascii="宋体" w:hAnsi="宋体" w:cs="宋体"/>
                <w:sz w:val="24"/>
                <w:szCs w:val="24"/>
              </w:rPr>
              <w:t>4</w:t>
            </w:r>
          </w:p>
        </w:tc>
        <w:tc>
          <w:tcPr>
            <w:tcW w:w="1774" w:type="dxa"/>
            <w:tcBorders>
              <w:top w:val="single" w:color="auto" w:sz="4" w:space="0"/>
              <w:left w:val="nil"/>
              <w:bottom w:val="single" w:color="auto" w:sz="4" w:space="0"/>
              <w:right w:val="single" w:color="auto" w:sz="4" w:space="0"/>
            </w:tcBorders>
            <w:vAlign w:val="center"/>
          </w:tcPr>
          <w:p w14:paraId="77C28BC9">
            <w:pPr>
              <w:widowControl/>
              <w:jc w:val="center"/>
              <w:rPr>
                <w:rFonts w:hint="eastAsia" w:ascii="宋体" w:hAnsi="宋体" w:cs="宋体"/>
                <w:sz w:val="24"/>
                <w:szCs w:val="24"/>
              </w:rPr>
            </w:pPr>
          </w:p>
        </w:tc>
        <w:tc>
          <w:tcPr>
            <w:tcW w:w="2250" w:type="dxa"/>
            <w:tcBorders>
              <w:top w:val="single" w:color="auto" w:sz="4" w:space="0"/>
              <w:left w:val="nil"/>
              <w:bottom w:val="single" w:color="auto" w:sz="4" w:space="0"/>
              <w:right w:val="single" w:color="auto" w:sz="4" w:space="0"/>
            </w:tcBorders>
            <w:vAlign w:val="center"/>
          </w:tcPr>
          <w:p w14:paraId="27A49615">
            <w:pPr>
              <w:widowControl/>
              <w:jc w:val="center"/>
              <w:rPr>
                <w:rFonts w:hint="eastAsia" w:ascii="宋体" w:hAnsi="宋体" w:cs="宋体"/>
                <w:sz w:val="24"/>
                <w:szCs w:val="24"/>
              </w:rPr>
            </w:pPr>
          </w:p>
        </w:tc>
        <w:tc>
          <w:tcPr>
            <w:tcW w:w="872" w:type="dxa"/>
            <w:tcBorders>
              <w:top w:val="single" w:color="auto" w:sz="4" w:space="0"/>
              <w:left w:val="nil"/>
              <w:bottom w:val="single" w:color="auto" w:sz="4" w:space="0"/>
              <w:right w:val="single" w:color="auto" w:sz="4" w:space="0"/>
            </w:tcBorders>
            <w:vAlign w:val="center"/>
          </w:tcPr>
          <w:p w14:paraId="5FFE6F1F">
            <w:pPr>
              <w:jc w:val="center"/>
              <w:rPr>
                <w:rFonts w:hint="eastAsia" w:ascii="宋体" w:hAnsi="宋体" w:cs="宋体"/>
                <w:sz w:val="24"/>
                <w:szCs w:val="24"/>
              </w:rPr>
            </w:pPr>
          </w:p>
        </w:tc>
        <w:tc>
          <w:tcPr>
            <w:tcW w:w="887" w:type="dxa"/>
            <w:tcBorders>
              <w:top w:val="single" w:color="auto" w:sz="4" w:space="0"/>
              <w:left w:val="nil"/>
              <w:bottom w:val="single" w:color="auto" w:sz="4" w:space="0"/>
              <w:right w:val="single" w:color="auto" w:sz="4" w:space="0"/>
            </w:tcBorders>
            <w:vAlign w:val="center"/>
          </w:tcPr>
          <w:p w14:paraId="09060D6A">
            <w:pPr>
              <w:jc w:val="center"/>
              <w:rPr>
                <w:rFonts w:hint="eastAsia" w:ascii="宋体" w:hAnsi="宋体" w:cs="宋体"/>
                <w:sz w:val="24"/>
                <w:szCs w:val="24"/>
              </w:rPr>
            </w:pPr>
          </w:p>
        </w:tc>
        <w:tc>
          <w:tcPr>
            <w:tcW w:w="1281" w:type="dxa"/>
            <w:tcBorders>
              <w:top w:val="single" w:color="auto" w:sz="4" w:space="0"/>
              <w:left w:val="nil"/>
              <w:bottom w:val="single" w:color="auto" w:sz="4" w:space="0"/>
              <w:right w:val="single" w:color="auto" w:sz="4" w:space="0"/>
            </w:tcBorders>
            <w:vAlign w:val="center"/>
          </w:tcPr>
          <w:p w14:paraId="232075C6">
            <w:pPr>
              <w:jc w:val="center"/>
              <w:rPr>
                <w:rFonts w:hint="eastAsia" w:ascii="宋体" w:hAnsi="宋体" w:cs="宋体"/>
                <w:sz w:val="24"/>
                <w:szCs w:val="24"/>
              </w:rPr>
            </w:pPr>
          </w:p>
        </w:tc>
        <w:tc>
          <w:tcPr>
            <w:tcW w:w="1323" w:type="dxa"/>
            <w:tcBorders>
              <w:top w:val="single" w:color="auto" w:sz="4" w:space="0"/>
              <w:left w:val="nil"/>
              <w:bottom w:val="single" w:color="auto" w:sz="4" w:space="0"/>
              <w:right w:val="single" w:color="auto" w:sz="4" w:space="0"/>
            </w:tcBorders>
            <w:vAlign w:val="center"/>
          </w:tcPr>
          <w:p w14:paraId="3E13A4EA">
            <w:pPr>
              <w:jc w:val="center"/>
              <w:rPr>
                <w:rFonts w:hint="eastAsia" w:ascii="宋体" w:hAnsi="宋体" w:cs="宋体"/>
                <w:sz w:val="24"/>
                <w:szCs w:val="24"/>
              </w:rPr>
            </w:pPr>
          </w:p>
        </w:tc>
        <w:tc>
          <w:tcPr>
            <w:tcW w:w="1097" w:type="dxa"/>
            <w:tcBorders>
              <w:top w:val="single" w:color="auto" w:sz="4" w:space="0"/>
              <w:left w:val="nil"/>
              <w:bottom w:val="single" w:color="auto" w:sz="4" w:space="0"/>
              <w:right w:val="single" w:color="auto" w:sz="4" w:space="0"/>
            </w:tcBorders>
            <w:vAlign w:val="center"/>
          </w:tcPr>
          <w:p w14:paraId="27A958A3">
            <w:pPr>
              <w:jc w:val="center"/>
              <w:rPr>
                <w:rFonts w:hint="eastAsia" w:ascii="宋体" w:hAnsi="宋体" w:cs="宋体"/>
                <w:sz w:val="24"/>
                <w:szCs w:val="24"/>
              </w:rPr>
            </w:pPr>
          </w:p>
        </w:tc>
      </w:tr>
      <w:tr w14:paraId="298320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072FBB87">
            <w:pPr>
              <w:widowControl/>
              <w:jc w:val="center"/>
              <w:rPr>
                <w:rFonts w:hint="eastAsia" w:ascii="宋体" w:hAnsi="宋体" w:cs="宋体"/>
                <w:sz w:val="24"/>
                <w:szCs w:val="24"/>
              </w:rPr>
            </w:pPr>
            <w:r>
              <w:rPr>
                <w:rFonts w:hint="eastAsia" w:ascii="宋体" w:hAnsi="宋体" w:cs="宋体"/>
                <w:sz w:val="24"/>
                <w:szCs w:val="24"/>
              </w:rPr>
              <w:t>……</w:t>
            </w:r>
          </w:p>
        </w:tc>
        <w:tc>
          <w:tcPr>
            <w:tcW w:w="1774" w:type="dxa"/>
            <w:tcBorders>
              <w:top w:val="single" w:color="auto" w:sz="4" w:space="0"/>
              <w:left w:val="nil"/>
              <w:bottom w:val="single" w:color="auto" w:sz="4" w:space="0"/>
              <w:right w:val="single" w:color="auto" w:sz="4" w:space="0"/>
            </w:tcBorders>
            <w:vAlign w:val="center"/>
          </w:tcPr>
          <w:p w14:paraId="4B6DA3CE">
            <w:pPr>
              <w:widowControl/>
              <w:jc w:val="center"/>
              <w:rPr>
                <w:rFonts w:hint="eastAsia" w:ascii="宋体" w:hAnsi="宋体" w:cs="宋体"/>
                <w:sz w:val="24"/>
                <w:szCs w:val="24"/>
              </w:rPr>
            </w:pPr>
          </w:p>
        </w:tc>
        <w:tc>
          <w:tcPr>
            <w:tcW w:w="2250" w:type="dxa"/>
            <w:tcBorders>
              <w:top w:val="single" w:color="auto" w:sz="4" w:space="0"/>
              <w:left w:val="nil"/>
              <w:bottom w:val="single" w:color="auto" w:sz="4" w:space="0"/>
              <w:right w:val="single" w:color="auto" w:sz="4" w:space="0"/>
            </w:tcBorders>
            <w:vAlign w:val="center"/>
          </w:tcPr>
          <w:p w14:paraId="12F8681D">
            <w:pPr>
              <w:widowControl/>
              <w:jc w:val="center"/>
              <w:rPr>
                <w:rFonts w:hint="eastAsia" w:ascii="宋体" w:hAnsi="宋体" w:cs="宋体"/>
                <w:sz w:val="24"/>
                <w:szCs w:val="24"/>
              </w:rPr>
            </w:pPr>
          </w:p>
        </w:tc>
        <w:tc>
          <w:tcPr>
            <w:tcW w:w="872" w:type="dxa"/>
            <w:tcBorders>
              <w:top w:val="single" w:color="auto" w:sz="4" w:space="0"/>
              <w:left w:val="nil"/>
              <w:bottom w:val="single" w:color="auto" w:sz="4" w:space="0"/>
              <w:right w:val="single" w:color="auto" w:sz="4" w:space="0"/>
            </w:tcBorders>
            <w:vAlign w:val="center"/>
          </w:tcPr>
          <w:p w14:paraId="6403E4A9">
            <w:pPr>
              <w:jc w:val="center"/>
              <w:rPr>
                <w:rFonts w:hint="eastAsia" w:ascii="宋体" w:hAnsi="宋体" w:cs="宋体"/>
                <w:sz w:val="24"/>
                <w:szCs w:val="24"/>
              </w:rPr>
            </w:pPr>
          </w:p>
        </w:tc>
        <w:tc>
          <w:tcPr>
            <w:tcW w:w="887" w:type="dxa"/>
            <w:tcBorders>
              <w:top w:val="single" w:color="auto" w:sz="4" w:space="0"/>
              <w:left w:val="nil"/>
              <w:bottom w:val="single" w:color="auto" w:sz="4" w:space="0"/>
              <w:right w:val="single" w:color="auto" w:sz="4" w:space="0"/>
            </w:tcBorders>
            <w:vAlign w:val="center"/>
          </w:tcPr>
          <w:p w14:paraId="4D57D659">
            <w:pPr>
              <w:jc w:val="center"/>
              <w:rPr>
                <w:rFonts w:hint="eastAsia" w:ascii="宋体" w:hAnsi="宋体" w:cs="宋体"/>
                <w:sz w:val="24"/>
                <w:szCs w:val="24"/>
              </w:rPr>
            </w:pPr>
          </w:p>
        </w:tc>
        <w:tc>
          <w:tcPr>
            <w:tcW w:w="1281" w:type="dxa"/>
            <w:tcBorders>
              <w:top w:val="single" w:color="auto" w:sz="4" w:space="0"/>
              <w:left w:val="nil"/>
              <w:bottom w:val="single" w:color="auto" w:sz="4" w:space="0"/>
              <w:right w:val="single" w:color="auto" w:sz="4" w:space="0"/>
            </w:tcBorders>
            <w:vAlign w:val="center"/>
          </w:tcPr>
          <w:p w14:paraId="18DD6B90">
            <w:pPr>
              <w:jc w:val="center"/>
              <w:rPr>
                <w:rFonts w:hint="eastAsia" w:ascii="宋体" w:hAnsi="宋体" w:cs="宋体"/>
                <w:sz w:val="24"/>
                <w:szCs w:val="24"/>
              </w:rPr>
            </w:pPr>
          </w:p>
        </w:tc>
        <w:tc>
          <w:tcPr>
            <w:tcW w:w="1323" w:type="dxa"/>
            <w:tcBorders>
              <w:top w:val="single" w:color="auto" w:sz="4" w:space="0"/>
              <w:left w:val="nil"/>
              <w:bottom w:val="single" w:color="auto" w:sz="4" w:space="0"/>
              <w:right w:val="single" w:color="auto" w:sz="4" w:space="0"/>
            </w:tcBorders>
            <w:vAlign w:val="center"/>
          </w:tcPr>
          <w:p w14:paraId="2646E2A9">
            <w:pPr>
              <w:jc w:val="center"/>
              <w:rPr>
                <w:rFonts w:hint="eastAsia" w:ascii="宋体" w:hAnsi="宋体" w:cs="宋体"/>
                <w:sz w:val="24"/>
                <w:szCs w:val="24"/>
              </w:rPr>
            </w:pPr>
          </w:p>
        </w:tc>
        <w:tc>
          <w:tcPr>
            <w:tcW w:w="1097" w:type="dxa"/>
            <w:tcBorders>
              <w:top w:val="single" w:color="auto" w:sz="4" w:space="0"/>
              <w:left w:val="nil"/>
              <w:bottom w:val="single" w:color="auto" w:sz="4" w:space="0"/>
              <w:right w:val="single" w:color="auto" w:sz="4" w:space="0"/>
            </w:tcBorders>
            <w:vAlign w:val="center"/>
          </w:tcPr>
          <w:p w14:paraId="3CDD03BA">
            <w:pPr>
              <w:jc w:val="center"/>
              <w:rPr>
                <w:rFonts w:hint="eastAsia" w:ascii="宋体" w:hAnsi="宋体" w:cs="宋体"/>
                <w:sz w:val="24"/>
                <w:szCs w:val="24"/>
              </w:rPr>
            </w:pPr>
          </w:p>
        </w:tc>
      </w:tr>
      <w:tr w14:paraId="429ED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7" w:hRule="atLeast"/>
          <w:jc w:val="center"/>
        </w:trPr>
        <w:tc>
          <w:tcPr>
            <w:tcW w:w="6536" w:type="dxa"/>
            <w:gridSpan w:val="5"/>
            <w:tcBorders>
              <w:top w:val="single" w:color="auto" w:sz="4" w:space="0"/>
              <w:left w:val="single" w:color="auto" w:sz="4" w:space="0"/>
              <w:bottom w:val="single" w:color="auto" w:sz="4" w:space="0"/>
              <w:right w:val="single" w:color="auto" w:sz="4" w:space="0"/>
            </w:tcBorders>
            <w:vAlign w:val="center"/>
          </w:tcPr>
          <w:p w14:paraId="7E1F2565">
            <w:pPr>
              <w:jc w:val="center"/>
              <w:rPr>
                <w:rFonts w:hint="eastAsia" w:ascii="宋体" w:hAnsi="宋体" w:cs="宋体"/>
                <w:sz w:val="24"/>
                <w:szCs w:val="24"/>
              </w:rPr>
            </w:pPr>
            <w:r>
              <w:rPr>
                <w:rFonts w:hint="eastAsia" w:ascii="宋体" w:hAnsi="宋体" w:cs="宋体"/>
                <w:sz w:val="24"/>
                <w:szCs w:val="24"/>
              </w:rPr>
              <w:t>投标总报价（人民币：     元）</w:t>
            </w:r>
          </w:p>
        </w:tc>
        <w:tc>
          <w:tcPr>
            <w:tcW w:w="3701" w:type="dxa"/>
            <w:gridSpan w:val="3"/>
            <w:tcBorders>
              <w:top w:val="single" w:color="auto" w:sz="4" w:space="0"/>
              <w:left w:val="nil"/>
              <w:bottom w:val="single" w:color="auto" w:sz="4" w:space="0"/>
              <w:right w:val="single" w:color="auto" w:sz="4" w:space="0"/>
            </w:tcBorders>
            <w:vAlign w:val="center"/>
          </w:tcPr>
          <w:p w14:paraId="28168F03">
            <w:pPr>
              <w:jc w:val="center"/>
              <w:rPr>
                <w:rFonts w:hint="eastAsia" w:ascii="宋体" w:hAnsi="宋体" w:cs="宋体"/>
                <w:sz w:val="24"/>
                <w:szCs w:val="24"/>
              </w:rPr>
            </w:pPr>
          </w:p>
        </w:tc>
      </w:tr>
    </w:tbl>
    <w:p w14:paraId="232BFF43">
      <w:pPr>
        <w:spacing w:line="440" w:lineRule="exact"/>
        <w:rPr>
          <w:rFonts w:hint="eastAsia" w:ascii="宋体" w:hAnsi="宋体" w:cs="宋体"/>
          <w:bCs/>
          <w:sz w:val="24"/>
          <w:szCs w:val="24"/>
        </w:rPr>
      </w:pPr>
      <w:r>
        <w:rPr>
          <w:rFonts w:hint="eastAsia" w:ascii="宋体" w:hAnsi="宋体" w:cs="宋体"/>
          <w:bCs/>
          <w:sz w:val="24"/>
          <w:szCs w:val="24"/>
        </w:rPr>
        <w:t>注：1、投标人应根据本项目货物的分项价格情况填写上述表格。</w:t>
      </w:r>
    </w:p>
    <w:p w14:paraId="41ECF5BD">
      <w:pPr>
        <w:spacing w:line="440" w:lineRule="exact"/>
        <w:ind w:firstLine="480"/>
        <w:rPr>
          <w:rFonts w:hint="eastAsia" w:ascii="宋体" w:hAnsi="宋体" w:cs="宋体"/>
          <w:bCs/>
          <w:sz w:val="24"/>
          <w:szCs w:val="24"/>
        </w:rPr>
      </w:pPr>
      <w:r>
        <w:rPr>
          <w:rFonts w:hint="eastAsia" w:ascii="宋体" w:hAnsi="宋体" w:cs="宋体"/>
          <w:bCs/>
          <w:sz w:val="24"/>
          <w:szCs w:val="24"/>
        </w:rPr>
        <w:t>2、所有价格用人民币表示。</w:t>
      </w:r>
    </w:p>
    <w:p w14:paraId="452A9FCD">
      <w:pPr>
        <w:spacing w:line="440" w:lineRule="exact"/>
        <w:ind w:firstLine="480"/>
        <w:rPr>
          <w:rFonts w:hint="eastAsia" w:ascii="宋体" w:hAnsi="宋体" w:cs="宋体"/>
          <w:sz w:val="24"/>
          <w:szCs w:val="24"/>
        </w:rPr>
      </w:pPr>
      <w:r>
        <w:rPr>
          <w:rFonts w:hint="eastAsia" w:ascii="宋体" w:hAnsi="宋体" w:cs="宋体"/>
          <w:bCs/>
          <w:sz w:val="24"/>
          <w:szCs w:val="24"/>
        </w:rPr>
        <w:t>3、表中“</w:t>
      </w:r>
      <w:r>
        <w:rPr>
          <w:rFonts w:hint="eastAsia" w:ascii="宋体" w:hAnsi="宋体" w:cs="宋体"/>
          <w:sz w:val="24"/>
          <w:szCs w:val="24"/>
        </w:rPr>
        <w:t>投标总报价</w:t>
      </w:r>
      <w:r>
        <w:rPr>
          <w:rFonts w:hint="eastAsia" w:ascii="宋体" w:hAnsi="宋体" w:cs="宋体"/>
          <w:bCs/>
          <w:sz w:val="24"/>
          <w:szCs w:val="24"/>
        </w:rPr>
        <w:t>”应与“开标一览表”中“</w:t>
      </w:r>
      <w:r>
        <w:rPr>
          <w:rFonts w:hint="eastAsia" w:ascii="宋体" w:hAnsi="宋体" w:cs="宋体"/>
          <w:sz w:val="24"/>
          <w:szCs w:val="24"/>
        </w:rPr>
        <w:t>投标总报价</w:t>
      </w:r>
      <w:r>
        <w:rPr>
          <w:rFonts w:hint="eastAsia" w:ascii="宋体" w:hAnsi="宋体" w:cs="宋体"/>
          <w:bCs/>
          <w:sz w:val="24"/>
          <w:szCs w:val="24"/>
        </w:rPr>
        <w:t>”相一致。</w:t>
      </w:r>
    </w:p>
    <w:p w14:paraId="7BA2A074">
      <w:pPr>
        <w:spacing w:line="440" w:lineRule="exact"/>
        <w:ind w:firstLine="480"/>
        <w:rPr>
          <w:rFonts w:hint="eastAsia" w:ascii="宋体" w:hAnsi="宋体" w:cs="宋体"/>
          <w:sz w:val="24"/>
          <w:szCs w:val="24"/>
        </w:rPr>
      </w:pPr>
      <w:r>
        <w:rPr>
          <w:rFonts w:hint="eastAsia" w:ascii="宋体" w:hAnsi="宋体" w:cs="宋体"/>
          <w:bCs/>
          <w:sz w:val="24"/>
          <w:szCs w:val="24"/>
        </w:rPr>
        <w:t>4、“</w:t>
      </w:r>
      <w:r>
        <w:rPr>
          <w:rFonts w:hint="eastAsia" w:ascii="宋体" w:hAnsi="宋体" w:cs="宋体"/>
          <w:sz w:val="24"/>
          <w:szCs w:val="24"/>
        </w:rPr>
        <w:t>投标总报价</w:t>
      </w:r>
      <w:r>
        <w:rPr>
          <w:rFonts w:hint="eastAsia" w:ascii="宋体" w:hAnsi="宋体" w:cs="宋体"/>
          <w:bCs/>
          <w:sz w:val="24"/>
          <w:szCs w:val="24"/>
        </w:rPr>
        <w:t>”请保留小数点后两位。</w:t>
      </w:r>
    </w:p>
    <w:p w14:paraId="773F1C85">
      <w:pPr>
        <w:rPr>
          <w:rFonts w:hint="eastAsia" w:ascii="宋体" w:hAnsi="宋体" w:cs="宋体"/>
          <w:b/>
          <w:bCs/>
          <w:sz w:val="28"/>
          <w:szCs w:val="28"/>
        </w:rPr>
      </w:pPr>
      <w:bookmarkStart w:id="384" w:name="_Toc43821328"/>
      <w:bookmarkStart w:id="385" w:name="_Toc354834784"/>
      <w:bookmarkStart w:id="386" w:name="_Toc387400419"/>
      <w:bookmarkStart w:id="387" w:name="_Toc522610225"/>
      <w:bookmarkStart w:id="388" w:name="_Toc146524609"/>
      <w:r>
        <w:rPr>
          <w:rFonts w:hint="eastAsia" w:ascii="宋体" w:hAnsi="宋体" w:cs="宋体"/>
          <w:b/>
          <w:bCs/>
          <w:sz w:val="28"/>
          <w:szCs w:val="28"/>
        </w:rPr>
        <w:br w:type="page"/>
      </w:r>
    </w:p>
    <w:p w14:paraId="12799987">
      <w:pPr>
        <w:spacing w:line="440" w:lineRule="exact"/>
        <w:ind w:firstLine="482"/>
        <w:jc w:val="center"/>
        <w:outlineLvl w:val="1"/>
        <w:rPr>
          <w:rFonts w:hint="eastAsia" w:ascii="宋体" w:hAnsi="宋体" w:cs="宋体"/>
          <w:b/>
          <w:sz w:val="24"/>
          <w:szCs w:val="24"/>
        </w:rPr>
      </w:pPr>
      <w:bookmarkStart w:id="389" w:name="_Toc12008"/>
      <w:r>
        <w:rPr>
          <w:rFonts w:hint="eastAsia" w:ascii="宋体" w:hAnsi="宋体" w:cs="宋体"/>
          <w:b/>
          <w:bCs/>
          <w:sz w:val="28"/>
          <w:szCs w:val="28"/>
        </w:rPr>
        <w:t>附件3 技术参数响应及偏离表</w:t>
      </w:r>
      <w:bookmarkEnd w:id="389"/>
    </w:p>
    <w:tbl>
      <w:tblPr>
        <w:tblStyle w:val="38"/>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1830"/>
        <w:gridCol w:w="1811"/>
        <w:gridCol w:w="1107"/>
        <w:gridCol w:w="938"/>
        <w:gridCol w:w="913"/>
        <w:gridCol w:w="2024"/>
        <w:gridCol w:w="1278"/>
      </w:tblGrid>
      <w:tr w14:paraId="4881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35" w:type="dxa"/>
            <w:vMerge w:val="restart"/>
            <w:vAlign w:val="center"/>
          </w:tcPr>
          <w:p w14:paraId="1604908D">
            <w:pPr>
              <w:jc w:val="center"/>
              <w:rPr>
                <w:rFonts w:hint="eastAsia" w:ascii="宋体" w:hAnsi="宋体"/>
                <w:b/>
                <w:sz w:val="24"/>
                <w:szCs w:val="24"/>
              </w:rPr>
            </w:pPr>
            <w:r>
              <w:rPr>
                <w:rFonts w:ascii="宋体" w:hAnsi="宋体"/>
                <w:b/>
                <w:sz w:val="24"/>
                <w:szCs w:val="24"/>
              </w:rPr>
              <w:t>序号</w:t>
            </w:r>
          </w:p>
        </w:tc>
        <w:tc>
          <w:tcPr>
            <w:tcW w:w="1830" w:type="dxa"/>
            <w:vMerge w:val="restart"/>
            <w:vAlign w:val="center"/>
          </w:tcPr>
          <w:p w14:paraId="5D80D1F2">
            <w:pPr>
              <w:spacing w:line="440" w:lineRule="exact"/>
              <w:jc w:val="center"/>
              <w:rPr>
                <w:rFonts w:hint="eastAsia" w:ascii="宋体" w:hAnsi="宋体" w:cs="宋体"/>
                <w:b/>
                <w:sz w:val="24"/>
                <w:szCs w:val="24"/>
              </w:rPr>
            </w:pPr>
            <w:r>
              <w:rPr>
                <w:rFonts w:hint="eastAsia" w:ascii="宋体" w:hAnsi="宋体" w:cs="宋体"/>
                <w:b/>
                <w:kern w:val="2"/>
                <w:sz w:val="24"/>
                <w:szCs w:val="24"/>
                <w:lang w:bidi="ar"/>
              </w:rPr>
              <w:t>招标货物</w:t>
            </w:r>
          </w:p>
          <w:p w14:paraId="6138D1C0">
            <w:pPr>
              <w:spacing w:line="440" w:lineRule="exact"/>
              <w:jc w:val="center"/>
              <w:rPr>
                <w:rFonts w:hint="eastAsia" w:ascii="宋体" w:hAnsi="宋体"/>
                <w:b/>
                <w:sz w:val="24"/>
                <w:szCs w:val="24"/>
              </w:rPr>
            </w:pPr>
            <w:r>
              <w:rPr>
                <w:rFonts w:hint="eastAsia" w:ascii="宋体" w:hAnsi="宋体" w:cs="宋体"/>
                <w:b/>
                <w:kern w:val="2"/>
                <w:sz w:val="24"/>
                <w:szCs w:val="24"/>
                <w:lang w:bidi="ar"/>
              </w:rPr>
              <w:t>配置及技术性能参数要求</w:t>
            </w:r>
          </w:p>
        </w:tc>
        <w:tc>
          <w:tcPr>
            <w:tcW w:w="1811" w:type="dxa"/>
            <w:vMerge w:val="restart"/>
            <w:vAlign w:val="center"/>
          </w:tcPr>
          <w:p w14:paraId="5410EA2E">
            <w:pPr>
              <w:spacing w:line="440" w:lineRule="exact"/>
              <w:jc w:val="center"/>
              <w:rPr>
                <w:rFonts w:hint="eastAsia" w:ascii="宋体" w:hAnsi="宋体" w:cs="宋体"/>
                <w:b/>
                <w:sz w:val="24"/>
                <w:szCs w:val="24"/>
              </w:rPr>
            </w:pPr>
            <w:r>
              <w:rPr>
                <w:rFonts w:hint="eastAsia" w:ascii="宋体" w:hAnsi="宋体" w:cs="宋体"/>
                <w:b/>
                <w:kern w:val="2"/>
                <w:sz w:val="24"/>
                <w:szCs w:val="24"/>
                <w:lang w:bidi="ar"/>
              </w:rPr>
              <w:t>投标货物</w:t>
            </w:r>
          </w:p>
          <w:p w14:paraId="76D19427">
            <w:pPr>
              <w:spacing w:line="440" w:lineRule="exact"/>
              <w:jc w:val="center"/>
              <w:rPr>
                <w:rFonts w:hint="eastAsia" w:ascii="宋体" w:hAnsi="宋体"/>
                <w:b/>
                <w:sz w:val="24"/>
                <w:szCs w:val="24"/>
              </w:rPr>
            </w:pPr>
            <w:r>
              <w:rPr>
                <w:rFonts w:hint="eastAsia" w:ascii="宋体" w:hAnsi="宋体" w:cs="宋体"/>
                <w:b/>
                <w:kern w:val="2"/>
                <w:sz w:val="24"/>
                <w:szCs w:val="24"/>
                <w:lang w:bidi="ar"/>
              </w:rPr>
              <w:t>配置及技术性能参数</w:t>
            </w:r>
          </w:p>
        </w:tc>
        <w:tc>
          <w:tcPr>
            <w:tcW w:w="1107" w:type="dxa"/>
            <w:vMerge w:val="restart"/>
            <w:vAlign w:val="center"/>
          </w:tcPr>
          <w:p w14:paraId="6D255CB8">
            <w:pPr>
              <w:jc w:val="center"/>
              <w:rPr>
                <w:rFonts w:hint="eastAsia" w:ascii="宋体" w:hAnsi="宋体"/>
                <w:b/>
                <w:sz w:val="24"/>
                <w:szCs w:val="24"/>
              </w:rPr>
            </w:pPr>
            <w:r>
              <w:rPr>
                <w:rFonts w:ascii="宋体" w:hAnsi="宋体"/>
                <w:b/>
                <w:sz w:val="24"/>
                <w:szCs w:val="24"/>
              </w:rPr>
              <w:t>有无偏离</w:t>
            </w:r>
          </w:p>
        </w:tc>
        <w:tc>
          <w:tcPr>
            <w:tcW w:w="1851" w:type="dxa"/>
            <w:gridSpan w:val="2"/>
            <w:vAlign w:val="center"/>
          </w:tcPr>
          <w:p w14:paraId="1BC522A5">
            <w:pPr>
              <w:jc w:val="center"/>
              <w:rPr>
                <w:rFonts w:hint="eastAsia" w:ascii="宋体" w:hAnsi="宋体"/>
                <w:b/>
                <w:sz w:val="24"/>
                <w:szCs w:val="24"/>
              </w:rPr>
            </w:pPr>
            <w:r>
              <w:rPr>
                <w:rFonts w:hint="eastAsia" w:ascii="宋体" w:hAnsi="宋体"/>
                <w:b/>
                <w:sz w:val="24"/>
                <w:szCs w:val="24"/>
              </w:rPr>
              <w:t>有偏离</w:t>
            </w:r>
          </w:p>
        </w:tc>
        <w:tc>
          <w:tcPr>
            <w:tcW w:w="2024" w:type="dxa"/>
            <w:vAlign w:val="center"/>
          </w:tcPr>
          <w:p w14:paraId="36498CF6">
            <w:pPr>
              <w:jc w:val="center"/>
              <w:rPr>
                <w:rFonts w:hint="eastAsia" w:ascii="宋体" w:hAnsi="宋体"/>
                <w:b/>
                <w:sz w:val="24"/>
                <w:szCs w:val="24"/>
              </w:rPr>
            </w:pPr>
            <w:r>
              <w:rPr>
                <w:rFonts w:ascii="宋体" w:hAnsi="宋体"/>
                <w:b/>
                <w:sz w:val="24"/>
                <w:szCs w:val="24"/>
              </w:rPr>
              <w:t>偏离内容</w:t>
            </w:r>
          </w:p>
        </w:tc>
        <w:tc>
          <w:tcPr>
            <w:tcW w:w="1278" w:type="dxa"/>
            <w:vAlign w:val="center"/>
          </w:tcPr>
          <w:p w14:paraId="62AAE09C">
            <w:pPr>
              <w:jc w:val="center"/>
              <w:rPr>
                <w:rFonts w:hint="eastAsia" w:ascii="宋体" w:hAnsi="宋体"/>
                <w:b/>
                <w:sz w:val="24"/>
                <w:szCs w:val="24"/>
              </w:rPr>
            </w:pPr>
            <w:r>
              <w:rPr>
                <w:rFonts w:hint="eastAsia" w:ascii="宋体" w:hAnsi="宋体"/>
                <w:b/>
                <w:sz w:val="24"/>
                <w:szCs w:val="24"/>
              </w:rPr>
              <w:t>备注</w:t>
            </w:r>
          </w:p>
        </w:tc>
      </w:tr>
      <w:tr w14:paraId="2E94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635" w:type="dxa"/>
            <w:vMerge w:val="continue"/>
            <w:vAlign w:val="center"/>
          </w:tcPr>
          <w:p w14:paraId="2D8F0FD4">
            <w:pPr>
              <w:jc w:val="center"/>
              <w:rPr>
                <w:rFonts w:hint="eastAsia" w:ascii="宋体" w:hAnsi="宋体"/>
                <w:b/>
                <w:sz w:val="24"/>
                <w:szCs w:val="24"/>
              </w:rPr>
            </w:pPr>
          </w:p>
        </w:tc>
        <w:tc>
          <w:tcPr>
            <w:tcW w:w="1830" w:type="dxa"/>
            <w:vMerge w:val="continue"/>
            <w:vAlign w:val="center"/>
          </w:tcPr>
          <w:p w14:paraId="1BB4C244">
            <w:pPr>
              <w:jc w:val="center"/>
              <w:rPr>
                <w:rFonts w:hint="eastAsia" w:ascii="宋体" w:hAnsi="宋体"/>
                <w:b/>
                <w:sz w:val="24"/>
                <w:szCs w:val="24"/>
              </w:rPr>
            </w:pPr>
          </w:p>
        </w:tc>
        <w:tc>
          <w:tcPr>
            <w:tcW w:w="1811" w:type="dxa"/>
            <w:vMerge w:val="continue"/>
            <w:vAlign w:val="center"/>
          </w:tcPr>
          <w:p w14:paraId="4DFBB963">
            <w:pPr>
              <w:jc w:val="center"/>
              <w:rPr>
                <w:rFonts w:hint="eastAsia" w:ascii="宋体" w:hAnsi="宋体"/>
                <w:b/>
                <w:sz w:val="24"/>
                <w:szCs w:val="24"/>
              </w:rPr>
            </w:pPr>
          </w:p>
        </w:tc>
        <w:tc>
          <w:tcPr>
            <w:tcW w:w="1107" w:type="dxa"/>
            <w:vMerge w:val="continue"/>
            <w:vAlign w:val="center"/>
          </w:tcPr>
          <w:p w14:paraId="3F023BF8">
            <w:pPr>
              <w:jc w:val="center"/>
              <w:rPr>
                <w:rFonts w:hint="eastAsia" w:ascii="宋体" w:hAnsi="宋体"/>
                <w:b/>
                <w:sz w:val="24"/>
                <w:szCs w:val="24"/>
              </w:rPr>
            </w:pPr>
          </w:p>
        </w:tc>
        <w:tc>
          <w:tcPr>
            <w:tcW w:w="938" w:type="dxa"/>
            <w:vAlign w:val="center"/>
          </w:tcPr>
          <w:p w14:paraId="092215B2">
            <w:pPr>
              <w:jc w:val="center"/>
              <w:rPr>
                <w:rFonts w:hint="eastAsia" w:ascii="宋体" w:hAnsi="宋体"/>
                <w:b/>
                <w:sz w:val="24"/>
                <w:szCs w:val="24"/>
              </w:rPr>
            </w:pPr>
            <w:r>
              <w:rPr>
                <w:rFonts w:hint="eastAsia" w:ascii="宋体" w:hAnsi="宋体"/>
                <w:b/>
                <w:sz w:val="24"/>
                <w:szCs w:val="24"/>
              </w:rPr>
              <w:t>正</w:t>
            </w:r>
          </w:p>
        </w:tc>
        <w:tc>
          <w:tcPr>
            <w:tcW w:w="913" w:type="dxa"/>
            <w:vAlign w:val="center"/>
          </w:tcPr>
          <w:p w14:paraId="367F1D68">
            <w:pPr>
              <w:jc w:val="center"/>
              <w:rPr>
                <w:rFonts w:hint="eastAsia" w:ascii="宋体" w:hAnsi="宋体"/>
                <w:b/>
                <w:sz w:val="24"/>
                <w:szCs w:val="24"/>
              </w:rPr>
            </w:pPr>
            <w:r>
              <w:rPr>
                <w:rFonts w:hint="eastAsia" w:ascii="宋体" w:hAnsi="宋体"/>
                <w:b/>
                <w:sz w:val="24"/>
                <w:szCs w:val="24"/>
              </w:rPr>
              <w:t>负</w:t>
            </w:r>
          </w:p>
        </w:tc>
        <w:tc>
          <w:tcPr>
            <w:tcW w:w="2024" w:type="dxa"/>
            <w:vAlign w:val="center"/>
          </w:tcPr>
          <w:p w14:paraId="0FD5EAF5">
            <w:pPr>
              <w:jc w:val="center"/>
              <w:rPr>
                <w:rFonts w:hint="eastAsia" w:ascii="宋体" w:hAnsi="宋体"/>
                <w:b/>
                <w:sz w:val="24"/>
                <w:szCs w:val="24"/>
              </w:rPr>
            </w:pPr>
          </w:p>
        </w:tc>
        <w:tc>
          <w:tcPr>
            <w:tcW w:w="1278" w:type="dxa"/>
            <w:vAlign w:val="center"/>
          </w:tcPr>
          <w:p w14:paraId="3CCBA03A">
            <w:pPr>
              <w:jc w:val="center"/>
              <w:rPr>
                <w:rFonts w:hint="eastAsia" w:ascii="宋体" w:hAnsi="宋体"/>
                <w:b/>
                <w:sz w:val="24"/>
                <w:szCs w:val="24"/>
              </w:rPr>
            </w:pPr>
          </w:p>
        </w:tc>
      </w:tr>
      <w:tr w14:paraId="5B32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64E40AF">
            <w:pPr>
              <w:jc w:val="center"/>
              <w:rPr>
                <w:rFonts w:hint="eastAsia" w:ascii="宋体" w:hAnsi="宋体"/>
                <w:sz w:val="24"/>
                <w:szCs w:val="24"/>
              </w:rPr>
            </w:pPr>
            <w:r>
              <w:rPr>
                <w:rFonts w:ascii="宋体" w:hAnsi="宋体"/>
                <w:sz w:val="24"/>
                <w:szCs w:val="24"/>
              </w:rPr>
              <w:t>1</w:t>
            </w:r>
          </w:p>
        </w:tc>
        <w:tc>
          <w:tcPr>
            <w:tcW w:w="1830" w:type="dxa"/>
            <w:vAlign w:val="center"/>
          </w:tcPr>
          <w:p w14:paraId="71E2A1A9">
            <w:pPr>
              <w:jc w:val="center"/>
              <w:rPr>
                <w:rFonts w:hint="eastAsia" w:ascii="宋体" w:hAnsi="宋体"/>
                <w:sz w:val="24"/>
                <w:szCs w:val="24"/>
              </w:rPr>
            </w:pPr>
          </w:p>
        </w:tc>
        <w:tc>
          <w:tcPr>
            <w:tcW w:w="1811" w:type="dxa"/>
            <w:vAlign w:val="center"/>
          </w:tcPr>
          <w:p w14:paraId="7AACE1F6">
            <w:pPr>
              <w:jc w:val="center"/>
              <w:rPr>
                <w:rFonts w:hint="eastAsia" w:ascii="宋体" w:hAnsi="宋体"/>
              </w:rPr>
            </w:pPr>
          </w:p>
        </w:tc>
        <w:tc>
          <w:tcPr>
            <w:tcW w:w="1107" w:type="dxa"/>
            <w:vAlign w:val="center"/>
          </w:tcPr>
          <w:p w14:paraId="2993585B">
            <w:pPr>
              <w:jc w:val="center"/>
              <w:rPr>
                <w:rFonts w:hint="eastAsia" w:ascii="宋体" w:hAnsi="宋体"/>
              </w:rPr>
            </w:pPr>
          </w:p>
        </w:tc>
        <w:tc>
          <w:tcPr>
            <w:tcW w:w="938" w:type="dxa"/>
            <w:vAlign w:val="center"/>
          </w:tcPr>
          <w:p w14:paraId="6968238B">
            <w:pPr>
              <w:jc w:val="center"/>
              <w:rPr>
                <w:rFonts w:hint="eastAsia" w:ascii="宋体" w:hAnsi="宋体"/>
              </w:rPr>
            </w:pPr>
          </w:p>
        </w:tc>
        <w:tc>
          <w:tcPr>
            <w:tcW w:w="913" w:type="dxa"/>
            <w:vAlign w:val="center"/>
          </w:tcPr>
          <w:p w14:paraId="676389ED">
            <w:pPr>
              <w:jc w:val="center"/>
              <w:rPr>
                <w:rFonts w:hint="eastAsia" w:ascii="宋体" w:hAnsi="宋体"/>
              </w:rPr>
            </w:pPr>
          </w:p>
        </w:tc>
        <w:tc>
          <w:tcPr>
            <w:tcW w:w="2024" w:type="dxa"/>
            <w:vAlign w:val="center"/>
          </w:tcPr>
          <w:p w14:paraId="577063E9">
            <w:pPr>
              <w:jc w:val="center"/>
              <w:rPr>
                <w:rFonts w:hint="eastAsia" w:ascii="宋体" w:hAnsi="宋体"/>
              </w:rPr>
            </w:pPr>
          </w:p>
        </w:tc>
        <w:tc>
          <w:tcPr>
            <w:tcW w:w="1278" w:type="dxa"/>
            <w:vAlign w:val="center"/>
          </w:tcPr>
          <w:p w14:paraId="72DC9D08">
            <w:pPr>
              <w:jc w:val="center"/>
              <w:rPr>
                <w:rFonts w:hint="eastAsia" w:ascii="宋体" w:hAnsi="宋体"/>
              </w:rPr>
            </w:pPr>
          </w:p>
        </w:tc>
      </w:tr>
      <w:tr w14:paraId="466B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0D66CC9F">
            <w:pPr>
              <w:jc w:val="center"/>
              <w:rPr>
                <w:rFonts w:hint="eastAsia" w:ascii="宋体" w:hAnsi="宋体"/>
                <w:sz w:val="24"/>
                <w:szCs w:val="24"/>
              </w:rPr>
            </w:pPr>
            <w:r>
              <w:rPr>
                <w:rFonts w:ascii="宋体" w:hAnsi="宋体"/>
                <w:sz w:val="24"/>
                <w:szCs w:val="24"/>
              </w:rPr>
              <w:t>2</w:t>
            </w:r>
          </w:p>
        </w:tc>
        <w:tc>
          <w:tcPr>
            <w:tcW w:w="1830" w:type="dxa"/>
            <w:vAlign w:val="center"/>
          </w:tcPr>
          <w:p w14:paraId="12A033F2">
            <w:pPr>
              <w:jc w:val="center"/>
              <w:rPr>
                <w:rFonts w:hint="eastAsia" w:ascii="宋体" w:hAnsi="宋体"/>
              </w:rPr>
            </w:pPr>
          </w:p>
        </w:tc>
        <w:tc>
          <w:tcPr>
            <w:tcW w:w="1811" w:type="dxa"/>
            <w:vAlign w:val="center"/>
          </w:tcPr>
          <w:p w14:paraId="744E8D58">
            <w:pPr>
              <w:jc w:val="center"/>
              <w:rPr>
                <w:rFonts w:hint="eastAsia" w:ascii="宋体" w:hAnsi="宋体"/>
              </w:rPr>
            </w:pPr>
          </w:p>
        </w:tc>
        <w:tc>
          <w:tcPr>
            <w:tcW w:w="1107" w:type="dxa"/>
            <w:vAlign w:val="center"/>
          </w:tcPr>
          <w:p w14:paraId="4AA4BF93">
            <w:pPr>
              <w:jc w:val="center"/>
              <w:rPr>
                <w:rFonts w:hint="eastAsia" w:ascii="宋体" w:hAnsi="宋体"/>
              </w:rPr>
            </w:pPr>
          </w:p>
        </w:tc>
        <w:tc>
          <w:tcPr>
            <w:tcW w:w="938" w:type="dxa"/>
            <w:vAlign w:val="center"/>
          </w:tcPr>
          <w:p w14:paraId="54BDDF77">
            <w:pPr>
              <w:jc w:val="center"/>
              <w:rPr>
                <w:rFonts w:hint="eastAsia" w:ascii="宋体" w:hAnsi="宋体"/>
              </w:rPr>
            </w:pPr>
          </w:p>
        </w:tc>
        <w:tc>
          <w:tcPr>
            <w:tcW w:w="913" w:type="dxa"/>
            <w:vAlign w:val="center"/>
          </w:tcPr>
          <w:p w14:paraId="7A7FE31E">
            <w:pPr>
              <w:jc w:val="center"/>
              <w:rPr>
                <w:rFonts w:hint="eastAsia" w:ascii="宋体" w:hAnsi="宋体"/>
              </w:rPr>
            </w:pPr>
          </w:p>
        </w:tc>
        <w:tc>
          <w:tcPr>
            <w:tcW w:w="2024" w:type="dxa"/>
            <w:vAlign w:val="center"/>
          </w:tcPr>
          <w:p w14:paraId="61DB66DB">
            <w:pPr>
              <w:jc w:val="center"/>
              <w:rPr>
                <w:rFonts w:hint="eastAsia" w:ascii="宋体" w:hAnsi="宋体"/>
              </w:rPr>
            </w:pPr>
          </w:p>
        </w:tc>
        <w:tc>
          <w:tcPr>
            <w:tcW w:w="1278" w:type="dxa"/>
            <w:vAlign w:val="center"/>
          </w:tcPr>
          <w:p w14:paraId="69D8AFC1">
            <w:pPr>
              <w:jc w:val="center"/>
              <w:rPr>
                <w:rFonts w:hint="eastAsia" w:ascii="宋体" w:hAnsi="宋体"/>
              </w:rPr>
            </w:pPr>
          </w:p>
        </w:tc>
      </w:tr>
      <w:tr w14:paraId="0D36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35" w:type="dxa"/>
            <w:vAlign w:val="center"/>
          </w:tcPr>
          <w:p w14:paraId="227B366F">
            <w:pPr>
              <w:jc w:val="center"/>
              <w:rPr>
                <w:rFonts w:hint="eastAsia" w:ascii="宋体" w:hAnsi="宋体"/>
                <w:sz w:val="24"/>
                <w:szCs w:val="24"/>
              </w:rPr>
            </w:pPr>
            <w:r>
              <w:rPr>
                <w:rFonts w:ascii="宋体" w:hAnsi="宋体"/>
              </w:rPr>
              <w:t>……</w:t>
            </w:r>
          </w:p>
        </w:tc>
        <w:tc>
          <w:tcPr>
            <w:tcW w:w="1830" w:type="dxa"/>
            <w:vAlign w:val="center"/>
          </w:tcPr>
          <w:p w14:paraId="77326078">
            <w:pPr>
              <w:jc w:val="center"/>
              <w:rPr>
                <w:rFonts w:hint="eastAsia" w:ascii="宋体" w:hAnsi="宋体"/>
              </w:rPr>
            </w:pPr>
          </w:p>
        </w:tc>
        <w:tc>
          <w:tcPr>
            <w:tcW w:w="1811" w:type="dxa"/>
            <w:vAlign w:val="center"/>
          </w:tcPr>
          <w:p w14:paraId="22358EC2">
            <w:pPr>
              <w:jc w:val="center"/>
              <w:rPr>
                <w:rFonts w:hint="eastAsia" w:ascii="宋体" w:hAnsi="宋体"/>
              </w:rPr>
            </w:pPr>
          </w:p>
        </w:tc>
        <w:tc>
          <w:tcPr>
            <w:tcW w:w="1107" w:type="dxa"/>
            <w:vAlign w:val="center"/>
          </w:tcPr>
          <w:p w14:paraId="4EF21B8D">
            <w:pPr>
              <w:jc w:val="center"/>
              <w:rPr>
                <w:rFonts w:hint="eastAsia" w:ascii="宋体" w:hAnsi="宋体"/>
              </w:rPr>
            </w:pPr>
          </w:p>
        </w:tc>
        <w:tc>
          <w:tcPr>
            <w:tcW w:w="938" w:type="dxa"/>
            <w:vAlign w:val="center"/>
          </w:tcPr>
          <w:p w14:paraId="7DC225F0">
            <w:pPr>
              <w:jc w:val="center"/>
              <w:rPr>
                <w:rFonts w:hint="eastAsia" w:ascii="宋体" w:hAnsi="宋体"/>
              </w:rPr>
            </w:pPr>
          </w:p>
        </w:tc>
        <w:tc>
          <w:tcPr>
            <w:tcW w:w="913" w:type="dxa"/>
            <w:vAlign w:val="center"/>
          </w:tcPr>
          <w:p w14:paraId="3817C3E8">
            <w:pPr>
              <w:jc w:val="center"/>
              <w:rPr>
                <w:rFonts w:hint="eastAsia" w:ascii="宋体" w:hAnsi="宋体"/>
              </w:rPr>
            </w:pPr>
          </w:p>
        </w:tc>
        <w:tc>
          <w:tcPr>
            <w:tcW w:w="2024" w:type="dxa"/>
            <w:vAlign w:val="center"/>
          </w:tcPr>
          <w:p w14:paraId="1DA5D622">
            <w:pPr>
              <w:jc w:val="center"/>
              <w:rPr>
                <w:rFonts w:hint="eastAsia" w:ascii="宋体" w:hAnsi="宋体"/>
              </w:rPr>
            </w:pPr>
          </w:p>
        </w:tc>
        <w:tc>
          <w:tcPr>
            <w:tcW w:w="1278" w:type="dxa"/>
            <w:vAlign w:val="center"/>
          </w:tcPr>
          <w:p w14:paraId="0FAC2621">
            <w:pPr>
              <w:jc w:val="center"/>
              <w:rPr>
                <w:rFonts w:hint="eastAsia" w:ascii="宋体" w:hAnsi="宋体"/>
              </w:rPr>
            </w:pPr>
          </w:p>
        </w:tc>
      </w:tr>
      <w:tr w14:paraId="4CD5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4BB0722C">
            <w:pPr>
              <w:jc w:val="center"/>
              <w:rPr>
                <w:rFonts w:hint="eastAsia" w:ascii="宋体" w:hAnsi="宋体"/>
                <w:sz w:val="24"/>
                <w:szCs w:val="24"/>
              </w:rPr>
            </w:pPr>
          </w:p>
        </w:tc>
        <w:tc>
          <w:tcPr>
            <w:tcW w:w="1830" w:type="dxa"/>
            <w:vAlign w:val="center"/>
          </w:tcPr>
          <w:p w14:paraId="73E60FEC">
            <w:pPr>
              <w:jc w:val="center"/>
              <w:rPr>
                <w:rFonts w:hint="eastAsia" w:ascii="宋体" w:hAnsi="宋体"/>
              </w:rPr>
            </w:pPr>
          </w:p>
        </w:tc>
        <w:tc>
          <w:tcPr>
            <w:tcW w:w="1811" w:type="dxa"/>
            <w:vAlign w:val="center"/>
          </w:tcPr>
          <w:p w14:paraId="0679930A">
            <w:pPr>
              <w:jc w:val="center"/>
              <w:rPr>
                <w:rFonts w:hint="eastAsia" w:ascii="宋体" w:hAnsi="宋体"/>
              </w:rPr>
            </w:pPr>
          </w:p>
        </w:tc>
        <w:tc>
          <w:tcPr>
            <w:tcW w:w="1107" w:type="dxa"/>
            <w:vAlign w:val="center"/>
          </w:tcPr>
          <w:p w14:paraId="71B214D9">
            <w:pPr>
              <w:jc w:val="center"/>
              <w:rPr>
                <w:rFonts w:hint="eastAsia" w:ascii="宋体" w:hAnsi="宋体"/>
              </w:rPr>
            </w:pPr>
          </w:p>
        </w:tc>
        <w:tc>
          <w:tcPr>
            <w:tcW w:w="938" w:type="dxa"/>
            <w:vAlign w:val="center"/>
          </w:tcPr>
          <w:p w14:paraId="3F3598DC">
            <w:pPr>
              <w:jc w:val="center"/>
              <w:rPr>
                <w:rFonts w:hint="eastAsia" w:ascii="宋体" w:hAnsi="宋体"/>
              </w:rPr>
            </w:pPr>
          </w:p>
        </w:tc>
        <w:tc>
          <w:tcPr>
            <w:tcW w:w="913" w:type="dxa"/>
            <w:vAlign w:val="center"/>
          </w:tcPr>
          <w:p w14:paraId="13DBAC31">
            <w:pPr>
              <w:jc w:val="center"/>
              <w:rPr>
                <w:rFonts w:hint="eastAsia" w:ascii="宋体" w:hAnsi="宋体"/>
              </w:rPr>
            </w:pPr>
          </w:p>
        </w:tc>
        <w:tc>
          <w:tcPr>
            <w:tcW w:w="2024" w:type="dxa"/>
            <w:vAlign w:val="center"/>
          </w:tcPr>
          <w:p w14:paraId="5B8518D3">
            <w:pPr>
              <w:jc w:val="center"/>
              <w:rPr>
                <w:rFonts w:hint="eastAsia" w:ascii="宋体" w:hAnsi="宋体"/>
              </w:rPr>
            </w:pPr>
          </w:p>
        </w:tc>
        <w:tc>
          <w:tcPr>
            <w:tcW w:w="1278" w:type="dxa"/>
            <w:vAlign w:val="center"/>
          </w:tcPr>
          <w:p w14:paraId="66AA573A">
            <w:pPr>
              <w:jc w:val="center"/>
              <w:rPr>
                <w:rFonts w:hint="eastAsia" w:ascii="宋体" w:hAnsi="宋体"/>
              </w:rPr>
            </w:pPr>
          </w:p>
        </w:tc>
      </w:tr>
      <w:tr w14:paraId="5FAB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20F16969">
            <w:pPr>
              <w:jc w:val="center"/>
              <w:rPr>
                <w:rFonts w:hint="eastAsia" w:ascii="宋体" w:hAnsi="宋体"/>
                <w:sz w:val="24"/>
                <w:szCs w:val="24"/>
              </w:rPr>
            </w:pPr>
          </w:p>
        </w:tc>
        <w:tc>
          <w:tcPr>
            <w:tcW w:w="1830" w:type="dxa"/>
            <w:vAlign w:val="center"/>
          </w:tcPr>
          <w:p w14:paraId="37BDDEB2">
            <w:pPr>
              <w:jc w:val="center"/>
              <w:rPr>
                <w:rFonts w:hint="eastAsia" w:ascii="宋体" w:hAnsi="宋体"/>
              </w:rPr>
            </w:pPr>
          </w:p>
        </w:tc>
        <w:tc>
          <w:tcPr>
            <w:tcW w:w="1811" w:type="dxa"/>
            <w:vAlign w:val="center"/>
          </w:tcPr>
          <w:p w14:paraId="43908C9A">
            <w:pPr>
              <w:jc w:val="center"/>
              <w:rPr>
                <w:rFonts w:hint="eastAsia" w:ascii="宋体" w:hAnsi="宋体"/>
              </w:rPr>
            </w:pPr>
          </w:p>
        </w:tc>
        <w:tc>
          <w:tcPr>
            <w:tcW w:w="1107" w:type="dxa"/>
            <w:vAlign w:val="center"/>
          </w:tcPr>
          <w:p w14:paraId="2982BC62">
            <w:pPr>
              <w:jc w:val="center"/>
              <w:rPr>
                <w:rFonts w:hint="eastAsia" w:ascii="宋体" w:hAnsi="宋体"/>
              </w:rPr>
            </w:pPr>
          </w:p>
        </w:tc>
        <w:tc>
          <w:tcPr>
            <w:tcW w:w="938" w:type="dxa"/>
            <w:vAlign w:val="center"/>
          </w:tcPr>
          <w:p w14:paraId="2E98E2AE">
            <w:pPr>
              <w:jc w:val="center"/>
              <w:rPr>
                <w:rFonts w:hint="eastAsia" w:ascii="宋体" w:hAnsi="宋体"/>
              </w:rPr>
            </w:pPr>
          </w:p>
        </w:tc>
        <w:tc>
          <w:tcPr>
            <w:tcW w:w="913" w:type="dxa"/>
            <w:vAlign w:val="center"/>
          </w:tcPr>
          <w:p w14:paraId="408484F8">
            <w:pPr>
              <w:jc w:val="center"/>
              <w:rPr>
                <w:rFonts w:hint="eastAsia" w:ascii="宋体" w:hAnsi="宋体"/>
              </w:rPr>
            </w:pPr>
          </w:p>
        </w:tc>
        <w:tc>
          <w:tcPr>
            <w:tcW w:w="2024" w:type="dxa"/>
            <w:vAlign w:val="center"/>
          </w:tcPr>
          <w:p w14:paraId="464697C8">
            <w:pPr>
              <w:jc w:val="center"/>
              <w:rPr>
                <w:rFonts w:hint="eastAsia" w:ascii="宋体" w:hAnsi="宋体"/>
              </w:rPr>
            </w:pPr>
          </w:p>
        </w:tc>
        <w:tc>
          <w:tcPr>
            <w:tcW w:w="1278" w:type="dxa"/>
            <w:vAlign w:val="center"/>
          </w:tcPr>
          <w:p w14:paraId="3393C6B0">
            <w:pPr>
              <w:jc w:val="center"/>
              <w:rPr>
                <w:rFonts w:hint="eastAsia" w:ascii="宋体" w:hAnsi="宋体"/>
              </w:rPr>
            </w:pPr>
          </w:p>
        </w:tc>
      </w:tr>
      <w:tr w14:paraId="01DE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5A97791C">
            <w:pPr>
              <w:jc w:val="center"/>
              <w:rPr>
                <w:rFonts w:hint="eastAsia" w:ascii="宋体" w:hAnsi="宋体"/>
                <w:sz w:val="24"/>
                <w:szCs w:val="24"/>
              </w:rPr>
            </w:pPr>
          </w:p>
        </w:tc>
        <w:tc>
          <w:tcPr>
            <w:tcW w:w="1830" w:type="dxa"/>
            <w:vAlign w:val="center"/>
          </w:tcPr>
          <w:p w14:paraId="5C7D9D56">
            <w:pPr>
              <w:jc w:val="center"/>
              <w:rPr>
                <w:rFonts w:hint="eastAsia" w:ascii="宋体" w:hAnsi="宋体"/>
              </w:rPr>
            </w:pPr>
          </w:p>
        </w:tc>
        <w:tc>
          <w:tcPr>
            <w:tcW w:w="1811" w:type="dxa"/>
            <w:vAlign w:val="center"/>
          </w:tcPr>
          <w:p w14:paraId="10D2F9AF">
            <w:pPr>
              <w:jc w:val="center"/>
              <w:rPr>
                <w:rFonts w:hint="eastAsia" w:ascii="宋体" w:hAnsi="宋体"/>
              </w:rPr>
            </w:pPr>
          </w:p>
        </w:tc>
        <w:tc>
          <w:tcPr>
            <w:tcW w:w="1107" w:type="dxa"/>
            <w:vAlign w:val="center"/>
          </w:tcPr>
          <w:p w14:paraId="38C41DC9">
            <w:pPr>
              <w:jc w:val="center"/>
              <w:rPr>
                <w:rFonts w:hint="eastAsia" w:ascii="宋体" w:hAnsi="宋体"/>
              </w:rPr>
            </w:pPr>
          </w:p>
        </w:tc>
        <w:tc>
          <w:tcPr>
            <w:tcW w:w="938" w:type="dxa"/>
            <w:vAlign w:val="center"/>
          </w:tcPr>
          <w:p w14:paraId="4BDF6906">
            <w:pPr>
              <w:jc w:val="center"/>
              <w:rPr>
                <w:rFonts w:hint="eastAsia" w:ascii="宋体" w:hAnsi="宋体"/>
              </w:rPr>
            </w:pPr>
          </w:p>
        </w:tc>
        <w:tc>
          <w:tcPr>
            <w:tcW w:w="913" w:type="dxa"/>
            <w:vAlign w:val="center"/>
          </w:tcPr>
          <w:p w14:paraId="1F97CFF0">
            <w:pPr>
              <w:jc w:val="center"/>
              <w:rPr>
                <w:rFonts w:hint="eastAsia" w:ascii="宋体" w:hAnsi="宋体"/>
              </w:rPr>
            </w:pPr>
          </w:p>
        </w:tc>
        <w:tc>
          <w:tcPr>
            <w:tcW w:w="2024" w:type="dxa"/>
            <w:vAlign w:val="center"/>
          </w:tcPr>
          <w:p w14:paraId="1BD777BC">
            <w:pPr>
              <w:jc w:val="center"/>
              <w:rPr>
                <w:rFonts w:hint="eastAsia" w:ascii="宋体" w:hAnsi="宋体"/>
              </w:rPr>
            </w:pPr>
          </w:p>
        </w:tc>
        <w:tc>
          <w:tcPr>
            <w:tcW w:w="1278" w:type="dxa"/>
            <w:vAlign w:val="center"/>
          </w:tcPr>
          <w:p w14:paraId="1B4A8F89">
            <w:pPr>
              <w:jc w:val="center"/>
              <w:rPr>
                <w:rFonts w:hint="eastAsia" w:ascii="宋体" w:hAnsi="宋体"/>
              </w:rPr>
            </w:pPr>
          </w:p>
        </w:tc>
      </w:tr>
      <w:tr w14:paraId="1545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5" w:type="dxa"/>
            <w:vAlign w:val="center"/>
          </w:tcPr>
          <w:p w14:paraId="1D94302F">
            <w:pPr>
              <w:jc w:val="center"/>
              <w:rPr>
                <w:rFonts w:hint="eastAsia" w:ascii="宋体" w:hAnsi="宋体"/>
                <w:sz w:val="24"/>
                <w:szCs w:val="24"/>
              </w:rPr>
            </w:pPr>
          </w:p>
        </w:tc>
        <w:tc>
          <w:tcPr>
            <w:tcW w:w="1830" w:type="dxa"/>
            <w:vAlign w:val="center"/>
          </w:tcPr>
          <w:p w14:paraId="36F57640">
            <w:pPr>
              <w:jc w:val="center"/>
              <w:rPr>
                <w:rFonts w:hint="eastAsia" w:ascii="宋体" w:hAnsi="宋体"/>
              </w:rPr>
            </w:pPr>
          </w:p>
        </w:tc>
        <w:tc>
          <w:tcPr>
            <w:tcW w:w="1811" w:type="dxa"/>
            <w:vAlign w:val="center"/>
          </w:tcPr>
          <w:p w14:paraId="0725296E">
            <w:pPr>
              <w:jc w:val="center"/>
              <w:rPr>
                <w:rFonts w:hint="eastAsia" w:ascii="宋体" w:hAnsi="宋体"/>
              </w:rPr>
            </w:pPr>
          </w:p>
        </w:tc>
        <w:tc>
          <w:tcPr>
            <w:tcW w:w="1107" w:type="dxa"/>
            <w:vAlign w:val="center"/>
          </w:tcPr>
          <w:p w14:paraId="1316012F">
            <w:pPr>
              <w:jc w:val="center"/>
              <w:rPr>
                <w:rFonts w:hint="eastAsia" w:ascii="宋体" w:hAnsi="宋体"/>
              </w:rPr>
            </w:pPr>
          </w:p>
        </w:tc>
        <w:tc>
          <w:tcPr>
            <w:tcW w:w="938" w:type="dxa"/>
            <w:vAlign w:val="center"/>
          </w:tcPr>
          <w:p w14:paraId="7B611AC0">
            <w:pPr>
              <w:jc w:val="center"/>
              <w:rPr>
                <w:rFonts w:hint="eastAsia" w:ascii="宋体" w:hAnsi="宋体"/>
              </w:rPr>
            </w:pPr>
          </w:p>
        </w:tc>
        <w:tc>
          <w:tcPr>
            <w:tcW w:w="913" w:type="dxa"/>
            <w:vAlign w:val="center"/>
          </w:tcPr>
          <w:p w14:paraId="31AD2596">
            <w:pPr>
              <w:jc w:val="center"/>
              <w:rPr>
                <w:rFonts w:hint="eastAsia" w:ascii="宋体" w:hAnsi="宋体"/>
              </w:rPr>
            </w:pPr>
          </w:p>
        </w:tc>
        <w:tc>
          <w:tcPr>
            <w:tcW w:w="2024" w:type="dxa"/>
            <w:vAlign w:val="center"/>
          </w:tcPr>
          <w:p w14:paraId="0FC8E664">
            <w:pPr>
              <w:jc w:val="center"/>
              <w:rPr>
                <w:rFonts w:hint="eastAsia" w:ascii="宋体" w:hAnsi="宋体"/>
              </w:rPr>
            </w:pPr>
          </w:p>
        </w:tc>
        <w:tc>
          <w:tcPr>
            <w:tcW w:w="1278" w:type="dxa"/>
            <w:vAlign w:val="center"/>
          </w:tcPr>
          <w:p w14:paraId="28910C4B">
            <w:pPr>
              <w:jc w:val="center"/>
              <w:rPr>
                <w:rFonts w:hint="eastAsia" w:ascii="宋体" w:hAnsi="宋体"/>
              </w:rPr>
            </w:pPr>
          </w:p>
        </w:tc>
      </w:tr>
      <w:tr w14:paraId="419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35" w:type="dxa"/>
            <w:vAlign w:val="center"/>
          </w:tcPr>
          <w:p w14:paraId="32CE90CF">
            <w:pPr>
              <w:jc w:val="center"/>
              <w:rPr>
                <w:rFonts w:hint="eastAsia" w:ascii="宋体" w:hAnsi="宋体"/>
                <w:sz w:val="24"/>
                <w:szCs w:val="24"/>
              </w:rPr>
            </w:pPr>
          </w:p>
        </w:tc>
        <w:tc>
          <w:tcPr>
            <w:tcW w:w="1830" w:type="dxa"/>
            <w:vAlign w:val="center"/>
          </w:tcPr>
          <w:p w14:paraId="1FDB0108">
            <w:pPr>
              <w:jc w:val="center"/>
              <w:rPr>
                <w:rFonts w:hint="eastAsia" w:ascii="宋体" w:hAnsi="宋体"/>
                <w:sz w:val="24"/>
                <w:szCs w:val="24"/>
              </w:rPr>
            </w:pPr>
          </w:p>
        </w:tc>
        <w:tc>
          <w:tcPr>
            <w:tcW w:w="1811" w:type="dxa"/>
            <w:vAlign w:val="center"/>
          </w:tcPr>
          <w:p w14:paraId="2EF2489D">
            <w:pPr>
              <w:jc w:val="center"/>
              <w:rPr>
                <w:rFonts w:hint="eastAsia" w:ascii="宋体" w:hAnsi="宋体"/>
              </w:rPr>
            </w:pPr>
          </w:p>
        </w:tc>
        <w:tc>
          <w:tcPr>
            <w:tcW w:w="1107" w:type="dxa"/>
            <w:vAlign w:val="center"/>
          </w:tcPr>
          <w:p w14:paraId="0929674B">
            <w:pPr>
              <w:jc w:val="center"/>
              <w:rPr>
                <w:rFonts w:hint="eastAsia" w:ascii="宋体" w:hAnsi="宋体"/>
              </w:rPr>
            </w:pPr>
          </w:p>
        </w:tc>
        <w:tc>
          <w:tcPr>
            <w:tcW w:w="938" w:type="dxa"/>
            <w:vAlign w:val="center"/>
          </w:tcPr>
          <w:p w14:paraId="3CC2C4CA">
            <w:pPr>
              <w:jc w:val="center"/>
              <w:rPr>
                <w:rFonts w:hint="eastAsia" w:ascii="宋体" w:hAnsi="宋体"/>
              </w:rPr>
            </w:pPr>
          </w:p>
        </w:tc>
        <w:tc>
          <w:tcPr>
            <w:tcW w:w="913" w:type="dxa"/>
            <w:vAlign w:val="center"/>
          </w:tcPr>
          <w:p w14:paraId="0ECACF47">
            <w:pPr>
              <w:jc w:val="center"/>
              <w:rPr>
                <w:rFonts w:hint="eastAsia" w:ascii="宋体" w:hAnsi="宋体"/>
              </w:rPr>
            </w:pPr>
          </w:p>
        </w:tc>
        <w:tc>
          <w:tcPr>
            <w:tcW w:w="2024" w:type="dxa"/>
            <w:vAlign w:val="center"/>
          </w:tcPr>
          <w:p w14:paraId="7489C63C">
            <w:pPr>
              <w:jc w:val="center"/>
              <w:rPr>
                <w:rFonts w:hint="eastAsia" w:ascii="宋体" w:hAnsi="宋体"/>
              </w:rPr>
            </w:pPr>
          </w:p>
        </w:tc>
        <w:tc>
          <w:tcPr>
            <w:tcW w:w="1278" w:type="dxa"/>
            <w:vAlign w:val="center"/>
          </w:tcPr>
          <w:p w14:paraId="468CB7E7">
            <w:pPr>
              <w:jc w:val="center"/>
              <w:rPr>
                <w:rFonts w:hint="eastAsia" w:ascii="宋体" w:hAnsi="宋体"/>
              </w:rPr>
            </w:pPr>
          </w:p>
        </w:tc>
      </w:tr>
    </w:tbl>
    <w:p w14:paraId="53A97E44">
      <w:pPr>
        <w:spacing w:line="500" w:lineRule="exact"/>
        <w:ind w:firstLine="482" w:firstLineChars="200"/>
        <w:rPr>
          <w:rFonts w:hint="eastAsia" w:ascii="宋体" w:hAnsi="宋体" w:cs="宋体"/>
          <w:b/>
          <w:sz w:val="24"/>
          <w:szCs w:val="24"/>
        </w:rPr>
      </w:pPr>
      <w:r>
        <w:rPr>
          <w:rFonts w:hint="eastAsia" w:ascii="宋体" w:hAnsi="宋体" w:cs="宋体"/>
          <w:b/>
          <w:kern w:val="2"/>
          <w:sz w:val="24"/>
          <w:szCs w:val="24"/>
          <w:lang w:bidi="ar"/>
        </w:rPr>
        <w:t>注：1、投标人应根据“采购需求”中的“三、技术性能参数要求”对照所投报货物的技术性能参数进行逐项评议。</w:t>
      </w:r>
    </w:p>
    <w:p w14:paraId="65A08ACF">
      <w:pPr>
        <w:spacing w:line="500" w:lineRule="exact"/>
        <w:ind w:firstLine="960" w:firstLineChars="400"/>
        <w:rPr>
          <w:rFonts w:hint="eastAsia" w:ascii="宋体" w:hAnsi="宋体" w:cs="宋体"/>
          <w:sz w:val="24"/>
          <w:szCs w:val="24"/>
        </w:rPr>
      </w:pPr>
      <w:r>
        <w:rPr>
          <w:rFonts w:hint="eastAsia" w:ascii="宋体" w:hAnsi="宋体" w:cs="宋体"/>
          <w:kern w:val="2"/>
          <w:sz w:val="24"/>
          <w:szCs w:val="24"/>
          <w:lang w:bidi="ar"/>
        </w:rPr>
        <w:t>2、</w:t>
      </w:r>
      <w:r>
        <w:rPr>
          <w:rFonts w:hint="eastAsia"/>
          <w:sz w:val="24"/>
          <w:szCs w:val="24"/>
        </w:rPr>
        <w:t>若无偏离，在“无偏离”栏中填写“无偏离”；若有偏离在“有偏离”栏中填写“正偏离”或“负偏离”，并在“偏离内容”栏中作出说明</w:t>
      </w:r>
      <w:r>
        <w:rPr>
          <w:sz w:val="24"/>
          <w:szCs w:val="24"/>
        </w:rPr>
        <w:t>。</w:t>
      </w:r>
    </w:p>
    <w:p w14:paraId="5C253B28">
      <w:pPr>
        <w:spacing w:line="500" w:lineRule="exact"/>
        <w:ind w:firstLine="964" w:firstLineChars="400"/>
        <w:rPr>
          <w:rFonts w:hint="eastAsia" w:ascii="宋体" w:hAnsi="宋体" w:cs="宋体"/>
          <w:b/>
          <w:sz w:val="24"/>
          <w:szCs w:val="24"/>
        </w:rPr>
      </w:pPr>
      <w:r>
        <w:rPr>
          <w:rFonts w:hint="eastAsia" w:ascii="宋体" w:hAnsi="宋体" w:cs="宋体"/>
          <w:b/>
          <w:kern w:val="2"/>
          <w:sz w:val="24"/>
          <w:szCs w:val="24"/>
          <w:lang w:bidi="ar"/>
        </w:rPr>
        <w:t>3、“采购需求”中的“三、技术性能参数要求”中“3）水质自动监测站技术参数要求”，标“▲”项为重要参数，标“▲”项之外的技术性能参数为常规参数。标“▲”项技术参数需根据招标文件中的要求在投标文件中提供相关证明材料扫描件，未提供的则视为负偏离。</w:t>
      </w:r>
    </w:p>
    <w:p w14:paraId="0950DE9E">
      <w:pPr>
        <w:spacing w:after="120" w:line="440" w:lineRule="exact"/>
        <w:ind w:firstLine="960" w:firstLineChars="400"/>
        <w:rPr>
          <w:rFonts w:hint="eastAsia" w:ascii="宋体" w:hAnsi="宋体" w:cs="宋体"/>
        </w:rPr>
      </w:pPr>
      <w:r>
        <w:rPr>
          <w:rFonts w:hint="eastAsia" w:ascii="宋体" w:hAnsi="宋体" w:cs="宋体"/>
          <w:kern w:val="2"/>
          <w:sz w:val="24"/>
          <w:szCs w:val="24"/>
          <w:lang w:bidi="ar"/>
        </w:rPr>
        <w:t>4、表格不够可另接。</w:t>
      </w:r>
    </w:p>
    <w:p w14:paraId="51A2A81F">
      <w:pPr>
        <w:rPr>
          <w:rFonts w:hint="eastAsia" w:ascii="宋体" w:hAnsi="宋体" w:cs="宋体"/>
          <w:b/>
          <w:bCs/>
          <w:sz w:val="28"/>
          <w:szCs w:val="28"/>
        </w:rPr>
      </w:pPr>
      <w:r>
        <w:rPr>
          <w:rFonts w:hint="eastAsia" w:ascii="宋体" w:hAnsi="宋体" w:cs="宋体"/>
          <w:b/>
          <w:bCs/>
          <w:sz w:val="28"/>
          <w:szCs w:val="28"/>
        </w:rPr>
        <w:br w:type="page"/>
      </w:r>
    </w:p>
    <w:p w14:paraId="2D06D853">
      <w:pPr>
        <w:spacing w:line="440" w:lineRule="exact"/>
        <w:jc w:val="center"/>
        <w:outlineLvl w:val="1"/>
        <w:rPr>
          <w:rFonts w:hint="eastAsia" w:ascii="宋体" w:hAnsi="宋体" w:cs="宋体"/>
          <w:b/>
          <w:bCs/>
          <w:sz w:val="28"/>
          <w:szCs w:val="28"/>
        </w:rPr>
      </w:pPr>
      <w:bookmarkStart w:id="390" w:name="_Toc18368"/>
      <w:r>
        <w:rPr>
          <w:rFonts w:hint="eastAsia" w:ascii="宋体" w:hAnsi="宋体" w:cs="宋体"/>
          <w:b/>
          <w:bCs/>
          <w:sz w:val="28"/>
          <w:szCs w:val="28"/>
        </w:rPr>
        <w:t>附件4 投标货物综合说明</w:t>
      </w:r>
      <w:bookmarkEnd w:id="390"/>
    </w:p>
    <w:p w14:paraId="51379EFE">
      <w:pPr>
        <w:spacing w:line="520" w:lineRule="exact"/>
        <w:rPr>
          <w:rFonts w:hint="eastAsia" w:ascii="宋体" w:hAnsi="宋体" w:cs="宋体"/>
        </w:rPr>
      </w:pPr>
      <w:r>
        <w:rPr>
          <w:rFonts w:hint="eastAsia" w:ascii="宋体" w:hAnsi="宋体" w:cs="宋体"/>
          <w:kern w:val="2"/>
          <w:sz w:val="24"/>
          <w:szCs w:val="24"/>
          <w:lang w:bidi="ar"/>
        </w:rPr>
        <w:t>主要内容应包括但不限于以下方面：</w:t>
      </w:r>
    </w:p>
    <w:p w14:paraId="7727ABD9">
      <w:pPr>
        <w:pStyle w:val="33"/>
        <w:widowControl w:val="0"/>
        <w:adjustRightInd w:val="0"/>
        <w:spacing w:before="0" w:beforeAutospacing="0" w:after="0" w:afterAutospacing="0" w:line="520" w:lineRule="exact"/>
        <w:jc w:val="both"/>
        <w:rPr>
          <w:rFonts w:hint="eastAsia"/>
          <w:b/>
          <w:szCs w:val="22"/>
        </w:rPr>
      </w:pPr>
      <w:r>
        <w:rPr>
          <w:rFonts w:hint="eastAsia"/>
          <w:b/>
          <w:szCs w:val="22"/>
          <w:lang w:bidi="ar"/>
        </w:rPr>
        <w:t>（一）投标货物详细配置一览表：</w:t>
      </w:r>
    </w:p>
    <w:tbl>
      <w:tblPr>
        <w:tblStyle w:val="38"/>
        <w:tblW w:w="9816"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09"/>
        <w:gridCol w:w="1386"/>
        <w:gridCol w:w="1616"/>
        <w:gridCol w:w="1080"/>
        <w:gridCol w:w="2445"/>
        <w:gridCol w:w="1745"/>
        <w:gridCol w:w="835"/>
      </w:tblGrid>
      <w:tr w14:paraId="7545A74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30"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D22EDD5">
            <w:pPr>
              <w:jc w:val="center"/>
              <w:rPr>
                <w:rFonts w:hint="eastAsia" w:ascii="宋体" w:hAnsi="宋体" w:cs="宋体"/>
                <w:b/>
                <w:kern w:val="10"/>
                <w:sz w:val="24"/>
                <w:szCs w:val="24"/>
              </w:rPr>
            </w:pPr>
            <w:r>
              <w:rPr>
                <w:rFonts w:hint="eastAsia" w:ascii="宋体" w:hAnsi="宋体" w:cs="宋体"/>
                <w:b/>
                <w:kern w:val="10"/>
                <w:sz w:val="24"/>
                <w:szCs w:val="24"/>
                <w:lang w:bidi="ar"/>
              </w:rPr>
              <w:t>序号</w:t>
            </w: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8482614">
            <w:pPr>
              <w:jc w:val="center"/>
              <w:rPr>
                <w:rFonts w:hint="eastAsia" w:ascii="宋体" w:hAnsi="宋体" w:cs="宋体"/>
                <w:b/>
                <w:kern w:val="10"/>
                <w:sz w:val="24"/>
                <w:szCs w:val="24"/>
              </w:rPr>
            </w:pPr>
            <w:r>
              <w:rPr>
                <w:rFonts w:hint="eastAsia" w:ascii="宋体" w:hAnsi="宋体" w:cs="宋体"/>
                <w:b/>
                <w:kern w:val="10"/>
                <w:sz w:val="24"/>
                <w:szCs w:val="24"/>
                <w:lang w:bidi="ar"/>
              </w:rPr>
              <w:t>货物名称</w:t>
            </w: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50CB5CD2">
            <w:pPr>
              <w:jc w:val="center"/>
              <w:rPr>
                <w:rFonts w:hint="eastAsia" w:ascii="宋体" w:hAnsi="宋体" w:cs="宋体"/>
                <w:b/>
                <w:kern w:val="10"/>
                <w:sz w:val="24"/>
                <w:szCs w:val="24"/>
              </w:rPr>
            </w:pPr>
            <w:r>
              <w:rPr>
                <w:rFonts w:hint="eastAsia" w:ascii="宋体" w:hAnsi="宋体" w:cs="宋体"/>
                <w:b/>
                <w:kern w:val="10"/>
                <w:sz w:val="24"/>
                <w:szCs w:val="24"/>
                <w:lang w:bidi="ar"/>
              </w:rPr>
              <w:t>规格、型号</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0278497C">
            <w:pPr>
              <w:jc w:val="center"/>
              <w:rPr>
                <w:rFonts w:hint="eastAsia" w:ascii="宋体" w:hAnsi="宋体" w:cs="宋体"/>
                <w:b/>
                <w:kern w:val="10"/>
                <w:sz w:val="24"/>
                <w:szCs w:val="24"/>
              </w:rPr>
            </w:pPr>
            <w:r>
              <w:rPr>
                <w:rFonts w:hint="eastAsia" w:ascii="宋体" w:hAnsi="宋体" w:cs="宋体"/>
                <w:b/>
                <w:kern w:val="10"/>
                <w:sz w:val="24"/>
                <w:szCs w:val="24"/>
                <w:lang w:bidi="ar"/>
              </w:rPr>
              <w:t>品牌</w:t>
            </w: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B8F8D26">
            <w:pPr>
              <w:jc w:val="center"/>
              <w:rPr>
                <w:rFonts w:hint="eastAsia" w:ascii="宋体" w:hAnsi="宋体" w:cs="宋体"/>
                <w:b/>
                <w:kern w:val="10"/>
                <w:sz w:val="24"/>
                <w:szCs w:val="24"/>
              </w:rPr>
            </w:pPr>
            <w:r>
              <w:rPr>
                <w:rFonts w:hint="eastAsia" w:ascii="宋体" w:hAnsi="宋体" w:cs="宋体"/>
                <w:b/>
                <w:kern w:val="10"/>
                <w:sz w:val="24"/>
                <w:szCs w:val="24"/>
                <w:lang w:bidi="ar"/>
              </w:rPr>
              <w:t>部件/材料详细说明</w:t>
            </w: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2C76A982">
            <w:pPr>
              <w:jc w:val="center"/>
              <w:rPr>
                <w:rFonts w:hint="eastAsia" w:ascii="宋体" w:hAnsi="宋体" w:cs="宋体"/>
                <w:b/>
                <w:kern w:val="10"/>
                <w:sz w:val="24"/>
                <w:szCs w:val="24"/>
              </w:rPr>
            </w:pPr>
            <w:r>
              <w:rPr>
                <w:rFonts w:hint="eastAsia" w:ascii="宋体" w:hAnsi="宋体" w:cs="宋体"/>
                <w:b/>
                <w:kern w:val="10"/>
                <w:sz w:val="24"/>
                <w:szCs w:val="24"/>
                <w:lang w:bidi="ar"/>
              </w:rPr>
              <w:t>产地及制造商</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FFD8078">
            <w:pPr>
              <w:jc w:val="center"/>
              <w:rPr>
                <w:rFonts w:hint="eastAsia" w:ascii="宋体" w:hAnsi="宋体" w:cs="宋体"/>
                <w:b/>
                <w:kern w:val="10"/>
                <w:sz w:val="24"/>
                <w:szCs w:val="24"/>
              </w:rPr>
            </w:pPr>
            <w:r>
              <w:rPr>
                <w:rFonts w:hint="eastAsia" w:ascii="宋体" w:hAnsi="宋体" w:cs="宋体"/>
                <w:b/>
                <w:kern w:val="10"/>
                <w:sz w:val="24"/>
                <w:szCs w:val="24"/>
                <w:lang w:bidi="ar"/>
              </w:rPr>
              <w:t>备注</w:t>
            </w:r>
          </w:p>
        </w:tc>
      </w:tr>
      <w:tr w14:paraId="55B9D10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9970EAE">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7DC4F997">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5168188">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E5F0075">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179413C0">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5ABD0E7F">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5FADD6E0">
            <w:pPr>
              <w:jc w:val="center"/>
              <w:rPr>
                <w:rFonts w:hint="eastAsia" w:ascii="宋体" w:hAnsi="宋体" w:cs="宋体"/>
                <w:kern w:val="10"/>
                <w:sz w:val="28"/>
                <w:szCs w:val="20"/>
              </w:rPr>
            </w:pPr>
          </w:p>
        </w:tc>
      </w:tr>
      <w:tr w14:paraId="2A2BB9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4052058">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FC1521C">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366C45F1">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79CE79CE">
            <w:pPr>
              <w:jc w:val="center"/>
              <w:rPr>
                <w:rFonts w:hint="eastAsia" w:ascii="宋体" w:hAnsi="宋体" w:cs="宋体"/>
                <w:kern w:val="1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342813C1">
            <w:pPr>
              <w:jc w:val="center"/>
              <w:rPr>
                <w:rFonts w:hint="eastAsia" w:ascii="宋体" w:hAnsi="宋体" w:cs="宋体"/>
                <w:kern w:val="1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3E72930E">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5A0D6677">
            <w:pPr>
              <w:jc w:val="center"/>
              <w:rPr>
                <w:rFonts w:hint="eastAsia" w:ascii="宋体" w:hAnsi="宋体" w:cs="宋体"/>
                <w:kern w:val="10"/>
                <w:sz w:val="28"/>
                <w:szCs w:val="20"/>
              </w:rPr>
            </w:pPr>
          </w:p>
        </w:tc>
      </w:tr>
      <w:tr w14:paraId="22F5795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458E33C">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3106A012">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9D3C752">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2180EE70">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0151571">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67F28949">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6A33EB64">
            <w:pPr>
              <w:jc w:val="center"/>
              <w:rPr>
                <w:rFonts w:hint="eastAsia" w:ascii="宋体" w:hAnsi="宋体" w:cs="宋体"/>
                <w:kern w:val="10"/>
                <w:sz w:val="28"/>
                <w:szCs w:val="20"/>
              </w:rPr>
            </w:pPr>
          </w:p>
        </w:tc>
      </w:tr>
      <w:tr w14:paraId="6EA0228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346607DF">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E63F27D">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49560BAB">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1B46D2D7">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2E28BB3C">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569A9003">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49E111B">
            <w:pPr>
              <w:jc w:val="center"/>
              <w:rPr>
                <w:rFonts w:hint="eastAsia" w:ascii="宋体" w:hAnsi="宋体" w:cs="宋体"/>
                <w:kern w:val="10"/>
                <w:sz w:val="28"/>
                <w:szCs w:val="20"/>
              </w:rPr>
            </w:pPr>
          </w:p>
        </w:tc>
      </w:tr>
      <w:tr w14:paraId="2C0365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CD5A27E">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5B700DBF">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0825CAC0">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5D67AB4">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7E07E870">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63C8F5E8">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651F200C">
            <w:pPr>
              <w:jc w:val="center"/>
              <w:rPr>
                <w:rFonts w:hint="eastAsia" w:ascii="宋体" w:hAnsi="宋体" w:cs="宋体"/>
                <w:kern w:val="10"/>
                <w:sz w:val="28"/>
                <w:szCs w:val="20"/>
              </w:rPr>
            </w:pPr>
          </w:p>
        </w:tc>
      </w:tr>
      <w:tr w14:paraId="02ECACE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77"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CBFF976">
            <w:pPr>
              <w:jc w:val="center"/>
              <w:rPr>
                <w:rFonts w:hint="eastAsia" w:ascii="宋体" w:hAnsi="宋体" w:cs="宋体"/>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6723C1E0">
            <w:pPr>
              <w:jc w:val="center"/>
              <w:rPr>
                <w:rFonts w:hint="eastAsia" w:ascii="宋体" w:hAnsi="宋体" w:cs="宋体"/>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33D73953">
            <w:pPr>
              <w:jc w:val="center"/>
              <w:rPr>
                <w:rFonts w:hint="eastAsia" w:ascii="宋体" w:hAnsi="宋体" w:cs="宋体"/>
                <w:kern w:val="10"/>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07ED3B4">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6464599D">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0C05DE04">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117ED296">
            <w:pPr>
              <w:jc w:val="center"/>
              <w:rPr>
                <w:rFonts w:hint="eastAsia" w:ascii="宋体" w:hAnsi="宋体" w:cs="宋体"/>
                <w:kern w:val="10"/>
                <w:sz w:val="28"/>
                <w:szCs w:val="20"/>
              </w:rPr>
            </w:pPr>
          </w:p>
        </w:tc>
      </w:tr>
      <w:tr w14:paraId="5A532F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498"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21AA75BB">
            <w:pPr>
              <w:jc w:val="center"/>
              <w:rPr>
                <w:rFonts w:hint="eastAsia" w:ascii="宋体" w:hAnsi="宋体" w:cs="宋体"/>
                <w:b/>
                <w:kern w:val="10"/>
              </w:rPr>
            </w:pPr>
          </w:p>
        </w:tc>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4CC0C46D">
            <w:pPr>
              <w:jc w:val="center"/>
              <w:rPr>
                <w:rFonts w:hint="eastAsia" w:ascii="宋体" w:hAnsi="宋体" w:cs="宋体"/>
                <w:b/>
                <w:kern w:val="10"/>
              </w:rPr>
            </w:pPr>
          </w:p>
        </w:tc>
        <w:tc>
          <w:tcPr>
            <w:tcW w:w="1616" w:type="dxa"/>
            <w:tcBorders>
              <w:top w:val="single" w:color="auto" w:sz="4" w:space="0"/>
              <w:left w:val="single" w:color="auto" w:sz="4" w:space="0"/>
              <w:bottom w:val="single" w:color="auto" w:sz="4" w:space="0"/>
              <w:right w:val="single" w:color="auto" w:sz="4" w:space="0"/>
            </w:tcBorders>
            <w:shd w:val="clear" w:color="auto" w:fill="auto"/>
            <w:vAlign w:val="center"/>
          </w:tcPr>
          <w:p w14:paraId="6DE8F12A">
            <w:pPr>
              <w:jc w:val="center"/>
              <w:rPr>
                <w:rFonts w:hint="eastAsia" w:ascii="宋体" w:hAnsi="宋体" w:cs="宋体"/>
                <w:b/>
                <w:kern w:val="10"/>
              </w:rPr>
            </w:pPr>
            <w:r>
              <w:rPr>
                <w:rFonts w:hint="eastAsia" w:ascii="宋体" w:hAnsi="宋体" w:cs="宋体"/>
                <w:b/>
                <w:kern w:val="10"/>
                <w:szCs w:val="20"/>
                <w:lang w:bidi="ar"/>
              </w:rPr>
              <w:t>……</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268DBA2E">
            <w:pPr>
              <w:jc w:val="center"/>
              <w:rPr>
                <w:rFonts w:hint="eastAsia" w:ascii="宋体" w:hAnsi="宋体" w:cs="宋体"/>
                <w:kern w:val="10"/>
                <w:sz w:val="28"/>
                <w:szCs w:val="20"/>
              </w:rPr>
            </w:pPr>
          </w:p>
        </w:tc>
        <w:tc>
          <w:tcPr>
            <w:tcW w:w="2445" w:type="dxa"/>
            <w:tcBorders>
              <w:top w:val="single" w:color="auto" w:sz="4" w:space="0"/>
              <w:left w:val="single" w:color="auto" w:sz="4" w:space="0"/>
              <w:bottom w:val="single" w:color="auto" w:sz="4" w:space="0"/>
              <w:right w:val="single" w:color="auto" w:sz="4" w:space="0"/>
            </w:tcBorders>
            <w:shd w:val="clear" w:color="auto" w:fill="auto"/>
            <w:vAlign w:val="center"/>
          </w:tcPr>
          <w:p w14:paraId="18CF51FC">
            <w:pPr>
              <w:jc w:val="center"/>
              <w:rPr>
                <w:rFonts w:hint="eastAsia" w:ascii="宋体" w:hAnsi="宋体" w:cs="宋体"/>
                <w:kern w:val="10"/>
                <w:sz w:val="28"/>
                <w:szCs w:val="20"/>
              </w:rPr>
            </w:pP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35081A2E">
            <w:pPr>
              <w:jc w:val="center"/>
              <w:rPr>
                <w:rFonts w:hint="eastAsia" w:ascii="宋体" w:hAnsi="宋体" w:cs="宋体"/>
                <w:kern w:val="10"/>
                <w:sz w:val="28"/>
                <w:szCs w:val="20"/>
              </w:rPr>
            </w:pP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0BD3B0B4">
            <w:pPr>
              <w:jc w:val="center"/>
              <w:rPr>
                <w:rFonts w:hint="eastAsia" w:ascii="宋体" w:hAnsi="宋体" w:cs="宋体"/>
                <w:kern w:val="10"/>
                <w:sz w:val="28"/>
                <w:szCs w:val="20"/>
              </w:rPr>
            </w:pPr>
          </w:p>
        </w:tc>
      </w:tr>
    </w:tbl>
    <w:p w14:paraId="4E5C49F3">
      <w:pPr>
        <w:spacing w:line="480" w:lineRule="exact"/>
        <w:ind w:firstLine="240" w:firstLineChars="100"/>
        <w:rPr>
          <w:rFonts w:hint="eastAsia" w:ascii="宋体" w:hAnsi="宋体" w:cs="宋体"/>
          <w:sz w:val="24"/>
          <w:szCs w:val="24"/>
        </w:rPr>
      </w:pPr>
      <w:r>
        <w:rPr>
          <w:rFonts w:hint="eastAsia" w:ascii="宋体" w:hAnsi="宋体" w:cs="宋体"/>
          <w:kern w:val="2"/>
          <w:sz w:val="24"/>
          <w:szCs w:val="24"/>
          <w:lang w:bidi="ar"/>
        </w:rPr>
        <w:t>注：①投标人应根据本项目中拟投货物的配置情况，据实、详细填写上述表格。</w:t>
      </w:r>
    </w:p>
    <w:p w14:paraId="782D571F">
      <w:pPr>
        <w:spacing w:line="480" w:lineRule="exact"/>
        <w:ind w:firstLine="720" w:firstLineChars="300"/>
        <w:rPr>
          <w:rFonts w:hint="eastAsia" w:ascii="宋体" w:hAnsi="宋体" w:cs="宋体"/>
          <w:sz w:val="24"/>
          <w:szCs w:val="24"/>
        </w:rPr>
      </w:pPr>
      <w:r>
        <w:rPr>
          <w:rFonts w:hint="eastAsia" w:ascii="宋体" w:hAnsi="宋体" w:cs="宋体"/>
          <w:kern w:val="2"/>
          <w:sz w:val="24"/>
          <w:szCs w:val="24"/>
          <w:lang w:bidi="ar"/>
        </w:rPr>
        <w:t>②因表述含糊导致的评标风险将由投标人承担。</w:t>
      </w:r>
    </w:p>
    <w:p w14:paraId="388A9857">
      <w:pPr>
        <w:spacing w:line="480" w:lineRule="exact"/>
        <w:ind w:firstLine="720" w:firstLineChars="300"/>
        <w:rPr>
          <w:rFonts w:hint="eastAsia" w:ascii="宋体" w:hAnsi="宋体" w:cs="宋体"/>
          <w:sz w:val="24"/>
          <w:szCs w:val="24"/>
        </w:rPr>
      </w:pPr>
      <w:r>
        <w:rPr>
          <w:rFonts w:hint="eastAsia" w:ascii="宋体" w:hAnsi="宋体" w:cs="宋体"/>
          <w:kern w:val="2"/>
          <w:sz w:val="24"/>
          <w:szCs w:val="24"/>
          <w:lang w:bidi="ar"/>
        </w:rPr>
        <w:t>③如有需要说明的事项，请在备注中列明。</w:t>
      </w:r>
    </w:p>
    <w:p w14:paraId="1A513955">
      <w:pPr>
        <w:spacing w:line="480" w:lineRule="exact"/>
        <w:ind w:firstLine="720" w:firstLineChars="300"/>
        <w:rPr>
          <w:rFonts w:hint="eastAsia" w:ascii="宋体" w:hAnsi="宋体" w:cs="宋体"/>
          <w:sz w:val="24"/>
          <w:szCs w:val="24"/>
        </w:rPr>
      </w:pPr>
      <w:r>
        <w:rPr>
          <w:rFonts w:hint="eastAsia" w:ascii="宋体" w:hAnsi="宋体" w:cs="宋体"/>
          <w:kern w:val="2"/>
          <w:sz w:val="24"/>
          <w:szCs w:val="24"/>
          <w:lang w:bidi="ar"/>
        </w:rPr>
        <w:t>④表格不够可另接。</w:t>
      </w:r>
    </w:p>
    <w:p w14:paraId="609D25FF">
      <w:pPr>
        <w:pStyle w:val="33"/>
        <w:widowControl w:val="0"/>
        <w:snapToGrid w:val="0"/>
        <w:spacing w:before="0" w:beforeAutospacing="0" w:after="0" w:afterAutospacing="0" w:line="520" w:lineRule="exact"/>
        <w:jc w:val="both"/>
        <w:rPr>
          <w:rFonts w:hint="eastAsia"/>
        </w:rPr>
      </w:pPr>
    </w:p>
    <w:p w14:paraId="10B56E67">
      <w:pPr>
        <w:spacing w:line="520" w:lineRule="exact"/>
        <w:rPr>
          <w:rFonts w:hint="eastAsia" w:ascii="宋体" w:hAnsi="宋体" w:cs="宋体"/>
          <w:b/>
          <w:sz w:val="24"/>
        </w:rPr>
      </w:pPr>
      <w:r>
        <w:rPr>
          <w:rFonts w:hint="eastAsia" w:ascii="宋体" w:hAnsi="宋体" w:cs="宋体"/>
          <w:b/>
          <w:kern w:val="2"/>
          <w:sz w:val="24"/>
          <w:lang w:bidi="ar"/>
        </w:rPr>
        <w:t>（二）投标货物综合性能说明：</w:t>
      </w:r>
    </w:p>
    <w:p w14:paraId="086F009A">
      <w:pPr>
        <w:spacing w:line="360" w:lineRule="auto"/>
        <w:ind w:firstLine="720" w:firstLineChars="300"/>
        <w:rPr>
          <w:rFonts w:hint="eastAsia" w:ascii="宋体" w:hAnsi="宋体" w:cs="宋体"/>
          <w:kern w:val="2"/>
          <w:sz w:val="24"/>
          <w:szCs w:val="24"/>
          <w:lang w:bidi="ar"/>
        </w:rPr>
      </w:pPr>
      <w:r>
        <w:rPr>
          <w:rFonts w:hint="eastAsia" w:ascii="宋体" w:hAnsi="宋体" w:cs="宋体"/>
          <w:kern w:val="2"/>
          <w:sz w:val="24"/>
          <w:szCs w:val="24"/>
          <w:lang w:bidi="ar"/>
        </w:rPr>
        <w:t>1、各投标货物主要功能、性能特点说明（可提供相关证明材料）。</w:t>
      </w:r>
    </w:p>
    <w:p w14:paraId="7AC02FEA">
      <w:pPr>
        <w:spacing w:line="360" w:lineRule="auto"/>
        <w:ind w:firstLine="720" w:firstLineChars="300"/>
        <w:rPr>
          <w:rFonts w:hint="eastAsia" w:ascii="宋体" w:hAnsi="宋体" w:cs="宋体"/>
          <w:sz w:val="24"/>
        </w:rPr>
      </w:pPr>
      <w:r>
        <w:rPr>
          <w:rFonts w:hint="eastAsia" w:ascii="宋体" w:hAnsi="宋体" w:cs="宋体"/>
          <w:kern w:val="2"/>
          <w:sz w:val="24"/>
          <w:szCs w:val="24"/>
          <w:lang w:bidi="ar"/>
        </w:rPr>
        <w:t>2、其他说明。</w:t>
      </w:r>
    </w:p>
    <w:p w14:paraId="7170EF3A">
      <w:pPr>
        <w:pStyle w:val="33"/>
        <w:widowControl w:val="0"/>
        <w:adjustRightInd w:val="0"/>
        <w:spacing w:before="0" w:beforeAutospacing="0" w:after="0" w:afterAutospacing="0" w:line="312" w:lineRule="atLeast"/>
        <w:jc w:val="both"/>
        <w:rPr>
          <w:rFonts w:hint="eastAsia"/>
        </w:rPr>
      </w:pPr>
    </w:p>
    <w:p w14:paraId="57EE08F7">
      <w:pPr>
        <w:widowControl/>
        <w:jc w:val="left"/>
        <w:rPr>
          <w:rFonts w:hint="eastAsia" w:ascii="宋体" w:hAnsi="宋体" w:cs="宋体"/>
        </w:rPr>
      </w:pPr>
      <w:r>
        <w:rPr>
          <w:rFonts w:hint="eastAsia" w:ascii="宋体" w:hAnsi="宋体" w:cs="宋体"/>
          <w:b/>
          <w:kern w:val="2"/>
          <w:sz w:val="24"/>
          <w:lang w:bidi="ar"/>
        </w:rPr>
        <w:t>（三）其他说明（如有）。</w:t>
      </w:r>
    </w:p>
    <w:p w14:paraId="78025461">
      <w:pPr>
        <w:spacing w:after="120" w:line="440" w:lineRule="exact"/>
        <w:ind w:firstLine="720" w:firstLineChars="300"/>
        <w:rPr>
          <w:rFonts w:hint="eastAsia" w:ascii="宋体" w:hAnsi="宋体" w:cs="宋体"/>
          <w:bCs/>
          <w:sz w:val="24"/>
          <w:szCs w:val="24"/>
        </w:rPr>
      </w:pPr>
    </w:p>
    <w:p w14:paraId="1E9A8FA5">
      <w:pPr>
        <w:spacing w:line="440" w:lineRule="exact"/>
        <w:ind w:firstLine="482"/>
        <w:jc w:val="center"/>
        <w:outlineLvl w:val="1"/>
        <w:rPr>
          <w:rFonts w:hint="eastAsia" w:ascii="宋体" w:hAnsi="宋体" w:cs="宋体"/>
          <w:b/>
          <w:bCs/>
          <w:sz w:val="28"/>
          <w:szCs w:val="28"/>
        </w:rPr>
      </w:pPr>
      <w:r>
        <w:rPr>
          <w:rFonts w:hint="eastAsia" w:ascii="宋体" w:hAnsi="宋体" w:cs="宋体"/>
        </w:rPr>
        <w:br w:type="page" w:clear="all"/>
      </w:r>
      <w:bookmarkStart w:id="391" w:name="_Toc28128"/>
      <w:r>
        <w:rPr>
          <w:rFonts w:hint="eastAsia" w:ascii="宋体" w:hAnsi="宋体" w:cs="宋体"/>
          <w:b/>
          <w:bCs/>
          <w:sz w:val="28"/>
          <w:szCs w:val="28"/>
        </w:rPr>
        <w:t xml:space="preserve">附件5 </w:t>
      </w:r>
      <w:bookmarkEnd w:id="384"/>
      <w:bookmarkEnd w:id="385"/>
      <w:bookmarkEnd w:id="386"/>
      <w:bookmarkEnd w:id="387"/>
      <w:bookmarkEnd w:id="388"/>
      <w:r>
        <w:rPr>
          <w:rFonts w:hint="eastAsia" w:ascii="宋体" w:hAnsi="宋体" w:cs="宋体"/>
          <w:b/>
          <w:bCs/>
          <w:sz w:val="28"/>
          <w:szCs w:val="28"/>
        </w:rPr>
        <w:t>项目实施方案</w:t>
      </w:r>
      <w:bookmarkEnd w:id="391"/>
    </w:p>
    <w:p w14:paraId="463835AF">
      <w:pPr>
        <w:spacing w:line="440" w:lineRule="exact"/>
        <w:ind w:firstLine="480" w:firstLineChars="200"/>
        <w:rPr>
          <w:rFonts w:hint="eastAsia" w:ascii="宋体" w:hAnsi="宋体" w:cs="宋体"/>
        </w:rPr>
      </w:pPr>
      <w:r>
        <w:rPr>
          <w:rFonts w:hint="eastAsia" w:ascii="宋体" w:hAnsi="宋体" w:cs="宋体"/>
          <w:sz w:val="24"/>
          <w:szCs w:val="24"/>
          <w:lang w:bidi="ar"/>
        </w:rPr>
        <w:t>根据</w:t>
      </w:r>
      <w:r>
        <w:rPr>
          <w:rFonts w:hint="eastAsia" w:ascii="宋体" w:hAnsi="宋体" w:cs="宋体"/>
          <w:sz w:val="24"/>
          <w:szCs w:val="24"/>
          <w:lang w:eastAsia="zh-CN" w:bidi="ar"/>
        </w:rPr>
        <w:t>“第四章 采购需求”、</w:t>
      </w:r>
      <w:r>
        <w:rPr>
          <w:rFonts w:hint="eastAsia" w:ascii="宋体" w:hAnsi="宋体" w:cs="宋体"/>
          <w:sz w:val="24"/>
          <w:szCs w:val="24"/>
          <w:lang w:bidi="ar"/>
        </w:rPr>
        <w:t>“第五章  评标方法与评标标准”提供相关说明并提供证明材料</w:t>
      </w:r>
      <w:r>
        <w:rPr>
          <w:rFonts w:hint="eastAsia" w:ascii="宋体" w:hAnsi="宋体" w:cs="宋体"/>
          <w:sz w:val="24"/>
          <w:szCs w:val="24"/>
          <w:lang w:eastAsia="zh-CN" w:bidi="ar"/>
        </w:rPr>
        <w:t>（</w:t>
      </w:r>
      <w:r>
        <w:rPr>
          <w:rFonts w:hint="eastAsia" w:ascii="宋体" w:hAnsi="宋体" w:cs="宋体"/>
          <w:sz w:val="24"/>
          <w:szCs w:val="24"/>
          <w:lang w:val="en-US" w:eastAsia="zh-CN" w:bidi="ar"/>
        </w:rPr>
        <w:t>如果有的话</w:t>
      </w:r>
      <w:r>
        <w:rPr>
          <w:rFonts w:hint="eastAsia" w:ascii="宋体" w:hAnsi="宋体" w:cs="宋体"/>
          <w:sz w:val="24"/>
          <w:szCs w:val="24"/>
          <w:lang w:eastAsia="zh-CN" w:bidi="ar"/>
        </w:rPr>
        <w:t>）</w:t>
      </w:r>
      <w:r>
        <w:rPr>
          <w:rFonts w:hint="eastAsia" w:ascii="宋体" w:hAnsi="宋体" w:cs="宋体"/>
          <w:sz w:val="24"/>
          <w:szCs w:val="24"/>
        </w:rPr>
        <w:br w:type="page"/>
      </w:r>
    </w:p>
    <w:p w14:paraId="4D941659">
      <w:pPr>
        <w:spacing w:line="440" w:lineRule="exact"/>
        <w:ind w:firstLine="482"/>
        <w:jc w:val="center"/>
        <w:outlineLvl w:val="1"/>
        <w:rPr>
          <w:rFonts w:hint="eastAsia" w:ascii="宋体" w:hAnsi="宋体" w:cs="宋体"/>
          <w:b/>
          <w:bCs/>
          <w:sz w:val="28"/>
          <w:szCs w:val="28"/>
        </w:rPr>
      </w:pPr>
      <w:bookmarkStart w:id="392" w:name="_Toc1462"/>
      <w:r>
        <w:rPr>
          <w:rFonts w:hint="eastAsia" w:ascii="宋体" w:hAnsi="宋体" w:cs="宋体"/>
          <w:b/>
          <w:bCs/>
          <w:sz w:val="28"/>
          <w:szCs w:val="28"/>
        </w:rPr>
        <w:t>附件6 项目组人员一览表</w:t>
      </w:r>
      <w:bookmarkEnd w:id="392"/>
    </w:p>
    <w:tbl>
      <w:tblPr>
        <w:tblStyle w:val="3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5"/>
        <w:gridCol w:w="1559"/>
        <w:gridCol w:w="992"/>
        <w:gridCol w:w="993"/>
        <w:gridCol w:w="850"/>
        <w:gridCol w:w="1134"/>
        <w:gridCol w:w="1276"/>
        <w:gridCol w:w="1843"/>
      </w:tblGrid>
      <w:tr w14:paraId="283A54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0655904C">
            <w:pPr>
              <w:jc w:val="center"/>
              <w:rPr>
                <w:rFonts w:hint="eastAsia" w:ascii="宋体" w:hAnsi="宋体" w:cs="宋体"/>
                <w:b/>
                <w:kern w:val="10"/>
                <w:sz w:val="24"/>
                <w:szCs w:val="24"/>
              </w:rPr>
            </w:pPr>
            <w:r>
              <w:rPr>
                <w:rFonts w:hint="eastAsia" w:ascii="宋体" w:hAnsi="宋体" w:cs="宋体"/>
                <w:b/>
                <w:kern w:val="10"/>
                <w:sz w:val="24"/>
                <w:szCs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45C39E78">
            <w:pPr>
              <w:jc w:val="center"/>
              <w:rPr>
                <w:rFonts w:hint="eastAsia" w:ascii="宋体" w:hAnsi="宋体" w:cs="宋体"/>
                <w:b/>
                <w:kern w:val="10"/>
                <w:sz w:val="24"/>
                <w:szCs w:val="24"/>
              </w:rPr>
            </w:pPr>
            <w:r>
              <w:rPr>
                <w:rFonts w:hint="eastAsia" w:ascii="宋体" w:hAnsi="宋体" w:cs="宋体"/>
                <w:b/>
                <w:kern w:val="10"/>
                <w:sz w:val="24"/>
                <w:szCs w:val="24"/>
              </w:rPr>
              <w:t>姓名</w:t>
            </w:r>
          </w:p>
        </w:tc>
        <w:tc>
          <w:tcPr>
            <w:tcW w:w="992" w:type="dxa"/>
            <w:tcBorders>
              <w:top w:val="single" w:color="auto" w:sz="4" w:space="0"/>
              <w:left w:val="single" w:color="auto" w:sz="4" w:space="0"/>
              <w:bottom w:val="single" w:color="auto" w:sz="4" w:space="0"/>
              <w:right w:val="single" w:color="auto" w:sz="4" w:space="0"/>
            </w:tcBorders>
            <w:vAlign w:val="center"/>
          </w:tcPr>
          <w:p w14:paraId="46C58222">
            <w:pPr>
              <w:jc w:val="center"/>
              <w:rPr>
                <w:rFonts w:hint="eastAsia" w:ascii="宋体" w:hAnsi="宋体" w:cs="宋体"/>
                <w:b/>
                <w:kern w:val="10"/>
                <w:sz w:val="24"/>
                <w:szCs w:val="24"/>
              </w:rPr>
            </w:pPr>
            <w:r>
              <w:rPr>
                <w:rFonts w:hint="eastAsia" w:ascii="宋体" w:hAnsi="宋体" w:cs="宋体"/>
                <w:b/>
                <w:kern w:val="10"/>
                <w:sz w:val="24"/>
                <w:szCs w:val="24"/>
              </w:rPr>
              <w:t>年龄</w:t>
            </w:r>
          </w:p>
        </w:tc>
        <w:tc>
          <w:tcPr>
            <w:tcW w:w="993" w:type="dxa"/>
            <w:tcBorders>
              <w:top w:val="single" w:color="auto" w:sz="4" w:space="0"/>
              <w:left w:val="single" w:color="auto" w:sz="4" w:space="0"/>
              <w:bottom w:val="single" w:color="auto" w:sz="4" w:space="0"/>
              <w:right w:val="single" w:color="auto" w:sz="4" w:space="0"/>
            </w:tcBorders>
            <w:vAlign w:val="center"/>
          </w:tcPr>
          <w:p w14:paraId="5CBB181A">
            <w:pPr>
              <w:jc w:val="center"/>
              <w:rPr>
                <w:rFonts w:hint="eastAsia" w:ascii="宋体" w:hAnsi="宋体" w:cs="宋体"/>
                <w:b/>
                <w:kern w:val="10"/>
                <w:sz w:val="24"/>
                <w:szCs w:val="24"/>
              </w:rPr>
            </w:pPr>
            <w:r>
              <w:rPr>
                <w:rFonts w:hint="eastAsia" w:ascii="宋体" w:hAnsi="宋体" w:cs="宋体"/>
                <w:b/>
                <w:kern w:val="10"/>
                <w:sz w:val="24"/>
                <w:szCs w:val="24"/>
              </w:rPr>
              <w:t>学历</w:t>
            </w:r>
          </w:p>
        </w:tc>
        <w:tc>
          <w:tcPr>
            <w:tcW w:w="850" w:type="dxa"/>
            <w:tcBorders>
              <w:top w:val="single" w:color="auto" w:sz="4" w:space="0"/>
              <w:left w:val="single" w:color="auto" w:sz="4" w:space="0"/>
              <w:bottom w:val="single" w:color="auto" w:sz="4" w:space="0"/>
              <w:right w:val="single" w:color="auto" w:sz="4" w:space="0"/>
            </w:tcBorders>
            <w:vAlign w:val="center"/>
          </w:tcPr>
          <w:p w14:paraId="77453652">
            <w:pPr>
              <w:jc w:val="center"/>
              <w:rPr>
                <w:rFonts w:hint="eastAsia" w:ascii="宋体" w:hAnsi="宋体" w:cs="宋体"/>
                <w:b/>
                <w:kern w:val="10"/>
                <w:sz w:val="24"/>
                <w:szCs w:val="24"/>
              </w:rPr>
            </w:pPr>
            <w:r>
              <w:rPr>
                <w:rFonts w:hint="eastAsia" w:ascii="宋体" w:hAnsi="宋体" w:cs="宋体"/>
                <w:b/>
                <w:kern w:val="10"/>
                <w:sz w:val="24"/>
                <w:szCs w:val="24"/>
              </w:rPr>
              <w:t>从业年限</w:t>
            </w:r>
          </w:p>
        </w:tc>
        <w:tc>
          <w:tcPr>
            <w:tcW w:w="1134" w:type="dxa"/>
            <w:tcBorders>
              <w:top w:val="single" w:color="auto" w:sz="4" w:space="0"/>
              <w:left w:val="single" w:color="auto" w:sz="4" w:space="0"/>
              <w:bottom w:val="single" w:color="auto" w:sz="4" w:space="0"/>
              <w:right w:val="single" w:color="auto" w:sz="4" w:space="0"/>
            </w:tcBorders>
            <w:vAlign w:val="center"/>
          </w:tcPr>
          <w:p w14:paraId="243C5379">
            <w:pPr>
              <w:jc w:val="center"/>
              <w:rPr>
                <w:rFonts w:hint="eastAsia" w:ascii="宋体" w:hAnsi="宋体" w:cs="宋体"/>
                <w:b/>
                <w:kern w:val="10"/>
                <w:sz w:val="24"/>
                <w:szCs w:val="24"/>
              </w:rPr>
            </w:pPr>
            <w:r>
              <w:rPr>
                <w:rFonts w:hint="eastAsia" w:ascii="宋体" w:hAnsi="宋体" w:cs="宋体"/>
                <w:b/>
                <w:kern w:val="10"/>
                <w:sz w:val="24"/>
                <w:szCs w:val="24"/>
              </w:rPr>
              <w:t>所担任岗位</w:t>
            </w:r>
          </w:p>
        </w:tc>
        <w:tc>
          <w:tcPr>
            <w:tcW w:w="1276" w:type="dxa"/>
            <w:tcBorders>
              <w:top w:val="single" w:color="auto" w:sz="4" w:space="0"/>
              <w:left w:val="single" w:color="auto" w:sz="4" w:space="0"/>
              <w:bottom w:val="single" w:color="auto" w:sz="4" w:space="0"/>
              <w:right w:val="single" w:color="auto" w:sz="4" w:space="0"/>
            </w:tcBorders>
            <w:vAlign w:val="center"/>
          </w:tcPr>
          <w:p w14:paraId="1AC9108C">
            <w:pPr>
              <w:jc w:val="center"/>
              <w:rPr>
                <w:rFonts w:hint="eastAsia" w:ascii="宋体" w:hAnsi="宋体" w:cs="宋体"/>
                <w:b/>
                <w:kern w:val="10"/>
                <w:sz w:val="24"/>
                <w:szCs w:val="24"/>
              </w:rPr>
            </w:pPr>
            <w:r>
              <w:rPr>
                <w:rFonts w:hint="eastAsia" w:ascii="宋体" w:hAnsi="宋体" w:cs="宋体"/>
                <w:b/>
                <w:kern w:val="10"/>
                <w:sz w:val="24"/>
                <w:szCs w:val="24"/>
              </w:rPr>
              <w:t>执业资格</w:t>
            </w:r>
          </w:p>
        </w:tc>
        <w:tc>
          <w:tcPr>
            <w:tcW w:w="1843" w:type="dxa"/>
            <w:tcBorders>
              <w:top w:val="single" w:color="auto" w:sz="4" w:space="0"/>
              <w:left w:val="single" w:color="auto" w:sz="4" w:space="0"/>
              <w:bottom w:val="single" w:color="auto" w:sz="4" w:space="0"/>
              <w:right w:val="single" w:color="auto" w:sz="4" w:space="0"/>
            </w:tcBorders>
            <w:vAlign w:val="center"/>
          </w:tcPr>
          <w:p w14:paraId="6A798982">
            <w:pPr>
              <w:jc w:val="center"/>
              <w:rPr>
                <w:rFonts w:hint="eastAsia" w:ascii="宋体" w:hAnsi="宋体" w:cs="宋体"/>
                <w:b/>
                <w:kern w:val="10"/>
                <w:sz w:val="24"/>
                <w:szCs w:val="24"/>
              </w:rPr>
            </w:pPr>
            <w:r>
              <w:rPr>
                <w:rFonts w:hint="eastAsia" w:ascii="宋体" w:hAnsi="宋体" w:cs="宋体"/>
                <w:b/>
                <w:kern w:val="10"/>
                <w:sz w:val="24"/>
                <w:szCs w:val="24"/>
              </w:rPr>
              <w:t>主要资历、经验及承担过的管理项目</w:t>
            </w:r>
          </w:p>
        </w:tc>
      </w:tr>
      <w:tr w14:paraId="5FDC5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21AB385A">
            <w:pPr>
              <w:jc w:val="center"/>
              <w:rPr>
                <w:rFonts w:hint="eastAsia" w:ascii="宋体" w:hAnsi="宋体" w:cs="宋体"/>
                <w:kern w:val="10"/>
                <w:sz w:val="24"/>
                <w:szCs w:val="24"/>
              </w:rPr>
            </w:pPr>
            <w:r>
              <w:rPr>
                <w:rFonts w:hint="eastAsia" w:ascii="宋体" w:hAnsi="宋体" w:cs="宋体"/>
                <w:kern w:val="10"/>
                <w:sz w:val="24"/>
                <w:szCs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6EF5C783">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68F0110">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06059B95">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7A876917">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0E827DBA">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6EB0C246">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651BB5E7">
            <w:pPr>
              <w:jc w:val="center"/>
              <w:rPr>
                <w:rFonts w:hint="eastAsia" w:ascii="宋体" w:hAnsi="宋体" w:cs="宋体"/>
                <w:kern w:val="10"/>
                <w:sz w:val="24"/>
                <w:szCs w:val="24"/>
              </w:rPr>
            </w:pPr>
          </w:p>
        </w:tc>
      </w:tr>
      <w:tr w14:paraId="5141A2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1B4206F2">
            <w:pPr>
              <w:jc w:val="center"/>
              <w:rPr>
                <w:rFonts w:hint="eastAsia" w:ascii="宋体" w:hAnsi="宋体" w:cs="宋体"/>
                <w:kern w:val="10"/>
                <w:sz w:val="24"/>
                <w:szCs w:val="24"/>
              </w:rPr>
            </w:pPr>
            <w:r>
              <w:rPr>
                <w:rFonts w:hint="eastAsia" w:ascii="宋体" w:hAnsi="宋体" w:cs="宋体"/>
                <w:kern w:val="10"/>
                <w:sz w:val="24"/>
                <w:szCs w:val="24"/>
              </w:rPr>
              <w:t>2</w:t>
            </w:r>
          </w:p>
        </w:tc>
        <w:tc>
          <w:tcPr>
            <w:tcW w:w="1559" w:type="dxa"/>
            <w:tcBorders>
              <w:top w:val="single" w:color="auto" w:sz="4" w:space="0"/>
              <w:left w:val="single" w:color="auto" w:sz="4" w:space="0"/>
              <w:bottom w:val="single" w:color="auto" w:sz="4" w:space="0"/>
              <w:right w:val="single" w:color="auto" w:sz="4" w:space="0"/>
            </w:tcBorders>
            <w:vAlign w:val="center"/>
          </w:tcPr>
          <w:p w14:paraId="4B454D02">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A607B93">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57B61513">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14B23967">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30DAC3CB">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1F292DB0">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2C4AEDBA">
            <w:pPr>
              <w:jc w:val="center"/>
              <w:rPr>
                <w:rFonts w:hint="eastAsia" w:ascii="宋体" w:hAnsi="宋体" w:cs="宋体"/>
                <w:kern w:val="10"/>
                <w:sz w:val="24"/>
                <w:szCs w:val="24"/>
              </w:rPr>
            </w:pPr>
          </w:p>
        </w:tc>
      </w:tr>
      <w:tr w14:paraId="4E819E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3A7C6DA3">
            <w:pPr>
              <w:jc w:val="center"/>
              <w:rPr>
                <w:rFonts w:hint="eastAsia" w:ascii="宋体" w:hAnsi="宋体" w:cs="宋体"/>
                <w:kern w:val="10"/>
                <w:sz w:val="24"/>
                <w:szCs w:val="24"/>
              </w:rPr>
            </w:pPr>
            <w:r>
              <w:rPr>
                <w:rFonts w:hint="eastAsia" w:ascii="宋体" w:hAnsi="宋体" w:cs="宋体"/>
                <w:kern w:val="10"/>
                <w:sz w:val="24"/>
                <w:szCs w:val="24"/>
              </w:rPr>
              <w:t>3</w:t>
            </w:r>
          </w:p>
        </w:tc>
        <w:tc>
          <w:tcPr>
            <w:tcW w:w="1559" w:type="dxa"/>
            <w:tcBorders>
              <w:top w:val="single" w:color="auto" w:sz="4" w:space="0"/>
              <w:left w:val="single" w:color="auto" w:sz="4" w:space="0"/>
              <w:bottom w:val="single" w:color="auto" w:sz="4" w:space="0"/>
              <w:right w:val="single" w:color="auto" w:sz="4" w:space="0"/>
            </w:tcBorders>
            <w:vAlign w:val="center"/>
          </w:tcPr>
          <w:p w14:paraId="3CD1A733">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6D63986">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4F38CBAD">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5E2F7451">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F17089E">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E605933">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1B370F79">
            <w:pPr>
              <w:jc w:val="center"/>
              <w:rPr>
                <w:rFonts w:hint="eastAsia" w:ascii="宋体" w:hAnsi="宋体" w:cs="宋体"/>
                <w:kern w:val="10"/>
                <w:sz w:val="24"/>
                <w:szCs w:val="24"/>
              </w:rPr>
            </w:pPr>
          </w:p>
        </w:tc>
      </w:tr>
      <w:tr w14:paraId="0739C8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13EE17E6">
            <w:pPr>
              <w:jc w:val="center"/>
              <w:rPr>
                <w:rFonts w:hint="eastAsia" w:ascii="宋体" w:hAnsi="宋体" w:cs="宋体"/>
                <w:kern w:val="10"/>
                <w:sz w:val="24"/>
                <w:szCs w:val="24"/>
              </w:rPr>
            </w:pPr>
            <w:r>
              <w:rPr>
                <w:rFonts w:hint="eastAsia" w:ascii="宋体" w:hAnsi="宋体" w:cs="宋体"/>
                <w:kern w:val="10"/>
                <w:sz w:val="24"/>
                <w:szCs w:val="24"/>
              </w:rPr>
              <w:t>4</w:t>
            </w:r>
          </w:p>
        </w:tc>
        <w:tc>
          <w:tcPr>
            <w:tcW w:w="1559" w:type="dxa"/>
            <w:tcBorders>
              <w:top w:val="single" w:color="auto" w:sz="4" w:space="0"/>
              <w:left w:val="single" w:color="auto" w:sz="4" w:space="0"/>
              <w:bottom w:val="single" w:color="auto" w:sz="4" w:space="0"/>
              <w:right w:val="single" w:color="auto" w:sz="4" w:space="0"/>
            </w:tcBorders>
            <w:vAlign w:val="center"/>
          </w:tcPr>
          <w:p w14:paraId="064B24E9">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3A1E028C">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3CC6F122">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793A55E7">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4592DB57">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376EB8EC">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01850A00">
            <w:pPr>
              <w:jc w:val="center"/>
              <w:rPr>
                <w:rFonts w:hint="eastAsia" w:ascii="宋体" w:hAnsi="宋体" w:cs="宋体"/>
                <w:kern w:val="10"/>
                <w:sz w:val="24"/>
                <w:szCs w:val="24"/>
              </w:rPr>
            </w:pPr>
          </w:p>
        </w:tc>
      </w:tr>
      <w:tr w14:paraId="42F18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3DCE657C">
            <w:pPr>
              <w:jc w:val="center"/>
              <w:rPr>
                <w:rFonts w:hint="eastAsia" w:ascii="宋体" w:hAnsi="宋体" w:cs="宋体"/>
                <w:kern w:val="10"/>
                <w:sz w:val="24"/>
                <w:szCs w:val="24"/>
              </w:rPr>
            </w:pPr>
            <w:r>
              <w:rPr>
                <w:rFonts w:hint="eastAsia" w:ascii="宋体" w:hAnsi="宋体" w:cs="宋体"/>
                <w:kern w:val="10"/>
                <w:sz w:val="24"/>
                <w:szCs w:val="24"/>
              </w:rPr>
              <w:t>5</w:t>
            </w:r>
          </w:p>
        </w:tc>
        <w:tc>
          <w:tcPr>
            <w:tcW w:w="1559" w:type="dxa"/>
            <w:tcBorders>
              <w:top w:val="single" w:color="auto" w:sz="4" w:space="0"/>
              <w:left w:val="single" w:color="auto" w:sz="4" w:space="0"/>
              <w:bottom w:val="single" w:color="auto" w:sz="4" w:space="0"/>
              <w:right w:val="single" w:color="auto" w:sz="4" w:space="0"/>
            </w:tcBorders>
            <w:vAlign w:val="center"/>
          </w:tcPr>
          <w:p w14:paraId="1A7F36E1">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16800EB4">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1766FEF5">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2DC3616C">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58874E7B">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6D6E9499">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04FF0614">
            <w:pPr>
              <w:jc w:val="center"/>
              <w:rPr>
                <w:rFonts w:hint="eastAsia" w:ascii="宋体" w:hAnsi="宋体" w:cs="宋体"/>
                <w:kern w:val="10"/>
                <w:sz w:val="24"/>
                <w:szCs w:val="24"/>
              </w:rPr>
            </w:pPr>
          </w:p>
        </w:tc>
      </w:tr>
      <w:tr w14:paraId="4ABEE0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745" w:type="dxa"/>
            <w:tcBorders>
              <w:top w:val="single" w:color="auto" w:sz="4" w:space="0"/>
              <w:left w:val="single" w:color="auto" w:sz="4" w:space="0"/>
              <w:bottom w:val="single" w:color="auto" w:sz="4" w:space="0"/>
              <w:right w:val="single" w:color="auto" w:sz="4" w:space="0"/>
            </w:tcBorders>
            <w:vAlign w:val="center"/>
          </w:tcPr>
          <w:p w14:paraId="7DC68484">
            <w:pPr>
              <w:jc w:val="center"/>
              <w:rPr>
                <w:rFonts w:hint="eastAsia" w:ascii="宋体" w:hAnsi="宋体" w:cs="宋体"/>
                <w:b/>
                <w:kern w:val="10"/>
                <w:sz w:val="24"/>
                <w:szCs w:val="24"/>
              </w:rPr>
            </w:pPr>
            <w:r>
              <w:rPr>
                <w:rFonts w:hint="eastAsia" w:ascii="宋体" w:hAnsi="宋体" w:cs="宋体"/>
                <w:b/>
                <w:kern w:val="10"/>
                <w:sz w:val="24"/>
                <w:szCs w:val="24"/>
              </w:rPr>
              <w:t>……</w:t>
            </w:r>
          </w:p>
        </w:tc>
        <w:tc>
          <w:tcPr>
            <w:tcW w:w="1559" w:type="dxa"/>
            <w:tcBorders>
              <w:top w:val="single" w:color="auto" w:sz="4" w:space="0"/>
              <w:left w:val="single" w:color="auto" w:sz="4" w:space="0"/>
              <w:bottom w:val="single" w:color="auto" w:sz="4" w:space="0"/>
              <w:right w:val="single" w:color="auto" w:sz="4" w:space="0"/>
            </w:tcBorders>
            <w:vAlign w:val="center"/>
          </w:tcPr>
          <w:p w14:paraId="2A2260EA">
            <w:pPr>
              <w:jc w:val="center"/>
              <w:rPr>
                <w:rFonts w:hint="eastAsia" w:ascii="宋体" w:hAnsi="宋体" w:cs="宋体"/>
                <w:kern w:val="10"/>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EEC32B4">
            <w:pPr>
              <w:jc w:val="center"/>
              <w:rPr>
                <w:rFonts w:hint="eastAsia" w:ascii="宋体" w:hAnsi="宋体" w:cs="宋体"/>
                <w:kern w:val="10"/>
                <w:sz w:val="24"/>
                <w:szCs w:val="24"/>
              </w:rPr>
            </w:pPr>
          </w:p>
        </w:tc>
        <w:tc>
          <w:tcPr>
            <w:tcW w:w="993" w:type="dxa"/>
            <w:tcBorders>
              <w:top w:val="single" w:color="auto" w:sz="4" w:space="0"/>
              <w:left w:val="single" w:color="auto" w:sz="4" w:space="0"/>
              <w:bottom w:val="single" w:color="auto" w:sz="4" w:space="0"/>
              <w:right w:val="single" w:color="auto" w:sz="4" w:space="0"/>
            </w:tcBorders>
            <w:vAlign w:val="center"/>
          </w:tcPr>
          <w:p w14:paraId="5A44D0CD">
            <w:pPr>
              <w:jc w:val="center"/>
              <w:rPr>
                <w:rFonts w:hint="eastAsia" w:ascii="宋体" w:hAnsi="宋体" w:cs="宋体"/>
                <w:kern w:val="10"/>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1EA9B9FC">
            <w:pPr>
              <w:jc w:val="center"/>
              <w:rPr>
                <w:rFonts w:hint="eastAsia" w:ascii="宋体" w:hAnsi="宋体" w:cs="宋体"/>
                <w:kern w:val="10"/>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1CE2A67">
            <w:pPr>
              <w:jc w:val="center"/>
              <w:rPr>
                <w:rFonts w:hint="eastAsia" w:ascii="宋体" w:hAnsi="宋体" w:cs="宋体"/>
                <w:kern w:val="10"/>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519BF75">
            <w:pPr>
              <w:jc w:val="center"/>
              <w:rPr>
                <w:rFonts w:hint="eastAsia" w:ascii="宋体" w:hAnsi="宋体" w:cs="宋体"/>
                <w:kern w:val="10"/>
                <w:sz w:val="24"/>
                <w:szCs w:val="24"/>
              </w:rPr>
            </w:pPr>
          </w:p>
        </w:tc>
        <w:tc>
          <w:tcPr>
            <w:tcW w:w="1843" w:type="dxa"/>
            <w:tcBorders>
              <w:top w:val="single" w:color="auto" w:sz="4" w:space="0"/>
              <w:left w:val="single" w:color="auto" w:sz="4" w:space="0"/>
              <w:bottom w:val="single" w:color="auto" w:sz="4" w:space="0"/>
              <w:right w:val="single" w:color="auto" w:sz="4" w:space="0"/>
            </w:tcBorders>
          </w:tcPr>
          <w:p w14:paraId="6F1A392A">
            <w:pPr>
              <w:jc w:val="center"/>
              <w:rPr>
                <w:rFonts w:hint="eastAsia" w:ascii="宋体" w:hAnsi="宋体" w:cs="宋体"/>
                <w:kern w:val="10"/>
                <w:sz w:val="24"/>
                <w:szCs w:val="24"/>
              </w:rPr>
            </w:pPr>
          </w:p>
        </w:tc>
      </w:tr>
    </w:tbl>
    <w:p w14:paraId="519B9678">
      <w:pPr>
        <w:spacing w:line="460" w:lineRule="exact"/>
        <w:ind w:firstLine="240" w:firstLineChars="100"/>
        <w:rPr>
          <w:rFonts w:hint="eastAsia" w:ascii="宋体" w:hAnsi="宋体" w:cs="宋体"/>
          <w:bCs/>
          <w:sz w:val="24"/>
          <w:szCs w:val="24"/>
        </w:rPr>
      </w:pPr>
      <w:r>
        <w:rPr>
          <w:rFonts w:hint="eastAsia" w:ascii="宋体" w:hAnsi="宋体" w:cs="宋体"/>
          <w:bCs/>
          <w:sz w:val="24"/>
          <w:szCs w:val="24"/>
        </w:rPr>
        <w:t>注：1</w:t>
      </w:r>
      <w:r>
        <w:rPr>
          <w:rFonts w:hint="eastAsia" w:ascii="宋体" w:hAnsi="宋体" w:cs="宋体"/>
          <w:sz w:val="24"/>
          <w:szCs w:val="24"/>
        </w:rPr>
        <w:t>、投标人应根据项目中拟投人员的配置情况据实、详细填写上述表格。</w:t>
      </w:r>
    </w:p>
    <w:p w14:paraId="5FA00C29">
      <w:pPr>
        <w:spacing w:line="460" w:lineRule="exact"/>
        <w:ind w:firstLine="720" w:firstLineChars="300"/>
        <w:rPr>
          <w:rFonts w:hint="eastAsia" w:ascii="宋体" w:hAnsi="宋体" w:cs="宋体"/>
          <w:sz w:val="24"/>
          <w:szCs w:val="24"/>
        </w:rPr>
      </w:pPr>
      <w:r>
        <w:rPr>
          <w:rFonts w:hint="eastAsia" w:ascii="宋体" w:hAnsi="宋体" w:cs="宋体"/>
          <w:sz w:val="24"/>
          <w:szCs w:val="24"/>
        </w:rPr>
        <w:t>2、根据“第五章  评标方法与评标标准”提供相关说明并提供证明材料。</w:t>
      </w:r>
    </w:p>
    <w:p w14:paraId="43BCC821">
      <w:pPr>
        <w:spacing w:line="400" w:lineRule="exact"/>
        <w:ind w:firstLine="720" w:firstLineChars="300"/>
        <w:rPr>
          <w:rFonts w:hint="eastAsia" w:ascii="宋体" w:hAnsi="宋体" w:cs="宋体"/>
          <w:sz w:val="24"/>
          <w:szCs w:val="24"/>
        </w:rPr>
      </w:pPr>
      <w:r>
        <w:rPr>
          <w:rFonts w:hint="eastAsia" w:ascii="宋体" w:hAnsi="宋体" w:cs="宋体"/>
          <w:sz w:val="24"/>
          <w:szCs w:val="24"/>
        </w:rPr>
        <w:t>3、表格内容包含但不限于以上内容，各供应商可自行调整。</w:t>
      </w:r>
    </w:p>
    <w:p w14:paraId="3A92E5BF">
      <w:pPr>
        <w:rPr>
          <w:rFonts w:hint="eastAsia" w:ascii="宋体" w:hAnsi="宋体" w:cs="宋体"/>
          <w:b/>
          <w:bCs/>
          <w:sz w:val="28"/>
          <w:szCs w:val="28"/>
        </w:rPr>
      </w:pPr>
      <w:r>
        <w:rPr>
          <w:rFonts w:hint="eastAsia" w:ascii="宋体" w:hAnsi="宋体" w:cs="宋体"/>
          <w:b/>
          <w:bCs/>
          <w:sz w:val="28"/>
          <w:szCs w:val="28"/>
        </w:rPr>
        <w:br w:type="page"/>
      </w:r>
    </w:p>
    <w:p w14:paraId="0FA2175E">
      <w:pPr>
        <w:spacing w:line="440" w:lineRule="exact"/>
        <w:ind w:firstLine="482"/>
        <w:jc w:val="center"/>
        <w:outlineLvl w:val="1"/>
        <w:rPr>
          <w:rFonts w:hint="eastAsia" w:ascii="宋体" w:hAnsi="宋体" w:cs="宋体"/>
          <w:b/>
          <w:bCs/>
          <w:sz w:val="28"/>
          <w:szCs w:val="28"/>
        </w:rPr>
      </w:pPr>
      <w:bookmarkStart w:id="393" w:name="_Toc19208"/>
      <w:r>
        <w:rPr>
          <w:rFonts w:hint="eastAsia" w:ascii="宋体" w:hAnsi="宋体" w:cs="宋体"/>
          <w:b/>
          <w:bCs/>
          <w:sz w:val="28"/>
          <w:szCs w:val="28"/>
        </w:rPr>
        <w:t>附件7 质量保证及售后服务承诺</w:t>
      </w:r>
      <w:bookmarkEnd w:id="393"/>
    </w:p>
    <w:p w14:paraId="54072D00">
      <w:pPr>
        <w:spacing w:line="360" w:lineRule="auto"/>
        <w:ind w:firstLine="240" w:firstLineChars="100"/>
        <w:rPr>
          <w:rFonts w:hint="eastAsia" w:ascii="宋体" w:hAnsi="宋体" w:cs="宋体"/>
          <w:kern w:val="2"/>
          <w:sz w:val="24"/>
          <w:szCs w:val="24"/>
          <w:lang w:bidi="ar"/>
        </w:rPr>
      </w:pPr>
      <w:r>
        <w:rPr>
          <w:rFonts w:hint="eastAsia" w:ascii="宋体" w:hAnsi="宋体" w:cs="宋体"/>
          <w:kern w:val="2"/>
          <w:sz w:val="24"/>
          <w:szCs w:val="24"/>
          <w:lang w:bidi="ar"/>
        </w:rPr>
        <w:t>主要内容应包括但不限于以下方面：</w:t>
      </w:r>
    </w:p>
    <w:p w14:paraId="64B4B9A4">
      <w:pPr>
        <w:spacing w:line="360" w:lineRule="auto"/>
        <w:ind w:firstLine="720" w:firstLineChars="300"/>
        <w:rPr>
          <w:rFonts w:hint="eastAsia" w:ascii="宋体" w:hAnsi="宋体" w:cs="宋体"/>
          <w:kern w:val="2"/>
          <w:sz w:val="24"/>
          <w:szCs w:val="24"/>
          <w:lang w:bidi="ar"/>
        </w:rPr>
      </w:pPr>
      <w:r>
        <w:rPr>
          <w:rFonts w:hint="eastAsia" w:ascii="宋体" w:hAnsi="宋体" w:cs="宋体"/>
          <w:kern w:val="2"/>
          <w:sz w:val="24"/>
          <w:szCs w:val="24"/>
          <w:lang w:bidi="ar"/>
        </w:rPr>
        <w:t>1、免费质量保证</w:t>
      </w:r>
      <w:r>
        <w:rPr>
          <w:rFonts w:hint="eastAsia" w:ascii="宋体" w:hAnsi="宋体" w:cs="宋体"/>
          <w:b/>
          <w:bCs/>
          <w:kern w:val="2"/>
          <w:sz w:val="24"/>
          <w:szCs w:val="24"/>
          <w:lang w:bidi="ar"/>
        </w:rPr>
        <w:t>（格式自拟）</w:t>
      </w:r>
    </w:p>
    <w:p w14:paraId="254F478D">
      <w:pPr>
        <w:spacing w:line="360" w:lineRule="auto"/>
        <w:ind w:firstLine="720" w:firstLineChars="300"/>
        <w:rPr>
          <w:rFonts w:hint="eastAsia" w:ascii="宋体" w:hAnsi="宋体" w:cs="宋体"/>
          <w:kern w:val="2"/>
          <w:sz w:val="24"/>
          <w:szCs w:val="24"/>
          <w:lang w:bidi="ar"/>
        </w:rPr>
      </w:pPr>
      <w:r>
        <w:rPr>
          <w:rFonts w:hint="eastAsia" w:ascii="宋体" w:hAnsi="宋体" w:cs="宋体"/>
          <w:kern w:val="2"/>
          <w:sz w:val="24"/>
          <w:szCs w:val="24"/>
          <w:lang w:bidi="ar"/>
        </w:rPr>
        <w:t>2、售后服务机构及服务承诺</w:t>
      </w:r>
    </w:p>
    <w:p w14:paraId="2F2AC330">
      <w:pPr>
        <w:spacing w:line="360" w:lineRule="auto"/>
        <w:ind w:firstLine="720" w:firstLineChars="300"/>
        <w:rPr>
          <w:rFonts w:hint="eastAsia" w:ascii="宋体" w:hAnsi="宋体" w:cs="宋体"/>
          <w:kern w:val="2"/>
          <w:sz w:val="24"/>
          <w:szCs w:val="24"/>
          <w:lang w:bidi="ar"/>
        </w:rPr>
      </w:pPr>
      <w:r>
        <w:rPr>
          <w:rFonts w:hint="eastAsia" w:ascii="宋体" w:hAnsi="宋体" w:cs="宋体"/>
          <w:kern w:val="2"/>
          <w:sz w:val="24"/>
          <w:szCs w:val="24"/>
          <w:lang w:bidi="ar"/>
        </w:rPr>
        <w:t>3、</w:t>
      </w:r>
      <w:r>
        <w:rPr>
          <w:rFonts w:hint="eastAsia" w:ascii="宋体" w:hAnsi="宋体" w:cs="宋体"/>
          <w:sz w:val="24"/>
          <w:szCs w:val="24"/>
          <w:lang w:bidi="ar"/>
        </w:rPr>
        <w:t>培训方案</w:t>
      </w:r>
    </w:p>
    <w:p w14:paraId="14C1624B">
      <w:pPr>
        <w:spacing w:line="360" w:lineRule="auto"/>
        <w:ind w:firstLine="720" w:firstLineChars="300"/>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bidi="ar"/>
        </w:rPr>
        <w:t>4、</w:t>
      </w:r>
      <w:r>
        <w:rPr>
          <w:rFonts w:hint="eastAsia" w:ascii="宋体" w:hAnsi="宋体" w:eastAsia="宋体" w:cs="宋体"/>
          <w:kern w:val="2"/>
          <w:sz w:val="24"/>
          <w:szCs w:val="24"/>
          <w:lang w:val="en-US" w:eastAsia="zh-CN" w:bidi="ar"/>
        </w:rPr>
        <w:t>响应时间承诺</w:t>
      </w:r>
      <w:r>
        <w:rPr>
          <w:rFonts w:hint="eastAsia" w:ascii="宋体" w:hAnsi="宋体" w:eastAsia="宋体" w:cs="宋体"/>
          <w:b/>
          <w:bCs/>
          <w:kern w:val="2"/>
          <w:sz w:val="24"/>
          <w:szCs w:val="24"/>
          <w:lang w:val="en-US" w:eastAsia="zh-CN" w:bidi="ar"/>
        </w:rPr>
        <w:t>（承诺函格式自拟）</w:t>
      </w:r>
    </w:p>
    <w:p w14:paraId="09BEAA17">
      <w:pPr>
        <w:spacing w:line="360" w:lineRule="auto"/>
        <w:ind w:firstLine="720" w:firstLineChars="300"/>
        <w:rPr>
          <w:rFonts w:hint="eastAsia" w:ascii="宋体" w:hAnsi="宋体" w:eastAsia="宋体" w:cs="宋体"/>
          <w:kern w:val="2"/>
          <w:sz w:val="24"/>
          <w:szCs w:val="24"/>
          <w:lang w:bidi="ar"/>
        </w:rPr>
      </w:pPr>
      <w:r>
        <w:rPr>
          <w:rFonts w:hint="eastAsia" w:ascii="宋体" w:hAnsi="宋体" w:eastAsia="宋体" w:cs="宋体"/>
          <w:kern w:val="2"/>
          <w:sz w:val="24"/>
          <w:szCs w:val="24"/>
          <w:lang w:val="en-US" w:eastAsia="zh-CN" w:bidi="ar"/>
        </w:rPr>
        <w:t>5、</w:t>
      </w:r>
      <w:r>
        <w:rPr>
          <w:rFonts w:hint="eastAsia" w:ascii="宋体" w:hAnsi="宋体" w:eastAsia="宋体" w:cs="宋体"/>
          <w:kern w:val="2"/>
          <w:sz w:val="24"/>
          <w:szCs w:val="24"/>
          <w:lang w:bidi="ar"/>
        </w:rPr>
        <w:t>其他说明</w:t>
      </w:r>
    </w:p>
    <w:p w14:paraId="30087E14">
      <w:pPr>
        <w:pStyle w:val="14"/>
        <w:ind w:firstLine="720" w:firstLineChars="300"/>
        <w:rPr>
          <w:rFonts w:hint="eastAsia" w:ascii="宋体" w:hAnsi="宋体" w:eastAsia="宋体" w:cs="宋体"/>
        </w:rPr>
      </w:pPr>
      <w:r>
        <w:rPr>
          <w:rFonts w:hint="eastAsia" w:ascii="宋体" w:hAnsi="宋体" w:eastAsia="宋体" w:cs="宋体"/>
          <w:kern w:val="2"/>
          <w:sz w:val="24"/>
          <w:szCs w:val="24"/>
          <w:lang w:bidi="ar"/>
        </w:rPr>
        <w:br w:type="page"/>
      </w:r>
    </w:p>
    <w:p w14:paraId="489E8DA7">
      <w:pPr>
        <w:spacing w:line="440" w:lineRule="exact"/>
        <w:ind w:firstLine="482"/>
        <w:jc w:val="center"/>
        <w:outlineLvl w:val="1"/>
        <w:rPr>
          <w:rFonts w:hint="eastAsia" w:ascii="宋体" w:hAnsi="宋体" w:cs="宋体"/>
          <w:b/>
          <w:bCs/>
          <w:sz w:val="28"/>
          <w:szCs w:val="28"/>
        </w:rPr>
      </w:pPr>
      <w:bookmarkStart w:id="394" w:name="_Toc4679"/>
      <w:r>
        <w:rPr>
          <w:rFonts w:hint="eastAsia" w:ascii="宋体" w:hAnsi="宋体" w:cs="宋体"/>
          <w:b/>
          <w:bCs/>
          <w:sz w:val="28"/>
          <w:szCs w:val="28"/>
        </w:rPr>
        <w:t>附件8 业绩一览表</w:t>
      </w:r>
      <w:bookmarkEnd w:id="394"/>
    </w:p>
    <w:tbl>
      <w:tblPr>
        <w:tblStyle w:val="38"/>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3080"/>
        <w:gridCol w:w="1899"/>
        <w:gridCol w:w="1558"/>
        <w:gridCol w:w="1821"/>
        <w:gridCol w:w="1208"/>
      </w:tblGrid>
      <w:tr w14:paraId="1133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765201D0">
            <w:pPr>
              <w:pStyle w:val="33"/>
              <w:widowControl w:val="0"/>
              <w:overflowPunct w:val="0"/>
              <w:spacing w:before="0" w:beforeAutospacing="0" w:after="0" w:afterAutospacing="0"/>
              <w:jc w:val="center"/>
              <w:rPr>
                <w:rFonts w:hint="eastAsia"/>
                <w:szCs w:val="20"/>
              </w:rPr>
            </w:pPr>
            <w:r>
              <w:rPr>
                <w:rFonts w:hint="eastAsia"/>
                <w:kern w:val="2"/>
                <w:szCs w:val="20"/>
                <w:lang w:bidi="ar"/>
              </w:rPr>
              <w:t>序号</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2EA4566D">
            <w:pPr>
              <w:pStyle w:val="33"/>
              <w:widowControl w:val="0"/>
              <w:overflowPunct w:val="0"/>
              <w:spacing w:before="0" w:beforeAutospacing="0" w:after="0" w:afterAutospacing="0"/>
              <w:jc w:val="center"/>
              <w:rPr>
                <w:rFonts w:hint="eastAsia"/>
                <w:szCs w:val="20"/>
              </w:rPr>
            </w:pPr>
            <w:r>
              <w:rPr>
                <w:rFonts w:hint="eastAsia"/>
                <w:kern w:val="2"/>
                <w:szCs w:val="20"/>
                <w:lang w:bidi="ar"/>
              </w:rPr>
              <w:t>项目名称</w:t>
            </w: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27CB1B87">
            <w:pPr>
              <w:pStyle w:val="33"/>
              <w:widowControl w:val="0"/>
              <w:overflowPunct w:val="0"/>
              <w:spacing w:before="0" w:beforeAutospacing="0" w:after="0" w:afterAutospacing="0"/>
              <w:jc w:val="center"/>
              <w:rPr>
                <w:rFonts w:hint="eastAsia"/>
                <w:szCs w:val="20"/>
              </w:rPr>
            </w:pPr>
            <w:r>
              <w:rPr>
                <w:rFonts w:hint="eastAsia"/>
                <w:kern w:val="2"/>
                <w:szCs w:val="20"/>
                <w:lang w:bidi="ar"/>
              </w:rPr>
              <w:t>合同金额</w:t>
            </w: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6BA890B2">
            <w:pPr>
              <w:pStyle w:val="33"/>
              <w:widowControl w:val="0"/>
              <w:overflowPunct w:val="0"/>
              <w:spacing w:before="0" w:beforeAutospacing="0" w:after="0" w:afterAutospacing="0"/>
              <w:jc w:val="center"/>
              <w:rPr>
                <w:rFonts w:hint="eastAsia"/>
                <w:szCs w:val="20"/>
              </w:rPr>
            </w:pPr>
            <w:r>
              <w:rPr>
                <w:rFonts w:hint="eastAsia"/>
                <w:kern w:val="2"/>
                <w:szCs w:val="20"/>
                <w:lang w:bidi="ar"/>
              </w:rPr>
              <w:t>实施日期</w:t>
            </w:r>
          </w:p>
        </w:tc>
        <w:tc>
          <w:tcPr>
            <w:tcW w:w="1821" w:type="dxa"/>
            <w:tcBorders>
              <w:top w:val="single" w:color="auto" w:sz="4" w:space="0"/>
              <w:left w:val="single" w:color="auto" w:sz="4" w:space="0"/>
              <w:bottom w:val="single" w:color="auto" w:sz="4" w:space="0"/>
              <w:right w:val="single" w:color="auto" w:sz="4" w:space="0"/>
            </w:tcBorders>
            <w:shd w:val="clear" w:color="auto" w:fill="auto"/>
            <w:vAlign w:val="center"/>
          </w:tcPr>
          <w:p w14:paraId="68441FB8">
            <w:pPr>
              <w:pStyle w:val="33"/>
              <w:widowControl w:val="0"/>
              <w:overflowPunct w:val="0"/>
              <w:spacing w:before="0" w:beforeAutospacing="0" w:after="0" w:afterAutospacing="0"/>
              <w:jc w:val="center"/>
              <w:rPr>
                <w:rFonts w:hint="eastAsia"/>
                <w:szCs w:val="20"/>
              </w:rPr>
            </w:pPr>
            <w:r>
              <w:rPr>
                <w:rFonts w:hint="eastAsia"/>
                <w:kern w:val="2"/>
                <w:szCs w:val="20"/>
                <w:lang w:bidi="ar"/>
              </w:rPr>
              <w:t>业主方联系人及联系电话</w:t>
            </w: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3C88FAE8">
            <w:pPr>
              <w:pStyle w:val="33"/>
              <w:widowControl w:val="0"/>
              <w:overflowPunct w:val="0"/>
              <w:spacing w:before="0" w:beforeAutospacing="0" w:after="0" w:afterAutospacing="0"/>
              <w:jc w:val="center"/>
              <w:rPr>
                <w:rFonts w:hint="eastAsia"/>
                <w:szCs w:val="20"/>
              </w:rPr>
            </w:pPr>
            <w:r>
              <w:rPr>
                <w:rFonts w:hint="eastAsia"/>
                <w:kern w:val="2"/>
                <w:szCs w:val="20"/>
                <w:lang w:bidi="ar"/>
              </w:rPr>
              <w:t>备注</w:t>
            </w:r>
          </w:p>
        </w:tc>
      </w:tr>
      <w:tr w14:paraId="76EB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39877C64">
            <w:pPr>
              <w:pStyle w:val="33"/>
              <w:widowControl w:val="0"/>
              <w:overflowPunct w:val="0"/>
              <w:spacing w:before="0" w:beforeAutospacing="0" w:after="0" w:afterAutospacing="0" w:line="500" w:lineRule="exact"/>
              <w:jc w:val="center"/>
              <w:rPr>
                <w:rFonts w:hint="eastAsia"/>
                <w:szCs w:val="20"/>
              </w:rPr>
            </w:pPr>
            <w:r>
              <w:rPr>
                <w:rFonts w:hint="eastAsia"/>
                <w:kern w:val="2"/>
                <w:szCs w:val="20"/>
                <w:lang w:bidi="ar"/>
              </w:rPr>
              <w:t>1</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175C95EB">
            <w:pPr>
              <w:pStyle w:val="33"/>
              <w:widowControl w:val="0"/>
              <w:overflowPunct w:val="0"/>
              <w:spacing w:before="0" w:beforeAutospacing="0" w:after="0" w:afterAutospacing="0" w:line="500" w:lineRule="exact"/>
              <w:jc w:val="center"/>
              <w:rPr>
                <w:rFonts w:hint="eastAsia"/>
                <w:szCs w:val="20"/>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07025DB6">
            <w:pPr>
              <w:pStyle w:val="33"/>
              <w:widowControl w:val="0"/>
              <w:overflowPunct w:val="0"/>
              <w:spacing w:before="0" w:beforeAutospacing="0" w:after="0" w:afterAutospacing="0" w:line="500" w:lineRule="exact"/>
              <w:jc w:val="center"/>
              <w:rPr>
                <w:rFonts w:hint="eastAsia"/>
                <w:szCs w:val="20"/>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74B36D4F">
            <w:pPr>
              <w:pStyle w:val="33"/>
              <w:widowControl w:val="0"/>
              <w:overflowPunct w:val="0"/>
              <w:spacing w:before="0" w:beforeAutospacing="0" w:after="0" w:afterAutospacing="0" w:line="500" w:lineRule="exact"/>
              <w:jc w:val="center"/>
              <w:rPr>
                <w:rFonts w:hint="eastAsia"/>
                <w:szCs w:val="20"/>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15EF28D8">
            <w:pPr>
              <w:pStyle w:val="33"/>
              <w:widowControl w:val="0"/>
              <w:overflowPunct w:val="0"/>
              <w:spacing w:before="0" w:beforeAutospacing="0" w:after="0" w:afterAutospacing="0" w:line="500" w:lineRule="exact"/>
              <w:jc w:val="center"/>
              <w:rPr>
                <w:rFonts w:hint="eastAsia"/>
                <w:szCs w:val="20"/>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0C8260BD">
            <w:pPr>
              <w:pStyle w:val="33"/>
              <w:widowControl w:val="0"/>
              <w:overflowPunct w:val="0"/>
              <w:spacing w:before="0" w:beforeAutospacing="0" w:after="0" w:afterAutospacing="0" w:line="500" w:lineRule="exact"/>
              <w:jc w:val="center"/>
              <w:rPr>
                <w:rFonts w:hint="eastAsia"/>
                <w:szCs w:val="20"/>
              </w:rPr>
            </w:pPr>
          </w:p>
        </w:tc>
      </w:tr>
      <w:tr w14:paraId="6AB7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0D252292">
            <w:pPr>
              <w:pStyle w:val="33"/>
              <w:widowControl w:val="0"/>
              <w:overflowPunct w:val="0"/>
              <w:spacing w:before="0" w:beforeAutospacing="0" w:after="0" w:afterAutospacing="0" w:line="500" w:lineRule="exact"/>
              <w:jc w:val="center"/>
              <w:rPr>
                <w:rFonts w:hint="eastAsia"/>
                <w:szCs w:val="20"/>
              </w:rPr>
            </w:pPr>
            <w:r>
              <w:rPr>
                <w:rFonts w:hint="eastAsia"/>
                <w:kern w:val="2"/>
                <w:szCs w:val="20"/>
                <w:lang w:bidi="ar"/>
              </w:rPr>
              <w:t>2</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4CDD3501">
            <w:pPr>
              <w:pStyle w:val="33"/>
              <w:widowControl w:val="0"/>
              <w:overflowPunct w:val="0"/>
              <w:spacing w:before="0" w:beforeAutospacing="0" w:after="0" w:afterAutospacing="0" w:line="500" w:lineRule="exact"/>
              <w:jc w:val="center"/>
              <w:rPr>
                <w:rFonts w:hint="eastAsia"/>
                <w:szCs w:val="20"/>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3A56253C">
            <w:pPr>
              <w:pStyle w:val="33"/>
              <w:widowControl w:val="0"/>
              <w:overflowPunct w:val="0"/>
              <w:spacing w:before="0" w:beforeAutospacing="0" w:after="0" w:afterAutospacing="0" w:line="500" w:lineRule="exact"/>
              <w:jc w:val="center"/>
              <w:rPr>
                <w:rFonts w:hint="eastAsia"/>
                <w:szCs w:val="20"/>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349D2BCA">
            <w:pPr>
              <w:pStyle w:val="33"/>
              <w:widowControl w:val="0"/>
              <w:overflowPunct w:val="0"/>
              <w:spacing w:before="0" w:beforeAutospacing="0" w:after="0" w:afterAutospacing="0" w:line="500" w:lineRule="exact"/>
              <w:jc w:val="center"/>
              <w:rPr>
                <w:rFonts w:hint="eastAsia"/>
                <w:szCs w:val="20"/>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40388BAA">
            <w:pPr>
              <w:pStyle w:val="33"/>
              <w:widowControl w:val="0"/>
              <w:overflowPunct w:val="0"/>
              <w:spacing w:before="0" w:beforeAutospacing="0" w:after="0" w:afterAutospacing="0" w:line="500" w:lineRule="exact"/>
              <w:jc w:val="center"/>
              <w:rPr>
                <w:rFonts w:hint="eastAsia"/>
                <w:szCs w:val="20"/>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59D0E6D8">
            <w:pPr>
              <w:pStyle w:val="33"/>
              <w:widowControl w:val="0"/>
              <w:overflowPunct w:val="0"/>
              <w:spacing w:before="0" w:beforeAutospacing="0" w:after="0" w:afterAutospacing="0" w:line="500" w:lineRule="exact"/>
              <w:jc w:val="center"/>
              <w:rPr>
                <w:rFonts w:hint="eastAsia"/>
                <w:szCs w:val="20"/>
              </w:rPr>
            </w:pPr>
          </w:p>
        </w:tc>
      </w:tr>
      <w:tr w14:paraId="29A8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300974C8">
            <w:pPr>
              <w:pStyle w:val="33"/>
              <w:widowControl w:val="0"/>
              <w:overflowPunct w:val="0"/>
              <w:spacing w:before="0" w:beforeAutospacing="0" w:after="0" w:afterAutospacing="0" w:line="500" w:lineRule="exact"/>
              <w:jc w:val="center"/>
              <w:rPr>
                <w:rFonts w:hint="eastAsia"/>
                <w:szCs w:val="20"/>
                <w:highlight w:val="none"/>
              </w:rPr>
            </w:pPr>
            <w:r>
              <w:rPr>
                <w:rFonts w:hint="eastAsia"/>
                <w:kern w:val="2"/>
                <w:szCs w:val="20"/>
                <w:highlight w:val="none"/>
                <w:lang w:bidi="ar"/>
              </w:rPr>
              <w:t>3</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242B9728">
            <w:pPr>
              <w:pStyle w:val="33"/>
              <w:widowControl w:val="0"/>
              <w:overflowPunct w:val="0"/>
              <w:spacing w:before="0" w:beforeAutospacing="0" w:after="0" w:afterAutospacing="0" w:line="500" w:lineRule="exact"/>
              <w:jc w:val="center"/>
              <w:rPr>
                <w:rFonts w:hint="eastAsia"/>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30CFE21B">
            <w:pPr>
              <w:pStyle w:val="33"/>
              <w:widowControl w:val="0"/>
              <w:overflowPunct w:val="0"/>
              <w:spacing w:before="0" w:beforeAutospacing="0" w:after="0" w:afterAutospacing="0" w:line="500" w:lineRule="exact"/>
              <w:jc w:val="center"/>
              <w:rPr>
                <w:rFonts w:hint="eastAsia"/>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0F68C728">
            <w:pPr>
              <w:pStyle w:val="33"/>
              <w:widowControl w:val="0"/>
              <w:overflowPunct w:val="0"/>
              <w:spacing w:before="0" w:beforeAutospacing="0" w:after="0" w:afterAutospacing="0" w:line="500" w:lineRule="exact"/>
              <w:jc w:val="center"/>
              <w:rPr>
                <w:rFonts w:hint="eastAsia"/>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187CAB2F">
            <w:pPr>
              <w:pStyle w:val="33"/>
              <w:widowControl w:val="0"/>
              <w:overflowPunct w:val="0"/>
              <w:spacing w:before="0" w:beforeAutospacing="0" w:after="0" w:afterAutospacing="0" w:line="500" w:lineRule="exact"/>
              <w:jc w:val="center"/>
              <w:rPr>
                <w:rFonts w:hint="eastAsia"/>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64802F7C">
            <w:pPr>
              <w:pStyle w:val="33"/>
              <w:widowControl w:val="0"/>
              <w:overflowPunct w:val="0"/>
              <w:spacing w:before="0" w:beforeAutospacing="0" w:after="0" w:afterAutospacing="0" w:line="500" w:lineRule="exact"/>
              <w:jc w:val="center"/>
              <w:rPr>
                <w:rFonts w:hint="eastAsia"/>
                <w:szCs w:val="20"/>
                <w:highlight w:val="none"/>
              </w:rPr>
            </w:pPr>
          </w:p>
        </w:tc>
      </w:tr>
      <w:tr w14:paraId="17C1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7088E7EE">
            <w:pPr>
              <w:pStyle w:val="33"/>
              <w:widowControl w:val="0"/>
              <w:overflowPunct w:val="0"/>
              <w:spacing w:before="0" w:beforeAutospacing="0" w:after="0" w:afterAutospacing="0" w:line="500" w:lineRule="exact"/>
              <w:jc w:val="center"/>
              <w:rPr>
                <w:rFonts w:hint="eastAsia"/>
                <w:szCs w:val="20"/>
                <w:highlight w:val="none"/>
              </w:rPr>
            </w:pPr>
            <w:r>
              <w:rPr>
                <w:rFonts w:hint="eastAsia"/>
                <w:kern w:val="2"/>
                <w:szCs w:val="20"/>
                <w:highlight w:val="none"/>
                <w:lang w:bidi="ar"/>
              </w:rPr>
              <w:t>…</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07E80721">
            <w:pPr>
              <w:pStyle w:val="33"/>
              <w:widowControl w:val="0"/>
              <w:overflowPunct w:val="0"/>
              <w:spacing w:before="0" w:beforeAutospacing="0" w:after="0" w:afterAutospacing="0" w:line="500" w:lineRule="exact"/>
              <w:jc w:val="center"/>
              <w:rPr>
                <w:rFonts w:hint="eastAsia"/>
                <w:szCs w:val="20"/>
                <w:highlight w:val="none"/>
              </w:rPr>
            </w:pPr>
          </w:p>
        </w:tc>
        <w:tc>
          <w:tcPr>
            <w:tcW w:w="1899" w:type="dxa"/>
            <w:tcBorders>
              <w:top w:val="single" w:color="auto" w:sz="4" w:space="0"/>
              <w:left w:val="single" w:color="auto" w:sz="4" w:space="0"/>
              <w:bottom w:val="single" w:color="auto" w:sz="4" w:space="0"/>
              <w:right w:val="single" w:color="auto" w:sz="4" w:space="0"/>
            </w:tcBorders>
            <w:shd w:val="clear" w:color="auto" w:fill="auto"/>
            <w:vAlign w:val="center"/>
          </w:tcPr>
          <w:p w14:paraId="13C925CB">
            <w:pPr>
              <w:pStyle w:val="33"/>
              <w:widowControl w:val="0"/>
              <w:overflowPunct w:val="0"/>
              <w:spacing w:before="0" w:beforeAutospacing="0" w:after="0" w:afterAutospacing="0" w:line="500" w:lineRule="exact"/>
              <w:jc w:val="center"/>
              <w:rPr>
                <w:rFonts w:hint="eastAsia"/>
                <w:szCs w:val="20"/>
                <w:highlight w:val="none"/>
              </w:rPr>
            </w:pPr>
          </w:p>
        </w:tc>
        <w:tc>
          <w:tcPr>
            <w:tcW w:w="1558" w:type="dxa"/>
            <w:tcBorders>
              <w:top w:val="single" w:color="auto" w:sz="4" w:space="0"/>
              <w:left w:val="single" w:color="auto" w:sz="4" w:space="0"/>
              <w:bottom w:val="single" w:color="auto" w:sz="4" w:space="0"/>
              <w:right w:val="single" w:color="auto" w:sz="4" w:space="0"/>
            </w:tcBorders>
            <w:shd w:val="clear" w:color="auto" w:fill="auto"/>
            <w:vAlign w:val="center"/>
          </w:tcPr>
          <w:p w14:paraId="43657BDE">
            <w:pPr>
              <w:pStyle w:val="33"/>
              <w:widowControl w:val="0"/>
              <w:overflowPunct w:val="0"/>
              <w:spacing w:before="0" w:beforeAutospacing="0" w:after="0" w:afterAutospacing="0" w:line="500" w:lineRule="exact"/>
              <w:jc w:val="center"/>
              <w:rPr>
                <w:rFonts w:hint="eastAsia"/>
                <w:szCs w:val="20"/>
                <w:highlight w:val="none"/>
              </w:rPr>
            </w:pPr>
          </w:p>
        </w:tc>
        <w:tc>
          <w:tcPr>
            <w:tcW w:w="1821" w:type="dxa"/>
            <w:tcBorders>
              <w:top w:val="single" w:color="auto" w:sz="4" w:space="0"/>
              <w:left w:val="single" w:color="auto" w:sz="4" w:space="0"/>
              <w:bottom w:val="single" w:color="auto" w:sz="4" w:space="0"/>
              <w:right w:val="single" w:color="auto" w:sz="4" w:space="0"/>
            </w:tcBorders>
            <w:shd w:val="clear" w:color="auto" w:fill="auto"/>
          </w:tcPr>
          <w:p w14:paraId="25DC864C">
            <w:pPr>
              <w:pStyle w:val="33"/>
              <w:widowControl w:val="0"/>
              <w:overflowPunct w:val="0"/>
              <w:spacing w:before="0" w:beforeAutospacing="0" w:after="0" w:afterAutospacing="0" w:line="500" w:lineRule="exact"/>
              <w:jc w:val="center"/>
              <w:rPr>
                <w:rFonts w:hint="eastAsia"/>
                <w:szCs w:val="20"/>
                <w:highlight w:val="none"/>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557003D2">
            <w:pPr>
              <w:pStyle w:val="33"/>
              <w:widowControl w:val="0"/>
              <w:overflowPunct w:val="0"/>
              <w:spacing w:before="0" w:beforeAutospacing="0" w:after="0" w:afterAutospacing="0" w:line="500" w:lineRule="exact"/>
              <w:jc w:val="center"/>
              <w:rPr>
                <w:rFonts w:hint="eastAsia"/>
                <w:szCs w:val="20"/>
                <w:highlight w:val="none"/>
              </w:rPr>
            </w:pPr>
          </w:p>
        </w:tc>
      </w:tr>
    </w:tbl>
    <w:p w14:paraId="1CB61DFF">
      <w:pPr>
        <w:spacing w:line="360" w:lineRule="auto"/>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注：1、根据“第五章  评标方法与评标标准”提供相关说明并提供证明材料。</w:t>
      </w:r>
    </w:p>
    <w:p w14:paraId="652EDE5F">
      <w:pPr>
        <w:spacing w:line="360" w:lineRule="auto"/>
        <w:ind w:firstLine="480" w:firstLineChars="200"/>
        <w:rPr>
          <w:rFonts w:hint="eastAsia" w:ascii="宋体" w:hAnsi="宋体" w:cs="宋体"/>
          <w:highlight w:val="none"/>
        </w:rPr>
      </w:pPr>
      <w:r>
        <w:rPr>
          <w:rFonts w:hint="eastAsia" w:ascii="宋体" w:hAnsi="宋体" w:cs="宋体"/>
          <w:kern w:val="2"/>
          <w:sz w:val="24"/>
          <w:szCs w:val="24"/>
          <w:highlight w:val="none"/>
          <w:lang w:val="en-US" w:eastAsia="zh-CN" w:bidi="ar"/>
        </w:rPr>
        <w:t>2</w:t>
      </w:r>
      <w:r>
        <w:rPr>
          <w:rFonts w:hint="eastAsia" w:ascii="宋体" w:hAnsi="宋体" w:cs="宋体"/>
          <w:kern w:val="2"/>
          <w:sz w:val="24"/>
          <w:szCs w:val="24"/>
          <w:highlight w:val="none"/>
          <w:lang w:bidi="ar"/>
        </w:rPr>
        <w:t>、如有需要说明的事项，请在备注中列明。</w:t>
      </w:r>
    </w:p>
    <w:p w14:paraId="0674A7C9">
      <w:pPr>
        <w:spacing w:line="360" w:lineRule="auto"/>
        <w:ind w:firstLine="720" w:firstLineChars="300"/>
        <w:rPr>
          <w:rFonts w:hint="eastAsia" w:ascii="宋体" w:hAnsi="宋体" w:cs="宋体"/>
          <w:kern w:val="2"/>
          <w:sz w:val="24"/>
          <w:szCs w:val="24"/>
          <w:lang w:bidi="ar"/>
        </w:rPr>
      </w:pPr>
    </w:p>
    <w:p w14:paraId="14C8CCE0">
      <w:pPr>
        <w:spacing w:line="440" w:lineRule="exact"/>
        <w:ind w:firstLine="482"/>
        <w:jc w:val="center"/>
        <w:outlineLvl w:val="1"/>
        <w:rPr>
          <w:rFonts w:hint="eastAsia" w:ascii="宋体" w:hAnsi="宋体" w:cs="宋体"/>
          <w:b/>
          <w:bCs/>
          <w:sz w:val="28"/>
          <w:szCs w:val="28"/>
        </w:rPr>
      </w:pPr>
      <w:r>
        <w:rPr>
          <w:rFonts w:hint="eastAsia" w:ascii="宋体" w:hAnsi="宋体" w:cs="宋体"/>
          <w:b/>
          <w:sz w:val="24"/>
          <w:szCs w:val="24"/>
        </w:rPr>
        <w:br w:type="page" w:clear="all"/>
      </w:r>
      <w:bookmarkStart w:id="395" w:name="_Toc32218"/>
      <w:r>
        <w:rPr>
          <w:rFonts w:hint="eastAsia" w:ascii="宋体" w:hAnsi="宋体" w:cs="宋体"/>
          <w:b/>
          <w:bCs/>
          <w:sz w:val="28"/>
          <w:szCs w:val="28"/>
        </w:rPr>
        <w:t>附件9 商务要求响应及偏离表</w:t>
      </w:r>
      <w:bookmarkEnd w:id="395"/>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5"/>
        <w:gridCol w:w="1905"/>
        <w:gridCol w:w="2940"/>
      </w:tblGrid>
      <w:tr w14:paraId="4A9F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0002B6A">
            <w:pPr>
              <w:spacing w:line="276" w:lineRule="auto"/>
              <w:jc w:val="center"/>
              <w:rPr>
                <w:rFonts w:hint="eastAsia" w:ascii="宋体" w:hAnsi="宋体" w:cs="宋体"/>
                <w:b/>
              </w:rPr>
            </w:pPr>
            <w:r>
              <w:rPr>
                <w:rFonts w:hint="eastAsia" w:ascii="宋体" w:hAnsi="宋体" w:cs="宋体"/>
                <w:b/>
              </w:rPr>
              <w:t>合同条款号</w:t>
            </w:r>
          </w:p>
        </w:tc>
        <w:tc>
          <w:tcPr>
            <w:tcW w:w="1905" w:type="dxa"/>
            <w:vAlign w:val="center"/>
          </w:tcPr>
          <w:p w14:paraId="4D55EDA8">
            <w:pPr>
              <w:spacing w:line="276" w:lineRule="auto"/>
              <w:jc w:val="center"/>
              <w:rPr>
                <w:rFonts w:hint="eastAsia" w:ascii="宋体" w:hAnsi="宋体" w:cs="宋体"/>
                <w:b/>
              </w:rPr>
            </w:pPr>
            <w:r>
              <w:rPr>
                <w:rFonts w:hint="eastAsia" w:ascii="宋体" w:hAnsi="宋体" w:cs="宋体"/>
                <w:b/>
              </w:rPr>
              <w:t>有无偏离</w:t>
            </w:r>
          </w:p>
        </w:tc>
        <w:tc>
          <w:tcPr>
            <w:tcW w:w="2940" w:type="dxa"/>
            <w:vAlign w:val="center"/>
          </w:tcPr>
          <w:p w14:paraId="0F31F4B8">
            <w:pPr>
              <w:spacing w:line="276" w:lineRule="auto"/>
              <w:jc w:val="center"/>
              <w:rPr>
                <w:rFonts w:hint="eastAsia" w:ascii="宋体" w:hAnsi="宋体" w:cs="宋体"/>
                <w:b/>
              </w:rPr>
            </w:pPr>
            <w:r>
              <w:rPr>
                <w:rFonts w:hint="eastAsia" w:ascii="宋体" w:hAnsi="宋体" w:cs="宋体"/>
                <w:b/>
              </w:rPr>
              <w:t>偏离内容及原因</w:t>
            </w:r>
          </w:p>
        </w:tc>
      </w:tr>
      <w:tr w14:paraId="5C98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3A70836">
            <w:pPr>
              <w:widowControl/>
              <w:spacing w:line="276" w:lineRule="auto"/>
              <w:rPr>
                <w:rFonts w:hint="eastAsia" w:ascii="宋体" w:hAnsi="宋体" w:cs="宋体"/>
              </w:rPr>
            </w:pPr>
            <w:r>
              <w:rPr>
                <w:rFonts w:hint="eastAsia" w:ascii="宋体" w:hAnsi="宋体" w:cs="宋体"/>
              </w:rPr>
              <w:t>1.1 合同组成部分</w:t>
            </w:r>
          </w:p>
        </w:tc>
        <w:tc>
          <w:tcPr>
            <w:tcW w:w="1905" w:type="dxa"/>
            <w:vAlign w:val="center"/>
          </w:tcPr>
          <w:p w14:paraId="6AC4235F">
            <w:pPr>
              <w:spacing w:line="276" w:lineRule="auto"/>
              <w:rPr>
                <w:rFonts w:hint="eastAsia" w:ascii="宋体" w:hAnsi="宋体" w:cs="宋体"/>
              </w:rPr>
            </w:pPr>
          </w:p>
        </w:tc>
        <w:tc>
          <w:tcPr>
            <w:tcW w:w="2940" w:type="dxa"/>
            <w:vAlign w:val="center"/>
          </w:tcPr>
          <w:p w14:paraId="6C1580A7">
            <w:pPr>
              <w:spacing w:line="276" w:lineRule="auto"/>
              <w:rPr>
                <w:rFonts w:hint="eastAsia" w:ascii="宋体" w:hAnsi="宋体" w:cs="宋体"/>
              </w:rPr>
            </w:pPr>
          </w:p>
        </w:tc>
      </w:tr>
      <w:tr w14:paraId="7619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5ADB8DF">
            <w:pPr>
              <w:widowControl/>
              <w:spacing w:line="276" w:lineRule="auto"/>
              <w:rPr>
                <w:rFonts w:hint="eastAsia" w:ascii="宋体" w:hAnsi="宋体" w:cs="宋体"/>
              </w:rPr>
            </w:pPr>
            <w:r>
              <w:rPr>
                <w:rFonts w:hint="eastAsia" w:ascii="宋体" w:hAnsi="宋体" w:cs="宋体"/>
              </w:rPr>
              <w:t>1.3 付款方式和发票开具方式</w:t>
            </w:r>
          </w:p>
        </w:tc>
        <w:tc>
          <w:tcPr>
            <w:tcW w:w="1905" w:type="dxa"/>
            <w:vAlign w:val="center"/>
          </w:tcPr>
          <w:p w14:paraId="7402A79F">
            <w:pPr>
              <w:spacing w:line="276" w:lineRule="auto"/>
              <w:rPr>
                <w:rFonts w:hint="eastAsia" w:ascii="宋体" w:hAnsi="宋体" w:cs="宋体"/>
              </w:rPr>
            </w:pPr>
          </w:p>
        </w:tc>
        <w:tc>
          <w:tcPr>
            <w:tcW w:w="2940" w:type="dxa"/>
            <w:vAlign w:val="center"/>
          </w:tcPr>
          <w:p w14:paraId="1174D3AA">
            <w:pPr>
              <w:spacing w:line="276" w:lineRule="auto"/>
              <w:rPr>
                <w:rFonts w:hint="eastAsia" w:ascii="宋体" w:hAnsi="宋体" w:cs="宋体"/>
              </w:rPr>
            </w:pPr>
          </w:p>
        </w:tc>
      </w:tr>
      <w:tr w14:paraId="0CDF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731974C">
            <w:pPr>
              <w:widowControl/>
              <w:spacing w:line="276" w:lineRule="auto"/>
              <w:rPr>
                <w:rFonts w:hint="eastAsia" w:ascii="宋体" w:hAnsi="宋体" w:cs="宋体"/>
              </w:rPr>
            </w:pPr>
            <w:r>
              <w:rPr>
                <w:rFonts w:hint="eastAsia" w:ascii="宋体" w:hAnsi="宋体" w:cs="宋体"/>
              </w:rPr>
              <w:t>1.4交货时间和地点</w:t>
            </w:r>
          </w:p>
        </w:tc>
        <w:tc>
          <w:tcPr>
            <w:tcW w:w="1905" w:type="dxa"/>
            <w:vAlign w:val="center"/>
          </w:tcPr>
          <w:p w14:paraId="24ABB4E8">
            <w:pPr>
              <w:spacing w:line="276" w:lineRule="auto"/>
              <w:rPr>
                <w:rFonts w:hint="eastAsia" w:ascii="宋体" w:hAnsi="宋体" w:cs="宋体"/>
              </w:rPr>
            </w:pPr>
          </w:p>
        </w:tc>
        <w:tc>
          <w:tcPr>
            <w:tcW w:w="2940" w:type="dxa"/>
            <w:vAlign w:val="center"/>
          </w:tcPr>
          <w:p w14:paraId="4127450E">
            <w:pPr>
              <w:spacing w:line="276" w:lineRule="auto"/>
              <w:rPr>
                <w:rFonts w:hint="eastAsia" w:ascii="宋体" w:hAnsi="宋体" w:cs="宋体"/>
              </w:rPr>
            </w:pPr>
          </w:p>
        </w:tc>
      </w:tr>
      <w:tr w14:paraId="0854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F060F09">
            <w:pPr>
              <w:spacing w:line="276" w:lineRule="auto"/>
              <w:rPr>
                <w:rFonts w:hint="eastAsia" w:ascii="宋体" w:hAnsi="宋体" w:cs="宋体"/>
              </w:rPr>
            </w:pPr>
            <w:r>
              <w:rPr>
                <w:rFonts w:hint="eastAsia" w:ascii="宋体" w:hAnsi="宋体" w:cs="宋体"/>
              </w:rPr>
              <w:t>1.5双方权利和义务</w:t>
            </w:r>
          </w:p>
        </w:tc>
        <w:tc>
          <w:tcPr>
            <w:tcW w:w="1905" w:type="dxa"/>
            <w:vAlign w:val="center"/>
          </w:tcPr>
          <w:p w14:paraId="7A13BB50">
            <w:pPr>
              <w:spacing w:line="276" w:lineRule="auto"/>
              <w:rPr>
                <w:rFonts w:hint="eastAsia" w:ascii="宋体" w:hAnsi="宋体" w:cs="宋体"/>
              </w:rPr>
            </w:pPr>
          </w:p>
        </w:tc>
        <w:tc>
          <w:tcPr>
            <w:tcW w:w="2940" w:type="dxa"/>
            <w:vAlign w:val="center"/>
          </w:tcPr>
          <w:p w14:paraId="05451287">
            <w:pPr>
              <w:spacing w:line="276" w:lineRule="auto"/>
              <w:rPr>
                <w:rFonts w:hint="eastAsia" w:ascii="宋体" w:hAnsi="宋体" w:cs="宋体"/>
              </w:rPr>
            </w:pPr>
          </w:p>
        </w:tc>
      </w:tr>
      <w:tr w14:paraId="1531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A879149">
            <w:pPr>
              <w:spacing w:line="276" w:lineRule="auto"/>
              <w:rPr>
                <w:rFonts w:hint="eastAsia" w:ascii="宋体" w:hAnsi="宋体" w:cs="宋体"/>
              </w:rPr>
            </w:pPr>
            <w:r>
              <w:rPr>
                <w:rFonts w:hint="eastAsia" w:ascii="宋体" w:hAnsi="宋体" w:cs="宋体"/>
              </w:rPr>
              <w:t>1.6 违约责任</w:t>
            </w:r>
          </w:p>
        </w:tc>
        <w:tc>
          <w:tcPr>
            <w:tcW w:w="1905" w:type="dxa"/>
            <w:vAlign w:val="center"/>
          </w:tcPr>
          <w:p w14:paraId="025512D9">
            <w:pPr>
              <w:spacing w:line="276" w:lineRule="auto"/>
              <w:rPr>
                <w:rFonts w:hint="eastAsia" w:ascii="宋体" w:hAnsi="宋体" w:cs="宋体"/>
              </w:rPr>
            </w:pPr>
          </w:p>
        </w:tc>
        <w:tc>
          <w:tcPr>
            <w:tcW w:w="2940" w:type="dxa"/>
            <w:vAlign w:val="center"/>
          </w:tcPr>
          <w:p w14:paraId="3DB7E723">
            <w:pPr>
              <w:spacing w:line="276" w:lineRule="auto"/>
              <w:rPr>
                <w:rFonts w:hint="eastAsia" w:ascii="宋体" w:hAnsi="宋体" w:cs="宋体"/>
              </w:rPr>
            </w:pPr>
          </w:p>
        </w:tc>
      </w:tr>
      <w:tr w14:paraId="4FEB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1238FE6">
            <w:pPr>
              <w:widowControl/>
              <w:spacing w:line="276" w:lineRule="auto"/>
              <w:rPr>
                <w:rFonts w:hint="eastAsia" w:ascii="宋体" w:hAnsi="宋体" w:cs="宋体"/>
              </w:rPr>
            </w:pPr>
            <w:r>
              <w:rPr>
                <w:rFonts w:hint="eastAsia" w:ascii="宋体" w:hAnsi="宋体" w:cs="宋体"/>
              </w:rPr>
              <w:t>1.7 合同争议的解决</w:t>
            </w:r>
          </w:p>
        </w:tc>
        <w:tc>
          <w:tcPr>
            <w:tcW w:w="1905" w:type="dxa"/>
            <w:vAlign w:val="center"/>
          </w:tcPr>
          <w:p w14:paraId="74334109">
            <w:pPr>
              <w:spacing w:line="276" w:lineRule="auto"/>
              <w:rPr>
                <w:rFonts w:hint="eastAsia" w:ascii="宋体" w:hAnsi="宋体" w:cs="宋体"/>
              </w:rPr>
            </w:pPr>
          </w:p>
        </w:tc>
        <w:tc>
          <w:tcPr>
            <w:tcW w:w="2940" w:type="dxa"/>
            <w:vAlign w:val="center"/>
          </w:tcPr>
          <w:p w14:paraId="01EF023F">
            <w:pPr>
              <w:spacing w:line="276" w:lineRule="auto"/>
              <w:rPr>
                <w:rFonts w:hint="eastAsia" w:ascii="宋体" w:hAnsi="宋体" w:cs="宋体"/>
              </w:rPr>
            </w:pPr>
          </w:p>
        </w:tc>
      </w:tr>
      <w:tr w14:paraId="46AA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B74A774">
            <w:pPr>
              <w:widowControl/>
              <w:spacing w:line="276" w:lineRule="auto"/>
              <w:rPr>
                <w:rFonts w:hint="eastAsia" w:ascii="宋体" w:hAnsi="宋体" w:cs="宋体"/>
              </w:rPr>
            </w:pPr>
            <w:r>
              <w:rPr>
                <w:rFonts w:hint="eastAsia" w:ascii="宋体" w:hAnsi="宋体" w:cs="宋体"/>
              </w:rPr>
              <w:t>1.8 合同生效</w:t>
            </w:r>
          </w:p>
        </w:tc>
        <w:tc>
          <w:tcPr>
            <w:tcW w:w="1905" w:type="dxa"/>
            <w:vAlign w:val="center"/>
          </w:tcPr>
          <w:p w14:paraId="69006C2D">
            <w:pPr>
              <w:spacing w:line="276" w:lineRule="auto"/>
              <w:rPr>
                <w:rFonts w:hint="eastAsia" w:ascii="宋体" w:hAnsi="宋体" w:cs="宋体"/>
              </w:rPr>
            </w:pPr>
          </w:p>
        </w:tc>
        <w:tc>
          <w:tcPr>
            <w:tcW w:w="2940" w:type="dxa"/>
            <w:vAlign w:val="center"/>
          </w:tcPr>
          <w:p w14:paraId="113C87DE">
            <w:pPr>
              <w:spacing w:line="276" w:lineRule="auto"/>
              <w:rPr>
                <w:rFonts w:hint="eastAsia" w:ascii="宋体" w:hAnsi="宋体" w:cs="宋体"/>
              </w:rPr>
            </w:pPr>
          </w:p>
        </w:tc>
      </w:tr>
      <w:tr w14:paraId="332D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46E9022">
            <w:pPr>
              <w:widowControl/>
              <w:spacing w:line="276" w:lineRule="auto"/>
              <w:rPr>
                <w:rFonts w:hint="eastAsia" w:ascii="宋体" w:hAnsi="宋体" w:cs="宋体"/>
              </w:rPr>
            </w:pPr>
            <w:r>
              <w:rPr>
                <w:rFonts w:hint="eastAsia" w:ascii="宋体" w:hAnsi="宋体" w:cs="宋体"/>
              </w:rPr>
              <w:t>2.1 定义</w:t>
            </w:r>
          </w:p>
        </w:tc>
        <w:tc>
          <w:tcPr>
            <w:tcW w:w="1905" w:type="dxa"/>
            <w:vAlign w:val="center"/>
          </w:tcPr>
          <w:p w14:paraId="7DEE7221">
            <w:pPr>
              <w:spacing w:line="276" w:lineRule="auto"/>
              <w:jc w:val="left"/>
              <w:rPr>
                <w:rFonts w:hint="eastAsia" w:ascii="宋体" w:hAnsi="宋体" w:cs="宋体"/>
              </w:rPr>
            </w:pPr>
          </w:p>
        </w:tc>
        <w:tc>
          <w:tcPr>
            <w:tcW w:w="2940" w:type="dxa"/>
            <w:vAlign w:val="center"/>
          </w:tcPr>
          <w:p w14:paraId="3038F552">
            <w:pPr>
              <w:spacing w:line="276" w:lineRule="auto"/>
              <w:rPr>
                <w:rFonts w:hint="eastAsia" w:ascii="宋体" w:hAnsi="宋体" w:cs="宋体"/>
              </w:rPr>
            </w:pPr>
          </w:p>
        </w:tc>
      </w:tr>
      <w:tr w14:paraId="337F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28349EA">
            <w:pPr>
              <w:widowControl/>
              <w:spacing w:line="276" w:lineRule="auto"/>
              <w:rPr>
                <w:rFonts w:hint="eastAsia" w:ascii="宋体" w:hAnsi="宋体" w:cs="宋体"/>
              </w:rPr>
            </w:pPr>
            <w:r>
              <w:rPr>
                <w:rFonts w:hint="eastAsia" w:ascii="宋体" w:hAnsi="宋体" w:cs="宋体"/>
              </w:rPr>
              <w:t>2.2 技术规范</w:t>
            </w:r>
          </w:p>
        </w:tc>
        <w:tc>
          <w:tcPr>
            <w:tcW w:w="1905" w:type="dxa"/>
            <w:vAlign w:val="center"/>
          </w:tcPr>
          <w:p w14:paraId="40C04B37">
            <w:pPr>
              <w:spacing w:line="276" w:lineRule="auto"/>
              <w:jc w:val="left"/>
              <w:rPr>
                <w:rFonts w:hint="eastAsia" w:ascii="宋体" w:hAnsi="宋体" w:cs="宋体"/>
              </w:rPr>
            </w:pPr>
          </w:p>
        </w:tc>
        <w:tc>
          <w:tcPr>
            <w:tcW w:w="2940" w:type="dxa"/>
            <w:vAlign w:val="center"/>
          </w:tcPr>
          <w:p w14:paraId="33D1388A">
            <w:pPr>
              <w:spacing w:line="276" w:lineRule="auto"/>
              <w:rPr>
                <w:rFonts w:hint="eastAsia" w:ascii="宋体" w:hAnsi="宋体" w:cs="宋体"/>
              </w:rPr>
            </w:pPr>
          </w:p>
        </w:tc>
      </w:tr>
      <w:tr w14:paraId="60B8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1E90BD2">
            <w:pPr>
              <w:widowControl/>
              <w:spacing w:line="276" w:lineRule="auto"/>
              <w:rPr>
                <w:rFonts w:hint="eastAsia" w:ascii="宋体" w:hAnsi="宋体" w:cs="宋体"/>
              </w:rPr>
            </w:pPr>
            <w:r>
              <w:rPr>
                <w:rFonts w:hint="eastAsia" w:ascii="宋体" w:hAnsi="宋体" w:cs="宋体"/>
              </w:rPr>
              <w:t>2.3 知识产权</w:t>
            </w:r>
          </w:p>
        </w:tc>
        <w:tc>
          <w:tcPr>
            <w:tcW w:w="1905" w:type="dxa"/>
            <w:vAlign w:val="center"/>
          </w:tcPr>
          <w:p w14:paraId="40857B01">
            <w:pPr>
              <w:spacing w:line="276" w:lineRule="auto"/>
              <w:jc w:val="left"/>
              <w:rPr>
                <w:rFonts w:hint="eastAsia" w:ascii="宋体" w:hAnsi="宋体" w:cs="宋体"/>
              </w:rPr>
            </w:pPr>
          </w:p>
        </w:tc>
        <w:tc>
          <w:tcPr>
            <w:tcW w:w="2940" w:type="dxa"/>
            <w:vAlign w:val="center"/>
          </w:tcPr>
          <w:p w14:paraId="70894391">
            <w:pPr>
              <w:spacing w:line="276" w:lineRule="auto"/>
              <w:rPr>
                <w:rFonts w:hint="eastAsia" w:ascii="宋体" w:hAnsi="宋体" w:cs="宋体"/>
              </w:rPr>
            </w:pPr>
          </w:p>
        </w:tc>
      </w:tr>
      <w:tr w14:paraId="38E0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270A546">
            <w:pPr>
              <w:widowControl/>
              <w:spacing w:line="276" w:lineRule="auto"/>
              <w:rPr>
                <w:rFonts w:hint="eastAsia" w:ascii="宋体" w:hAnsi="宋体" w:cs="宋体"/>
              </w:rPr>
            </w:pPr>
            <w:r>
              <w:rPr>
                <w:rFonts w:hint="eastAsia" w:ascii="宋体" w:hAnsi="宋体" w:cs="宋体"/>
              </w:rPr>
              <w:t>2.4 包装和装运</w:t>
            </w:r>
          </w:p>
        </w:tc>
        <w:tc>
          <w:tcPr>
            <w:tcW w:w="1905" w:type="dxa"/>
            <w:vAlign w:val="center"/>
          </w:tcPr>
          <w:p w14:paraId="2673E1C3">
            <w:pPr>
              <w:spacing w:line="276" w:lineRule="auto"/>
              <w:rPr>
                <w:rFonts w:hint="eastAsia" w:ascii="宋体" w:hAnsi="宋体" w:cs="宋体"/>
              </w:rPr>
            </w:pPr>
          </w:p>
        </w:tc>
        <w:tc>
          <w:tcPr>
            <w:tcW w:w="2940" w:type="dxa"/>
            <w:vAlign w:val="center"/>
          </w:tcPr>
          <w:p w14:paraId="4DD2BED8">
            <w:pPr>
              <w:spacing w:line="276" w:lineRule="auto"/>
              <w:rPr>
                <w:rFonts w:hint="eastAsia" w:ascii="宋体" w:hAnsi="宋体" w:cs="宋体"/>
              </w:rPr>
            </w:pPr>
          </w:p>
        </w:tc>
      </w:tr>
      <w:tr w14:paraId="7DCC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47B752">
            <w:pPr>
              <w:widowControl/>
              <w:spacing w:line="276" w:lineRule="auto"/>
              <w:rPr>
                <w:rFonts w:hint="eastAsia" w:ascii="宋体" w:hAnsi="宋体" w:cs="宋体"/>
              </w:rPr>
            </w:pPr>
            <w:r>
              <w:rPr>
                <w:rFonts w:hint="eastAsia" w:ascii="宋体" w:hAnsi="宋体" w:cs="宋体"/>
              </w:rPr>
              <w:t>2.5 履约检查和问题反馈</w:t>
            </w:r>
          </w:p>
        </w:tc>
        <w:tc>
          <w:tcPr>
            <w:tcW w:w="1905" w:type="dxa"/>
            <w:vAlign w:val="center"/>
          </w:tcPr>
          <w:p w14:paraId="720926F0">
            <w:pPr>
              <w:spacing w:line="276" w:lineRule="auto"/>
              <w:rPr>
                <w:rFonts w:hint="eastAsia" w:ascii="宋体" w:hAnsi="宋体" w:cs="宋体"/>
              </w:rPr>
            </w:pPr>
          </w:p>
        </w:tc>
        <w:tc>
          <w:tcPr>
            <w:tcW w:w="2940" w:type="dxa"/>
            <w:vAlign w:val="center"/>
          </w:tcPr>
          <w:p w14:paraId="0362DAF3">
            <w:pPr>
              <w:spacing w:line="276" w:lineRule="auto"/>
              <w:rPr>
                <w:rFonts w:hint="eastAsia" w:ascii="宋体" w:hAnsi="宋体" w:cs="宋体"/>
              </w:rPr>
            </w:pPr>
          </w:p>
        </w:tc>
      </w:tr>
      <w:tr w14:paraId="0216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BED6EED">
            <w:pPr>
              <w:widowControl/>
              <w:spacing w:line="276" w:lineRule="auto"/>
              <w:rPr>
                <w:rFonts w:hint="eastAsia" w:ascii="宋体" w:hAnsi="宋体" w:cs="宋体"/>
              </w:rPr>
            </w:pPr>
            <w:r>
              <w:rPr>
                <w:rFonts w:hint="eastAsia" w:ascii="宋体" w:hAnsi="宋体" w:cs="宋体"/>
              </w:rPr>
              <w:t>2.6 技术资料和保密义务</w:t>
            </w:r>
          </w:p>
        </w:tc>
        <w:tc>
          <w:tcPr>
            <w:tcW w:w="1905" w:type="dxa"/>
            <w:vAlign w:val="center"/>
          </w:tcPr>
          <w:p w14:paraId="1E8C21FA">
            <w:pPr>
              <w:spacing w:line="276" w:lineRule="auto"/>
              <w:rPr>
                <w:rFonts w:hint="eastAsia" w:ascii="宋体" w:hAnsi="宋体" w:cs="宋体"/>
              </w:rPr>
            </w:pPr>
          </w:p>
        </w:tc>
        <w:tc>
          <w:tcPr>
            <w:tcW w:w="2940" w:type="dxa"/>
            <w:vAlign w:val="center"/>
          </w:tcPr>
          <w:p w14:paraId="71E2D08E">
            <w:pPr>
              <w:spacing w:line="276" w:lineRule="auto"/>
              <w:rPr>
                <w:rFonts w:hint="eastAsia" w:ascii="宋体" w:hAnsi="宋体" w:cs="宋体"/>
              </w:rPr>
            </w:pPr>
          </w:p>
        </w:tc>
      </w:tr>
      <w:tr w14:paraId="7E7C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EE28A5E">
            <w:pPr>
              <w:spacing w:line="276" w:lineRule="auto"/>
              <w:rPr>
                <w:rFonts w:hint="eastAsia" w:ascii="宋体" w:hAnsi="宋体" w:cs="宋体"/>
              </w:rPr>
            </w:pPr>
            <w:r>
              <w:rPr>
                <w:rFonts w:hint="eastAsia" w:ascii="宋体" w:hAnsi="宋体" w:cs="宋体"/>
              </w:rPr>
              <w:t>2.7 质量保证</w:t>
            </w:r>
          </w:p>
        </w:tc>
        <w:tc>
          <w:tcPr>
            <w:tcW w:w="1905" w:type="dxa"/>
            <w:vAlign w:val="center"/>
          </w:tcPr>
          <w:p w14:paraId="3AE146FE">
            <w:pPr>
              <w:spacing w:line="276" w:lineRule="auto"/>
              <w:rPr>
                <w:rFonts w:hint="eastAsia" w:ascii="宋体" w:hAnsi="宋体" w:cs="宋体"/>
              </w:rPr>
            </w:pPr>
          </w:p>
        </w:tc>
        <w:tc>
          <w:tcPr>
            <w:tcW w:w="2940" w:type="dxa"/>
            <w:vAlign w:val="center"/>
          </w:tcPr>
          <w:p w14:paraId="407B2868">
            <w:pPr>
              <w:spacing w:line="276" w:lineRule="auto"/>
              <w:rPr>
                <w:rFonts w:hint="eastAsia" w:ascii="宋体" w:hAnsi="宋体" w:cs="宋体"/>
              </w:rPr>
            </w:pPr>
          </w:p>
        </w:tc>
      </w:tr>
      <w:tr w14:paraId="3099F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AA370E6">
            <w:pPr>
              <w:spacing w:line="276" w:lineRule="auto"/>
              <w:rPr>
                <w:rFonts w:hint="eastAsia" w:ascii="宋体" w:hAnsi="宋体" w:cs="宋体"/>
              </w:rPr>
            </w:pPr>
            <w:r>
              <w:rPr>
                <w:rFonts w:hint="eastAsia" w:ascii="宋体" w:hAnsi="宋体" w:cs="宋体"/>
              </w:rPr>
              <w:t>2.8 货物的风险负担</w:t>
            </w:r>
          </w:p>
        </w:tc>
        <w:tc>
          <w:tcPr>
            <w:tcW w:w="1905" w:type="dxa"/>
            <w:vAlign w:val="center"/>
          </w:tcPr>
          <w:p w14:paraId="16503432">
            <w:pPr>
              <w:spacing w:line="276" w:lineRule="auto"/>
              <w:rPr>
                <w:rFonts w:hint="eastAsia" w:ascii="宋体" w:hAnsi="宋体" w:cs="宋体"/>
              </w:rPr>
            </w:pPr>
          </w:p>
        </w:tc>
        <w:tc>
          <w:tcPr>
            <w:tcW w:w="2940" w:type="dxa"/>
            <w:vAlign w:val="center"/>
          </w:tcPr>
          <w:p w14:paraId="2A63B10E">
            <w:pPr>
              <w:spacing w:line="276" w:lineRule="auto"/>
              <w:rPr>
                <w:rFonts w:hint="eastAsia" w:ascii="宋体" w:hAnsi="宋体" w:cs="宋体"/>
              </w:rPr>
            </w:pPr>
          </w:p>
        </w:tc>
      </w:tr>
      <w:tr w14:paraId="7E91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4425309">
            <w:pPr>
              <w:spacing w:line="276" w:lineRule="auto"/>
              <w:rPr>
                <w:rFonts w:hint="eastAsia" w:ascii="宋体" w:hAnsi="宋体" w:cs="宋体"/>
              </w:rPr>
            </w:pPr>
            <w:r>
              <w:rPr>
                <w:rFonts w:hint="eastAsia" w:ascii="宋体" w:hAnsi="宋体" w:cs="宋体"/>
              </w:rPr>
              <w:t>2.9 延迟交货</w:t>
            </w:r>
          </w:p>
        </w:tc>
        <w:tc>
          <w:tcPr>
            <w:tcW w:w="1905" w:type="dxa"/>
            <w:vAlign w:val="center"/>
          </w:tcPr>
          <w:p w14:paraId="58124370">
            <w:pPr>
              <w:spacing w:line="276" w:lineRule="auto"/>
              <w:rPr>
                <w:rFonts w:hint="eastAsia" w:ascii="宋体" w:hAnsi="宋体" w:cs="宋体"/>
              </w:rPr>
            </w:pPr>
          </w:p>
        </w:tc>
        <w:tc>
          <w:tcPr>
            <w:tcW w:w="2940" w:type="dxa"/>
            <w:vAlign w:val="center"/>
          </w:tcPr>
          <w:p w14:paraId="53FAF729">
            <w:pPr>
              <w:spacing w:line="276" w:lineRule="auto"/>
              <w:rPr>
                <w:rFonts w:hint="eastAsia" w:ascii="宋体" w:hAnsi="宋体" w:cs="宋体"/>
              </w:rPr>
            </w:pPr>
          </w:p>
        </w:tc>
      </w:tr>
      <w:tr w14:paraId="516D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FBB66D5">
            <w:pPr>
              <w:spacing w:line="276" w:lineRule="auto"/>
              <w:rPr>
                <w:rFonts w:hint="eastAsia" w:ascii="宋体" w:hAnsi="宋体" w:cs="宋体"/>
              </w:rPr>
            </w:pPr>
            <w:r>
              <w:rPr>
                <w:rFonts w:hint="eastAsia" w:ascii="宋体" w:hAnsi="宋体" w:cs="宋体"/>
              </w:rPr>
              <w:t>2.10 合同变更</w:t>
            </w:r>
          </w:p>
        </w:tc>
        <w:tc>
          <w:tcPr>
            <w:tcW w:w="1905" w:type="dxa"/>
            <w:vAlign w:val="center"/>
          </w:tcPr>
          <w:p w14:paraId="605DC39D">
            <w:pPr>
              <w:spacing w:line="276" w:lineRule="auto"/>
              <w:rPr>
                <w:rFonts w:hint="eastAsia" w:ascii="宋体" w:hAnsi="宋体" w:cs="宋体"/>
              </w:rPr>
            </w:pPr>
          </w:p>
        </w:tc>
        <w:tc>
          <w:tcPr>
            <w:tcW w:w="2940" w:type="dxa"/>
            <w:vAlign w:val="center"/>
          </w:tcPr>
          <w:p w14:paraId="05AAFF4F">
            <w:pPr>
              <w:spacing w:line="276" w:lineRule="auto"/>
              <w:rPr>
                <w:rFonts w:hint="eastAsia" w:ascii="宋体" w:hAnsi="宋体" w:cs="宋体"/>
              </w:rPr>
            </w:pPr>
          </w:p>
        </w:tc>
      </w:tr>
      <w:tr w14:paraId="7BC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E8B7046">
            <w:pPr>
              <w:spacing w:line="276" w:lineRule="auto"/>
              <w:rPr>
                <w:rFonts w:hint="eastAsia" w:ascii="宋体" w:hAnsi="宋体" w:cs="宋体"/>
              </w:rPr>
            </w:pPr>
            <w:r>
              <w:rPr>
                <w:rFonts w:hint="eastAsia" w:ascii="宋体" w:hAnsi="宋体" w:cs="宋体"/>
              </w:rPr>
              <w:t>2.11 合同转让和分包</w:t>
            </w:r>
          </w:p>
        </w:tc>
        <w:tc>
          <w:tcPr>
            <w:tcW w:w="1905" w:type="dxa"/>
            <w:vAlign w:val="center"/>
          </w:tcPr>
          <w:p w14:paraId="083382CD">
            <w:pPr>
              <w:spacing w:line="276" w:lineRule="auto"/>
              <w:rPr>
                <w:rFonts w:hint="eastAsia" w:ascii="宋体" w:hAnsi="宋体" w:cs="宋体"/>
              </w:rPr>
            </w:pPr>
          </w:p>
        </w:tc>
        <w:tc>
          <w:tcPr>
            <w:tcW w:w="2940" w:type="dxa"/>
            <w:vAlign w:val="center"/>
          </w:tcPr>
          <w:p w14:paraId="25F08764">
            <w:pPr>
              <w:spacing w:line="276" w:lineRule="auto"/>
              <w:rPr>
                <w:rFonts w:hint="eastAsia" w:ascii="宋体" w:hAnsi="宋体" w:cs="宋体"/>
              </w:rPr>
            </w:pPr>
          </w:p>
        </w:tc>
      </w:tr>
      <w:tr w14:paraId="57B5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577EC08">
            <w:pPr>
              <w:widowControl/>
              <w:spacing w:line="276" w:lineRule="auto"/>
              <w:rPr>
                <w:rFonts w:hint="eastAsia" w:ascii="宋体" w:hAnsi="宋体" w:cs="宋体"/>
              </w:rPr>
            </w:pPr>
            <w:r>
              <w:rPr>
                <w:rFonts w:hint="eastAsia" w:ascii="宋体" w:hAnsi="宋体" w:cs="宋体"/>
              </w:rPr>
              <w:t>2.12 不可抗力</w:t>
            </w:r>
          </w:p>
        </w:tc>
        <w:tc>
          <w:tcPr>
            <w:tcW w:w="1905" w:type="dxa"/>
            <w:vAlign w:val="center"/>
          </w:tcPr>
          <w:p w14:paraId="55205FD9">
            <w:pPr>
              <w:spacing w:line="276" w:lineRule="auto"/>
              <w:rPr>
                <w:rFonts w:hint="eastAsia" w:ascii="宋体" w:hAnsi="宋体" w:cs="宋体"/>
              </w:rPr>
            </w:pPr>
          </w:p>
        </w:tc>
        <w:tc>
          <w:tcPr>
            <w:tcW w:w="2940" w:type="dxa"/>
            <w:vAlign w:val="center"/>
          </w:tcPr>
          <w:p w14:paraId="6498DC57">
            <w:pPr>
              <w:spacing w:line="276" w:lineRule="auto"/>
              <w:rPr>
                <w:rFonts w:hint="eastAsia" w:ascii="宋体" w:hAnsi="宋体" w:cs="宋体"/>
              </w:rPr>
            </w:pPr>
          </w:p>
        </w:tc>
      </w:tr>
      <w:tr w14:paraId="0C12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963279F">
            <w:pPr>
              <w:widowControl/>
              <w:spacing w:line="276" w:lineRule="auto"/>
              <w:rPr>
                <w:rFonts w:hint="eastAsia" w:ascii="宋体" w:hAnsi="宋体" w:cs="宋体"/>
              </w:rPr>
            </w:pPr>
            <w:r>
              <w:rPr>
                <w:rFonts w:hint="eastAsia" w:ascii="宋体" w:hAnsi="宋体" w:cs="宋体"/>
              </w:rPr>
              <w:t>2.13 税费</w:t>
            </w:r>
          </w:p>
        </w:tc>
        <w:tc>
          <w:tcPr>
            <w:tcW w:w="1905" w:type="dxa"/>
            <w:vAlign w:val="center"/>
          </w:tcPr>
          <w:p w14:paraId="3691F7A6">
            <w:pPr>
              <w:spacing w:line="276" w:lineRule="auto"/>
              <w:rPr>
                <w:rFonts w:hint="eastAsia" w:ascii="宋体" w:hAnsi="宋体" w:cs="宋体"/>
              </w:rPr>
            </w:pPr>
          </w:p>
        </w:tc>
        <w:tc>
          <w:tcPr>
            <w:tcW w:w="2940" w:type="dxa"/>
            <w:vAlign w:val="center"/>
          </w:tcPr>
          <w:p w14:paraId="2BFD26B8">
            <w:pPr>
              <w:spacing w:line="276" w:lineRule="auto"/>
              <w:rPr>
                <w:rFonts w:hint="eastAsia" w:ascii="宋体" w:hAnsi="宋体" w:cs="宋体"/>
              </w:rPr>
            </w:pPr>
          </w:p>
        </w:tc>
      </w:tr>
      <w:tr w14:paraId="05DF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6BACF56">
            <w:pPr>
              <w:widowControl/>
              <w:spacing w:line="276" w:lineRule="auto"/>
              <w:rPr>
                <w:rFonts w:hint="eastAsia" w:ascii="宋体" w:hAnsi="宋体" w:cs="宋体"/>
              </w:rPr>
            </w:pPr>
            <w:r>
              <w:rPr>
                <w:rFonts w:hint="eastAsia" w:ascii="宋体" w:hAnsi="宋体" w:cs="宋体"/>
              </w:rPr>
              <w:t>2.14 乙方破产</w:t>
            </w:r>
          </w:p>
        </w:tc>
        <w:tc>
          <w:tcPr>
            <w:tcW w:w="1905" w:type="dxa"/>
            <w:vAlign w:val="center"/>
          </w:tcPr>
          <w:p w14:paraId="081F3009">
            <w:pPr>
              <w:spacing w:line="276" w:lineRule="auto"/>
              <w:rPr>
                <w:rFonts w:hint="eastAsia" w:ascii="宋体" w:hAnsi="宋体" w:cs="宋体"/>
              </w:rPr>
            </w:pPr>
          </w:p>
        </w:tc>
        <w:tc>
          <w:tcPr>
            <w:tcW w:w="2940" w:type="dxa"/>
            <w:vAlign w:val="center"/>
          </w:tcPr>
          <w:p w14:paraId="05967601">
            <w:pPr>
              <w:spacing w:line="276" w:lineRule="auto"/>
              <w:rPr>
                <w:rFonts w:hint="eastAsia" w:ascii="宋体" w:hAnsi="宋体" w:cs="宋体"/>
              </w:rPr>
            </w:pPr>
          </w:p>
        </w:tc>
      </w:tr>
      <w:tr w14:paraId="4760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21D6CFE">
            <w:pPr>
              <w:widowControl/>
              <w:spacing w:line="276" w:lineRule="auto"/>
              <w:rPr>
                <w:rFonts w:hint="eastAsia" w:ascii="宋体" w:hAnsi="宋体" w:cs="宋体"/>
              </w:rPr>
            </w:pPr>
            <w:r>
              <w:rPr>
                <w:rFonts w:hint="eastAsia" w:ascii="宋体" w:hAnsi="宋体" w:cs="宋体"/>
              </w:rPr>
              <w:t>2.15 合同中止、终止</w:t>
            </w:r>
          </w:p>
        </w:tc>
        <w:tc>
          <w:tcPr>
            <w:tcW w:w="1905" w:type="dxa"/>
            <w:vAlign w:val="center"/>
          </w:tcPr>
          <w:p w14:paraId="6DF05BC7">
            <w:pPr>
              <w:spacing w:line="276" w:lineRule="auto"/>
              <w:rPr>
                <w:rFonts w:hint="eastAsia" w:ascii="宋体" w:hAnsi="宋体" w:cs="宋体"/>
              </w:rPr>
            </w:pPr>
          </w:p>
        </w:tc>
        <w:tc>
          <w:tcPr>
            <w:tcW w:w="2940" w:type="dxa"/>
            <w:vAlign w:val="center"/>
          </w:tcPr>
          <w:p w14:paraId="7B3C723F">
            <w:pPr>
              <w:spacing w:line="276" w:lineRule="auto"/>
              <w:rPr>
                <w:rFonts w:hint="eastAsia" w:ascii="宋体" w:hAnsi="宋体" w:cs="宋体"/>
              </w:rPr>
            </w:pPr>
          </w:p>
        </w:tc>
      </w:tr>
      <w:tr w14:paraId="7740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F8235B7">
            <w:pPr>
              <w:widowControl/>
              <w:spacing w:line="276" w:lineRule="auto"/>
              <w:rPr>
                <w:rFonts w:hint="eastAsia" w:ascii="宋体" w:hAnsi="宋体" w:cs="宋体"/>
              </w:rPr>
            </w:pPr>
            <w:r>
              <w:rPr>
                <w:rFonts w:hint="eastAsia" w:ascii="宋体" w:hAnsi="宋体" w:cs="宋体"/>
              </w:rPr>
              <w:t>2.16 检验和验收</w:t>
            </w:r>
          </w:p>
        </w:tc>
        <w:tc>
          <w:tcPr>
            <w:tcW w:w="1905" w:type="dxa"/>
            <w:vAlign w:val="center"/>
          </w:tcPr>
          <w:p w14:paraId="4D0762DC">
            <w:pPr>
              <w:spacing w:line="276" w:lineRule="auto"/>
              <w:rPr>
                <w:rFonts w:hint="eastAsia" w:ascii="宋体" w:hAnsi="宋体" w:cs="宋体"/>
              </w:rPr>
            </w:pPr>
          </w:p>
        </w:tc>
        <w:tc>
          <w:tcPr>
            <w:tcW w:w="2940" w:type="dxa"/>
            <w:vAlign w:val="center"/>
          </w:tcPr>
          <w:p w14:paraId="3CF7C447">
            <w:pPr>
              <w:spacing w:line="276" w:lineRule="auto"/>
              <w:rPr>
                <w:rFonts w:hint="eastAsia" w:ascii="宋体" w:hAnsi="宋体" w:cs="宋体"/>
              </w:rPr>
            </w:pPr>
          </w:p>
        </w:tc>
      </w:tr>
      <w:tr w14:paraId="3628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BA20183">
            <w:pPr>
              <w:widowControl/>
              <w:spacing w:line="276" w:lineRule="auto"/>
              <w:rPr>
                <w:rFonts w:hint="eastAsia" w:ascii="宋体" w:hAnsi="宋体" w:cs="宋体"/>
              </w:rPr>
            </w:pPr>
            <w:r>
              <w:rPr>
                <w:rFonts w:hint="eastAsia" w:ascii="宋体" w:hAnsi="宋体" w:cs="宋体"/>
              </w:rPr>
              <w:t>2.17 通知和送达</w:t>
            </w:r>
          </w:p>
        </w:tc>
        <w:tc>
          <w:tcPr>
            <w:tcW w:w="1905" w:type="dxa"/>
            <w:vAlign w:val="center"/>
          </w:tcPr>
          <w:p w14:paraId="48EEC60A">
            <w:pPr>
              <w:spacing w:line="276" w:lineRule="auto"/>
              <w:rPr>
                <w:rFonts w:hint="eastAsia" w:ascii="宋体" w:hAnsi="宋体" w:cs="宋体"/>
              </w:rPr>
            </w:pPr>
          </w:p>
        </w:tc>
        <w:tc>
          <w:tcPr>
            <w:tcW w:w="2940" w:type="dxa"/>
            <w:vAlign w:val="center"/>
          </w:tcPr>
          <w:p w14:paraId="7A53A553">
            <w:pPr>
              <w:spacing w:line="276" w:lineRule="auto"/>
              <w:rPr>
                <w:rFonts w:hint="eastAsia" w:ascii="宋体" w:hAnsi="宋体" w:cs="宋体"/>
              </w:rPr>
            </w:pPr>
          </w:p>
        </w:tc>
      </w:tr>
      <w:tr w14:paraId="2844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CB03B3C">
            <w:pPr>
              <w:widowControl/>
              <w:spacing w:line="276" w:lineRule="auto"/>
              <w:rPr>
                <w:rFonts w:hint="eastAsia" w:ascii="宋体" w:hAnsi="宋体" w:cs="宋体"/>
              </w:rPr>
            </w:pPr>
            <w:r>
              <w:rPr>
                <w:rFonts w:hint="eastAsia" w:ascii="宋体" w:hAnsi="宋体" w:cs="宋体"/>
              </w:rPr>
              <w:t>2.18 计量单位</w:t>
            </w:r>
          </w:p>
        </w:tc>
        <w:tc>
          <w:tcPr>
            <w:tcW w:w="1905" w:type="dxa"/>
            <w:vAlign w:val="center"/>
          </w:tcPr>
          <w:p w14:paraId="5AB76DEF">
            <w:pPr>
              <w:spacing w:line="276" w:lineRule="auto"/>
              <w:rPr>
                <w:rFonts w:hint="eastAsia" w:ascii="宋体" w:hAnsi="宋体" w:cs="宋体"/>
              </w:rPr>
            </w:pPr>
          </w:p>
        </w:tc>
        <w:tc>
          <w:tcPr>
            <w:tcW w:w="2940" w:type="dxa"/>
            <w:vAlign w:val="center"/>
          </w:tcPr>
          <w:p w14:paraId="3136D859">
            <w:pPr>
              <w:spacing w:line="276" w:lineRule="auto"/>
              <w:rPr>
                <w:rFonts w:hint="eastAsia" w:ascii="宋体" w:hAnsi="宋体" w:cs="宋体"/>
              </w:rPr>
            </w:pPr>
          </w:p>
        </w:tc>
      </w:tr>
      <w:tr w14:paraId="73AA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209C64F">
            <w:pPr>
              <w:widowControl/>
              <w:spacing w:line="276" w:lineRule="auto"/>
              <w:rPr>
                <w:rFonts w:hint="eastAsia" w:ascii="宋体" w:hAnsi="宋体" w:cs="宋体"/>
              </w:rPr>
            </w:pPr>
            <w:r>
              <w:rPr>
                <w:rFonts w:hint="eastAsia" w:ascii="宋体" w:hAnsi="宋体" w:cs="宋体"/>
              </w:rPr>
              <w:t>2.19 合同使用的文字和适用的法律</w:t>
            </w:r>
          </w:p>
        </w:tc>
        <w:tc>
          <w:tcPr>
            <w:tcW w:w="1905" w:type="dxa"/>
            <w:vAlign w:val="center"/>
          </w:tcPr>
          <w:p w14:paraId="770362B9">
            <w:pPr>
              <w:spacing w:line="276" w:lineRule="auto"/>
              <w:rPr>
                <w:rFonts w:hint="eastAsia" w:ascii="宋体" w:hAnsi="宋体" w:cs="宋体"/>
              </w:rPr>
            </w:pPr>
          </w:p>
        </w:tc>
        <w:tc>
          <w:tcPr>
            <w:tcW w:w="2940" w:type="dxa"/>
            <w:vAlign w:val="center"/>
          </w:tcPr>
          <w:p w14:paraId="303B40F0">
            <w:pPr>
              <w:spacing w:line="276" w:lineRule="auto"/>
              <w:rPr>
                <w:rFonts w:hint="eastAsia" w:ascii="宋体" w:hAnsi="宋体" w:cs="宋体"/>
              </w:rPr>
            </w:pPr>
          </w:p>
        </w:tc>
      </w:tr>
      <w:tr w14:paraId="6AF1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73ACFB4">
            <w:pPr>
              <w:widowControl/>
              <w:spacing w:line="276" w:lineRule="auto"/>
              <w:rPr>
                <w:rFonts w:hint="eastAsia" w:ascii="宋体" w:hAnsi="宋体" w:cs="宋体"/>
              </w:rPr>
            </w:pPr>
            <w:r>
              <w:rPr>
                <w:rFonts w:hint="eastAsia" w:ascii="宋体" w:hAnsi="宋体" w:cs="宋体"/>
              </w:rPr>
              <w:t>2.20 履约保证金</w:t>
            </w:r>
          </w:p>
        </w:tc>
        <w:tc>
          <w:tcPr>
            <w:tcW w:w="1905" w:type="dxa"/>
            <w:vAlign w:val="center"/>
          </w:tcPr>
          <w:p w14:paraId="77A46CF3">
            <w:pPr>
              <w:spacing w:line="276" w:lineRule="auto"/>
              <w:rPr>
                <w:rFonts w:hint="eastAsia" w:ascii="宋体" w:hAnsi="宋体" w:cs="宋体"/>
              </w:rPr>
            </w:pPr>
          </w:p>
        </w:tc>
        <w:tc>
          <w:tcPr>
            <w:tcW w:w="2940" w:type="dxa"/>
            <w:vAlign w:val="center"/>
          </w:tcPr>
          <w:p w14:paraId="03495CAD">
            <w:pPr>
              <w:spacing w:line="276" w:lineRule="auto"/>
              <w:rPr>
                <w:rFonts w:hint="eastAsia" w:ascii="宋体" w:hAnsi="宋体" w:cs="宋体"/>
              </w:rPr>
            </w:pPr>
          </w:p>
        </w:tc>
      </w:tr>
    </w:tbl>
    <w:p w14:paraId="364829BC">
      <w:pPr>
        <w:spacing w:line="440" w:lineRule="exact"/>
        <w:ind w:firstLine="240" w:firstLineChars="100"/>
        <w:rPr>
          <w:sz w:val="24"/>
          <w:szCs w:val="24"/>
        </w:rPr>
      </w:pPr>
      <w:r>
        <w:rPr>
          <w:sz w:val="24"/>
          <w:szCs w:val="24"/>
        </w:rPr>
        <w:t>注：1、投标人应据实、详细填写上述表格，因表述含糊导致的评标风险将由投标人承担。</w:t>
      </w:r>
    </w:p>
    <w:p w14:paraId="5478C703">
      <w:pPr>
        <w:spacing w:line="440" w:lineRule="exact"/>
        <w:ind w:firstLine="720" w:firstLineChars="300"/>
        <w:rPr>
          <w:sz w:val="24"/>
          <w:szCs w:val="24"/>
        </w:rPr>
      </w:pPr>
      <w:r>
        <w:rPr>
          <w:sz w:val="24"/>
          <w:szCs w:val="24"/>
        </w:rPr>
        <w:t>2、若无偏离，在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6B44BC4B">
      <w:pPr>
        <w:spacing w:line="440" w:lineRule="exact"/>
        <w:ind w:firstLine="723" w:firstLineChars="300"/>
        <w:rPr>
          <w:b/>
          <w:bCs/>
          <w:sz w:val="24"/>
          <w:szCs w:val="24"/>
        </w:rPr>
      </w:pPr>
      <w:r>
        <w:rPr>
          <w:b/>
          <w:bCs/>
          <w:sz w:val="24"/>
          <w:szCs w:val="24"/>
        </w:rPr>
        <w:t>3、</w:t>
      </w:r>
      <w:r>
        <w:rPr>
          <w:rFonts w:hint="eastAsia"/>
          <w:b/>
          <w:bCs/>
          <w:sz w:val="24"/>
          <w:szCs w:val="24"/>
        </w:rPr>
        <w:t>投标人如不能满足项目付款方式要求，按无效投标处理</w:t>
      </w:r>
      <w:r>
        <w:rPr>
          <w:b/>
          <w:bCs/>
          <w:sz w:val="24"/>
          <w:szCs w:val="24"/>
        </w:rPr>
        <w:t>。</w:t>
      </w:r>
    </w:p>
    <w:p w14:paraId="1D7997AC">
      <w:pPr>
        <w:ind w:firstLine="482"/>
        <w:rPr>
          <w:rFonts w:hint="eastAsia" w:ascii="宋体" w:hAnsi="宋体" w:cs="宋体"/>
          <w:b/>
          <w:sz w:val="24"/>
          <w:szCs w:val="24"/>
        </w:rPr>
      </w:pPr>
      <w:r>
        <w:rPr>
          <w:rFonts w:hint="eastAsia" w:ascii="宋体" w:hAnsi="宋体" w:cs="宋体"/>
          <w:b/>
          <w:sz w:val="24"/>
          <w:szCs w:val="24"/>
        </w:rPr>
        <w:br w:type="page" w:clear="all"/>
      </w:r>
    </w:p>
    <w:p w14:paraId="14793142">
      <w:pPr>
        <w:spacing w:line="440" w:lineRule="exact"/>
        <w:ind w:firstLine="482"/>
        <w:jc w:val="center"/>
        <w:outlineLvl w:val="1"/>
        <w:rPr>
          <w:rFonts w:hint="eastAsia" w:ascii="宋体" w:hAnsi="宋体" w:cs="宋体"/>
          <w:b/>
          <w:bCs/>
          <w:sz w:val="28"/>
          <w:szCs w:val="28"/>
        </w:rPr>
      </w:pPr>
      <w:bookmarkStart w:id="396" w:name="_Toc8796"/>
      <w:r>
        <w:rPr>
          <w:rFonts w:hint="eastAsia" w:ascii="宋体" w:hAnsi="宋体" w:cs="宋体"/>
          <w:b/>
          <w:bCs/>
          <w:sz w:val="28"/>
          <w:szCs w:val="28"/>
        </w:rPr>
        <w:t>附件10 具备履行合同所必需的人员和专业技术能力的书面声明</w:t>
      </w:r>
      <w:bookmarkEnd w:id="396"/>
    </w:p>
    <w:p w14:paraId="69D3A80D">
      <w:pPr>
        <w:spacing w:line="460" w:lineRule="exact"/>
        <w:ind w:firstLine="480"/>
        <w:rPr>
          <w:rFonts w:hint="eastAsia" w:ascii="宋体" w:hAnsi="宋体" w:cs="宋体"/>
          <w:bCs/>
          <w:sz w:val="24"/>
        </w:rPr>
      </w:pPr>
      <w:r>
        <w:rPr>
          <w:rFonts w:hint="eastAsia" w:ascii="宋体" w:hAnsi="宋体" w:cs="宋体"/>
          <w:bCs/>
          <w:sz w:val="24"/>
        </w:rPr>
        <w:t>我单位郑重声明：我单位具备履行本项采购合同所必需的人员和专业技术能力，为履行本项采购合同我公司具备如下主要人员和主要专业技术能力：</w:t>
      </w:r>
    </w:p>
    <w:p w14:paraId="0CE427AB">
      <w:pPr>
        <w:spacing w:line="460" w:lineRule="exact"/>
        <w:ind w:firstLine="480"/>
        <w:rPr>
          <w:rFonts w:hint="eastAsia" w:ascii="宋体" w:hAnsi="宋体" w:cs="宋体"/>
          <w:bCs/>
          <w:sz w:val="24"/>
        </w:rPr>
      </w:pPr>
      <w:r>
        <w:rPr>
          <w:rFonts w:hint="eastAsia" w:ascii="宋体" w:hAnsi="宋体" w:cs="宋体"/>
          <w:bCs/>
          <w:sz w:val="24"/>
        </w:rPr>
        <w:t>主要人员有：</w:t>
      </w:r>
      <w:r>
        <w:rPr>
          <w:rFonts w:hint="eastAsia" w:ascii="宋体" w:hAnsi="宋体" w:cs="宋体"/>
          <w:bCs/>
          <w:sz w:val="24"/>
          <w:u w:val="single"/>
        </w:rPr>
        <w:t xml:space="preserve">      </w:t>
      </w:r>
      <w:r>
        <w:rPr>
          <w:rFonts w:hint="eastAsia" w:ascii="宋体" w:hAnsi="宋体" w:cs="宋体"/>
          <w:bCs/>
          <w:sz w:val="24"/>
        </w:rPr>
        <w:t>。</w:t>
      </w:r>
    </w:p>
    <w:p w14:paraId="77B097B0">
      <w:pPr>
        <w:spacing w:line="460" w:lineRule="exact"/>
        <w:ind w:firstLine="480"/>
        <w:rPr>
          <w:rFonts w:hint="eastAsia" w:ascii="宋体" w:hAnsi="宋体" w:cs="宋体"/>
          <w:bCs/>
          <w:sz w:val="24"/>
        </w:rPr>
      </w:pPr>
      <w:r>
        <w:rPr>
          <w:rFonts w:hint="eastAsia" w:ascii="宋体" w:hAnsi="宋体" w:cs="宋体"/>
          <w:bCs/>
          <w:sz w:val="24"/>
        </w:rPr>
        <w:t>主要专业技术能力有：</w:t>
      </w:r>
      <w:r>
        <w:rPr>
          <w:rFonts w:hint="eastAsia" w:ascii="宋体" w:hAnsi="宋体" w:cs="宋体"/>
          <w:bCs/>
          <w:sz w:val="24"/>
          <w:u w:val="single"/>
        </w:rPr>
        <w:t xml:space="preserve">         </w:t>
      </w:r>
      <w:r>
        <w:rPr>
          <w:rFonts w:hint="eastAsia" w:ascii="宋体" w:hAnsi="宋体" w:cs="宋体"/>
          <w:bCs/>
          <w:sz w:val="24"/>
        </w:rPr>
        <w:t>。</w:t>
      </w:r>
    </w:p>
    <w:p w14:paraId="2F6B0552">
      <w:pPr>
        <w:ind w:left="480" w:firstLine="482"/>
        <w:jc w:val="center"/>
        <w:rPr>
          <w:rFonts w:hint="eastAsia" w:ascii="宋体" w:hAnsi="宋体" w:cs="宋体"/>
          <w:b/>
          <w:sz w:val="24"/>
        </w:rPr>
      </w:pPr>
    </w:p>
    <w:p w14:paraId="375137C6">
      <w:pPr>
        <w:spacing w:line="440" w:lineRule="exact"/>
        <w:ind w:firstLine="482"/>
        <w:jc w:val="center"/>
        <w:outlineLvl w:val="1"/>
        <w:rPr>
          <w:rFonts w:hint="eastAsia" w:ascii="宋体" w:hAnsi="宋体" w:cs="宋体"/>
          <w:b/>
          <w:bCs/>
          <w:sz w:val="28"/>
          <w:szCs w:val="28"/>
        </w:rPr>
      </w:pPr>
      <w:r>
        <w:rPr>
          <w:rFonts w:hint="eastAsia" w:ascii="宋体" w:hAnsi="宋体" w:cs="宋体"/>
          <w:b/>
          <w:sz w:val="24"/>
          <w:szCs w:val="24"/>
        </w:rPr>
        <w:br w:type="page" w:clear="all"/>
      </w:r>
      <w:bookmarkStart w:id="397" w:name="_Toc15759"/>
      <w:r>
        <w:rPr>
          <w:rFonts w:hint="eastAsia" w:ascii="宋体" w:hAnsi="宋体" w:cs="宋体"/>
          <w:b/>
          <w:bCs/>
          <w:sz w:val="28"/>
          <w:szCs w:val="28"/>
        </w:rPr>
        <w:t>附件11 参加政府采购活动前 3 年内在经营活动中没有重大违法记录的书面声明</w:t>
      </w:r>
      <w:bookmarkEnd w:id="397"/>
    </w:p>
    <w:p w14:paraId="62F04C6A">
      <w:pPr>
        <w:spacing w:line="460" w:lineRule="exact"/>
        <w:ind w:firstLine="482"/>
        <w:jc w:val="center"/>
        <w:rPr>
          <w:rFonts w:hint="eastAsia" w:ascii="宋体" w:hAnsi="宋体" w:cs="宋体"/>
          <w:b/>
          <w:bCs/>
          <w:sz w:val="24"/>
        </w:rPr>
      </w:pPr>
    </w:p>
    <w:p w14:paraId="5CFC5623">
      <w:pPr>
        <w:spacing w:line="460" w:lineRule="exact"/>
        <w:ind w:firstLine="482"/>
        <w:jc w:val="center"/>
        <w:rPr>
          <w:rFonts w:hint="eastAsia" w:ascii="宋体" w:hAnsi="宋体" w:cs="宋体"/>
          <w:b/>
          <w:bCs/>
          <w:sz w:val="24"/>
        </w:rPr>
      </w:pPr>
      <w:r>
        <w:rPr>
          <w:rFonts w:hint="eastAsia" w:ascii="宋体" w:hAnsi="宋体" w:cs="宋体"/>
          <w:b/>
          <w:bCs/>
          <w:sz w:val="24"/>
        </w:rPr>
        <w:t>声  明</w:t>
      </w:r>
    </w:p>
    <w:p w14:paraId="7B769498">
      <w:pPr>
        <w:spacing w:line="460" w:lineRule="exact"/>
        <w:ind w:firstLine="480"/>
        <w:rPr>
          <w:rFonts w:hint="eastAsia" w:ascii="宋体" w:hAnsi="宋体" w:cs="宋体"/>
          <w:bCs/>
          <w:sz w:val="24"/>
        </w:rPr>
      </w:pPr>
      <w:r>
        <w:rPr>
          <w:rFonts w:hint="eastAsia" w:ascii="宋体" w:hAnsi="宋体" w:cs="宋体"/>
          <w:bCs/>
          <w:sz w:val="24"/>
        </w:rPr>
        <w:t>我单位郑重声明：参加本次政府采购活动前 3 年内，我单位在经营活动中没有因违法经营受到刑事处罚或者责令停产停业、吊销许可证或者执照、较大数额罚款等行政处罚。</w:t>
      </w:r>
    </w:p>
    <w:p w14:paraId="420AB6E4">
      <w:pPr>
        <w:ind w:left="480" w:firstLine="482"/>
        <w:jc w:val="center"/>
        <w:rPr>
          <w:rFonts w:hint="eastAsia" w:ascii="宋体" w:hAnsi="宋体" w:cs="宋体"/>
          <w:b/>
          <w:sz w:val="24"/>
        </w:rPr>
      </w:pPr>
    </w:p>
    <w:p w14:paraId="1EA273AB">
      <w:pPr>
        <w:spacing w:line="460" w:lineRule="exact"/>
        <w:ind w:firstLine="482"/>
        <w:rPr>
          <w:rFonts w:hint="eastAsia" w:ascii="宋体" w:hAnsi="宋体" w:cs="宋体"/>
          <w:bCs/>
          <w:sz w:val="24"/>
          <w:szCs w:val="21"/>
        </w:rPr>
      </w:pPr>
      <w:r>
        <w:rPr>
          <w:rFonts w:hint="eastAsia" w:ascii="宋体" w:hAnsi="宋体" w:cs="宋体"/>
          <w:b/>
          <w:sz w:val="24"/>
          <w:szCs w:val="24"/>
        </w:rPr>
        <w:br w:type="page" w:clear="all"/>
      </w:r>
    </w:p>
    <w:p w14:paraId="7990858A">
      <w:pPr>
        <w:spacing w:line="440" w:lineRule="exact"/>
        <w:ind w:firstLine="562"/>
        <w:jc w:val="center"/>
        <w:outlineLvl w:val="1"/>
        <w:rPr>
          <w:rFonts w:hint="eastAsia" w:ascii="宋体" w:hAnsi="宋体" w:cs="宋体"/>
          <w:b/>
          <w:bCs/>
          <w:sz w:val="28"/>
          <w:szCs w:val="28"/>
        </w:rPr>
      </w:pPr>
      <w:bookmarkStart w:id="398" w:name="_Toc22138"/>
      <w:r>
        <w:rPr>
          <w:rFonts w:hint="eastAsia" w:ascii="宋体" w:hAnsi="宋体" w:cs="宋体"/>
          <w:b/>
          <w:bCs/>
          <w:sz w:val="28"/>
          <w:szCs w:val="28"/>
        </w:rPr>
        <w:t>附件12 法人授权书</w:t>
      </w:r>
      <w:bookmarkEnd w:id="398"/>
    </w:p>
    <w:p w14:paraId="6C95B3C1">
      <w:pPr>
        <w:tabs>
          <w:tab w:val="left" w:pos="360"/>
        </w:tabs>
        <w:spacing w:line="440" w:lineRule="exact"/>
        <w:ind w:firstLine="480"/>
        <w:rPr>
          <w:rFonts w:hint="eastAsia" w:ascii="宋体" w:hAnsi="宋体" w:cs="宋体"/>
          <w:sz w:val="24"/>
          <w:szCs w:val="24"/>
        </w:rPr>
      </w:pPr>
      <w:r>
        <w:rPr>
          <w:rFonts w:hint="eastAsia" w:ascii="宋体" w:hAnsi="宋体" w:cs="宋体"/>
          <w:sz w:val="24"/>
          <w:szCs w:val="24"/>
        </w:rPr>
        <w:t>本授权书声明：____________（投标人名称）授权________________（被授权人的姓名）为我方就</w:t>
      </w:r>
      <w:r>
        <w:rPr>
          <w:rFonts w:hint="eastAsia" w:ascii="宋体" w:hAnsi="宋体" w:cs="宋体"/>
          <w:sz w:val="24"/>
          <w:szCs w:val="24"/>
          <w:lang w:eastAsia="zh-CN"/>
        </w:rPr>
        <w:t>JSZC-320581-HXGW-G2024-0096</w:t>
      </w:r>
      <w:r>
        <w:rPr>
          <w:rFonts w:hint="eastAsia" w:ascii="宋体" w:hAnsi="宋体" w:cs="宋体"/>
          <w:sz w:val="24"/>
          <w:szCs w:val="24"/>
        </w:rPr>
        <w:t>号项目采购活动的合法代理人，以本单位名义全权处理一切与该项目采购有关的事务。</w:t>
      </w:r>
    </w:p>
    <w:p w14:paraId="2D17E70C">
      <w:pPr>
        <w:tabs>
          <w:tab w:val="left" w:pos="360"/>
        </w:tabs>
        <w:spacing w:line="440" w:lineRule="exact"/>
        <w:ind w:firstLine="480"/>
        <w:rPr>
          <w:rFonts w:hint="eastAsia" w:ascii="宋体" w:hAnsi="宋体" w:cs="宋体"/>
          <w:sz w:val="24"/>
          <w:szCs w:val="24"/>
        </w:rPr>
      </w:pPr>
      <w:r>
        <w:rPr>
          <w:rFonts w:hint="eastAsia" w:ascii="宋体" w:hAnsi="宋体" w:cs="宋体"/>
          <w:sz w:val="24"/>
          <w:szCs w:val="24"/>
        </w:rPr>
        <w:t>本授权书于</w:t>
      </w:r>
      <w:r>
        <w:rPr>
          <w:rFonts w:hint="eastAsia" w:ascii="宋体" w:hAnsi="宋体" w:cs="宋体"/>
          <w:sz w:val="24"/>
          <w:szCs w:val="24"/>
          <w:u w:val="single"/>
        </w:rPr>
        <w:t xml:space="preserve">2024 </w:t>
      </w:r>
      <w:r>
        <w:rPr>
          <w:rFonts w:hint="eastAsia" w:ascii="宋体" w:hAnsi="宋体" w:cs="宋体"/>
          <w:sz w:val="24"/>
          <w:szCs w:val="24"/>
        </w:rPr>
        <w:t>年____月____日起生效，特此声明。</w:t>
      </w:r>
    </w:p>
    <w:p w14:paraId="74B4ED24">
      <w:pPr>
        <w:tabs>
          <w:tab w:val="left" w:pos="360"/>
        </w:tabs>
        <w:spacing w:line="440" w:lineRule="exact"/>
        <w:ind w:firstLine="480"/>
        <w:rPr>
          <w:rFonts w:hint="eastAsia" w:ascii="宋体" w:hAnsi="宋体" w:cs="宋体"/>
          <w:sz w:val="24"/>
          <w:szCs w:val="24"/>
        </w:rPr>
      </w:pPr>
    </w:p>
    <w:p w14:paraId="0701EB6B">
      <w:pPr>
        <w:tabs>
          <w:tab w:val="left" w:pos="360"/>
        </w:tabs>
        <w:spacing w:line="440" w:lineRule="exact"/>
        <w:ind w:firstLine="480"/>
        <w:rPr>
          <w:rFonts w:hint="eastAsia" w:ascii="宋体" w:hAnsi="宋体" w:cs="宋体"/>
          <w:sz w:val="24"/>
          <w:szCs w:val="24"/>
        </w:rPr>
      </w:pPr>
    </w:p>
    <w:p w14:paraId="392653CB">
      <w:pPr>
        <w:tabs>
          <w:tab w:val="left" w:pos="360"/>
        </w:tabs>
        <w:spacing w:line="440" w:lineRule="exact"/>
        <w:ind w:firstLine="480"/>
        <w:rPr>
          <w:rFonts w:hint="eastAsia" w:ascii="宋体" w:hAnsi="宋体" w:cs="宋体"/>
          <w:sz w:val="24"/>
          <w:szCs w:val="24"/>
          <w:u w:val="single"/>
        </w:rPr>
      </w:pPr>
      <w:r>
        <w:rPr>
          <w:rFonts w:hint="eastAsia" w:ascii="宋体" w:hAnsi="宋体" w:cs="宋体"/>
          <w:sz w:val="24"/>
          <w:szCs w:val="24"/>
        </w:rPr>
        <w:t>被授权人身份证号码：</w:t>
      </w:r>
      <w:r>
        <w:rPr>
          <w:rFonts w:hint="eastAsia" w:ascii="宋体" w:hAnsi="宋体" w:cs="宋体"/>
          <w:sz w:val="24"/>
          <w:szCs w:val="24"/>
          <w:u w:val="single"/>
        </w:rPr>
        <w:t xml:space="preserve">                              </w:t>
      </w:r>
    </w:p>
    <w:p w14:paraId="232A0C59">
      <w:pPr>
        <w:tabs>
          <w:tab w:val="left" w:pos="360"/>
        </w:tabs>
        <w:spacing w:line="440" w:lineRule="exact"/>
        <w:ind w:firstLine="480"/>
        <w:rPr>
          <w:rFonts w:hint="eastAsia" w:ascii="宋体" w:hAnsi="宋体" w:cs="宋体"/>
          <w:sz w:val="24"/>
          <w:szCs w:val="24"/>
          <w:u w:val="single"/>
        </w:rPr>
      </w:pPr>
      <w:r>
        <w:rPr>
          <w:rFonts w:hint="eastAsia" w:ascii="宋体" w:hAnsi="宋体" w:cs="宋体"/>
          <w:sz w:val="24"/>
          <w:szCs w:val="24"/>
        </w:rPr>
        <w:t>被授权人联系电话：（手机）</w:t>
      </w:r>
      <w:r>
        <w:rPr>
          <w:rFonts w:hint="eastAsia" w:ascii="宋体" w:hAnsi="宋体" w:cs="宋体"/>
          <w:sz w:val="24"/>
          <w:szCs w:val="24"/>
          <w:u w:val="single"/>
        </w:rPr>
        <w:t xml:space="preserve">                          </w:t>
      </w:r>
    </w:p>
    <w:p w14:paraId="4207AE9D">
      <w:pPr>
        <w:tabs>
          <w:tab w:val="left" w:pos="360"/>
        </w:tabs>
        <w:spacing w:line="440" w:lineRule="exact"/>
        <w:ind w:firstLine="480"/>
        <w:rPr>
          <w:rFonts w:hint="eastAsia" w:ascii="宋体" w:hAnsi="宋体" w:cs="宋体"/>
          <w:sz w:val="24"/>
          <w:szCs w:val="24"/>
        </w:rPr>
      </w:pPr>
      <w:r>
        <w:rPr>
          <w:rFonts w:hint="eastAsia" w:ascii="宋体" w:hAnsi="宋体" w:cs="宋体"/>
          <w:sz w:val="24"/>
          <w:szCs w:val="24"/>
        </w:rPr>
        <w:t>授权单位名称：</w:t>
      </w:r>
      <w:r>
        <w:rPr>
          <w:rFonts w:hint="eastAsia" w:ascii="宋体" w:hAnsi="宋体" w:cs="宋体"/>
          <w:sz w:val="24"/>
          <w:szCs w:val="24"/>
          <w:u w:val="single"/>
        </w:rPr>
        <w:t>（加盖CA电子公章）</w:t>
      </w:r>
    </w:p>
    <w:p w14:paraId="32D9F159">
      <w:pPr>
        <w:tabs>
          <w:tab w:val="left" w:pos="360"/>
        </w:tabs>
        <w:spacing w:line="440" w:lineRule="exact"/>
        <w:ind w:firstLine="480"/>
        <w:rPr>
          <w:rFonts w:hint="eastAsia" w:ascii="宋体" w:hAnsi="宋体" w:cs="宋体"/>
          <w:sz w:val="24"/>
          <w:szCs w:val="24"/>
          <w:u w:val="single"/>
        </w:rPr>
      </w:pPr>
      <w:r>
        <w:rPr>
          <w:rFonts w:hint="eastAsia" w:ascii="宋体" w:hAnsi="宋体" w:cs="宋体"/>
          <w:sz w:val="24"/>
          <w:szCs w:val="24"/>
        </w:rPr>
        <w:t>单位地址：</w:t>
      </w:r>
      <w:r>
        <w:rPr>
          <w:rFonts w:hint="eastAsia" w:ascii="宋体" w:hAnsi="宋体" w:cs="宋体"/>
          <w:sz w:val="24"/>
          <w:szCs w:val="24"/>
          <w:u w:val="single"/>
        </w:rPr>
        <w:t xml:space="preserve">                                         </w:t>
      </w:r>
    </w:p>
    <w:p w14:paraId="05DAE755">
      <w:pPr>
        <w:tabs>
          <w:tab w:val="left" w:pos="360"/>
        </w:tabs>
        <w:spacing w:line="440" w:lineRule="exact"/>
        <w:ind w:firstLine="48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p>
    <w:p w14:paraId="70221FC1">
      <w:pPr>
        <w:spacing w:line="400" w:lineRule="exact"/>
        <w:ind w:firstLine="480"/>
        <w:rPr>
          <w:rFonts w:hint="eastAsia" w:ascii="宋体" w:hAnsi="宋体" w:cs="宋体"/>
          <w:sz w:val="24"/>
          <w:szCs w:val="24"/>
        </w:rPr>
      </w:pPr>
    </w:p>
    <w:p w14:paraId="7E4339E5">
      <w:pPr>
        <w:spacing w:line="400" w:lineRule="exact"/>
        <w:ind w:firstLine="480"/>
        <w:rPr>
          <w:rFonts w:hint="eastAsia" w:ascii="宋体" w:hAnsi="宋体" w:cs="宋体"/>
          <w:i/>
          <w:sz w:val="24"/>
          <w:szCs w:val="24"/>
          <w:u w:val="single"/>
        </w:rPr>
      </w:pPr>
      <w:r>
        <w:rPr>
          <w:rFonts w:hint="eastAsia" w:ascii="宋体" w:hAnsi="宋体" w:cs="宋体"/>
          <w:sz w:val="24"/>
          <w:szCs w:val="24"/>
        </w:rPr>
        <w:t>注：如法定代表人参加投标，“法人授权书”可不提供，但需提供法人代表人身份证正反面扫描件。</w:t>
      </w:r>
    </w:p>
    <w:p w14:paraId="3BB80463">
      <w:pPr>
        <w:spacing w:line="440" w:lineRule="exact"/>
        <w:ind w:firstLine="482"/>
        <w:jc w:val="center"/>
        <w:outlineLvl w:val="1"/>
        <w:rPr>
          <w:rFonts w:hint="eastAsia" w:ascii="宋体" w:hAnsi="宋体" w:cs="宋体"/>
          <w:b/>
          <w:bCs/>
          <w:sz w:val="28"/>
          <w:szCs w:val="28"/>
        </w:rPr>
      </w:pPr>
      <w:r>
        <w:rPr>
          <w:rFonts w:hint="eastAsia" w:ascii="宋体" w:hAnsi="宋体" w:cs="宋体"/>
          <w:b/>
          <w:sz w:val="24"/>
          <w:szCs w:val="44"/>
        </w:rPr>
        <w:br w:type="page" w:clear="all"/>
      </w:r>
      <w:bookmarkStart w:id="399" w:name="_Toc32287"/>
      <w:r>
        <w:rPr>
          <w:rFonts w:hint="eastAsia" w:ascii="宋体" w:hAnsi="宋体" w:cs="宋体"/>
          <w:b/>
          <w:bCs/>
          <w:sz w:val="28"/>
          <w:szCs w:val="28"/>
        </w:rPr>
        <w:t>附件13 中小企业声明函</w:t>
      </w:r>
      <w:bookmarkEnd w:id="399"/>
    </w:p>
    <w:p w14:paraId="231C2863">
      <w:pPr>
        <w:pStyle w:val="370"/>
        <w:widowControl/>
        <w:spacing w:line="460" w:lineRule="exact"/>
        <w:rPr>
          <w:rFonts w:hAnsi="宋体" w:eastAsia="宋体" w:cs="宋体"/>
          <w:sz w:val="24"/>
          <w:szCs w:val="24"/>
          <w:lang w:val="zh-CN"/>
        </w:rPr>
      </w:pPr>
      <w:r>
        <w:rPr>
          <w:rFonts w:hAnsi="宋体" w:eastAsia="宋体" w:cs="宋体"/>
          <w:sz w:val="24"/>
          <w:szCs w:val="24"/>
          <w:lang w:val="zh-CN"/>
        </w:rPr>
        <w:t>涵熙（苏州）工程顾问有限公司：</w:t>
      </w:r>
    </w:p>
    <w:p w14:paraId="70D3646B">
      <w:pPr>
        <w:spacing w:line="460" w:lineRule="exact"/>
        <w:ind w:firstLine="360" w:firstLineChars="150"/>
        <w:rPr>
          <w:rFonts w:hint="eastAsia" w:ascii="宋体" w:hAnsi="宋体" w:cs="宋体"/>
          <w:sz w:val="24"/>
          <w:szCs w:val="21"/>
        </w:rPr>
      </w:pPr>
      <w:bookmarkStart w:id="400" w:name="_Toc3097"/>
      <w:r>
        <w:rPr>
          <w:rFonts w:hint="eastAsia" w:ascii="宋体" w:hAnsi="宋体" w:cs="宋体"/>
          <w:kern w:val="2"/>
          <w:sz w:val="24"/>
          <w:szCs w:val="21"/>
          <w:lang w:bidi="ar"/>
        </w:rPr>
        <w:t>本公司郑重声明，根据《政府采购促进中小企业发展管理办法》（财库[2020]46号）的规定，本公司参加</w:t>
      </w:r>
      <w:r>
        <w:rPr>
          <w:rFonts w:hint="eastAsia" w:ascii="宋体" w:hAnsi="宋体" w:cs="宋体"/>
          <w:kern w:val="2"/>
          <w:sz w:val="24"/>
          <w:szCs w:val="21"/>
          <w:u w:val="single"/>
          <w:lang w:bidi="ar"/>
        </w:rPr>
        <w:t>常熟市农业农村局</w:t>
      </w:r>
      <w:r>
        <w:rPr>
          <w:rFonts w:hint="eastAsia" w:ascii="宋体" w:hAnsi="宋体" w:cs="宋体"/>
          <w:kern w:val="2"/>
          <w:sz w:val="24"/>
          <w:szCs w:val="21"/>
          <w:lang w:val="zh-CN" w:bidi="ar"/>
        </w:rPr>
        <w:t>的</w:t>
      </w:r>
      <w:r>
        <w:rPr>
          <w:rFonts w:hint="eastAsia" w:ascii="宋体" w:hAnsi="宋体" w:cs="宋体"/>
          <w:kern w:val="2"/>
          <w:sz w:val="24"/>
          <w:szCs w:val="21"/>
          <w:u w:val="single"/>
          <w:lang w:val="zh-CN" w:bidi="ar"/>
        </w:rPr>
        <w:t>2024年常熟市农业绿色发展监测项目（硬件设施建设）</w:t>
      </w:r>
      <w:r>
        <w:rPr>
          <w:rFonts w:hint="eastAsia" w:ascii="宋体" w:hAnsi="宋体" w:cs="宋体"/>
          <w:kern w:val="2"/>
          <w:sz w:val="24"/>
          <w:szCs w:val="21"/>
          <w:lang w:bidi="ar"/>
        </w:rPr>
        <w:t>采购活动，提供的货物全部由符合政策要求的中小企业制造。相关企业的具体情况如下：</w:t>
      </w:r>
    </w:p>
    <w:p w14:paraId="7B46DE33">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u w:val="none"/>
          <w:lang w:val="en-US" w:eastAsia="zh-CN" w:bidi="ar"/>
        </w:rPr>
        <w:t>1、</w:t>
      </w:r>
      <w:r>
        <w:rPr>
          <w:rFonts w:hint="eastAsia" w:ascii="宋体" w:hAnsi="宋体" w:cs="宋体"/>
          <w:sz w:val="24"/>
          <w:szCs w:val="24"/>
          <w:u w:val="single"/>
          <w:lang w:val="en-US" w:eastAsia="zh-CN" w:bidi="ar"/>
        </w:rPr>
        <w:t xml:space="preserve"> </w:t>
      </w:r>
      <w:r>
        <w:rPr>
          <w:rFonts w:hint="eastAsia" w:ascii="宋体" w:hAnsi="宋体" w:cs="宋体"/>
          <w:sz w:val="24"/>
          <w:szCs w:val="24"/>
          <w:u w:val="single"/>
          <w:lang w:bidi="ar"/>
        </w:rPr>
        <w:t>五参数水质自动分析仪</w:t>
      </w:r>
      <w:r>
        <w:rPr>
          <w:rFonts w:hint="eastAsia" w:ascii="宋体" w:hAnsi="宋体" w:cs="宋体"/>
          <w:sz w:val="24"/>
          <w:szCs w:val="24"/>
          <w:lang w:val="zh-CN" w:bidi="ar"/>
        </w:rPr>
        <w:t>，</w:t>
      </w:r>
      <w:r>
        <w:rPr>
          <w:rFonts w:hint="eastAsia" w:ascii="宋体" w:hAnsi="宋体" w:cs="宋体"/>
          <w:sz w:val="24"/>
          <w:szCs w:val="24"/>
          <w:lang w:bidi="ar"/>
        </w:rPr>
        <w:t>属于</w:t>
      </w:r>
      <w:r>
        <w:rPr>
          <w:rFonts w:hint="eastAsia" w:ascii="宋体" w:hAnsi="宋体" w:cs="宋体"/>
          <w:sz w:val="24"/>
          <w:szCs w:val="24"/>
          <w:u w:val="single"/>
          <w:lang w:bidi="ar"/>
        </w:rPr>
        <w:t>工业</w:t>
      </w:r>
      <w:r>
        <w:rPr>
          <w:rFonts w:hint="eastAsia" w:ascii="宋体" w:hAnsi="宋体" w:cs="宋体"/>
          <w:sz w:val="24"/>
          <w:szCs w:val="24"/>
          <w:lang w:bidi="ar"/>
        </w:rPr>
        <w:t>；制造商为</w:t>
      </w:r>
      <w:r>
        <w:rPr>
          <w:rFonts w:hint="eastAsia" w:ascii="宋体" w:hAnsi="宋体" w:cs="宋体"/>
          <w:sz w:val="24"/>
          <w:szCs w:val="24"/>
          <w:u w:val="single"/>
          <w:lang w:bidi="ar"/>
        </w:rPr>
        <w:t>（企业名称）</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5D55E76D">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bidi="ar"/>
        </w:rPr>
        <w:t>2、</w:t>
      </w:r>
      <w:r>
        <w:rPr>
          <w:rFonts w:hint="eastAsia" w:ascii="宋体" w:hAnsi="宋体" w:cs="宋体"/>
          <w:sz w:val="24"/>
          <w:szCs w:val="24"/>
          <w:u w:val="single"/>
          <w:lang w:bidi="ar"/>
        </w:rPr>
        <w:t xml:space="preserve"> 氨氮水质自动分析仪 </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1ABB9D13">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bidi="ar"/>
        </w:rPr>
        <w:t>3、</w:t>
      </w:r>
      <w:r>
        <w:rPr>
          <w:rFonts w:hint="eastAsia" w:ascii="宋体" w:hAnsi="宋体" w:cs="宋体"/>
          <w:sz w:val="24"/>
          <w:szCs w:val="24"/>
          <w:u w:val="single"/>
          <w:lang w:bidi="ar"/>
        </w:rPr>
        <w:t xml:space="preserve"> 总氮水质自动分析仪</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06CF506E">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4</w:t>
      </w:r>
      <w:r>
        <w:rPr>
          <w:rFonts w:hint="eastAsia" w:ascii="宋体" w:hAnsi="宋体" w:cs="宋体"/>
          <w:sz w:val="24"/>
          <w:szCs w:val="24"/>
          <w:lang w:bidi="ar"/>
        </w:rPr>
        <w:t>、</w:t>
      </w:r>
      <w:r>
        <w:rPr>
          <w:rFonts w:hint="eastAsia" w:ascii="宋体" w:hAnsi="宋体" w:cs="宋体"/>
          <w:sz w:val="24"/>
          <w:szCs w:val="24"/>
          <w:u w:val="single"/>
          <w:lang w:bidi="ar"/>
        </w:rPr>
        <w:t xml:space="preserve"> 总磷水质自动分析仪</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5212BAFC">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5</w:t>
      </w:r>
      <w:r>
        <w:rPr>
          <w:rFonts w:hint="eastAsia" w:ascii="宋体" w:hAnsi="宋体" w:cs="宋体"/>
          <w:sz w:val="24"/>
          <w:szCs w:val="24"/>
          <w:lang w:bidi="ar"/>
        </w:rPr>
        <w:t>、</w:t>
      </w:r>
      <w:r>
        <w:rPr>
          <w:rFonts w:hint="eastAsia" w:ascii="宋体" w:hAnsi="宋体" w:cs="宋体"/>
          <w:sz w:val="24"/>
          <w:szCs w:val="24"/>
          <w:u w:val="single"/>
          <w:lang w:bidi="ar"/>
        </w:rPr>
        <w:t xml:space="preserve"> 高锰酸盐指数分析仪</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51B09F93">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6</w:t>
      </w:r>
      <w:r>
        <w:rPr>
          <w:rFonts w:hint="eastAsia" w:ascii="宋体" w:hAnsi="宋体" w:cs="宋体"/>
          <w:sz w:val="24"/>
          <w:szCs w:val="24"/>
          <w:lang w:bidi="ar"/>
        </w:rPr>
        <w:t>、</w:t>
      </w:r>
      <w:r>
        <w:rPr>
          <w:rFonts w:hint="eastAsia" w:ascii="宋体" w:hAnsi="宋体" w:cs="宋体"/>
          <w:sz w:val="24"/>
          <w:szCs w:val="24"/>
          <w:u w:val="single"/>
          <w:lang w:bidi="ar"/>
        </w:rPr>
        <w:t xml:space="preserve"> 采配水单元</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5E3CBBDB">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7</w:t>
      </w:r>
      <w:r>
        <w:rPr>
          <w:rFonts w:hint="eastAsia" w:ascii="宋体" w:hAnsi="宋体" w:cs="宋体"/>
          <w:sz w:val="24"/>
          <w:szCs w:val="24"/>
          <w:lang w:bidi="ar"/>
        </w:rPr>
        <w:t>、</w:t>
      </w:r>
      <w:r>
        <w:rPr>
          <w:rFonts w:hint="eastAsia" w:ascii="宋体" w:hAnsi="宋体" w:cs="宋体"/>
          <w:sz w:val="24"/>
          <w:szCs w:val="24"/>
          <w:u w:val="single"/>
          <w:lang w:bidi="ar"/>
        </w:rPr>
        <w:t xml:space="preserve"> 预处理单元</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2093ACAF">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8</w:t>
      </w:r>
      <w:r>
        <w:rPr>
          <w:rFonts w:hint="eastAsia" w:ascii="宋体" w:hAnsi="宋体" w:cs="宋体"/>
          <w:sz w:val="24"/>
          <w:szCs w:val="24"/>
          <w:lang w:bidi="ar"/>
        </w:rPr>
        <w:t>、</w:t>
      </w:r>
      <w:r>
        <w:rPr>
          <w:rFonts w:hint="eastAsia" w:ascii="宋体" w:hAnsi="宋体" w:cs="宋体"/>
          <w:sz w:val="24"/>
          <w:szCs w:val="24"/>
          <w:u w:val="single"/>
          <w:lang w:bidi="ar"/>
        </w:rPr>
        <w:t xml:space="preserve"> 系统控制单元</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326EB835">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9</w:t>
      </w:r>
      <w:r>
        <w:rPr>
          <w:rFonts w:hint="eastAsia" w:ascii="宋体" w:hAnsi="宋体" w:cs="宋体"/>
          <w:sz w:val="24"/>
          <w:szCs w:val="24"/>
          <w:lang w:bidi="ar"/>
        </w:rPr>
        <w:t>、</w:t>
      </w:r>
      <w:r>
        <w:rPr>
          <w:rFonts w:hint="eastAsia" w:ascii="宋体" w:hAnsi="宋体" w:cs="宋体"/>
          <w:sz w:val="24"/>
          <w:szCs w:val="24"/>
          <w:u w:val="single"/>
          <w:lang w:bidi="ar"/>
        </w:rPr>
        <w:t xml:space="preserve"> 微型水站机柜</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4B418154">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10</w:t>
      </w:r>
      <w:r>
        <w:rPr>
          <w:rFonts w:hint="eastAsia" w:ascii="宋体" w:hAnsi="宋体" w:cs="宋体"/>
          <w:sz w:val="24"/>
          <w:szCs w:val="24"/>
          <w:lang w:bidi="ar"/>
        </w:rPr>
        <w:t>、</w:t>
      </w:r>
      <w:r>
        <w:rPr>
          <w:rFonts w:hint="eastAsia" w:ascii="宋体" w:hAnsi="宋体" w:cs="宋体"/>
          <w:sz w:val="24"/>
          <w:szCs w:val="24"/>
          <w:u w:val="single"/>
          <w:lang w:bidi="ar"/>
        </w:rPr>
        <w:t xml:space="preserve"> 视频监控</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2917527F">
      <w:pPr>
        <w:widowControl/>
        <w:wordWrap w:val="0"/>
        <w:spacing w:line="460" w:lineRule="exact"/>
        <w:ind w:firstLine="480" w:firstLineChars="200"/>
        <w:jc w:val="left"/>
        <w:rPr>
          <w:rFonts w:hint="eastAsia" w:ascii="宋体" w:hAnsi="宋体" w:cs="宋体"/>
          <w:sz w:val="24"/>
          <w:szCs w:val="24"/>
        </w:rPr>
      </w:pPr>
      <w:r>
        <w:rPr>
          <w:rFonts w:hint="eastAsia" w:ascii="宋体" w:hAnsi="宋体" w:cs="宋体"/>
          <w:sz w:val="24"/>
          <w:szCs w:val="24"/>
          <w:lang w:val="en-US" w:eastAsia="zh-CN" w:bidi="ar"/>
        </w:rPr>
        <w:t>11</w:t>
      </w:r>
      <w:r>
        <w:rPr>
          <w:rFonts w:hint="eastAsia" w:ascii="宋体" w:hAnsi="宋体" w:cs="宋体"/>
          <w:sz w:val="24"/>
          <w:szCs w:val="24"/>
          <w:lang w:bidi="ar"/>
        </w:rPr>
        <w:t>、</w:t>
      </w:r>
      <w:r>
        <w:rPr>
          <w:rFonts w:hint="eastAsia" w:ascii="宋体" w:hAnsi="宋体" w:cs="宋体"/>
          <w:sz w:val="24"/>
          <w:szCs w:val="24"/>
          <w:u w:val="single"/>
          <w:lang w:bidi="ar"/>
        </w:rPr>
        <w:t xml:space="preserve"> 流量计</w:t>
      </w:r>
      <w:r>
        <w:rPr>
          <w:rFonts w:hint="eastAsia" w:ascii="宋体" w:hAnsi="宋体" w:cs="宋体"/>
          <w:sz w:val="24"/>
          <w:szCs w:val="24"/>
          <w:lang w:val="zh-CN" w:bidi="ar"/>
        </w:rPr>
        <w:t>，属于</w:t>
      </w:r>
      <w:r>
        <w:rPr>
          <w:rFonts w:hint="eastAsia" w:ascii="宋体" w:hAnsi="宋体" w:cs="宋体"/>
          <w:sz w:val="24"/>
          <w:szCs w:val="24"/>
          <w:u w:val="single"/>
          <w:lang w:bidi="ar"/>
        </w:rPr>
        <w:t>工</w:t>
      </w:r>
      <w:r>
        <w:rPr>
          <w:rFonts w:hint="eastAsia" w:ascii="宋体" w:hAnsi="宋体" w:cs="宋体"/>
          <w:sz w:val="24"/>
          <w:szCs w:val="24"/>
          <w:u w:val="single"/>
          <w:lang w:val="zh-CN" w:bidi="ar"/>
        </w:rPr>
        <w:t>业</w:t>
      </w:r>
      <w:r>
        <w:rPr>
          <w:rFonts w:hint="eastAsia" w:ascii="宋体" w:hAnsi="宋体" w:cs="宋体"/>
          <w:sz w:val="24"/>
          <w:szCs w:val="24"/>
          <w:lang w:val="zh-CN" w:bidi="ar"/>
        </w:rPr>
        <w:t>；制造商为</w:t>
      </w:r>
      <w:r>
        <w:rPr>
          <w:rFonts w:hint="eastAsia" w:ascii="宋体" w:hAnsi="宋体" w:cs="宋体"/>
          <w:sz w:val="24"/>
          <w:szCs w:val="24"/>
          <w:u w:val="single"/>
          <w:lang w:val="zh-CN" w:bidi="ar"/>
        </w:rPr>
        <w:t>（企业名称）</w:t>
      </w:r>
      <w:r>
        <w:rPr>
          <w:rFonts w:hint="eastAsia" w:ascii="宋体" w:hAnsi="宋体" w:cs="宋体"/>
          <w:sz w:val="24"/>
          <w:szCs w:val="24"/>
          <w:lang w:val="zh-CN" w:bidi="ar"/>
        </w:rPr>
        <w:t>，</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万元，属于</w:t>
      </w:r>
      <w:r>
        <w:rPr>
          <w:rFonts w:hint="eastAsia" w:ascii="宋体" w:hAnsi="宋体" w:cs="宋体"/>
          <w:sz w:val="24"/>
          <w:szCs w:val="24"/>
          <w:u w:val="single"/>
          <w:lang w:bidi="ar"/>
        </w:rPr>
        <w:t>（中型企业、小型企业、微型企业）</w:t>
      </w:r>
      <w:r>
        <w:rPr>
          <w:rFonts w:hint="eastAsia" w:ascii="宋体" w:hAnsi="宋体" w:cs="宋体"/>
          <w:sz w:val="24"/>
          <w:szCs w:val="24"/>
          <w:lang w:bidi="ar"/>
        </w:rPr>
        <w:t>；</w:t>
      </w:r>
    </w:p>
    <w:p w14:paraId="68643B9A">
      <w:pPr>
        <w:widowControl/>
        <w:wordWrap w:val="0"/>
        <w:spacing w:line="360" w:lineRule="auto"/>
        <w:ind w:firstLine="482" w:firstLineChars="200"/>
        <w:jc w:val="left"/>
        <w:rPr>
          <w:rFonts w:hint="eastAsia" w:ascii="宋体" w:hAnsi="宋体" w:cs="宋体"/>
          <w:b/>
          <w:sz w:val="24"/>
          <w:szCs w:val="24"/>
        </w:rPr>
      </w:pPr>
      <w:r>
        <w:rPr>
          <w:rFonts w:hint="eastAsia" w:ascii="宋体" w:hAnsi="宋体" w:cs="宋体"/>
          <w:b/>
          <w:sz w:val="24"/>
          <w:szCs w:val="24"/>
          <w:lang w:bidi="ar"/>
        </w:rPr>
        <w:t>……</w:t>
      </w:r>
    </w:p>
    <w:p w14:paraId="1602AFC6">
      <w:pPr>
        <w:widowControl/>
        <w:wordWrap w:val="0"/>
        <w:spacing w:line="400" w:lineRule="exact"/>
        <w:ind w:firstLine="482" w:firstLineChars="200"/>
        <w:jc w:val="left"/>
        <w:rPr>
          <w:rFonts w:hint="eastAsia" w:ascii="宋体" w:hAnsi="宋体" w:cs="宋体"/>
          <w:b/>
          <w:sz w:val="24"/>
          <w:szCs w:val="24"/>
        </w:rPr>
      </w:pPr>
      <w:r>
        <w:rPr>
          <w:rFonts w:hint="eastAsia" w:ascii="宋体" w:hAnsi="宋体" w:cs="宋体"/>
          <w:b/>
          <w:sz w:val="24"/>
          <w:szCs w:val="24"/>
          <w:lang w:bidi="ar"/>
        </w:rPr>
        <w:t>以上企业，不属于大企业的分支机构，不存在控股股东为大企业的情形，也不存在与大企业的负责人为同一人的情形。</w:t>
      </w:r>
    </w:p>
    <w:p w14:paraId="43BA37FD">
      <w:pPr>
        <w:autoSpaceDE w:val="0"/>
        <w:autoSpaceDN w:val="0"/>
        <w:adjustRightInd w:val="0"/>
        <w:spacing w:line="460" w:lineRule="exact"/>
        <w:ind w:firstLine="600" w:firstLineChars="250"/>
        <w:rPr>
          <w:rFonts w:hint="eastAsia" w:ascii="宋体" w:hAnsi="宋体" w:cs="宋体"/>
          <w:sz w:val="24"/>
          <w:szCs w:val="24"/>
        </w:rPr>
      </w:pPr>
      <w:r>
        <w:rPr>
          <w:rFonts w:hint="eastAsia" w:ascii="宋体" w:hAnsi="宋体" w:cs="宋体"/>
          <w:sz w:val="24"/>
          <w:szCs w:val="24"/>
          <w:lang w:bidi="ar"/>
        </w:rPr>
        <w:t>本企业对上述声明内容的真实性负责。如有虚假，将依法承担相应责任。</w:t>
      </w:r>
    </w:p>
    <w:p w14:paraId="2B18E6AE">
      <w:pPr>
        <w:spacing w:line="300" w:lineRule="exact"/>
        <w:ind w:firstLine="5760" w:firstLineChars="2400"/>
        <w:rPr>
          <w:rFonts w:hint="eastAsia" w:ascii="宋体" w:hAnsi="宋体" w:cs="宋体"/>
          <w:kern w:val="2"/>
          <w:sz w:val="24"/>
          <w:szCs w:val="20"/>
          <w:lang w:bidi="ar"/>
        </w:rPr>
      </w:pPr>
    </w:p>
    <w:p w14:paraId="0067CDF0">
      <w:pPr>
        <w:spacing w:line="300" w:lineRule="exact"/>
        <w:ind w:firstLine="5760" w:firstLineChars="2400"/>
        <w:rPr>
          <w:rFonts w:hint="eastAsia" w:ascii="宋体" w:hAnsi="宋体" w:cs="宋体"/>
          <w:sz w:val="24"/>
          <w:szCs w:val="20"/>
        </w:rPr>
      </w:pPr>
      <w:r>
        <w:rPr>
          <w:rFonts w:hint="eastAsia" w:ascii="宋体" w:hAnsi="宋体" w:cs="宋体"/>
          <w:kern w:val="2"/>
          <w:sz w:val="24"/>
          <w:szCs w:val="20"/>
          <w:lang w:bidi="ar"/>
        </w:rPr>
        <w:t>企业名称：</w:t>
      </w:r>
    </w:p>
    <w:p w14:paraId="4DA47EC8">
      <w:pPr>
        <w:spacing w:line="460" w:lineRule="exact"/>
        <w:rPr>
          <w:rFonts w:hint="eastAsia" w:ascii="宋体" w:hAnsi="宋体" w:cs="宋体"/>
          <w:sz w:val="24"/>
          <w:szCs w:val="20"/>
        </w:rPr>
      </w:pPr>
      <w:r>
        <w:rPr>
          <w:rFonts w:hint="eastAsia" w:ascii="宋体" w:hAnsi="宋体" w:cs="宋体"/>
          <w:kern w:val="2"/>
          <w:sz w:val="24"/>
          <w:szCs w:val="20"/>
          <w:lang w:bidi="ar"/>
        </w:rPr>
        <w:t xml:space="preserve">                                                日  期：</w:t>
      </w:r>
    </w:p>
    <w:p w14:paraId="17CE5C22">
      <w:pPr>
        <w:autoSpaceDE w:val="0"/>
        <w:autoSpaceDN w:val="0"/>
        <w:adjustRightInd w:val="0"/>
        <w:spacing w:line="460" w:lineRule="exact"/>
        <w:rPr>
          <w:rFonts w:hint="eastAsia" w:ascii="宋体" w:hAnsi="宋体" w:cs="宋体"/>
          <w:kern w:val="2"/>
          <w:sz w:val="24"/>
          <w:szCs w:val="24"/>
          <w:lang w:val="zh-CN" w:bidi="ar"/>
        </w:rPr>
      </w:pPr>
    </w:p>
    <w:p w14:paraId="34D8D9CF">
      <w:pPr>
        <w:autoSpaceDE w:val="0"/>
        <w:autoSpaceDN w:val="0"/>
        <w:adjustRightInd w:val="0"/>
        <w:spacing w:line="460" w:lineRule="exact"/>
        <w:rPr>
          <w:rFonts w:hint="eastAsia" w:ascii="宋体" w:hAnsi="宋体" w:cs="宋体"/>
          <w:sz w:val="24"/>
          <w:szCs w:val="24"/>
          <w:lang w:val="zh-CN"/>
        </w:rPr>
      </w:pPr>
      <w:r>
        <w:rPr>
          <w:rFonts w:hint="eastAsia" w:ascii="宋体" w:hAnsi="宋体" w:cs="宋体"/>
          <w:kern w:val="2"/>
          <w:sz w:val="24"/>
          <w:szCs w:val="24"/>
          <w:lang w:val="zh-CN" w:bidi="ar"/>
        </w:rPr>
        <w:t>备注：</w:t>
      </w:r>
    </w:p>
    <w:bookmarkEnd w:id="400"/>
    <w:p w14:paraId="5E096966">
      <w:pPr>
        <w:autoSpaceDE w:val="0"/>
        <w:autoSpaceDN w:val="0"/>
        <w:adjustRightInd w:val="0"/>
        <w:spacing w:line="460" w:lineRule="exact"/>
        <w:ind w:firstLine="600" w:firstLineChars="250"/>
        <w:rPr>
          <w:rFonts w:hint="eastAsia" w:ascii="宋体" w:hAnsi="宋体" w:cs="宋体"/>
          <w:sz w:val="24"/>
          <w:szCs w:val="24"/>
          <w:lang w:val="zh-CN"/>
        </w:rPr>
      </w:pPr>
      <w:r>
        <w:rPr>
          <w:rFonts w:hint="eastAsia" w:ascii="宋体" w:hAnsi="宋体" w:cs="宋体"/>
          <w:kern w:val="2"/>
          <w:sz w:val="24"/>
          <w:szCs w:val="24"/>
          <w:lang w:val="zh-CN" w:bidi="ar"/>
        </w:rPr>
        <w:t>1、中小企业的认定：</w:t>
      </w:r>
    </w:p>
    <w:p w14:paraId="3A752B6D">
      <w:pPr>
        <w:autoSpaceDE w:val="0"/>
        <w:autoSpaceDN w:val="0"/>
        <w:adjustRightInd w:val="0"/>
        <w:spacing w:line="460" w:lineRule="exact"/>
        <w:ind w:firstLine="843" w:firstLineChars="350"/>
        <w:rPr>
          <w:rFonts w:hint="eastAsia" w:ascii="宋体" w:hAnsi="宋体" w:cs="宋体"/>
          <w:b/>
          <w:sz w:val="24"/>
          <w:szCs w:val="24"/>
          <w:lang w:val="zh-CN"/>
        </w:rPr>
      </w:pPr>
      <w:r>
        <w:rPr>
          <w:rFonts w:hint="eastAsia" w:ascii="宋体" w:hAnsi="宋体" w:cs="宋体"/>
          <w:b/>
          <w:kern w:val="2"/>
          <w:sz w:val="24"/>
          <w:szCs w:val="24"/>
          <w:lang w:bidi="ar"/>
        </w:rPr>
        <w:t>1.1请投标人在投标文件中提供中小企业声明函</w:t>
      </w:r>
      <w:r>
        <w:rPr>
          <w:rFonts w:hint="eastAsia" w:ascii="宋体" w:hAnsi="宋体" w:cs="宋体"/>
          <w:b/>
          <w:kern w:val="2"/>
          <w:sz w:val="24"/>
          <w:lang w:bidi="ar"/>
        </w:rPr>
        <w:t>。未按</w:t>
      </w:r>
      <w:r>
        <w:rPr>
          <w:rFonts w:hint="eastAsia" w:ascii="宋体" w:hAnsi="宋体" w:cs="宋体"/>
          <w:b/>
          <w:kern w:val="2"/>
          <w:sz w:val="24"/>
          <w:szCs w:val="24"/>
          <w:lang w:bidi="ar"/>
        </w:rPr>
        <w:t>招标</w:t>
      </w:r>
      <w:r>
        <w:rPr>
          <w:rFonts w:hint="eastAsia" w:ascii="宋体" w:hAnsi="宋体" w:cs="宋体"/>
          <w:b/>
          <w:kern w:val="2"/>
          <w:sz w:val="24"/>
          <w:lang w:bidi="ar"/>
        </w:rPr>
        <w:t>文件的规定在</w:t>
      </w:r>
      <w:r>
        <w:rPr>
          <w:rFonts w:hint="eastAsia" w:ascii="宋体" w:hAnsi="宋体" w:cs="宋体"/>
          <w:b/>
          <w:kern w:val="2"/>
          <w:sz w:val="24"/>
          <w:szCs w:val="24"/>
          <w:lang w:bidi="ar"/>
        </w:rPr>
        <w:t>投标文件</w:t>
      </w:r>
      <w:r>
        <w:rPr>
          <w:rFonts w:hint="eastAsia" w:ascii="宋体" w:hAnsi="宋体" w:cs="宋体"/>
          <w:b/>
          <w:kern w:val="2"/>
          <w:sz w:val="24"/>
          <w:lang w:bidi="ar"/>
        </w:rPr>
        <w:t>中</w:t>
      </w:r>
      <w:r>
        <w:rPr>
          <w:rFonts w:hint="eastAsia" w:ascii="宋体" w:hAnsi="宋体" w:cs="宋体"/>
          <w:b/>
          <w:kern w:val="2"/>
          <w:sz w:val="24"/>
          <w:szCs w:val="24"/>
          <w:lang w:bidi="ar"/>
        </w:rPr>
        <w:t>提供有效的中小企业声明函的，不享受促进</w:t>
      </w:r>
      <w:r>
        <w:rPr>
          <w:rFonts w:hint="eastAsia" w:ascii="宋体" w:hAnsi="宋体" w:cs="宋体"/>
          <w:b/>
          <w:kern w:val="2"/>
          <w:sz w:val="24"/>
          <w:szCs w:val="24"/>
          <w:lang w:val="zh-CN" w:bidi="ar"/>
        </w:rPr>
        <w:t>中小企业</w:t>
      </w:r>
      <w:r>
        <w:rPr>
          <w:rFonts w:hint="eastAsia" w:ascii="宋体" w:hAnsi="宋体" w:cs="宋体"/>
          <w:b/>
          <w:kern w:val="2"/>
          <w:sz w:val="24"/>
          <w:szCs w:val="24"/>
          <w:lang w:bidi="ar"/>
        </w:rPr>
        <w:t>发展的相关政府采购政策</w:t>
      </w:r>
      <w:r>
        <w:rPr>
          <w:rFonts w:hint="eastAsia" w:ascii="宋体" w:hAnsi="宋体" w:cs="宋体"/>
          <w:b/>
          <w:kern w:val="2"/>
          <w:sz w:val="24"/>
          <w:szCs w:val="24"/>
          <w:lang w:val="zh-CN" w:bidi="ar"/>
        </w:rPr>
        <w:t>。</w:t>
      </w:r>
    </w:p>
    <w:p w14:paraId="3B619BE3">
      <w:pPr>
        <w:autoSpaceDE w:val="0"/>
        <w:autoSpaceDN w:val="0"/>
        <w:adjustRightInd w:val="0"/>
        <w:spacing w:line="460" w:lineRule="exact"/>
        <w:ind w:firstLine="843" w:firstLineChars="350"/>
        <w:rPr>
          <w:rFonts w:hint="eastAsia" w:ascii="宋体" w:hAnsi="宋体" w:cs="宋体"/>
          <w:b/>
          <w:sz w:val="24"/>
          <w:szCs w:val="24"/>
        </w:rPr>
      </w:pPr>
      <w:r>
        <w:rPr>
          <w:rFonts w:hint="eastAsia" w:ascii="宋体" w:hAnsi="宋体" w:cs="宋体"/>
          <w:b/>
          <w:kern w:val="2"/>
          <w:sz w:val="24"/>
          <w:szCs w:val="24"/>
          <w:lang w:bidi="ar"/>
        </w:rPr>
        <w:t>1.2如未对上述声明函内（中型企业、小型企业、微型企业）进行勾选或明确，引起的评审风险由投标人自行承担。</w:t>
      </w:r>
    </w:p>
    <w:p w14:paraId="2BCF48DF">
      <w:pPr>
        <w:autoSpaceDE w:val="0"/>
        <w:autoSpaceDN w:val="0"/>
        <w:adjustRightInd w:val="0"/>
        <w:spacing w:line="460" w:lineRule="exact"/>
        <w:ind w:firstLine="843" w:firstLineChars="350"/>
        <w:rPr>
          <w:rFonts w:hint="eastAsia" w:ascii="宋体" w:hAnsi="宋体" w:cs="宋体"/>
          <w:b/>
          <w:sz w:val="24"/>
          <w:szCs w:val="24"/>
        </w:rPr>
      </w:pPr>
      <w:r>
        <w:rPr>
          <w:rFonts w:hint="eastAsia" w:ascii="宋体" w:hAnsi="宋体" w:cs="宋体"/>
          <w:b/>
          <w:kern w:val="2"/>
          <w:sz w:val="24"/>
          <w:szCs w:val="24"/>
          <w:lang w:bidi="ar"/>
        </w:rPr>
        <w:t>1.3</w:t>
      </w:r>
      <w:r>
        <w:rPr>
          <w:rFonts w:hint="eastAsia" w:ascii="宋体" w:hAnsi="宋体" w:cs="宋体"/>
          <w:b/>
          <w:kern w:val="2"/>
          <w:sz w:val="24"/>
          <w:szCs w:val="24"/>
          <w:lang w:val="zh-CN" w:bidi="ar"/>
        </w:rPr>
        <w:t>上述“中小企业声明函”格式原则上不得改动，因擅自改动引起的评审风险由投标人自行承担。</w:t>
      </w:r>
    </w:p>
    <w:p w14:paraId="4FB88F10">
      <w:pPr>
        <w:autoSpaceDE w:val="0"/>
        <w:autoSpaceDN w:val="0"/>
        <w:adjustRightInd w:val="0"/>
        <w:spacing w:line="460" w:lineRule="exact"/>
        <w:ind w:firstLine="600" w:firstLineChars="250"/>
        <w:rPr>
          <w:rFonts w:hint="eastAsia" w:ascii="宋体" w:hAnsi="宋体" w:cs="宋体"/>
          <w:sz w:val="24"/>
          <w:szCs w:val="24"/>
          <w:lang w:val="zh-CN"/>
        </w:rPr>
      </w:pPr>
      <w:r>
        <w:rPr>
          <w:rFonts w:hint="eastAsia" w:ascii="宋体" w:hAnsi="宋体" w:cs="宋体"/>
          <w:kern w:val="2"/>
          <w:sz w:val="24"/>
          <w:szCs w:val="24"/>
          <w:lang w:bidi="ar"/>
        </w:rPr>
        <w:t>2、</w:t>
      </w:r>
      <w:r>
        <w:rPr>
          <w:rFonts w:hint="eastAsia" w:ascii="宋体" w:hAnsi="宋体" w:cs="宋体"/>
          <w:kern w:val="2"/>
          <w:sz w:val="24"/>
          <w:szCs w:val="24"/>
          <w:lang w:val="zh-CN" w:bidi="ar"/>
        </w:rPr>
        <w:t>从业人员、营业收入、资产总额填报上一年度数据，无上一年度数据的新成立企业可不填报。</w:t>
      </w:r>
    </w:p>
    <w:p w14:paraId="53BD8E03">
      <w:pPr>
        <w:autoSpaceDE w:val="0"/>
        <w:autoSpaceDN w:val="0"/>
        <w:adjustRightInd w:val="0"/>
        <w:spacing w:line="460" w:lineRule="exact"/>
        <w:ind w:firstLine="602" w:firstLineChars="250"/>
        <w:rPr>
          <w:rFonts w:hint="eastAsia" w:ascii="宋体" w:hAnsi="宋体" w:cs="宋体"/>
          <w:b/>
          <w:bCs/>
          <w:kern w:val="2"/>
          <w:sz w:val="24"/>
          <w:szCs w:val="24"/>
          <w:lang w:bidi="ar"/>
        </w:rPr>
      </w:pPr>
      <w:r>
        <w:rPr>
          <w:rFonts w:hint="eastAsia" w:ascii="宋体" w:hAnsi="宋体" w:cs="宋体"/>
          <w:b/>
          <w:bCs/>
          <w:kern w:val="2"/>
          <w:sz w:val="24"/>
          <w:szCs w:val="24"/>
          <w:lang w:bidi="ar"/>
        </w:rPr>
        <w:t>3、本项目所属行业为：工业</w:t>
      </w:r>
      <w:r>
        <w:rPr>
          <w:rFonts w:hint="eastAsia" w:ascii="宋体" w:hAnsi="宋体" w:cs="宋体"/>
          <w:b/>
          <w:bCs/>
          <w:kern w:val="2"/>
          <w:sz w:val="24"/>
          <w:szCs w:val="24"/>
          <w:lang w:val="zh-CN" w:bidi="ar"/>
        </w:rPr>
        <w:t>。</w:t>
      </w:r>
    </w:p>
    <w:p w14:paraId="6DC59A22">
      <w:pPr>
        <w:spacing w:line="440" w:lineRule="exact"/>
        <w:ind w:firstLine="482"/>
        <w:rPr>
          <w:rFonts w:hint="eastAsia" w:ascii="宋体" w:hAnsi="宋体" w:cs="宋体"/>
          <w:sz w:val="24"/>
          <w:szCs w:val="24"/>
        </w:rPr>
      </w:pPr>
    </w:p>
    <w:p w14:paraId="2BAF4882">
      <w:pPr>
        <w:rPr>
          <w:rFonts w:hint="eastAsia" w:ascii="宋体" w:hAnsi="宋体" w:cs="宋体"/>
          <w:b/>
          <w:bCs/>
          <w:sz w:val="28"/>
          <w:szCs w:val="28"/>
        </w:rPr>
      </w:pPr>
      <w:r>
        <w:rPr>
          <w:rFonts w:hint="eastAsia" w:ascii="宋体" w:hAnsi="宋体" w:cs="宋体"/>
          <w:b/>
          <w:bCs/>
          <w:sz w:val="28"/>
          <w:szCs w:val="28"/>
        </w:rPr>
        <w:br w:type="page"/>
      </w:r>
    </w:p>
    <w:p w14:paraId="48BD2F39">
      <w:pPr>
        <w:spacing w:line="440" w:lineRule="exact"/>
        <w:jc w:val="center"/>
        <w:outlineLvl w:val="1"/>
        <w:rPr>
          <w:rFonts w:hint="eastAsia" w:ascii="宋体" w:hAnsi="宋体" w:cs="宋体"/>
          <w:b/>
          <w:bCs/>
          <w:sz w:val="28"/>
          <w:szCs w:val="28"/>
        </w:rPr>
      </w:pPr>
      <w:bookmarkStart w:id="401" w:name="_Toc23091"/>
      <w:r>
        <w:rPr>
          <w:rFonts w:hint="eastAsia" w:ascii="宋体" w:hAnsi="宋体" w:cs="宋体"/>
          <w:b/>
          <w:bCs/>
          <w:sz w:val="28"/>
          <w:szCs w:val="28"/>
        </w:rPr>
        <w:t>附件14 残疾人福利性单位声明函</w:t>
      </w:r>
      <w:bookmarkEnd w:id="401"/>
    </w:p>
    <w:p w14:paraId="1528CBD6">
      <w:pPr>
        <w:spacing w:line="588" w:lineRule="exact"/>
        <w:ind w:firstLine="480"/>
        <w:rPr>
          <w:rFonts w:hint="eastAsia" w:ascii="宋体" w:hAnsi="宋体" w:cs="宋体"/>
          <w:sz w:val="24"/>
          <w:szCs w:val="21"/>
        </w:rPr>
      </w:pPr>
      <w:r>
        <w:rPr>
          <w:rFonts w:hint="eastAsia" w:ascii="宋体" w:hAnsi="宋体" w:cs="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项目采购活动提供本单位制造的货物</w:t>
      </w:r>
      <w:r>
        <w:rPr>
          <w:rFonts w:hint="eastAsia" w:ascii="宋体" w:hAnsi="宋体" w:cs="宋体"/>
          <w:kern w:val="2"/>
          <w:sz w:val="24"/>
          <w:szCs w:val="21"/>
          <w:lang w:val="zh-CN" w:bidi="ar"/>
        </w:rPr>
        <w:t>（由本单位承担工程/提供服务）</w:t>
      </w:r>
      <w:r>
        <w:rPr>
          <w:rFonts w:hint="eastAsia" w:ascii="宋体" w:hAnsi="宋体" w:cs="宋体"/>
          <w:sz w:val="24"/>
          <w:szCs w:val="21"/>
        </w:rPr>
        <w:t>，或者提供其他残疾人福利性单位制造的货物（不包括使用非残疾人福利性单位注册商标的货物）。</w:t>
      </w:r>
    </w:p>
    <w:p w14:paraId="20377B37">
      <w:pPr>
        <w:spacing w:line="588" w:lineRule="exact"/>
        <w:ind w:firstLine="480"/>
        <w:rPr>
          <w:rFonts w:hint="eastAsia" w:ascii="宋体" w:hAnsi="宋体" w:cs="宋体"/>
          <w:sz w:val="24"/>
          <w:szCs w:val="21"/>
        </w:rPr>
      </w:pPr>
      <w:r>
        <w:rPr>
          <w:rFonts w:hint="eastAsia" w:ascii="宋体" w:hAnsi="宋体" w:cs="宋体"/>
          <w:sz w:val="24"/>
          <w:szCs w:val="21"/>
        </w:rPr>
        <w:t>本单位对上述声明的真实性负责。如有虚假，将依法承担相应责任。</w:t>
      </w:r>
    </w:p>
    <w:p w14:paraId="68F1334B">
      <w:pPr>
        <w:spacing w:line="588" w:lineRule="exact"/>
        <w:ind w:firstLine="480"/>
        <w:rPr>
          <w:rFonts w:hint="eastAsia" w:ascii="宋体" w:hAnsi="宋体" w:cs="宋体"/>
          <w:sz w:val="24"/>
          <w:szCs w:val="21"/>
        </w:rPr>
      </w:pPr>
      <w:r>
        <w:rPr>
          <w:rFonts w:hint="eastAsia" w:ascii="宋体" w:hAnsi="宋体" w:cs="宋体"/>
          <w:sz w:val="24"/>
          <w:szCs w:val="21"/>
        </w:rPr>
        <w:t>（备注：1、投标人如不提供此声明函，价格将不做相应扣除。2、中标人为残疾人福利单位的，此声明函将随中标结果同时公告，接受社会监督）</w:t>
      </w:r>
    </w:p>
    <w:p w14:paraId="76394952">
      <w:pPr>
        <w:spacing w:line="588" w:lineRule="exact"/>
        <w:ind w:firstLine="624"/>
        <w:rPr>
          <w:rFonts w:hint="eastAsia" w:ascii="宋体" w:hAnsi="宋体" w:cs="宋体"/>
          <w:spacing w:val="6"/>
          <w:sz w:val="30"/>
          <w:szCs w:val="30"/>
        </w:rPr>
      </w:pPr>
    </w:p>
    <w:p w14:paraId="3FE5F5A7">
      <w:pPr>
        <w:tabs>
          <w:tab w:val="left" w:pos="4860"/>
        </w:tabs>
        <w:spacing w:line="588" w:lineRule="exact"/>
        <w:ind w:right="1560" w:firstLine="624"/>
        <w:jc w:val="center"/>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投标人全称（加盖CA电子公章）：</w:t>
      </w:r>
    </w:p>
    <w:p w14:paraId="499272A4">
      <w:pPr>
        <w:tabs>
          <w:tab w:val="left" w:pos="4860"/>
        </w:tabs>
        <w:spacing w:line="588" w:lineRule="exact"/>
        <w:ind w:right="1560" w:firstLine="480"/>
        <w:jc w:val="center"/>
        <w:rPr>
          <w:rFonts w:hint="eastAsia" w:ascii="宋体" w:hAnsi="宋体" w:cs="宋体"/>
          <w:sz w:val="24"/>
          <w:szCs w:val="21"/>
        </w:rPr>
      </w:pPr>
      <w:r>
        <w:rPr>
          <w:rFonts w:hint="eastAsia" w:ascii="宋体" w:hAnsi="宋体" w:cs="宋体"/>
          <w:sz w:val="24"/>
          <w:szCs w:val="21"/>
        </w:rPr>
        <w:t xml:space="preserve">        日  期：</w:t>
      </w:r>
    </w:p>
    <w:p w14:paraId="3FF46F0D">
      <w:pPr>
        <w:autoSpaceDE w:val="0"/>
        <w:autoSpaceDN w:val="0"/>
        <w:adjustRightInd w:val="0"/>
        <w:spacing w:line="420" w:lineRule="exact"/>
        <w:rPr>
          <w:rFonts w:hint="eastAsia" w:ascii="宋体" w:hAnsi="宋体" w:cs="宋体"/>
          <w:b/>
          <w:szCs w:val="21"/>
          <w:lang w:val="zh-CN"/>
        </w:rPr>
      </w:pPr>
      <w:r>
        <w:rPr>
          <w:rFonts w:hint="eastAsia" w:ascii="宋体" w:hAnsi="宋体" w:cs="宋体"/>
          <w:b/>
          <w:kern w:val="2"/>
          <w:szCs w:val="21"/>
          <w:lang w:val="zh-CN" w:bidi="ar"/>
        </w:rPr>
        <w:t>请</w:t>
      </w:r>
      <w:r>
        <w:rPr>
          <w:rFonts w:hint="eastAsia" w:ascii="宋体" w:hAnsi="宋体" w:cs="宋体"/>
          <w:b/>
          <w:kern w:val="2"/>
          <w:szCs w:val="21"/>
          <w:lang w:bidi="ar"/>
        </w:rPr>
        <w:t>投标人</w:t>
      </w:r>
      <w:r>
        <w:rPr>
          <w:rFonts w:hint="eastAsia" w:ascii="宋体" w:hAnsi="宋体" w:cs="宋体"/>
          <w:b/>
          <w:kern w:val="2"/>
          <w:szCs w:val="21"/>
          <w:lang w:val="zh-CN" w:bidi="ar"/>
        </w:rPr>
        <w:t>认真阅读如下内容：</w:t>
      </w:r>
    </w:p>
    <w:p w14:paraId="42ED4323">
      <w:pPr>
        <w:autoSpaceDE w:val="0"/>
        <w:autoSpaceDN w:val="0"/>
        <w:adjustRightInd w:val="0"/>
        <w:spacing w:line="420" w:lineRule="exact"/>
        <w:rPr>
          <w:rFonts w:hint="eastAsia" w:ascii="宋体" w:hAnsi="宋体" w:cs="宋体"/>
          <w:szCs w:val="21"/>
          <w:lang w:val="zh-CN"/>
        </w:rPr>
      </w:pPr>
      <w:r>
        <w:rPr>
          <w:rFonts w:hint="eastAsia" w:ascii="宋体" w:hAnsi="宋体" w:cs="宋体"/>
          <w:kern w:val="2"/>
          <w:szCs w:val="21"/>
          <w:lang w:val="zh-CN" w:bidi="ar"/>
        </w:rPr>
        <w:t>注：根据《财政部、民政部、中国残疾人联合会关于促进残疾人就业政府采购政策的通知》（财库〔2017〕141号）的规定的划分标准，享受政府采购支持政策的残疾人福利性单位应当同时满足以下条件：</w:t>
      </w:r>
    </w:p>
    <w:p w14:paraId="7706CD0C">
      <w:pPr>
        <w:autoSpaceDE w:val="0"/>
        <w:autoSpaceDN w:val="0"/>
        <w:adjustRightInd w:val="0"/>
        <w:spacing w:line="420" w:lineRule="exact"/>
        <w:ind w:firstLine="420" w:firstLineChars="200"/>
        <w:rPr>
          <w:rFonts w:hint="eastAsia" w:ascii="宋体" w:hAnsi="宋体" w:cs="宋体"/>
          <w:szCs w:val="21"/>
          <w:lang w:val="zh-CN"/>
        </w:rPr>
      </w:pPr>
      <w:r>
        <w:rPr>
          <w:rFonts w:hint="eastAsia" w:ascii="宋体" w:hAnsi="宋体" w:cs="宋体"/>
          <w:kern w:val="2"/>
          <w:szCs w:val="21"/>
          <w:lang w:bidi="ar"/>
        </w:rPr>
        <w:t>1、</w:t>
      </w:r>
      <w:r>
        <w:rPr>
          <w:rFonts w:hint="eastAsia" w:ascii="宋体" w:hAnsi="宋体" w:cs="宋体"/>
          <w:kern w:val="2"/>
          <w:szCs w:val="21"/>
          <w:lang w:val="zh-CN" w:bidi="ar"/>
        </w:rPr>
        <w:t>安置的残疾人占本单位在职职工人数的比例不低于25%（含25%），并且安置的残疾人人数不少于10人（含10人）；</w:t>
      </w:r>
    </w:p>
    <w:p w14:paraId="570072C1">
      <w:pPr>
        <w:autoSpaceDE w:val="0"/>
        <w:autoSpaceDN w:val="0"/>
        <w:adjustRightInd w:val="0"/>
        <w:spacing w:line="420" w:lineRule="exact"/>
        <w:ind w:firstLine="420" w:firstLineChars="200"/>
        <w:rPr>
          <w:rFonts w:hint="eastAsia" w:ascii="宋体" w:hAnsi="宋体" w:cs="宋体"/>
          <w:kern w:val="2"/>
          <w:szCs w:val="21"/>
          <w:lang w:bidi="ar"/>
        </w:rPr>
      </w:pPr>
      <w:r>
        <w:rPr>
          <w:rFonts w:hint="eastAsia" w:ascii="宋体" w:hAnsi="宋体" w:cs="宋体"/>
          <w:kern w:val="2"/>
          <w:szCs w:val="21"/>
          <w:lang w:val="zh-CN" w:bidi="ar"/>
        </w:rPr>
        <w:t>2、依法与安置的每位残疾人签订了一年以上（含一年）的劳动合同或服务协议；</w:t>
      </w:r>
    </w:p>
    <w:p w14:paraId="5BE1843E">
      <w:pPr>
        <w:autoSpaceDE w:val="0"/>
        <w:autoSpaceDN w:val="0"/>
        <w:adjustRightInd w:val="0"/>
        <w:spacing w:line="420" w:lineRule="exact"/>
        <w:ind w:firstLine="420" w:firstLineChars="200"/>
        <w:rPr>
          <w:rFonts w:hint="eastAsia" w:ascii="宋体" w:hAnsi="宋体" w:cs="宋体"/>
          <w:kern w:val="2"/>
          <w:szCs w:val="21"/>
          <w:lang w:val="zh-CN" w:bidi="ar"/>
        </w:rPr>
      </w:pPr>
      <w:r>
        <w:rPr>
          <w:rFonts w:hint="eastAsia" w:ascii="宋体" w:hAnsi="宋体" w:cs="宋体"/>
          <w:kern w:val="2"/>
          <w:szCs w:val="21"/>
          <w:lang w:val="zh-CN" w:bidi="ar"/>
        </w:rPr>
        <w:t>3、为安置的每位残疾人按月足额缴纳了基本养老保险、基本医疗保险、失业保险、工伤保险和生育保险等社会保险费；</w:t>
      </w:r>
    </w:p>
    <w:p w14:paraId="42C71BDD">
      <w:pPr>
        <w:autoSpaceDE w:val="0"/>
        <w:autoSpaceDN w:val="0"/>
        <w:adjustRightInd w:val="0"/>
        <w:spacing w:line="420" w:lineRule="exact"/>
        <w:ind w:firstLine="420" w:firstLineChars="200"/>
        <w:rPr>
          <w:rFonts w:hint="eastAsia" w:ascii="宋体" w:hAnsi="宋体" w:cs="宋体"/>
          <w:kern w:val="2"/>
          <w:szCs w:val="21"/>
          <w:lang w:bidi="ar"/>
        </w:rPr>
      </w:pPr>
      <w:r>
        <w:rPr>
          <w:rFonts w:hint="eastAsia" w:ascii="宋体" w:hAnsi="宋体" w:cs="宋体"/>
          <w:kern w:val="2"/>
          <w:szCs w:val="21"/>
          <w:lang w:bidi="ar"/>
        </w:rPr>
        <w:t xml:space="preserve">    </w:t>
      </w:r>
      <w:r>
        <w:rPr>
          <w:rFonts w:hint="eastAsia" w:ascii="宋体" w:hAnsi="宋体" w:cs="宋体"/>
          <w:kern w:val="2"/>
          <w:szCs w:val="21"/>
          <w:lang w:val="zh-CN" w:bidi="ar"/>
        </w:rPr>
        <w:t>4、通过银行等金融机构向安置的每位残疾人，按月支付了不低于单位所在区县适用的经省级人民政府批准的月最低工资标准的工资；</w:t>
      </w:r>
    </w:p>
    <w:p w14:paraId="077FE6D1">
      <w:pPr>
        <w:autoSpaceDE w:val="0"/>
        <w:autoSpaceDN w:val="0"/>
        <w:adjustRightInd w:val="0"/>
        <w:spacing w:line="420" w:lineRule="exact"/>
        <w:ind w:firstLine="420" w:firstLineChars="200"/>
        <w:rPr>
          <w:rFonts w:hint="eastAsia" w:ascii="宋体" w:hAnsi="宋体" w:cs="宋体"/>
          <w:kern w:val="2"/>
          <w:szCs w:val="21"/>
          <w:lang w:bidi="ar"/>
        </w:rPr>
      </w:pPr>
      <w:r>
        <w:rPr>
          <w:rFonts w:hint="eastAsia" w:ascii="宋体" w:hAnsi="宋体" w:cs="宋体"/>
          <w:kern w:val="2"/>
          <w:szCs w:val="21"/>
          <w:lang w:val="zh-CN" w:bidi="ar"/>
        </w:rPr>
        <w:t>5、提供本单位制造的货物、承担的工程或者服务（以下简称产品），或者提供其他残疾人福利性单位制造的货物（不包括使用非残疾人福利性单位注册商标的货物）。</w:t>
      </w:r>
    </w:p>
    <w:p w14:paraId="544BA35F">
      <w:pPr>
        <w:autoSpaceDE w:val="0"/>
        <w:autoSpaceDN w:val="0"/>
        <w:adjustRightInd w:val="0"/>
        <w:spacing w:line="420" w:lineRule="exact"/>
        <w:ind w:firstLine="420" w:firstLineChars="200"/>
        <w:rPr>
          <w:rFonts w:hint="eastAsia" w:ascii="宋体" w:hAnsi="宋体" w:cs="宋体"/>
          <w:kern w:val="2"/>
          <w:szCs w:val="21"/>
          <w:lang w:val="zh-CN" w:bidi="ar"/>
        </w:rPr>
      </w:pPr>
      <w:r>
        <w:rPr>
          <w:rFonts w:hint="eastAsia" w:ascii="宋体" w:hAnsi="宋体" w:cs="宋体"/>
          <w:kern w:val="2"/>
          <w:szCs w:val="21"/>
          <w:lang w:val="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402" w:name="_Toc155086574"/>
      <w:bookmarkStart w:id="403" w:name="_Toc155086474"/>
      <w:bookmarkStart w:id="404" w:name="_Toc17235"/>
    </w:p>
    <w:p w14:paraId="07B48434">
      <w:pPr>
        <w:autoSpaceDE w:val="0"/>
        <w:autoSpaceDN w:val="0"/>
        <w:adjustRightInd w:val="0"/>
        <w:spacing w:line="420" w:lineRule="exact"/>
        <w:ind w:firstLine="420" w:firstLineChars="200"/>
        <w:rPr>
          <w:rFonts w:hint="eastAsia" w:ascii="宋体" w:hAnsi="宋体" w:cs="宋体"/>
        </w:rPr>
      </w:pPr>
      <w:r>
        <w:rPr>
          <w:rFonts w:hint="eastAsia" w:ascii="宋体" w:hAnsi="宋体" w:cs="宋体"/>
          <w:kern w:val="2"/>
          <w:szCs w:val="21"/>
          <w:lang w:val="zh-CN" w:bidi="ar"/>
        </w:rPr>
        <w:br w:type="page"/>
      </w:r>
    </w:p>
    <w:p w14:paraId="78964A79">
      <w:pPr>
        <w:spacing w:line="440" w:lineRule="exact"/>
        <w:ind w:firstLine="562"/>
        <w:jc w:val="center"/>
        <w:outlineLvl w:val="1"/>
        <w:rPr>
          <w:rFonts w:hint="eastAsia" w:ascii="宋体" w:hAnsi="宋体" w:cs="宋体"/>
          <w:b/>
          <w:bCs/>
          <w:sz w:val="28"/>
          <w:szCs w:val="28"/>
        </w:rPr>
      </w:pPr>
      <w:bookmarkStart w:id="405" w:name="_Toc3680"/>
      <w:r>
        <w:rPr>
          <w:rFonts w:hint="eastAsia" w:ascii="宋体" w:hAnsi="宋体" w:cs="宋体"/>
          <w:b/>
          <w:bCs/>
          <w:sz w:val="28"/>
          <w:szCs w:val="28"/>
        </w:rPr>
        <w:t>附件15 投标函</w:t>
      </w:r>
      <w:bookmarkEnd w:id="402"/>
      <w:bookmarkEnd w:id="403"/>
      <w:bookmarkEnd w:id="404"/>
      <w:bookmarkEnd w:id="405"/>
    </w:p>
    <w:p w14:paraId="419F5E5F">
      <w:pPr>
        <w:spacing w:line="420" w:lineRule="exact"/>
        <w:jc w:val="left"/>
        <w:rPr>
          <w:rFonts w:hint="eastAsia" w:ascii="宋体" w:hAnsi="宋体" w:cs="宋体"/>
          <w:sz w:val="24"/>
          <w:szCs w:val="21"/>
        </w:rPr>
      </w:pPr>
    </w:p>
    <w:p w14:paraId="5AF22E54">
      <w:pPr>
        <w:spacing w:line="440" w:lineRule="exact"/>
        <w:rPr>
          <w:rFonts w:hint="eastAsia" w:ascii="宋体" w:hAnsi="宋体" w:cs="宋体"/>
          <w:sz w:val="24"/>
          <w:szCs w:val="24"/>
          <w:lang w:val="zh-CN"/>
        </w:rPr>
      </w:pPr>
      <w:r>
        <w:rPr>
          <w:rFonts w:hint="eastAsia" w:ascii="宋体" w:hAnsi="宋体" w:cs="宋体"/>
          <w:sz w:val="24"/>
          <w:szCs w:val="24"/>
          <w:lang w:val="zh-CN"/>
        </w:rPr>
        <w:t>致：</w:t>
      </w:r>
      <w:r>
        <w:rPr>
          <w:rFonts w:hint="eastAsia" w:ascii="宋体" w:hAnsi="宋体" w:cs="宋体"/>
          <w:sz w:val="24"/>
          <w:szCs w:val="24"/>
          <w:u w:val="single"/>
          <w:lang w:val="zh-CN"/>
        </w:rPr>
        <w:t>涵熙（苏州）工程顾问有限公司</w:t>
      </w:r>
    </w:p>
    <w:p w14:paraId="75EC6B82">
      <w:pPr>
        <w:pStyle w:val="242"/>
        <w:spacing w:before="0" w:after="0" w:line="420" w:lineRule="exact"/>
        <w:rPr>
          <w:rFonts w:hint="eastAsia" w:ascii="宋体" w:hAnsi="宋体" w:cs="宋体"/>
          <w:szCs w:val="21"/>
        </w:rPr>
      </w:pPr>
      <w:r>
        <w:rPr>
          <w:rFonts w:hint="eastAsia" w:ascii="宋体" w:hAnsi="宋体" w:cs="宋体"/>
          <w:szCs w:val="21"/>
        </w:rPr>
        <w:t>根据贵方的</w:t>
      </w:r>
      <w:r>
        <w:rPr>
          <w:rFonts w:hint="eastAsia" w:ascii="宋体" w:hAnsi="宋体" w:cs="宋体"/>
          <w:szCs w:val="21"/>
          <w:lang w:eastAsia="zh-CN"/>
        </w:rPr>
        <w:t>JSZC-320581-HXGW-G2024-0096</w:t>
      </w:r>
      <w:r>
        <w:rPr>
          <w:rFonts w:hint="eastAsia" w:ascii="宋体" w:hAnsi="宋体" w:cs="宋体"/>
          <w:szCs w:val="21"/>
        </w:rPr>
        <w:t>号招标文件，正式授权下述签字人______(姓名)代表我方______________（投标人的名称），全权处理本次项目投标的有关事宜。</w:t>
      </w:r>
    </w:p>
    <w:p w14:paraId="0F60824D">
      <w:pPr>
        <w:pStyle w:val="242"/>
        <w:spacing w:before="0" w:after="0" w:line="420" w:lineRule="exact"/>
        <w:rPr>
          <w:rFonts w:hint="eastAsia" w:ascii="宋体" w:hAnsi="宋体" w:cs="宋体"/>
          <w:szCs w:val="21"/>
        </w:rPr>
      </w:pPr>
      <w:r>
        <w:rPr>
          <w:rFonts w:hint="eastAsia" w:ascii="宋体" w:hAnsi="宋体" w:cs="宋体"/>
          <w:szCs w:val="21"/>
        </w:rPr>
        <w:t>据此函，__________签字人兹宣布同意如下：</w:t>
      </w:r>
    </w:p>
    <w:p w14:paraId="626BD38E">
      <w:pPr>
        <w:pStyle w:val="242"/>
        <w:spacing w:before="0" w:after="0" w:line="420" w:lineRule="exact"/>
        <w:rPr>
          <w:rFonts w:hint="eastAsia" w:ascii="宋体" w:hAnsi="宋体" w:cs="宋体"/>
          <w:szCs w:val="21"/>
        </w:rPr>
      </w:pPr>
      <w:r>
        <w:rPr>
          <w:rFonts w:hint="eastAsia" w:ascii="宋体" w:hAnsi="宋体" w:cs="宋体"/>
          <w:szCs w:val="21"/>
        </w:rPr>
        <w:t>1.按招标文件规定的各项要求，向买方提供所需货物（包含与货物相关的服务）。</w:t>
      </w:r>
    </w:p>
    <w:p w14:paraId="0032DAA8">
      <w:pPr>
        <w:pStyle w:val="242"/>
        <w:spacing w:before="0" w:after="0" w:line="420" w:lineRule="exact"/>
        <w:rPr>
          <w:rFonts w:hint="eastAsia" w:ascii="宋体" w:hAnsi="宋体" w:cs="宋体"/>
          <w:szCs w:val="21"/>
        </w:rPr>
      </w:pPr>
      <w:r>
        <w:rPr>
          <w:rFonts w:hint="eastAsia" w:ascii="宋体" w:hAnsi="宋体" w:cs="宋体"/>
          <w:szCs w:val="21"/>
        </w:rPr>
        <w:t>2.我们完全理解贵方不一定将合同授予最低报价的投标人。</w:t>
      </w:r>
    </w:p>
    <w:p w14:paraId="3A21D8E1">
      <w:pPr>
        <w:pStyle w:val="242"/>
        <w:spacing w:before="0" w:after="0" w:line="420" w:lineRule="exact"/>
        <w:rPr>
          <w:rFonts w:hint="eastAsia" w:ascii="宋体" w:hAnsi="宋体" w:cs="宋体"/>
          <w:szCs w:val="21"/>
        </w:rPr>
      </w:pPr>
      <w:r>
        <w:rPr>
          <w:rFonts w:hint="eastAsia" w:ascii="宋体" w:hAnsi="宋体" w:cs="宋体"/>
          <w:szCs w:val="21"/>
        </w:rPr>
        <w:t>3.我们已详细审核全部招标文件及其有效补充文件，我们知道必须放弃提出含糊不清或误解问题的权利。</w:t>
      </w:r>
    </w:p>
    <w:p w14:paraId="684875C8">
      <w:pPr>
        <w:pStyle w:val="242"/>
        <w:spacing w:before="0" w:after="0" w:line="420" w:lineRule="exact"/>
        <w:rPr>
          <w:rFonts w:hint="eastAsia" w:ascii="宋体" w:hAnsi="宋体" w:cs="宋体"/>
          <w:szCs w:val="21"/>
        </w:rPr>
      </w:pPr>
      <w:r>
        <w:rPr>
          <w:rFonts w:hint="eastAsia" w:ascii="宋体" w:hAnsi="宋体" w:cs="宋体"/>
          <w:szCs w:val="21"/>
        </w:rPr>
        <w:t>4.我方同意投标有效期为开标之日后六十（60）天。</w:t>
      </w:r>
    </w:p>
    <w:p w14:paraId="3D50A980">
      <w:pPr>
        <w:pStyle w:val="242"/>
        <w:spacing w:before="0" w:after="0" w:line="420" w:lineRule="exact"/>
        <w:rPr>
          <w:rFonts w:hint="eastAsia" w:ascii="宋体" w:hAnsi="宋体" w:cs="宋体"/>
          <w:szCs w:val="21"/>
        </w:rPr>
      </w:pPr>
      <w:r>
        <w:rPr>
          <w:rFonts w:hint="eastAsia" w:ascii="宋体" w:hAnsi="宋体" w:cs="宋体"/>
          <w:szCs w:val="21"/>
        </w:rPr>
        <w:t>5.我们同意从规定的开标日期起遵循本投标文件，并在规定的投标有效期期满之前均具有约束力。</w:t>
      </w:r>
    </w:p>
    <w:p w14:paraId="67AA6A67">
      <w:pPr>
        <w:pStyle w:val="242"/>
        <w:spacing w:before="0" w:after="0" w:line="420" w:lineRule="exact"/>
        <w:rPr>
          <w:rFonts w:hint="eastAsia" w:ascii="宋体" w:hAnsi="宋体" w:cs="宋体"/>
          <w:szCs w:val="21"/>
        </w:rPr>
      </w:pPr>
      <w:r>
        <w:rPr>
          <w:rFonts w:hint="eastAsia" w:ascii="宋体" w:hAnsi="宋体" w:cs="宋体"/>
          <w:szCs w:val="21"/>
        </w:rPr>
        <w:t>6.同意向贵方提供贵方可能另外要求的与投标有关的任何证据或资料，并保证我方已提供和将要提供的文件是真实的、准确的。</w:t>
      </w:r>
    </w:p>
    <w:p w14:paraId="2A54D53B">
      <w:pPr>
        <w:pStyle w:val="242"/>
        <w:spacing w:before="0" w:after="0" w:line="420" w:lineRule="exact"/>
        <w:rPr>
          <w:rFonts w:hint="eastAsia" w:ascii="宋体" w:hAnsi="宋体" w:cs="宋体"/>
          <w:szCs w:val="21"/>
        </w:rPr>
      </w:pPr>
      <w:r>
        <w:rPr>
          <w:rFonts w:hint="eastAsia" w:ascii="宋体" w:hAnsi="宋体" w:cs="宋体"/>
          <w:szCs w:val="21"/>
        </w:rPr>
        <w:t>7.一旦我方中标,我方将根据招标文件的规定，严格履行合同的责任和义务,并保证在招标文件规定的时间完成项目，交付采购人验收、使用。</w:t>
      </w:r>
    </w:p>
    <w:p w14:paraId="4A3EF5EA">
      <w:pPr>
        <w:pStyle w:val="242"/>
        <w:spacing w:before="0" w:after="0" w:line="420" w:lineRule="exact"/>
        <w:rPr>
          <w:rFonts w:hint="eastAsia" w:ascii="宋体" w:hAnsi="宋体" w:cs="宋体"/>
          <w:szCs w:val="21"/>
        </w:rPr>
      </w:pPr>
      <w:r>
        <w:rPr>
          <w:rFonts w:hint="eastAsia" w:ascii="宋体" w:hAnsi="宋体" w:cs="宋体"/>
          <w:szCs w:val="21"/>
        </w:rPr>
        <w:t>8.与本投标有关的正式通讯地址为：</w:t>
      </w:r>
    </w:p>
    <w:p w14:paraId="73E39535">
      <w:pPr>
        <w:pStyle w:val="242"/>
        <w:spacing w:before="0" w:after="0" w:line="420" w:lineRule="exact"/>
        <w:ind w:left="420"/>
        <w:rPr>
          <w:rFonts w:hint="eastAsia" w:ascii="宋体" w:hAnsi="宋体" w:cs="宋体"/>
          <w:szCs w:val="21"/>
        </w:rPr>
      </w:pPr>
      <w:r>
        <w:rPr>
          <w:rFonts w:hint="eastAsia" w:ascii="宋体" w:hAnsi="宋体" w:cs="宋体"/>
          <w:szCs w:val="21"/>
        </w:rPr>
        <w:t>地          址：</w:t>
      </w:r>
    </w:p>
    <w:p w14:paraId="212D29F8">
      <w:pPr>
        <w:pStyle w:val="242"/>
        <w:spacing w:before="0" w:after="0" w:line="420" w:lineRule="exact"/>
        <w:ind w:left="420"/>
        <w:rPr>
          <w:rFonts w:hint="eastAsia" w:ascii="宋体" w:hAnsi="宋体" w:cs="宋体"/>
          <w:szCs w:val="21"/>
        </w:rPr>
      </w:pPr>
      <w:r>
        <w:rPr>
          <w:rFonts w:hint="eastAsia" w:ascii="宋体" w:hAnsi="宋体" w:cs="宋体"/>
          <w:szCs w:val="21"/>
        </w:rPr>
        <w:t>邮          编：</w:t>
      </w:r>
    </w:p>
    <w:p w14:paraId="2214E025">
      <w:pPr>
        <w:pStyle w:val="242"/>
        <w:spacing w:before="0" w:after="0" w:line="420" w:lineRule="exact"/>
        <w:ind w:left="420"/>
        <w:rPr>
          <w:rFonts w:hint="eastAsia" w:ascii="宋体" w:hAnsi="宋体" w:cs="宋体"/>
          <w:szCs w:val="21"/>
        </w:rPr>
      </w:pPr>
      <w:r>
        <w:rPr>
          <w:rFonts w:hint="eastAsia" w:ascii="宋体" w:hAnsi="宋体" w:cs="宋体"/>
          <w:szCs w:val="21"/>
        </w:rPr>
        <w:t>电          话：</w:t>
      </w:r>
    </w:p>
    <w:p w14:paraId="42D83F60">
      <w:pPr>
        <w:pStyle w:val="242"/>
        <w:spacing w:before="0" w:after="0" w:line="420" w:lineRule="exact"/>
        <w:ind w:left="420"/>
        <w:rPr>
          <w:rFonts w:hint="eastAsia" w:ascii="宋体" w:hAnsi="宋体" w:cs="宋体"/>
          <w:szCs w:val="21"/>
        </w:rPr>
      </w:pPr>
      <w:r>
        <w:rPr>
          <w:rFonts w:hint="eastAsia" w:ascii="宋体" w:hAnsi="宋体" w:cs="宋体"/>
          <w:szCs w:val="21"/>
        </w:rPr>
        <w:t>传          真：</w:t>
      </w:r>
    </w:p>
    <w:p w14:paraId="51C41AB5">
      <w:pPr>
        <w:pStyle w:val="242"/>
        <w:spacing w:before="0" w:after="0" w:line="420" w:lineRule="exact"/>
        <w:ind w:left="420"/>
        <w:rPr>
          <w:rFonts w:hint="eastAsia" w:ascii="宋体" w:hAnsi="宋体" w:cs="宋体"/>
          <w:szCs w:val="21"/>
        </w:rPr>
      </w:pPr>
      <w:r>
        <w:rPr>
          <w:rFonts w:hint="eastAsia" w:ascii="宋体" w:hAnsi="宋体" w:cs="宋体"/>
          <w:szCs w:val="21"/>
        </w:rPr>
        <w:t>投 标 人开户行：</w:t>
      </w:r>
    </w:p>
    <w:p w14:paraId="420C1F32">
      <w:pPr>
        <w:pStyle w:val="242"/>
        <w:spacing w:before="0" w:after="0" w:line="420" w:lineRule="exact"/>
        <w:ind w:left="420"/>
        <w:rPr>
          <w:rFonts w:hint="eastAsia" w:ascii="宋体" w:hAnsi="宋体" w:cs="宋体"/>
          <w:szCs w:val="21"/>
        </w:rPr>
      </w:pPr>
      <w:r>
        <w:rPr>
          <w:rFonts w:hint="eastAsia" w:ascii="宋体" w:hAnsi="宋体" w:cs="宋体"/>
          <w:szCs w:val="21"/>
        </w:rPr>
        <w:t xml:space="preserve">账          号： </w:t>
      </w:r>
    </w:p>
    <w:p w14:paraId="5B5721B8">
      <w:pPr>
        <w:pStyle w:val="242"/>
        <w:spacing w:before="0" w:after="0" w:line="420" w:lineRule="exact"/>
        <w:ind w:left="420"/>
        <w:rPr>
          <w:rFonts w:hint="eastAsia" w:ascii="宋体" w:hAnsi="宋体" w:cs="宋体"/>
          <w:szCs w:val="21"/>
        </w:rPr>
      </w:pPr>
      <w:r>
        <w:rPr>
          <w:rFonts w:hint="eastAsia" w:ascii="宋体" w:hAnsi="宋体" w:cs="宋体"/>
          <w:szCs w:val="21"/>
        </w:rPr>
        <w:t>日          期：________年____月____日</w:t>
      </w:r>
    </w:p>
    <w:p w14:paraId="770EFF2E">
      <w:pPr>
        <w:ind w:firstLine="480"/>
        <w:rPr>
          <w:rFonts w:hint="eastAsia" w:ascii="宋体" w:hAnsi="宋体" w:cs="宋体"/>
          <w:i/>
          <w:sz w:val="24"/>
          <w:szCs w:val="24"/>
          <w:u w:val="single"/>
        </w:rPr>
      </w:pPr>
    </w:p>
    <w:p w14:paraId="34B73146">
      <w:pPr>
        <w:pStyle w:val="14"/>
        <w:ind w:firstLine="482"/>
        <w:rPr>
          <w:rFonts w:hint="eastAsia" w:ascii="宋体" w:hAnsi="宋体" w:eastAsia="宋体" w:cs="宋体"/>
        </w:rPr>
      </w:pPr>
      <w:r>
        <w:rPr>
          <w:rFonts w:hint="eastAsia" w:ascii="宋体" w:hAnsi="宋体" w:eastAsia="宋体" w:cs="宋体"/>
          <w:b/>
          <w:sz w:val="24"/>
          <w:szCs w:val="44"/>
        </w:rPr>
        <w:br w:type="page" w:clear="all"/>
      </w:r>
    </w:p>
    <w:p w14:paraId="559B68F8">
      <w:pPr>
        <w:spacing w:line="440" w:lineRule="exact"/>
        <w:ind w:firstLine="562"/>
        <w:jc w:val="center"/>
        <w:outlineLvl w:val="1"/>
        <w:rPr>
          <w:rFonts w:hint="eastAsia" w:ascii="宋体" w:hAnsi="宋体" w:cs="宋体"/>
          <w:b/>
          <w:bCs/>
          <w:sz w:val="28"/>
          <w:szCs w:val="28"/>
        </w:rPr>
      </w:pPr>
      <w:bookmarkStart w:id="406" w:name="_Toc5193"/>
      <w:r>
        <w:rPr>
          <w:rFonts w:hint="eastAsia" w:ascii="宋体" w:hAnsi="宋体" w:cs="宋体"/>
          <w:b/>
          <w:bCs/>
          <w:sz w:val="28"/>
          <w:szCs w:val="28"/>
        </w:rPr>
        <w:t>附件16 实质性要求响应及偏离表</w:t>
      </w:r>
      <w:bookmarkEnd w:id="406"/>
    </w:p>
    <w:tbl>
      <w:tblPr>
        <w:tblStyle w:val="39"/>
        <w:tblW w:w="0" w:type="auto"/>
        <w:tblInd w:w="69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54A8DE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34"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vAlign w:val="center"/>
          </w:tcPr>
          <w:p w14:paraId="4BDA417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4666"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07292A1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技术要求和商务要求中的</w:t>
            </w:r>
            <w:r>
              <w:rPr>
                <w:rFonts w:ascii="宋体" w:hAnsi="宋体" w:cs="宋体"/>
                <w:b/>
                <w:color w:val="000000"/>
                <w:sz w:val="24"/>
              </w:rPr>
              <w:t>实质性要求</w:t>
            </w:r>
          </w:p>
        </w:tc>
        <w:tc>
          <w:tcPr>
            <w:tcW w:w="2260"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4253DF0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响应情况</w:t>
            </w:r>
          </w:p>
        </w:tc>
        <w:tc>
          <w:tcPr>
            <w:tcW w:w="1526"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14:paraId="731C9D2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3BF538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1FC21C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46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3A2D3D92">
            <w:pPr>
              <w:pBdr>
                <w:top w:val="none" w:color="000000" w:sz="0" w:space="0"/>
                <w:left w:val="none" w:color="000000" w:sz="0" w:space="0"/>
                <w:bottom w:val="none" w:color="000000" w:sz="0" w:space="0"/>
                <w:right w:val="none" w:color="000000" w:sz="0" w:space="0"/>
              </w:pBdr>
              <w:spacing w:line="439" w:lineRule="atLeast"/>
            </w:pPr>
            <w:r>
              <w:rPr>
                <w:rFonts w:eastAsia="Calibri" w:cs="Calibri"/>
                <w:color w:val="000000"/>
                <w:sz w:val="24"/>
              </w:rPr>
              <w:t> </w:t>
            </w:r>
          </w:p>
        </w:tc>
        <w:tc>
          <w:tcPr>
            <w:tcW w:w="22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21AF9E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5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354B539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13ACE9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61B3113">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2</w:t>
            </w:r>
          </w:p>
        </w:tc>
        <w:tc>
          <w:tcPr>
            <w:tcW w:w="46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C8EA072">
            <w:pPr>
              <w:pBdr>
                <w:top w:val="none" w:color="000000" w:sz="0" w:space="0"/>
                <w:left w:val="none" w:color="000000" w:sz="0" w:space="0"/>
                <w:bottom w:val="none" w:color="000000" w:sz="0" w:space="0"/>
                <w:right w:val="none" w:color="000000" w:sz="0" w:space="0"/>
              </w:pBdr>
              <w:spacing w:line="439" w:lineRule="atLeast"/>
              <w:rPr>
                <w:rFonts w:eastAsia="Calibri" w:cs="Calibri"/>
                <w:color w:val="000000"/>
                <w:sz w:val="24"/>
              </w:rPr>
            </w:pPr>
          </w:p>
        </w:tc>
        <w:tc>
          <w:tcPr>
            <w:tcW w:w="22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2DCCCF6">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p>
        </w:tc>
        <w:tc>
          <w:tcPr>
            <w:tcW w:w="15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7A5F0C9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p>
        </w:tc>
      </w:tr>
    </w:tbl>
    <w:p w14:paraId="27D392EC">
      <w:pPr>
        <w:spacing w:line="400" w:lineRule="exact"/>
        <w:rPr>
          <w:rFonts w:hint="eastAsia" w:ascii="宋体" w:hAnsi="宋体" w:cs="宋体"/>
          <w:sz w:val="24"/>
          <w:szCs w:val="24"/>
        </w:rPr>
      </w:pPr>
      <w:r>
        <w:rPr>
          <w:rFonts w:hint="eastAsia" w:ascii="宋体" w:hAnsi="宋体" w:cs="宋体"/>
          <w:sz w:val="24"/>
          <w:szCs w:val="24"/>
        </w:rPr>
        <w:t>备注：</w:t>
      </w:r>
    </w:p>
    <w:p w14:paraId="50051AC8">
      <w:pPr>
        <w:spacing w:line="400" w:lineRule="exact"/>
        <w:ind w:firstLine="480" w:firstLineChars="200"/>
        <w:rPr>
          <w:rFonts w:hint="eastAsia" w:ascii="宋体" w:hAnsi="宋体" w:cs="宋体"/>
          <w:sz w:val="24"/>
          <w:szCs w:val="24"/>
        </w:rPr>
      </w:pPr>
      <w:r>
        <w:rPr>
          <w:rFonts w:hint="eastAsia" w:ascii="宋体" w:hAnsi="宋体" w:cs="宋体"/>
          <w:sz w:val="24"/>
          <w:szCs w:val="24"/>
        </w:rPr>
        <w:t>1.投标人必须对技术要求和商务要求中的实质性要求逐条做出明确响应，</w:t>
      </w:r>
      <w:r>
        <w:rPr>
          <w:rFonts w:hint="eastAsia" w:ascii="宋体" w:hAnsi="宋体" w:cs="宋体"/>
          <w:sz w:val="24"/>
        </w:rPr>
        <w:t>否则作无效投标处理。</w:t>
      </w:r>
    </w:p>
    <w:p w14:paraId="621DA03C">
      <w:pPr>
        <w:spacing w:line="400" w:lineRule="exact"/>
        <w:ind w:firstLine="480" w:firstLineChars="200"/>
        <w:rPr>
          <w:rFonts w:hint="eastAsia" w:ascii="宋体" w:hAnsi="宋体" w:cs="宋体"/>
          <w:sz w:val="24"/>
          <w:szCs w:val="24"/>
        </w:rPr>
      </w:pPr>
      <w:r>
        <w:rPr>
          <w:rFonts w:hint="eastAsia" w:ascii="宋体" w:hAnsi="宋体" w:cs="宋体"/>
          <w:sz w:val="24"/>
          <w:szCs w:val="24"/>
        </w:rPr>
        <w:t>2.投标人未对实质性要求逐条作出明确响应的，或未按招标文件要求提供证明材料（如有）的，该项目作无效投标处理。</w:t>
      </w:r>
    </w:p>
    <w:p w14:paraId="1AA6815B">
      <w:pPr>
        <w:rPr>
          <w:rFonts w:hint="eastAsia" w:ascii="宋体" w:hAnsi="宋体" w:cs="宋体"/>
          <w:b/>
          <w:bCs/>
          <w:sz w:val="28"/>
          <w:szCs w:val="28"/>
        </w:rPr>
      </w:pPr>
      <w:bookmarkStart w:id="407" w:name="_Toc42157468"/>
      <w:bookmarkStart w:id="408" w:name="_Toc31580"/>
      <w:bookmarkStart w:id="409" w:name="_Toc9014"/>
      <w:r>
        <w:rPr>
          <w:rFonts w:hint="eastAsia" w:ascii="宋体" w:hAnsi="宋体" w:cs="宋体"/>
          <w:b/>
          <w:bCs/>
          <w:sz w:val="28"/>
          <w:szCs w:val="28"/>
        </w:rPr>
        <w:br w:type="page"/>
      </w:r>
    </w:p>
    <w:p w14:paraId="414CB221">
      <w:pPr>
        <w:spacing w:line="440" w:lineRule="exact"/>
        <w:ind w:firstLine="562"/>
        <w:jc w:val="center"/>
        <w:outlineLvl w:val="1"/>
        <w:rPr>
          <w:rFonts w:hint="eastAsia" w:ascii="宋体" w:hAnsi="宋体" w:cs="宋体"/>
          <w:b/>
          <w:bCs/>
          <w:sz w:val="28"/>
          <w:szCs w:val="28"/>
        </w:rPr>
      </w:pPr>
      <w:bookmarkStart w:id="410" w:name="_Toc26674"/>
      <w:r>
        <w:rPr>
          <w:rFonts w:hint="eastAsia" w:ascii="宋体" w:hAnsi="宋体" w:cs="宋体"/>
          <w:b/>
          <w:bCs/>
          <w:sz w:val="28"/>
          <w:szCs w:val="28"/>
        </w:rPr>
        <w:t>附件17 其他证明文件</w:t>
      </w:r>
      <w:bookmarkEnd w:id="410"/>
    </w:p>
    <w:p w14:paraId="14EB2FA2">
      <w:pPr>
        <w:spacing w:line="400" w:lineRule="exact"/>
        <w:rPr>
          <w:rFonts w:hint="eastAsia" w:ascii="宋体" w:hAnsi="宋体" w:cs="宋体"/>
          <w:sz w:val="24"/>
          <w:szCs w:val="24"/>
        </w:rPr>
      </w:pPr>
      <w:r>
        <w:rPr>
          <w:rFonts w:hint="eastAsia" w:ascii="宋体" w:hAnsi="宋体" w:cs="宋体"/>
          <w:sz w:val="24"/>
          <w:szCs w:val="24"/>
        </w:rPr>
        <w:t>投标人认为需要提供的其他证明文件（如有）</w:t>
      </w:r>
    </w:p>
    <w:bookmarkEnd w:id="407"/>
    <w:bookmarkEnd w:id="408"/>
    <w:bookmarkEnd w:id="409"/>
    <w:p w14:paraId="35DF90D8">
      <w:pPr>
        <w:spacing w:line="400" w:lineRule="exact"/>
        <w:ind w:firstLine="480" w:firstLineChars="200"/>
        <w:rPr>
          <w:rFonts w:hint="eastAsia" w:ascii="宋体" w:hAnsi="宋体" w:cs="宋体"/>
          <w:sz w:val="24"/>
          <w:szCs w:val="24"/>
        </w:rPr>
      </w:pPr>
    </w:p>
    <w:sectPr>
      <w:footerReference r:id="rId7" w:type="first"/>
      <w:footerReference r:id="rId6" w:type="default"/>
      <w:pgSz w:w="11906" w:h="16838"/>
      <w:pgMar w:top="771" w:right="720" w:bottom="527" w:left="720" w:header="231" w:footer="20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4352"/>
  <w:p w14:paraId="6B38D43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63737">
    <w:pPr>
      <w:pStyle w:val="295"/>
      <w:framePr w:wrap="around" w:vAnchor="text" w:hAnchor="margin" w:xAlign="center" w:y="1"/>
      <w:ind w:firstLine="360"/>
      <w:rPr>
        <w:rStyle w:val="220"/>
      </w:rPr>
    </w:pPr>
    <w:r>
      <w:fldChar w:fldCharType="begin"/>
    </w:r>
    <w:r>
      <w:rPr>
        <w:rStyle w:val="220"/>
      </w:rPr>
      <w:instrText xml:space="preserve">PAGE  </w:instrText>
    </w:r>
    <w:r>
      <w:fldChar w:fldCharType="separate"/>
    </w:r>
    <w:r>
      <w:rPr>
        <w:rStyle w:val="220"/>
      </w:rPr>
      <w:t>1</w:t>
    </w:r>
    <w:r>
      <w:fldChar w:fldCharType="end"/>
    </w:r>
  </w:p>
  <w:p w14:paraId="713E23F4">
    <w:pPr>
      <w:pStyle w:val="295"/>
      <w:ind w:firstLine="360"/>
    </w:pPr>
  </w:p>
  <w:p w14:paraId="63426833"/>
  <w:p w14:paraId="65B3A3C9"/>
  <w:p w14:paraId="1270CA3D"/>
  <w:p w14:paraId="332128D7"/>
  <w:p w14:paraId="0B7F5B4A"/>
  <w:p w14:paraId="588C0229"/>
  <w:p w14:paraId="60336331"/>
  <w:p w14:paraId="70BC8EFC"/>
  <w:p w14:paraId="0A6E7441"/>
  <w:p w14:paraId="0AC074B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2E570">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AC27E">
                          <w:pPr>
                            <w:pStyle w:val="2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ADAC27E">
                    <w:pPr>
                      <w:pStyle w:val="22"/>
                    </w:pPr>
                    <w:r>
                      <w:fldChar w:fldCharType="begin"/>
                    </w:r>
                    <w:r>
                      <w:instrText xml:space="preserve"> PAGE  \* MERGEFORMAT </w:instrText>
                    </w:r>
                    <w:r>
                      <w:fldChar w:fldCharType="separate"/>
                    </w:r>
                    <w:r>
                      <w:t>4</w:t>
                    </w:r>
                    <w:r>
                      <w:fldChar w:fldCharType="end"/>
                    </w:r>
                  </w:p>
                </w:txbxContent>
              </v:textbox>
            </v:shape>
          </w:pict>
        </mc:Fallback>
      </mc:AlternateContent>
    </w:r>
  </w:p>
  <w:p w14:paraId="279EC46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6B1F6">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19A1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C519A10">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B61A3">
    <w:pPr>
      <w:pStyle w:val="293"/>
      <w:ind w:firstLine="360"/>
      <w:jc w:val="left"/>
    </w:pPr>
    <w:r>
      <w:rPr>
        <w:rFonts w:hint="eastAsia" w:ascii="宋体" w:hAnsi="宋体" w:cs="宋体"/>
        <w:color w:val="000000" w:themeColor="text1"/>
        <w:sz w:val="24"/>
        <w:szCs w:val="24"/>
        <w14:textFill>
          <w14:solidFill>
            <w14:schemeClr w14:val="tx1"/>
          </w14:solidFill>
        </w14:textFill>
      </w:rPr>
      <w:t>涵熙（苏州）工程顾问有限公司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9"/>
      <w:suff w:val="nothing"/>
      <w:lvlText w:val=""/>
      <w:lvlJc w:val="left"/>
      <w:pPr>
        <w:ind w:left="0" w:firstLine="0"/>
      </w:pPr>
      <w:rPr>
        <w:rFonts w:hint="eastAsia"/>
      </w:rPr>
    </w:lvl>
    <w:lvl w:ilvl="6" w:tentative="0">
      <w:start w:val="1"/>
      <w:numFmt w:val="decimal"/>
      <w:pStyle w:val="200"/>
      <w:suff w:val="nothing"/>
      <w:lvlText w:val=""/>
      <w:lvlJc w:val="left"/>
      <w:pPr>
        <w:ind w:left="0" w:firstLine="0"/>
      </w:pPr>
      <w:rPr>
        <w:rFonts w:hint="eastAsia"/>
      </w:rPr>
    </w:lvl>
    <w:lvl w:ilvl="7" w:tentative="0">
      <w:start w:val="1"/>
      <w:numFmt w:val="decimal"/>
      <w:pStyle w:val="201"/>
      <w:suff w:val="nothing"/>
      <w:lvlText w:val=""/>
      <w:lvlJc w:val="left"/>
      <w:pPr>
        <w:ind w:left="0" w:firstLine="0"/>
      </w:pPr>
      <w:rPr>
        <w:rFonts w:hint="eastAsia"/>
      </w:rPr>
    </w:lvl>
    <w:lvl w:ilvl="8" w:tentative="0">
      <w:start w:val="1"/>
      <w:numFmt w:val="decimal"/>
      <w:pStyle w:val="202"/>
      <w:suff w:val="nothing"/>
      <w:lvlText w:val=""/>
      <w:lvlJc w:val="left"/>
      <w:pPr>
        <w:ind w:left="0" w:firstLine="0"/>
      </w:pPr>
      <w:rPr>
        <w:rFonts w:hint="eastAsia"/>
      </w:rPr>
    </w:lvl>
  </w:abstractNum>
  <w:abstractNum w:abstractNumId="1">
    <w:nsid w:val="F441EC33"/>
    <w:multiLevelType w:val="singleLevel"/>
    <w:tmpl w:val="F441EC33"/>
    <w:lvl w:ilvl="0" w:tentative="0">
      <w:start w:val="2"/>
      <w:numFmt w:val="chineseCounting"/>
      <w:suff w:val="nothing"/>
      <w:lvlText w:val="%1、"/>
      <w:lvlJc w:val="left"/>
      <w:rPr>
        <w:rFonts w:hint="eastAsia"/>
      </w:rPr>
    </w:lvl>
  </w:abstractNum>
  <w:abstractNum w:abstractNumId="2">
    <w:nsid w:val="F4B5D9F5"/>
    <w:multiLevelType w:val="multilevel"/>
    <w:tmpl w:val="F4B5D9F5"/>
    <w:lvl w:ilvl="0" w:tentative="0">
      <w:start w:val="1"/>
      <w:numFmt w:val="decimal"/>
      <w:pStyle w:val="26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470EC97"/>
    <w:multiLevelType w:val="multilevel"/>
    <w:tmpl w:val="2470EC97"/>
    <w:lvl w:ilvl="0" w:tentative="0">
      <w:start w:val="1"/>
      <w:numFmt w:val="decimal"/>
      <w:pStyle w:val="339"/>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ABE0B87"/>
    <w:multiLevelType w:val="singleLevel"/>
    <w:tmpl w:val="2ABE0B87"/>
    <w:lvl w:ilvl="0" w:tentative="0">
      <w:start w:val="2"/>
      <w:numFmt w:val="decimal"/>
      <w:suff w:val="nothing"/>
      <w:lvlText w:val="（%1）"/>
      <w:lvlJc w:val="left"/>
    </w:lvl>
  </w:abstractNum>
  <w:abstractNum w:abstractNumId="5">
    <w:nsid w:val="2D179BCF"/>
    <w:multiLevelType w:val="singleLevel"/>
    <w:tmpl w:val="2D179BCF"/>
    <w:lvl w:ilvl="0" w:tentative="0">
      <w:start w:val="2"/>
      <w:numFmt w:val="decimal"/>
      <w:suff w:val="nothing"/>
      <w:lvlText w:val="%1）"/>
      <w:lvlJc w:val="left"/>
    </w:lvl>
  </w:abstractNum>
  <w:abstractNum w:abstractNumId="6">
    <w:nsid w:val="4D4DC07F"/>
    <w:multiLevelType w:val="multilevel"/>
    <w:tmpl w:val="4D4DC07F"/>
    <w:lvl w:ilvl="0" w:tentative="0">
      <w:start w:val="1"/>
      <w:numFmt w:val="upperLetter"/>
      <w:pStyle w:val="24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2"/>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2ODQ5ZjVhOWM2ZDA2MGQ2ZjM3ZWM1NzNlYWMyOTIifQ=="/>
  </w:docVars>
  <w:rsids>
    <w:rsidRoot w:val="00547490"/>
    <w:rsid w:val="00026105"/>
    <w:rsid w:val="00043BC3"/>
    <w:rsid w:val="00045B1C"/>
    <w:rsid w:val="00060CA1"/>
    <w:rsid w:val="000740A4"/>
    <w:rsid w:val="000762E2"/>
    <w:rsid w:val="000C1C36"/>
    <w:rsid w:val="000C31AE"/>
    <w:rsid w:val="000C6A05"/>
    <w:rsid w:val="000C7D4B"/>
    <w:rsid w:val="000D67AE"/>
    <w:rsid w:val="000F0E1F"/>
    <w:rsid w:val="001271F0"/>
    <w:rsid w:val="0014683F"/>
    <w:rsid w:val="001911AE"/>
    <w:rsid w:val="001B0FB3"/>
    <w:rsid w:val="001B461D"/>
    <w:rsid w:val="001E4689"/>
    <w:rsid w:val="00203A73"/>
    <w:rsid w:val="002424E1"/>
    <w:rsid w:val="00244355"/>
    <w:rsid w:val="00244B15"/>
    <w:rsid w:val="002610F9"/>
    <w:rsid w:val="00282C60"/>
    <w:rsid w:val="002A0B39"/>
    <w:rsid w:val="002A23FA"/>
    <w:rsid w:val="002C54A3"/>
    <w:rsid w:val="002F3CBA"/>
    <w:rsid w:val="002F7716"/>
    <w:rsid w:val="003057C6"/>
    <w:rsid w:val="0034153D"/>
    <w:rsid w:val="00356187"/>
    <w:rsid w:val="003723C8"/>
    <w:rsid w:val="003B6343"/>
    <w:rsid w:val="00400F30"/>
    <w:rsid w:val="004021BA"/>
    <w:rsid w:val="0042249D"/>
    <w:rsid w:val="0042712A"/>
    <w:rsid w:val="004309EA"/>
    <w:rsid w:val="0045607D"/>
    <w:rsid w:val="0046726F"/>
    <w:rsid w:val="00490BEC"/>
    <w:rsid w:val="00497019"/>
    <w:rsid w:val="004B02E0"/>
    <w:rsid w:val="00534212"/>
    <w:rsid w:val="00547490"/>
    <w:rsid w:val="00553F7A"/>
    <w:rsid w:val="005B19EF"/>
    <w:rsid w:val="005E4920"/>
    <w:rsid w:val="006262B4"/>
    <w:rsid w:val="006268A0"/>
    <w:rsid w:val="00643F57"/>
    <w:rsid w:val="006479E8"/>
    <w:rsid w:val="006560F7"/>
    <w:rsid w:val="006566F3"/>
    <w:rsid w:val="0067578B"/>
    <w:rsid w:val="006851CB"/>
    <w:rsid w:val="006B037E"/>
    <w:rsid w:val="006B3205"/>
    <w:rsid w:val="006C0522"/>
    <w:rsid w:val="006E2EE2"/>
    <w:rsid w:val="006F3B3E"/>
    <w:rsid w:val="00707A86"/>
    <w:rsid w:val="00721CC7"/>
    <w:rsid w:val="00724F93"/>
    <w:rsid w:val="00727120"/>
    <w:rsid w:val="00735A76"/>
    <w:rsid w:val="00763FC2"/>
    <w:rsid w:val="007A3911"/>
    <w:rsid w:val="007C5395"/>
    <w:rsid w:val="007C7652"/>
    <w:rsid w:val="00812DCD"/>
    <w:rsid w:val="00813728"/>
    <w:rsid w:val="00814A21"/>
    <w:rsid w:val="00820B94"/>
    <w:rsid w:val="00833208"/>
    <w:rsid w:val="0084065D"/>
    <w:rsid w:val="00860DDF"/>
    <w:rsid w:val="00895D26"/>
    <w:rsid w:val="00897223"/>
    <w:rsid w:val="008A1C1B"/>
    <w:rsid w:val="008B1418"/>
    <w:rsid w:val="008C2BE0"/>
    <w:rsid w:val="008C3BC9"/>
    <w:rsid w:val="00964D43"/>
    <w:rsid w:val="009664C3"/>
    <w:rsid w:val="0098348C"/>
    <w:rsid w:val="00986ED3"/>
    <w:rsid w:val="0098764C"/>
    <w:rsid w:val="009A741C"/>
    <w:rsid w:val="00A02E1F"/>
    <w:rsid w:val="00A073A8"/>
    <w:rsid w:val="00A140D2"/>
    <w:rsid w:val="00A252BA"/>
    <w:rsid w:val="00A35740"/>
    <w:rsid w:val="00A633BC"/>
    <w:rsid w:val="00A74427"/>
    <w:rsid w:val="00A77F95"/>
    <w:rsid w:val="00AB3D28"/>
    <w:rsid w:val="00B00B83"/>
    <w:rsid w:val="00B07017"/>
    <w:rsid w:val="00B81A59"/>
    <w:rsid w:val="00BB0F12"/>
    <w:rsid w:val="00BB4B17"/>
    <w:rsid w:val="00BD6EE9"/>
    <w:rsid w:val="00C2120A"/>
    <w:rsid w:val="00C21AAF"/>
    <w:rsid w:val="00C5663B"/>
    <w:rsid w:val="00C67289"/>
    <w:rsid w:val="00C76D2D"/>
    <w:rsid w:val="00C93FDA"/>
    <w:rsid w:val="00C9503D"/>
    <w:rsid w:val="00CB655B"/>
    <w:rsid w:val="00CB77B1"/>
    <w:rsid w:val="00CE2C5C"/>
    <w:rsid w:val="00CE69F0"/>
    <w:rsid w:val="00CE7480"/>
    <w:rsid w:val="00D109FB"/>
    <w:rsid w:val="00D33C8A"/>
    <w:rsid w:val="00D46F6A"/>
    <w:rsid w:val="00D50305"/>
    <w:rsid w:val="00D5325F"/>
    <w:rsid w:val="00D6783B"/>
    <w:rsid w:val="00D7055F"/>
    <w:rsid w:val="00D90F54"/>
    <w:rsid w:val="00D973E5"/>
    <w:rsid w:val="00DA29A0"/>
    <w:rsid w:val="00DB088D"/>
    <w:rsid w:val="00DB2436"/>
    <w:rsid w:val="00DB483A"/>
    <w:rsid w:val="00DE4ED5"/>
    <w:rsid w:val="00E12348"/>
    <w:rsid w:val="00E13A83"/>
    <w:rsid w:val="00E25962"/>
    <w:rsid w:val="00E61A4C"/>
    <w:rsid w:val="00E740AB"/>
    <w:rsid w:val="00EB5C5C"/>
    <w:rsid w:val="00EE3AFE"/>
    <w:rsid w:val="00F249D2"/>
    <w:rsid w:val="00F437E9"/>
    <w:rsid w:val="00FA51C9"/>
    <w:rsid w:val="00FB5444"/>
    <w:rsid w:val="00FB5B48"/>
    <w:rsid w:val="00FC0496"/>
    <w:rsid w:val="00FC0BA7"/>
    <w:rsid w:val="00FF3B35"/>
    <w:rsid w:val="0129393B"/>
    <w:rsid w:val="059B1E55"/>
    <w:rsid w:val="05AC54A0"/>
    <w:rsid w:val="05B021B6"/>
    <w:rsid w:val="0660536F"/>
    <w:rsid w:val="09501EE8"/>
    <w:rsid w:val="0D314ADA"/>
    <w:rsid w:val="0DD8176C"/>
    <w:rsid w:val="0ECA1208"/>
    <w:rsid w:val="0ED6B4CD"/>
    <w:rsid w:val="0EF71728"/>
    <w:rsid w:val="118058B6"/>
    <w:rsid w:val="127F6AAE"/>
    <w:rsid w:val="145C1097"/>
    <w:rsid w:val="169532E2"/>
    <w:rsid w:val="179518C7"/>
    <w:rsid w:val="182E69C8"/>
    <w:rsid w:val="193E188A"/>
    <w:rsid w:val="1B105084"/>
    <w:rsid w:val="1CA06753"/>
    <w:rsid w:val="23171139"/>
    <w:rsid w:val="24545B99"/>
    <w:rsid w:val="24DC4F0F"/>
    <w:rsid w:val="26D62895"/>
    <w:rsid w:val="27A75A59"/>
    <w:rsid w:val="28416434"/>
    <w:rsid w:val="28B8078C"/>
    <w:rsid w:val="28BA66AB"/>
    <w:rsid w:val="29CA77AB"/>
    <w:rsid w:val="2B164EBE"/>
    <w:rsid w:val="2B603FDB"/>
    <w:rsid w:val="2F2E3D05"/>
    <w:rsid w:val="31A359FC"/>
    <w:rsid w:val="329C02BC"/>
    <w:rsid w:val="35601CE2"/>
    <w:rsid w:val="358425F0"/>
    <w:rsid w:val="37363F74"/>
    <w:rsid w:val="39FC55FA"/>
    <w:rsid w:val="3A4B27E3"/>
    <w:rsid w:val="3C032653"/>
    <w:rsid w:val="3C2D1349"/>
    <w:rsid w:val="3E4B3EAD"/>
    <w:rsid w:val="3EAA3862"/>
    <w:rsid w:val="3F45540A"/>
    <w:rsid w:val="3FF935B1"/>
    <w:rsid w:val="41EF0857"/>
    <w:rsid w:val="4379287D"/>
    <w:rsid w:val="48A82480"/>
    <w:rsid w:val="495A4B14"/>
    <w:rsid w:val="4D740557"/>
    <w:rsid w:val="4D866DD2"/>
    <w:rsid w:val="4FC664AC"/>
    <w:rsid w:val="52676552"/>
    <w:rsid w:val="53643744"/>
    <w:rsid w:val="54B26C85"/>
    <w:rsid w:val="57647F34"/>
    <w:rsid w:val="5A6227F3"/>
    <w:rsid w:val="5C572E90"/>
    <w:rsid w:val="5D202C90"/>
    <w:rsid w:val="5D2B6790"/>
    <w:rsid w:val="5DEDD217"/>
    <w:rsid w:val="5E4B11E6"/>
    <w:rsid w:val="5EDA252D"/>
    <w:rsid w:val="649A48FD"/>
    <w:rsid w:val="660C502E"/>
    <w:rsid w:val="66B04064"/>
    <w:rsid w:val="696B7A94"/>
    <w:rsid w:val="6A7F5903"/>
    <w:rsid w:val="6ADA0C61"/>
    <w:rsid w:val="6B6130BC"/>
    <w:rsid w:val="6BEF74C2"/>
    <w:rsid w:val="6C6B1B28"/>
    <w:rsid w:val="6DFFC984"/>
    <w:rsid w:val="6E163845"/>
    <w:rsid w:val="6E592D9C"/>
    <w:rsid w:val="6E68362E"/>
    <w:rsid w:val="724579C6"/>
    <w:rsid w:val="745A130C"/>
    <w:rsid w:val="760700DF"/>
    <w:rsid w:val="766B3367"/>
    <w:rsid w:val="76DB3A33"/>
    <w:rsid w:val="76F90536"/>
    <w:rsid w:val="779A1D51"/>
    <w:rsid w:val="77A593D6"/>
    <w:rsid w:val="784A163F"/>
    <w:rsid w:val="7B8E630F"/>
    <w:rsid w:val="7E3B6528"/>
    <w:rsid w:val="7F18688D"/>
    <w:rsid w:val="7FF71118"/>
    <w:rsid w:val="9BF2986B"/>
    <w:rsid w:val="AABF19D7"/>
    <w:rsid w:val="BF3FA0CB"/>
    <w:rsid w:val="EDCDCADE"/>
    <w:rsid w:val="F2FF4910"/>
    <w:rsid w:val="F52E30F4"/>
    <w:rsid w:val="F5CFB3D3"/>
    <w:rsid w:val="FBD928E9"/>
    <w:rsid w:val="FBFF6593"/>
    <w:rsid w:val="FCEB129C"/>
    <w:rsid w:val="FF7D7B68"/>
    <w:rsid w:val="FFED351C"/>
    <w:rsid w:val="FFF75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autoRedefine/>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2"/>
    <w:semiHidden/>
    <w:unhideWhenUsed/>
    <w:qFormat/>
    <w:uiPriority w:val="99"/>
    <w:pPr>
      <w:jc w:val="left"/>
    </w:pPr>
  </w:style>
  <w:style w:type="paragraph" w:styleId="14">
    <w:name w:val="Body Text"/>
    <w:basedOn w:val="1"/>
    <w:autoRedefine/>
    <w:qFormat/>
    <w:uiPriority w:val="0"/>
    <w:rPr>
      <w:rFonts w:ascii="楷体_GB2312" w:hAnsi="Arial" w:eastAsia="楷体_GB2312"/>
      <w:sz w:val="28"/>
    </w:rPr>
  </w:style>
  <w:style w:type="paragraph" w:styleId="15">
    <w:name w:val="Body Text Indent"/>
    <w:basedOn w:val="1"/>
    <w:qFormat/>
    <w:uiPriority w:val="0"/>
    <w:pPr>
      <w:adjustRightInd w:val="0"/>
      <w:spacing w:line="312" w:lineRule="atLeast"/>
      <w:ind w:firstLine="574"/>
      <w:textAlignment w:val="baseline"/>
    </w:pPr>
    <w:rPr>
      <w:rFonts w:ascii="宋体"/>
      <w:sz w:val="28"/>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hAnsi="Courier New"/>
      <w:sz w:val="24"/>
    </w:rPr>
  </w:style>
  <w:style w:type="paragraph" w:styleId="19">
    <w:name w:val="toc 8"/>
    <w:basedOn w:val="1"/>
    <w:next w:val="1"/>
    <w:autoRedefine/>
    <w:unhideWhenUsed/>
    <w:qFormat/>
    <w:uiPriority w:val="39"/>
    <w:pPr>
      <w:spacing w:after="57"/>
      <w:ind w:left="1984"/>
    </w:pPr>
  </w:style>
  <w:style w:type="paragraph" w:styleId="20">
    <w:name w:val="endnote text"/>
    <w:basedOn w:val="1"/>
    <w:link w:val="191"/>
    <w:autoRedefine/>
    <w:semiHidden/>
    <w:unhideWhenUsed/>
    <w:qFormat/>
    <w:uiPriority w:val="99"/>
    <w:rPr>
      <w:sz w:val="20"/>
    </w:rPr>
  </w:style>
  <w:style w:type="paragraph" w:styleId="21">
    <w:name w:val="Balloon Text"/>
    <w:basedOn w:val="1"/>
    <w:link w:val="364"/>
    <w:autoRedefine/>
    <w:semiHidden/>
    <w:unhideWhenUsed/>
    <w:qFormat/>
    <w:uiPriority w:val="99"/>
    <w:rPr>
      <w:sz w:val="18"/>
      <w:szCs w:val="18"/>
    </w:rPr>
  </w:style>
  <w:style w:type="paragraph" w:styleId="22">
    <w:name w:val="footer"/>
    <w:basedOn w:val="1"/>
    <w:link w:val="64"/>
    <w:autoRedefine/>
    <w:unhideWhenUsed/>
    <w:qFormat/>
    <w:uiPriority w:val="99"/>
    <w:pPr>
      <w:tabs>
        <w:tab w:val="center" w:pos="7143"/>
        <w:tab w:val="right" w:pos="14287"/>
      </w:tabs>
    </w:pPr>
  </w:style>
  <w:style w:type="paragraph" w:styleId="23">
    <w:name w:val="envelope return"/>
    <w:basedOn w:val="1"/>
    <w:autoRedefine/>
    <w:qFormat/>
    <w:uiPriority w:val="0"/>
    <w:pPr>
      <w:snapToGrid w:val="0"/>
    </w:pPr>
    <w:rPr>
      <w:rFonts w:ascii="Arial" w:hAnsi="Arial"/>
    </w:rPr>
  </w:style>
  <w:style w:type="paragraph" w:styleId="24">
    <w:name w:val="header"/>
    <w:basedOn w:val="1"/>
    <w:link w:val="62"/>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Normal (Web)"/>
    <w:basedOn w:val="1"/>
    <w:link w:val="369"/>
    <w:autoRedefine/>
    <w:unhideWhenUsed/>
    <w:qFormat/>
    <w:uiPriority w:val="99"/>
    <w:pPr>
      <w:widowControl/>
      <w:spacing w:before="100" w:beforeAutospacing="1" w:after="100" w:afterAutospacing="1"/>
      <w:jc w:val="left"/>
    </w:pPr>
    <w:rPr>
      <w:rFonts w:ascii="宋体" w:hAnsi="宋体" w:cs="宋体"/>
      <w:sz w:val="24"/>
      <w:szCs w:val="24"/>
    </w:rPr>
  </w:style>
  <w:style w:type="paragraph" w:styleId="34">
    <w:name w:val="Title"/>
    <w:basedOn w:val="1"/>
    <w:next w:val="1"/>
    <w:link w:val="56"/>
    <w:autoRedefine/>
    <w:qFormat/>
    <w:uiPriority w:val="10"/>
    <w:pPr>
      <w:spacing w:before="300" w:after="200"/>
      <w:contextualSpacing/>
    </w:pPr>
    <w:rPr>
      <w:sz w:val="48"/>
      <w:szCs w:val="48"/>
    </w:rPr>
  </w:style>
  <w:style w:type="paragraph" w:styleId="35">
    <w:name w:val="annotation subject"/>
    <w:basedOn w:val="13"/>
    <w:next w:val="13"/>
    <w:link w:val="363"/>
    <w:semiHidden/>
    <w:unhideWhenUsed/>
    <w:qFormat/>
    <w:uiPriority w:val="99"/>
    <w:rPr>
      <w:b/>
      <w:bCs/>
    </w:rPr>
  </w:style>
  <w:style w:type="paragraph" w:styleId="36">
    <w:name w:val="Body Text First Indent"/>
    <w:basedOn w:val="14"/>
    <w:next w:val="37"/>
    <w:autoRedefine/>
    <w:unhideWhenUsed/>
    <w:qFormat/>
    <w:uiPriority w:val="99"/>
    <w:pPr>
      <w:ind w:firstLine="420" w:firstLineChars="100"/>
    </w:pPr>
  </w:style>
  <w:style w:type="paragraph" w:styleId="37">
    <w:name w:val="Body Text First Indent 2"/>
    <w:basedOn w:val="15"/>
    <w:next w:val="36"/>
    <w:autoRedefine/>
    <w:qFormat/>
    <w:uiPriority w:val="0"/>
    <w:pPr>
      <w:ind w:firstLine="420" w:firstLineChars="200"/>
    </w:pPr>
  </w:style>
  <w:style w:type="table" w:styleId="39">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autoRedefin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40"/>
    <w:autoRedefine/>
    <w:semiHidden/>
    <w:unhideWhenUsed/>
    <w:qFormat/>
    <w:uiPriority w:val="99"/>
    <w:rPr>
      <w:sz w:val="21"/>
      <w:szCs w:val="21"/>
    </w:rPr>
  </w:style>
  <w:style w:type="character" w:styleId="44">
    <w:name w:val="footnote reference"/>
    <w:autoRedefine/>
    <w:unhideWhenUsed/>
    <w:qFormat/>
    <w:uiPriority w:val="99"/>
    <w:rPr>
      <w:vertAlign w:val="superscript"/>
    </w:rPr>
  </w:style>
  <w:style w:type="character" w:customStyle="1" w:styleId="45">
    <w:name w:val="标题 1 字符1"/>
    <w:link w:val="2"/>
    <w:autoRedefine/>
    <w:qFormat/>
    <w:uiPriority w:val="9"/>
    <w:rPr>
      <w:rFonts w:ascii="Arial" w:hAnsi="Arial" w:eastAsia="Arial" w:cs="Arial"/>
      <w:sz w:val="40"/>
      <w:szCs w:val="40"/>
    </w:rPr>
  </w:style>
  <w:style w:type="character" w:customStyle="1" w:styleId="46">
    <w:name w:val="标题 2 字符3"/>
    <w:link w:val="3"/>
    <w:autoRedefine/>
    <w:qFormat/>
    <w:uiPriority w:val="9"/>
    <w:rPr>
      <w:rFonts w:ascii="Arial" w:hAnsi="Arial" w:eastAsia="Arial" w:cs="Arial"/>
      <w:sz w:val="34"/>
    </w:rPr>
  </w:style>
  <w:style w:type="character" w:customStyle="1" w:styleId="47">
    <w:name w:val="标题 3 字符"/>
    <w:link w:val="4"/>
    <w:autoRedefine/>
    <w:qFormat/>
    <w:uiPriority w:val="9"/>
    <w:rPr>
      <w:rFonts w:ascii="Arial" w:hAnsi="Arial" w:eastAsia="Arial" w:cs="Arial"/>
      <w:sz w:val="30"/>
      <w:szCs w:val="30"/>
    </w:rPr>
  </w:style>
  <w:style w:type="character" w:customStyle="1" w:styleId="48">
    <w:name w:val="标题 4 字符"/>
    <w:link w:val="5"/>
    <w:autoRedefine/>
    <w:qFormat/>
    <w:uiPriority w:val="9"/>
    <w:rPr>
      <w:rFonts w:ascii="Arial" w:hAnsi="Arial" w:eastAsia="Arial" w:cs="Arial"/>
      <w:b/>
      <w:bCs/>
      <w:sz w:val="26"/>
      <w:szCs w:val="26"/>
    </w:rPr>
  </w:style>
  <w:style w:type="character" w:customStyle="1" w:styleId="49">
    <w:name w:val="标题 5 字符"/>
    <w:link w:val="6"/>
    <w:autoRedefine/>
    <w:qFormat/>
    <w:uiPriority w:val="9"/>
    <w:rPr>
      <w:rFonts w:ascii="Arial" w:hAnsi="Arial" w:eastAsia="Arial" w:cs="Arial"/>
      <w:b/>
      <w:bCs/>
      <w:sz w:val="24"/>
      <w:szCs w:val="24"/>
    </w:rPr>
  </w:style>
  <w:style w:type="character" w:customStyle="1" w:styleId="50">
    <w:name w:val="标题 6 字符"/>
    <w:link w:val="7"/>
    <w:autoRedefine/>
    <w:qFormat/>
    <w:uiPriority w:val="9"/>
    <w:rPr>
      <w:rFonts w:ascii="Arial" w:hAnsi="Arial" w:eastAsia="Arial" w:cs="Arial"/>
      <w:b/>
      <w:bCs/>
      <w:sz w:val="22"/>
      <w:szCs w:val="22"/>
    </w:rPr>
  </w:style>
  <w:style w:type="character" w:customStyle="1" w:styleId="51">
    <w:name w:val="标题 7 字符"/>
    <w:link w:val="8"/>
    <w:autoRedefine/>
    <w:qFormat/>
    <w:uiPriority w:val="9"/>
    <w:rPr>
      <w:rFonts w:ascii="Arial" w:hAnsi="Arial" w:eastAsia="Arial" w:cs="Arial"/>
      <w:b/>
      <w:bCs/>
      <w:i/>
      <w:iCs/>
      <w:sz w:val="22"/>
      <w:szCs w:val="22"/>
    </w:rPr>
  </w:style>
  <w:style w:type="character" w:customStyle="1" w:styleId="52">
    <w:name w:val="标题 8 字符"/>
    <w:link w:val="9"/>
    <w:autoRedefine/>
    <w:qFormat/>
    <w:uiPriority w:val="9"/>
    <w:rPr>
      <w:rFonts w:ascii="Arial" w:hAnsi="Arial" w:eastAsia="Arial" w:cs="Arial"/>
      <w:i/>
      <w:iCs/>
      <w:sz w:val="22"/>
      <w:szCs w:val="22"/>
    </w:rPr>
  </w:style>
  <w:style w:type="character" w:customStyle="1" w:styleId="53">
    <w:name w:val="标题 9 字符"/>
    <w:link w:val="10"/>
    <w:autoRedefine/>
    <w:qFormat/>
    <w:uiPriority w:val="9"/>
    <w:rPr>
      <w:rFonts w:ascii="Arial" w:hAnsi="Arial" w:eastAsia="Arial" w:cs="Arial"/>
      <w:i/>
      <w:iCs/>
      <w:sz w:val="21"/>
      <w:szCs w:val="21"/>
    </w:rPr>
  </w:style>
  <w:style w:type="paragraph" w:styleId="54">
    <w:name w:val="List Paragraph"/>
    <w:basedOn w:val="1"/>
    <w:autoRedefine/>
    <w:qFormat/>
    <w:uiPriority w:val="34"/>
    <w:pPr>
      <w:ind w:left="720"/>
      <w:contextualSpacing/>
    </w:pPr>
  </w:style>
  <w:style w:type="paragraph" w:styleId="55">
    <w:name w:val="No Spacing"/>
    <w:autoRedefine/>
    <w:qFormat/>
    <w:uiPriority w:val="1"/>
    <w:rPr>
      <w:rFonts w:ascii="Calibri" w:hAnsi="Calibri" w:eastAsia="宋体" w:cs="Times New Roman"/>
      <w:lang w:val="en-US" w:eastAsia="zh-CN" w:bidi="ar-SA"/>
    </w:rPr>
  </w:style>
  <w:style w:type="character" w:customStyle="1" w:styleId="56">
    <w:name w:val="标题 字符"/>
    <w:link w:val="34"/>
    <w:autoRedefine/>
    <w:qFormat/>
    <w:uiPriority w:val="10"/>
    <w:rPr>
      <w:sz w:val="48"/>
      <w:szCs w:val="48"/>
    </w:rPr>
  </w:style>
  <w:style w:type="character" w:customStyle="1" w:styleId="57">
    <w:name w:val="副标题 字符"/>
    <w:link w:val="27"/>
    <w:autoRedefine/>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页眉 字符"/>
    <w:link w:val="24"/>
    <w:qFormat/>
    <w:uiPriority w:val="99"/>
  </w:style>
  <w:style w:type="character" w:customStyle="1" w:styleId="63">
    <w:name w:val="Footer Char"/>
    <w:qFormat/>
    <w:uiPriority w:val="99"/>
  </w:style>
  <w:style w:type="character" w:customStyle="1" w:styleId="64">
    <w:name w:val="页脚 字符"/>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1"/>
    <w:link w:val="28"/>
    <w:qFormat/>
    <w:uiPriority w:val="99"/>
    <w:rPr>
      <w:sz w:val="18"/>
    </w:rPr>
  </w:style>
  <w:style w:type="character" w:customStyle="1" w:styleId="191">
    <w:name w:val="尾注文本 字符"/>
    <w:link w:val="20"/>
    <w:qFormat/>
    <w:uiPriority w:val="99"/>
    <w:rPr>
      <w:sz w:val="20"/>
    </w:rPr>
  </w:style>
  <w:style w:type="paragraph" w:customStyle="1" w:styleId="192">
    <w:name w:val="TOC 标题1"/>
    <w:unhideWhenUsed/>
    <w:qFormat/>
    <w:uiPriority w:val="39"/>
    <w:rPr>
      <w:rFonts w:ascii="Calibri" w:hAnsi="Calibri" w:eastAsia="宋体" w:cs="Times New Roman"/>
      <w:lang w:val="en-US" w:eastAsia="zh-CN" w:bidi="ar-SA"/>
    </w:rPr>
  </w:style>
  <w:style w:type="paragraph" w:customStyle="1" w:styleId="193">
    <w:name w:val="标题 11"/>
    <w:basedOn w:val="1"/>
    <w:next w:val="1"/>
    <w:link w:val="205"/>
    <w:qFormat/>
    <w:uiPriority w:val="9"/>
    <w:pPr>
      <w:keepNext/>
      <w:jc w:val="center"/>
      <w:outlineLvl w:val="0"/>
    </w:pPr>
    <w:rPr>
      <w:rFonts w:ascii="楷体_GB2312" w:hAnsi="Times New Roman" w:eastAsia="楷体_GB2312"/>
      <w:sz w:val="28"/>
      <w:szCs w:val="28"/>
    </w:rPr>
  </w:style>
  <w:style w:type="paragraph" w:customStyle="1" w:styleId="194">
    <w:name w:val="标题 21"/>
    <w:basedOn w:val="1"/>
    <w:next w:val="195"/>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5">
    <w:name w:val="正文缩进1"/>
    <w:basedOn w:val="1"/>
    <w:link w:val="216"/>
    <w:qFormat/>
    <w:uiPriority w:val="0"/>
    <w:pPr>
      <w:ind w:firstLine="420"/>
    </w:pPr>
    <w:rPr>
      <w:szCs w:val="21"/>
    </w:rPr>
  </w:style>
  <w:style w:type="paragraph" w:customStyle="1" w:styleId="196">
    <w:name w:val="标题 31"/>
    <w:basedOn w:val="1"/>
    <w:next w:val="195"/>
    <w:link w:val="207"/>
    <w:qFormat/>
    <w:uiPriority w:val="0"/>
    <w:pPr>
      <w:keepNext/>
      <w:keepLines/>
      <w:spacing w:before="260" w:after="260" w:line="416" w:lineRule="auto"/>
      <w:outlineLvl w:val="2"/>
    </w:pPr>
    <w:rPr>
      <w:rFonts w:ascii="Times New Roman" w:hAnsi="Times New Roman"/>
      <w:b/>
      <w:bCs/>
      <w:sz w:val="32"/>
      <w:szCs w:val="32"/>
    </w:rPr>
  </w:style>
  <w:style w:type="paragraph" w:customStyle="1" w:styleId="197">
    <w:name w:val="标题 41"/>
    <w:basedOn w:val="1"/>
    <w:next w:val="195"/>
    <w:link w:val="20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8">
    <w:name w:val="标题 51"/>
    <w:basedOn w:val="1"/>
    <w:next w:val="195"/>
    <w:link w:val="209"/>
    <w:qFormat/>
    <w:uiPriority w:val="0"/>
    <w:pPr>
      <w:keepNext/>
      <w:outlineLvl w:val="4"/>
    </w:pPr>
    <w:rPr>
      <w:rFonts w:ascii="宋体" w:hAnsi="Times New Roman"/>
      <w:color w:val="000000"/>
      <w:sz w:val="28"/>
      <w:szCs w:val="28"/>
    </w:rPr>
  </w:style>
  <w:style w:type="paragraph" w:customStyle="1" w:styleId="199">
    <w:name w:val="标题 61"/>
    <w:basedOn w:val="1"/>
    <w:next w:val="1"/>
    <w:link w:val="21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0">
    <w:name w:val="标题 71"/>
    <w:basedOn w:val="1"/>
    <w:next w:val="1"/>
    <w:link w:val="21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1">
    <w:name w:val="标题 81"/>
    <w:basedOn w:val="1"/>
    <w:next w:val="1"/>
    <w:link w:val="21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2">
    <w:name w:val="标题 91"/>
    <w:basedOn w:val="1"/>
    <w:next w:val="1"/>
    <w:link w:val="213"/>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3">
    <w:name w:val="默认段落字体1"/>
    <w:autoRedefine/>
    <w:semiHidden/>
    <w:unhideWhenUsed/>
    <w:qFormat/>
    <w:uiPriority w:val="1"/>
  </w:style>
  <w:style w:type="table" w:customStyle="1" w:styleId="204">
    <w:name w:val="普通表格1"/>
    <w:semiHidden/>
    <w:unhideWhenUsed/>
    <w:qFormat/>
    <w:uiPriority w:val="99"/>
    <w:tblPr>
      <w:tblCellMar>
        <w:top w:w="0" w:type="dxa"/>
        <w:left w:w="0" w:type="dxa"/>
        <w:bottom w:w="0" w:type="dxa"/>
        <w:right w:w="0" w:type="dxa"/>
      </w:tblCellMar>
    </w:tblPr>
  </w:style>
  <w:style w:type="character" w:customStyle="1" w:styleId="205">
    <w:name w:val="标题 1 Char"/>
    <w:link w:val="193"/>
    <w:qFormat/>
    <w:uiPriority w:val="0"/>
    <w:rPr>
      <w:rFonts w:ascii="楷体_GB2312" w:hAnsi="Times New Roman" w:eastAsia="楷体_GB2312" w:cs="Times New Roman"/>
      <w:sz w:val="28"/>
      <w:szCs w:val="28"/>
    </w:rPr>
  </w:style>
  <w:style w:type="character" w:customStyle="1" w:styleId="206">
    <w:name w:val="标题 2 Char"/>
    <w:link w:val="194"/>
    <w:qFormat/>
    <w:uiPriority w:val="0"/>
    <w:rPr>
      <w:rFonts w:ascii="Arial" w:hAnsi="Arial" w:eastAsia="幼圆" w:cs="Arial"/>
      <w:b/>
      <w:bCs/>
      <w:sz w:val="44"/>
      <w:szCs w:val="44"/>
    </w:rPr>
  </w:style>
  <w:style w:type="character" w:customStyle="1" w:styleId="207">
    <w:name w:val="标题 3 Char"/>
    <w:link w:val="196"/>
    <w:qFormat/>
    <w:uiPriority w:val="0"/>
    <w:rPr>
      <w:rFonts w:ascii="Times New Roman" w:hAnsi="Times New Roman" w:eastAsia="宋体" w:cs="Times New Roman"/>
      <w:b/>
      <w:bCs/>
      <w:sz w:val="32"/>
      <w:szCs w:val="32"/>
    </w:rPr>
  </w:style>
  <w:style w:type="character" w:customStyle="1" w:styleId="208">
    <w:name w:val="标题 4 Char"/>
    <w:link w:val="197"/>
    <w:qFormat/>
    <w:uiPriority w:val="0"/>
    <w:rPr>
      <w:rFonts w:ascii="Arial" w:hAnsi="Arial" w:eastAsia="黑体" w:cs="Arial"/>
      <w:b/>
      <w:bCs/>
      <w:sz w:val="28"/>
      <w:szCs w:val="28"/>
    </w:rPr>
  </w:style>
  <w:style w:type="character" w:customStyle="1" w:styleId="209">
    <w:name w:val="标题 5 Char"/>
    <w:link w:val="198"/>
    <w:qFormat/>
    <w:uiPriority w:val="0"/>
    <w:rPr>
      <w:rFonts w:ascii="宋体" w:hAnsi="Times New Roman" w:eastAsia="宋体" w:cs="Times New Roman"/>
      <w:color w:val="000000"/>
      <w:sz w:val="28"/>
      <w:szCs w:val="28"/>
    </w:rPr>
  </w:style>
  <w:style w:type="character" w:customStyle="1" w:styleId="210">
    <w:name w:val="标题 6 Char"/>
    <w:link w:val="199"/>
    <w:qFormat/>
    <w:uiPriority w:val="0"/>
    <w:rPr>
      <w:rFonts w:ascii="Arial" w:hAnsi="Arial" w:eastAsia="黑体" w:cs="Times New Roman"/>
      <w:b/>
      <w:bCs/>
      <w:sz w:val="24"/>
      <w:szCs w:val="24"/>
    </w:rPr>
  </w:style>
  <w:style w:type="character" w:customStyle="1" w:styleId="211">
    <w:name w:val="标题 7 Char"/>
    <w:link w:val="200"/>
    <w:qFormat/>
    <w:uiPriority w:val="0"/>
    <w:rPr>
      <w:rFonts w:ascii="Times New Roman" w:hAnsi="Times New Roman" w:eastAsia="宋体" w:cs="Times New Roman"/>
      <w:b/>
      <w:bCs/>
      <w:sz w:val="24"/>
      <w:szCs w:val="24"/>
    </w:rPr>
  </w:style>
  <w:style w:type="character" w:customStyle="1" w:styleId="212">
    <w:name w:val="标题 8 Char"/>
    <w:link w:val="201"/>
    <w:qFormat/>
    <w:uiPriority w:val="0"/>
    <w:rPr>
      <w:rFonts w:ascii="Arial" w:hAnsi="Arial" w:eastAsia="黑体" w:cs="Times New Roman"/>
      <w:sz w:val="24"/>
      <w:szCs w:val="24"/>
    </w:rPr>
  </w:style>
  <w:style w:type="character" w:customStyle="1" w:styleId="213">
    <w:name w:val="标题 9 Char"/>
    <w:link w:val="202"/>
    <w:qFormat/>
    <w:uiPriority w:val="0"/>
    <w:rPr>
      <w:rFonts w:ascii="Arial" w:hAnsi="Arial" w:eastAsia="黑体" w:cs="Times New Roman"/>
      <w:szCs w:val="21"/>
    </w:rPr>
  </w:style>
  <w:style w:type="character" w:customStyle="1" w:styleId="214">
    <w:name w:val="访问过的超链接1"/>
    <w:qFormat/>
    <w:uiPriority w:val="0"/>
    <w:rPr>
      <w:color w:val="800080"/>
      <w:u w:val="single"/>
    </w:rPr>
  </w:style>
  <w:style w:type="character" w:customStyle="1" w:styleId="215">
    <w:name w:val="font5 Char"/>
    <w:qFormat/>
    <w:uiPriority w:val="0"/>
    <w:rPr>
      <w:rFonts w:ascii="宋体" w:hAnsi="宋体" w:eastAsia="宋体"/>
      <w:sz w:val="28"/>
      <w:szCs w:val="28"/>
      <w:lang w:val="en-US" w:eastAsia="zh-CN" w:bidi="ar-SA"/>
    </w:rPr>
  </w:style>
  <w:style w:type="character" w:customStyle="1" w:styleId="216">
    <w:name w:val="正文缩进 Char"/>
    <w:link w:val="195"/>
    <w:qFormat/>
    <w:uiPriority w:val="0"/>
    <w:rPr>
      <w:szCs w:val="21"/>
    </w:rPr>
  </w:style>
  <w:style w:type="character" w:customStyle="1" w:styleId="217">
    <w:name w:val="批注引用1"/>
    <w:qFormat/>
    <w:uiPriority w:val="0"/>
    <w:rPr>
      <w:sz w:val="21"/>
      <w:szCs w:val="21"/>
    </w:rPr>
  </w:style>
  <w:style w:type="character" w:customStyle="1" w:styleId="218">
    <w:name w:val="要点1"/>
    <w:qFormat/>
    <w:uiPriority w:val="22"/>
    <w:rPr>
      <w:b/>
      <w:bCs/>
    </w:rPr>
  </w:style>
  <w:style w:type="character" w:customStyle="1" w:styleId="219">
    <w:name w:val="超链接1"/>
    <w:qFormat/>
    <w:uiPriority w:val="99"/>
    <w:rPr>
      <w:color w:val="0000FF"/>
      <w:u w:val="single"/>
    </w:rPr>
  </w:style>
  <w:style w:type="character" w:customStyle="1" w:styleId="220">
    <w:name w:val="页码1"/>
    <w:qFormat/>
    <w:uiPriority w:val="0"/>
  </w:style>
  <w:style w:type="character" w:customStyle="1" w:styleId="221">
    <w:name w:val="二级目录 Char"/>
    <w:link w:val="222"/>
    <w:qFormat/>
    <w:uiPriority w:val="0"/>
    <w:rPr>
      <w:b/>
      <w:sz w:val="30"/>
      <w:szCs w:val="28"/>
    </w:rPr>
  </w:style>
  <w:style w:type="paragraph" w:customStyle="1" w:styleId="222">
    <w:name w:val="二级目录"/>
    <w:next w:val="1"/>
    <w:link w:val="221"/>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3">
    <w:name w:val="列出段落 Char"/>
    <w:link w:val="224"/>
    <w:qFormat/>
    <w:uiPriority w:val="0"/>
    <w:rPr>
      <w:rFonts w:ascii="Calibri" w:hAnsi="Calibri"/>
      <w:sz w:val="24"/>
      <w:szCs w:val="24"/>
      <w:lang w:eastAsia="en-US" w:bidi="en-US"/>
    </w:rPr>
  </w:style>
  <w:style w:type="paragraph" w:customStyle="1" w:styleId="224">
    <w:name w:val="列出段落1"/>
    <w:basedOn w:val="1"/>
    <w:link w:val="223"/>
    <w:qFormat/>
    <w:uiPriority w:val="0"/>
    <w:pPr>
      <w:widowControl/>
      <w:ind w:left="720"/>
      <w:contextualSpacing/>
      <w:jc w:val="left"/>
    </w:pPr>
    <w:rPr>
      <w:sz w:val="24"/>
      <w:szCs w:val="24"/>
      <w:lang w:eastAsia="en-US" w:bidi="en-US"/>
    </w:rPr>
  </w:style>
  <w:style w:type="paragraph" w:customStyle="1" w:styleId="225">
    <w:name w:val="Body Text(ch)"/>
    <w:basedOn w:val="1"/>
    <w:next w:val="226"/>
    <w:qFormat/>
    <w:uiPriority w:val="0"/>
    <w:pPr>
      <w:spacing w:after="120"/>
    </w:pPr>
    <w:rPr>
      <w:rFonts w:ascii="宋体" w:hAnsi="Arial"/>
      <w:bCs/>
      <w:iCs/>
      <w:szCs w:val="24"/>
    </w:rPr>
  </w:style>
  <w:style w:type="paragraph" w:customStyle="1" w:styleId="226">
    <w:name w:val="正文文本1"/>
    <w:basedOn w:val="1"/>
    <w:link w:val="231"/>
    <w:qFormat/>
    <w:uiPriority w:val="0"/>
    <w:rPr>
      <w:rFonts w:ascii="楷体_GB2312" w:hAnsi="Arial" w:eastAsia="楷体_GB2312"/>
      <w:sz w:val="28"/>
      <w:szCs w:val="28"/>
    </w:rPr>
  </w:style>
  <w:style w:type="paragraph" w:customStyle="1" w:styleId="227">
    <w:name w:val="目录 91"/>
    <w:basedOn w:val="1"/>
    <w:next w:val="1"/>
    <w:semiHidden/>
    <w:qFormat/>
    <w:uiPriority w:val="0"/>
    <w:pPr>
      <w:ind w:left="1680"/>
      <w:jc w:val="left"/>
    </w:pPr>
    <w:rPr>
      <w:rFonts w:ascii="Times New Roman" w:hAnsi="Times New Roman"/>
      <w:szCs w:val="21"/>
    </w:rPr>
  </w:style>
  <w:style w:type="paragraph" w:customStyle="1" w:styleId="22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29">
    <w:name w:val="正文文本缩进 21"/>
    <w:basedOn w:val="1"/>
    <w:link w:val="230"/>
    <w:qFormat/>
    <w:uiPriority w:val="0"/>
    <w:pPr>
      <w:ind w:left="630" w:firstLine="645"/>
    </w:pPr>
    <w:rPr>
      <w:rFonts w:ascii="Arial" w:hAnsi="Arial" w:eastAsia="仿宋_GB2312" w:cs="Arial"/>
      <w:sz w:val="32"/>
      <w:szCs w:val="32"/>
    </w:rPr>
  </w:style>
  <w:style w:type="character" w:customStyle="1" w:styleId="230">
    <w:name w:val="正文文本缩进 2 Char"/>
    <w:link w:val="229"/>
    <w:qFormat/>
    <w:uiPriority w:val="0"/>
    <w:rPr>
      <w:rFonts w:ascii="Arial" w:hAnsi="Arial" w:eastAsia="仿宋_GB2312" w:cs="Arial"/>
      <w:sz w:val="32"/>
      <w:szCs w:val="32"/>
    </w:rPr>
  </w:style>
  <w:style w:type="character" w:customStyle="1" w:styleId="231">
    <w:name w:val="正文文本 Char"/>
    <w:link w:val="226"/>
    <w:qFormat/>
    <w:uiPriority w:val="0"/>
    <w:rPr>
      <w:rFonts w:ascii="楷体_GB2312" w:hAnsi="Arial" w:eastAsia="楷体_GB2312" w:cs="Times New Roman"/>
      <w:sz w:val="28"/>
      <w:szCs w:val="28"/>
    </w:rPr>
  </w:style>
  <w:style w:type="paragraph" w:customStyle="1" w:styleId="232">
    <w:name w:val="图表目录1"/>
    <w:basedOn w:val="1"/>
    <w:next w:val="1"/>
    <w:semiHidden/>
    <w:qFormat/>
    <w:uiPriority w:val="0"/>
    <w:pPr>
      <w:ind w:left="840" w:hanging="420"/>
    </w:pPr>
    <w:rPr>
      <w:rFonts w:ascii="Times New Roman" w:hAnsi="Times New Roman"/>
      <w:szCs w:val="21"/>
    </w:rPr>
  </w:style>
  <w:style w:type="paragraph" w:customStyle="1" w:styleId="2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4">
    <w:name w:val="Char"/>
    <w:basedOn w:val="1"/>
    <w:qFormat/>
    <w:uiPriority w:val="0"/>
    <w:pPr>
      <w:tabs>
        <w:tab w:val="left" w:pos="360"/>
      </w:tabs>
      <w:ind w:firstLine="200"/>
    </w:pPr>
    <w:rPr>
      <w:rFonts w:ascii="Times New Roman" w:hAnsi="Times New Roman"/>
      <w:sz w:val="28"/>
      <w:szCs w:val="30"/>
    </w:rPr>
  </w:style>
  <w:style w:type="paragraph" w:customStyle="1" w:styleId="235">
    <w:name w:val="Char1"/>
    <w:basedOn w:val="236"/>
    <w:qFormat/>
    <w:uiPriority w:val="0"/>
    <w:rPr>
      <w:rFonts w:ascii="Tahoma" w:hAnsi="Tahoma"/>
      <w:sz w:val="24"/>
      <w:szCs w:val="24"/>
    </w:rPr>
  </w:style>
  <w:style w:type="paragraph" w:customStyle="1" w:styleId="236">
    <w:name w:val="文档结构图1"/>
    <w:basedOn w:val="1"/>
    <w:link w:val="260"/>
    <w:semiHidden/>
    <w:qFormat/>
    <w:uiPriority w:val="0"/>
    <w:pPr>
      <w:shd w:val="clear" w:color="auto" w:fill="000080"/>
    </w:pPr>
    <w:rPr>
      <w:rFonts w:ascii="Times New Roman" w:hAnsi="Times New Roman"/>
      <w:szCs w:val="21"/>
    </w:rPr>
  </w:style>
  <w:style w:type="paragraph" w:customStyle="1" w:styleId="237">
    <w:name w:val="批注文字1"/>
    <w:basedOn w:val="1"/>
    <w:link w:val="238"/>
    <w:unhideWhenUsed/>
    <w:qFormat/>
    <w:uiPriority w:val="0"/>
    <w:pPr>
      <w:jc w:val="left"/>
    </w:pPr>
  </w:style>
  <w:style w:type="character" w:customStyle="1" w:styleId="238">
    <w:name w:val="批注文字 Char"/>
    <w:basedOn w:val="203"/>
    <w:link w:val="237"/>
    <w:qFormat/>
    <w:uiPriority w:val="0"/>
  </w:style>
  <w:style w:type="paragraph" w:customStyle="1" w:styleId="239">
    <w:name w:val="批注主题1"/>
    <w:basedOn w:val="237"/>
    <w:next w:val="237"/>
    <w:link w:val="240"/>
    <w:qFormat/>
    <w:uiPriority w:val="0"/>
    <w:rPr>
      <w:rFonts w:ascii="Times New Roman" w:hAnsi="Times New Roman"/>
      <w:b/>
      <w:bCs/>
      <w:szCs w:val="21"/>
    </w:rPr>
  </w:style>
  <w:style w:type="character" w:customStyle="1" w:styleId="240">
    <w:name w:val="批注主题 Char"/>
    <w:link w:val="239"/>
    <w:semiHidden/>
    <w:qFormat/>
    <w:uiPriority w:val="0"/>
    <w:rPr>
      <w:rFonts w:ascii="Times New Roman" w:hAnsi="Times New Roman" w:eastAsia="宋体" w:cs="Times New Roman"/>
      <w:b/>
      <w:bCs/>
      <w:szCs w:val="21"/>
    </w:rPr>
  </w:style>
  <w:style w:type="paragraph" w:customStyle="1" w:styleId="241">
    <w:name w:val="索引 11"/>
    <w:basedOn w:val="1"/>
    <w:next w:val="1"/>
    <w:semiHidden/>
    <w:qFormat/>
    <w:uiPriority w:val="0"/>
    <w:pPr>
      <w:spacing w:line="240" w:lineRule="atLeast"/>
    </w:pPr>
    <w:rPr>
      <w:rFonts w:ascii="Times New Roman" w:hAnsi="Times New Roman"/>
      <w:b/>
      <w:bCs/>
      <w:szCs w:val="21"/>
    </w:rPr>
  </w:style>
  <w:style w:type="paragraph" w:customStyle="1" w:styleId="242">
    <w:name w:val="普通正文"/>
    <w:basedOn w:val="1"/>
    <w:link w:val="361"/>
    <w:qFormat/>
    <w:uiPriority w:val="0"/>
    <w:pPr>
      <w:spacing w:before="120" w:after="120" w:line="360" w:lineRule="auto"/>
      <w:ind w:firstLine="480"/>
      <w:jc w:val="left"/>
    </w:pPr>
    <w:rPr>
      <w:rFonts w:ascii="Arial" w:hAnsi="Arial"/>
      <w:sz w:val="24"/>
      <w:szCs w:val="24"/>
    </w:rPr>
  </w:style>
  <w:style w:type="paragraph" w:customStyle="1" w:styleId="243">
    <w:name w:val="table_lines"/>
    <w:basedOn w:val="1"/>
    <w:qFormat/>
    <w:uiPriority w:val="0"/>
    <w:pPr>
      <w:widowControl/>
      <w:jc w:val="left"/>
    </w:pPr>
    <w:rPr>
      <w:rFonts w:ascii="Times New Roman" w:hAnsi="Times New Roman"/>
      <w:sz w:val="20"/>
      <w:szCs w:val="20"/>
      <w:lang w:val="de-DE" w:eastAsia="de-DE"/>
    </w:rPr>
  </w:style>
  <w:style w:type="paragraph" w:customStyle="1" w:styleId="24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5">
    <w:name w:val="目录 31"/>
    <w:basedOn w:val="1"/>
    <w:next w:val="1"/>
    <w:qFormat/>
    <w:uiPriority w:val="39"/>
    <w:pPr>
      <w:ind w:left="420"/>
      <w:jc w:val="left"/>
    </w:pPr>
    <w:rPr>
      <w:rFonts w:ascii="Times New Roman" w:hAnsi="Times New Roman"/>
      <w:i/>
      <w:iCs/>
      <w:szCs w:val="24"/>
    </w:rPr>
  </w:style>
  <w:style w:type="paragraph" w:customStyle="1" w:styleId="246">
    <w:name w:val="正文文本缩进1"/>
    <w:basedOn w:val="1"/>
    <w:link w:val="247"/>
    <w:unhideWhenUsed/>
    <w:qFormat/>
    <w:uiPriority w:val="0"/>
    <w:pPr>
      <w:spacing w:after="120"/>
      <w:ind w:left="420"/>
    </w:pPr>
  </w:style>
  <w:style w:type="character" w:customStyle="1" w:styleId="247">
    <w:name w:val="正文文本缩进 Char"/>
    <w:basedOn w:val="203"/>
    <w:link w:val="246"/>
    <w:semiHidden/>
    <w:qFormat/>
    <w:uiPriority w:val="99"/>
  </w:style>
  <w:style w:type="paragraph" w:customStyle="1" w:styleId="248">
    <w:name w:val="正文首行缩进 21"/>
    <w:basedOn w:val="246"/>
    <w:link w:val="249"/>
    <w:qFormat/>
    <w:uiPriority w:val="0"/>
    <w:pPr>
      <w:spacing w:after="0" w:line="360" w:lineRule="auto"/>
      <w:ind w:left="0" w:firstLine="420"/>
    </w:pPr>
    <w:rPr>
      <w:rFonts w:ascii="宋体" w:hAnsi="宋体"/>
      <w:szCs w:val="20"/>
    </w:rPr>
  </w:style>
  <w:style w:type="character" w:customStyle="1" w:styleId="249">
    <w:name w:val="正文首行缩进 2 Char"/>
    <w:link w:val="248"/>
    <w:qFormat/>
    <w:uiPriority w:val="0"/>
    <w:rPr>
      <w:rFonts w:ascii="宋体" w:hAnsi="宋体" w:eastAsia="宋体" w:cs="Times New Roman"/>
      <w:szCs w:val="20"/>
    </w:r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目录 61"/>
    <w:basedOn w:val="1"/>
    <w:next w:val="1"/>
    <w:semiHidden/>
    <w:qFormat/>
    <w:uiPriority w:val="0"/>
    <w:pPr>
      <w:ind w:left="1050"/>
      <w:jc w:val="left"/>
    </w:pPr>
    <w:rPr>
      <w:rFonts w:ascii="Times New Roman" w:hAnsi="Times New Roman"/>
      <w:szCs w:val="21"/>
    </w:rPr>
  </w:style>
  <w:style w:type="paragraph" w:customStyle="1" w:styleId="25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4">
    <w:name w:val="Char Char Char Char"/>
    <w:basedOn w:val="236"/>
    <w:qFormat/>
    <w:uiPriority w:val="0"/>
    <w:pPr>
      <w:spacing w:line="360" w:lineRule="auto"/>
    </w:pPr>
    <w:rPr>
      <w:rFonts w:ascii="Tahoma" w:hAnsi="Tahoma"/>
      <w:sz w:val="24"/>
      <w:szCs w:val="24"/>
    </w:rPr>
  </w:style>
  <w:style w:type="paragraph" w:customStyle="1" w:styleId="255">
    <w:name w:val="正文文本 31"/>
    <w:basedOn w:val="1"/>
    <w:link w:val="256"/>
    <w:qFormat/>
    <w:uiPriority w:val="0"/>
    <w:rPr>
      <w:rFonts w:ascii="仿宋_GB2312" w:hAnsi="Arial" w:eastAsia="仿宋_GB2312"/>
      <w:sz w:val="32"/>
      <w:szCs w:val="32"/>
    </w:rPr>
  </w:style>
  <w:style w:type="character" w:customStyle="1" w:styleId="256">
    <w:name w:val="正文文本 3 Char"/>
    <w:link w:val="255"/>
    <w:qFormat/>
    <w:uiPriority w:val="0"/>
    <w:rPr>
      <w:rFonts w:ascii="仿宋_GB2312" w:hAnsi="Arial" w:eastAsia="仿宋_GB2312" w:cs="Times New Roman"/>
      <w:sz w:val="32"/>
      <w:szCs w:val="32"/>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目录 41"/>
    <w:basedOn w:val="1"/>
    <w:next w:val="1"/>
    <w:semiHidden/>
    <w:qFormat/>
    <w:uiPriority w:val="0"/>
    <w:pPr>
      <w:ind w:left="630"/>
      <w:jc w:val="left"/>
    </w:pPr>
    <w:rPr>
      <w:rFonts w:ascii="Times New Roman" w:hAnsi="Times New Roman"/>
      <w:szCs w:val="21"/>
    </w:rPr>
  </w:style>
  <w:style w:type="paragraph" w:customStyle="1" w:styleId="259">
    <w:name w:val="列出段落2"/>
    <w:basedOn w:val="1"/>
    <w:link w:val="338"/>
    <w:qFormat/>
    <w:uiPriority w:val="34"/>
    <w:pPr>
      <w:widowControl/>
      <w:ind w:left="720"/>
      <w:contextualSpacing/>
      <w:jc w:val="left"/>
    </w:pPr>
    <w:rPr>
      <w:sz w:val="24"/>
      <w:szCs w:val="24"/>
      <w:lang w:eastAsia="en-US" w:bidi="en-US"/>
    </w:rPr>
  </w:style>
  <w:style w:type="character" w:customStyle="1" w:styleId="260">
    <w:name w:val="文档结构图 Char"/>
    <w:link w:val="236"/>
    <w:semiHidden/>
    <w:qFormat/>
    <w:uiPriority w:val="0"/>
    <w:rPr>
      <w:rFonts w:ascii="Times New Roman" w:hAnsi="Times New Roman" w:eastAsia="宋体" w:cs="Times New Roman"/>
      <w:szCs w:val="21"/>
      <w:shd w:val="clear" w:color="auto" w:fill="000080"/>
    </w:rPr>
  </w:style>
  <w:style w:type="paragraph" w:customStyle="1" w:styleId="261">
    <w:name w:val="4"/>
    <w:basedOn w:val="1"/>
    <w:next w:val="250"/>
    <w:qFormat/>
    <w:uiPriority w:val="0"/>
    <w:pPr>
      <w:spacing w:line="360" w:lineRule="auto"/>
      <w:ind w:firstLine="420"/>
    </w:pPr>
    <w:rPr>
      <w:rFonts w:ascii="Times New Roman" w:hAnsi="Times New Roman"/>
      <w:color w:val="FF0000"/>
      <w:sz w:val="24"/>
      <w:szCs w:val="24"/>
    </w:rPr>
  </w:style>
  <w:style w:type="paragraph" w:customStyle="1" w:styleId="2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4">
    <w:name w:val="列表 21"/>
    <w:basedOn w:val="1"/>
    <w:qFormat/>
    <w:uiPriority w:val="0"/>
    <w:pPr>
      <w:ind w:left="100" w:hanging="200"/>
    </w:pPr>
    <w:rPr>
      <w:rFonts w:ascii="Times New Roman" w:hAnsi="Times New Roman"/>
      <w:szCs w:val="21"/>
    </w:rPr>
  </w:style>
  <w:style w:type="paragraph" w:customStyle="1" w:styleId="265">
    <w:name w:val="正文首行缩进1"/>
    <w:basedOn w:val="1"/>
    <w:link w:val="266"/>
    <w:qFormat/>
    <w:uiPriority w:val="0"/>
    <w:pPr>
      <w:spacing w:line="360" w:lineRule="auto"/>
      <w:ind w:firstLine="200"/>
    </w:pPr>
    <w:rPr>
      <w:rFonts w:ascii="仿宋_GB2312" w:hAnsi="Times New Roman" w:eastAsia="仿宋_GB2312"/>
      <w:sz w:val="30"/>
      <w:szCs w:val="30"/>
    </w:rPr>
  </w:style>
  <w:style w:type="character" w:customStyle="1" w:styleId="266">
    <w:name w:val="正文首行缩进 Char"/>
    <w:link w:val="265"/>
    <w:qFormat/>
    <w:uiPriority w:val="0"/>
    <w:rPr>
      <w:rFonts w:ascii="仿宋_GB2312" w:hAnsi="Times New Roman" w:eastAsia="仿宋_GB2312" w:cs="Times New Roman"/>
      <w:sz w:val="30"/>
      <w:szCs w:val="30"/>
    </w:rPr>
  </w:style>
  <w:style w:type="paragraph" w:customStyle="1" w:styleId="267">
    <w:name w:val="样式1"/>
    <w:basedOn w:val="1"/>
    <w:qFormat/>
    <w:uiPriority w:val="0"/>
    <w:pPr>
      <w:numPr>
        <w:ilvl w:val="0"/>
        <w:numId w:val="3"/>
      </w:numPr>
    </w:pPr>
    <w:rPr>
      <w:rFonts w:ascii="宋体" w:hAnsi="宋体"/>
      <w:szCs w:val="21"/>
    </w:rPr>
  </w:style>
  <w:style w:type="paragraph" w:customStyle="1" w:styleId="26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9">
    <w:name w:val="目录 51"/>
    <w:basedOn w:val="1"/>
    <w:next w:val="1"/>
    <w:semiHidden/>
    <w:qFormat/>
    <w:uiPriority w:val="0"/>
    <w:pPr>
      <w:ind w:left="840"/>
      <w:jc w:val="left"/>
    </w:pPr>
    <w:rPr>
      <w:rFonts w:ascii="Times New Roman" w:hAnsi="Times New Roman"/>
      <w:szCs w:val="21"/>
    </w:rPr>
  </w:style>
  <w:style w:type="paragraph" w:customStyle="1" w:styleId="270">
    <w:name w:val="目录 11"/>
    <w:basedOn w:val="271"/>
    <w:next w:val="273"/>
    <w:qFormat/>
    <w:uiPriority w:val="39"/>
    <w:pPr>
      <w:tabs>
        <w:tab w:val="right" w:leader="dot" w:pos="8720"/>
      </w:tabs>
      <w:spacing w:before="120" w:after="120" w:line="400" w:lineRule="exact"/>
      <w:jc w:val="left"/>
    </w:pPr>
    <w:rPr>
      <w:rFonts w:ascii="宋体" w:hAnsi="宋体"/>
      <w:caps/>
      <w:sz w:val="24"/>
    </w:rPr>
  </w:style>
  <w:style w:type="paragraph" w:customStyle="1" w:styleId="271">
    <w:name w:val="正文11"/>
    <w:next w:val="27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2">
    <w:name w:val="无间隔11"/>
    <w:qFormat/>
    <w:uiPriority w:val="0"/>
    <w:rPr>
      <w:rFonts w:ascii="Times New Roman" w:hAnsi="Times New Roman" w:eastAsia="宋体" w:cs="Times New Roman"/>
      <w:sz w:val="22"/>
      <w:szCs w:val="22"/>
      <w:lang w:val="en-US" w:eastAsia="en-US" w:bidi="ar-SA"/>
    </w:rPr>
  </w:style>
  <w:style w:type="paragraph" w:customStyle="1" w:styleId="273">
    <w:name w:val="正文1"/>
    <w:next w:val="270"/>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74">
    <w:name w:val="纯文本1"/>
    <w:basedOn w:val="1"/>
    <w:link w:val="275"/>
    <w:qFormat/>
    <w:uiPriority w:val="0"/>
    <w:rPr>
      <w:rFonts w:ascii="宋体" w:hAnsi="Courier New" w:cs="Courier New"/>
      <w:szCs w:val="21"/>
    </w:rPr>
  </w:style>
  <w:style w:type="character" w:customStyle="1" w:styleId="275">
    <w:name w:val="纯文本 Char"/>
    <w:link w:val="274"/>
    <w:qFormat/>
    <w:uiPriority w:val="0"/>
    <w:rPr>
      <w:rFonts w:ascii="宋体" w:hAnsi="Courier New" w:eastAsia="宋体" w:cs="Courier New"/>
      <w:szCs w:val="21"/>
    </w:rPr>
  </w:style>
  <w:style w:type="paragraph" w:customStyle="1" w:styleId="276">
    <w:name w:val="批注框文本1"/>
    <w:basedOn w:val="1"/>
    <w:link w:val="277"/>
    <w:qFormat/>
    <w:uiPriority w:val="0"/>
    <w:rPr>
      <w:rFonts w:ascii="Times New Roman" w:hAnsi="Times New Roman"/>
      <w:sz w:val="18"/>
      <w:szCs w:val="18"/>
    </w:rPr>
  </w:style>
  <w:style w:type="character" w:customStyle="1" w:styleId="277">
    <w:name w:val="批注框文本 Char"/>
    <w:link w:val="276"/>
    <w:semiHidden/>
    <w:qFormat/>
    <w:uiPriority w:val="0"/>
    <w:rPr>
      <w:rFonts w:ascii="Times New Roman" w:hAnsi="Times New Roman" w:eastAsia="宋体" w:cs="Times New Roman"/>
      <w:sz w:val="18"/>
      <w:szCs w:val="18"/>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列表1"/>
    <w:basedOn w:val="1"/>
    <w:qFormat/>
    <w:uiPriority w:val="0"/>
    <w:pPr>
      <w:ind w:left="200" w:hanging="200"/>
    </w:pPr>
    <w:rPr>
      <w:rFonts w:ascii="Times New Roman" w:hAnsi="Times New Roman"/>
      <w:szCs w:val="21"/>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1">
    <w:name w:val="日期1"/>
    <w:basedOn w:val="1"/>
    <w:next w:val="1"/>
    <w:link w:val="282"/>
    <w:qFormat/>
    <w:uiPriority w:val="0"/>
    <w:rPr>
      <w:rFonts w:ascii="Times New Roman" w:hAnsi="Times New Roman"/>
      <w:sz w:val="24"/>
      <w:szCs w:val="24"/>
    </w:rPr>
  </w:style>
  <w:style w:type="character" w:customStyle="1" w:styleId="282">
    <w:name w:val="日期 Char"/>
    <w:link w:val="281"/>
    <w:qFormat/>
    <w:uiPriority w:val="0"/>
    <w:rPr>
      <w:rFonts w:ascii="Times New Roman" w:hAnsi="Times New Roman" w:eastAsia="宋体" w:cs="Times New Roman"/>
      <w:sz w:val="24"/>
      <w:szCs w:val="24"/>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正文文本 21"/>
    <w:basedOn w:val="1"/>
    <w:link w:val="288"/>
    <w:qFormat/>
    <w:uiPriority w:val="0"/>
    <w:pPr>
      <w:widowControl/>
      <w:jc w:val="center"/>
    </w:pPr>
    <w:rPr>
      <w:rFonts w:ascii="楷体_GB2312" w:hAnsi="Times New Roman" w:eastAsia="楷体_GB2312"/>
      <w:sz w:val="28"/>
      <w:szCs w:val="28"/>
    </w:rPr>
  </w:style>
  <w:style w:type="character" w:customStyle="1" w:styleId="288">
    <w:name w:val="正文文本 2 Char"/>
    <w:link w:val="287"/>
    <w:autoRedefine/>
    <w:qFormat/>
    <w:uiPriority w:val="0"/>
    <w:rPr>
      <w:rFonts w:ascii="楷体_GB2312" w:hAnsi="Times New Roman" w:eastAsia="楷体_GB2312" w:cs="Times New Roman"/>
      <w:sz w:val="28"/>
      <w:szCs w:val="28"/>
    </w:rPr>
  </w:style>
  <w:style w:type="paragraph" w:customStyle="1" w:styleId="289">
    <w:name w:val="列表 31"/>
    <w:basedOn w:val="1"/>
    <w:qFormat/>
    <w:uiPriority w:val="0"/>
    <w:pPr>
      <w:ind w:left="100" w:hanging="200"/>
    </w:pPr>
    <w:rPr>
      <w:rFonts w:ascii="Times New Roman" w:hAnsi="Times New Roman"/>
      <w:szCs w:val="21"/>
    </w:rPr>
  </w:style>
  <w:style w:type="paragraph" w:customStyle="1" w:styleId="290">
    <w:name w:val="目录 71"/>
    <w:basedOn w:val="1"/>
    <w:next w:val="1"/>
    <w:semiHidden/>
    <w:qFormat/>
    <w:uiPriority w:val="0"/>
    <w:pPr>
      <w:ind w:left="1260"/>
      <w:jc w:val="left"/>
    </w:pPr>
    <w:rPr>
      <w:rFonts w:ascii="Times New Roman" w:hAnsi="Times New Roman"/>
      <w:szCs w:val="21"/>
    </w:rPr>
  </w:style>
  <w:style w:type="paragraph" w:customStyle="1" w:styleId="291">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页眉1"/>
    <w:basedOn w:val="1"/>
    <w:link w:val="294"/>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4">
    <w:name w:val="页眉 Char"/>
    <w:link w:val="293"/>
    <w:qFormat/>
    <w:uiPriority w:val="0"/>
    <w:rPr>
      <w:rFonts w:ascii="Times New Roman" w:hAnsi="Times New Roman"/>
      <w:sz w:val="18"/>
      <w:szCs w:val="18"/>
    </w:rPr>
  </w:style>
  <w:style w:type="paragraph" w:customStyle="1" w:styleId="295">
    <w:name w:val="页脚1"/>
    <w:basedOn w:val="1"/>
    <w:link w:val="296"/>
    <w:qFormat/>
    <w:uiPriority w:val="0"/>
    <w:pPr>
      <w:tabs>
        <w:tab w:val="center" w:pos="4153"/>
        <w:tab w:val="right" w:pos="8306"/>
      </w:tabs>
      <w:jc w:val="left"/>
    </w:pPr>
    <w:rPr>
      <w:rFonts w:ascii="Times New Roman" w:hAnsi="Times New Roman"/>
      <w:sz w:val="18"/>
      <w:szCs w:val="18"/>
    </w:rPr>
  </w:style>
  <w:style w:type="character" w:customStyle="1" w:styleId="296">
    <w:name w:val="页脚 Char"/>
    <w:link w:val="295"/>
    <w:qFormat/>
    <w:uiPriority w:val="0"/>
    <w:rPr>
      <w:rFonts w:ascii="Times New Roman" w:hAnsi="Times New Roman" w:eastAsia="宋体" w:cs="Times New Roman"/>
      <w:sz w:val="18"/>
      <w:szCs w:val="18"/>
    </w:rPr>
  </w:style>
  <w:style w:type="paragraph" w:customStyle="1" w:styleId="29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8">
    <w:name w:val="目录 81"/>
    <w:basedOn w:val="1"/>
    <w:next w:val="1"/>
    <w:semiHidden/>
    <w:qFormat/>
    <w:uiPriority w:val="0"/>
    <w:pPr>
      <w:ind w:left="1470"/>
      <w:jc w:val="left"/>
    </w:pPr>
    <w:rPr>
      <w:rFonts w:ascii="Times New Roman" w:hAnsi="Times New Roman"/>
      <w:szCs w:val="21"/>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236"/>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4">
    <w:name w:val="修订1"/>
    <w:semiHidden/>
    <w:qFormat/>
    <w:uiPriority w:val="99"/>
    <w:rPr>
      <w:rFonts w:ascii="Times New Roman" w:hAnsi="Times New Roman" w:eastAsia="宋体" w:cs="Times New Roman"/>
      <w:sz w:val="21"/>
      <w:szCs w:val="21"/>
      <w:lang w:val="en-US" w:eastAsia="zh-CN" w:bidi="ar-SA"/>
    </w:rPr>
  </w:style>
  <w:style w:type="table" w:customStyle="1" w:styleId="305">
    <w:name w:val="网格型1"/>
    <w:basedOn w:val="204"/>
    <w:qFormat/>
    <w:uiPriority w:val="0"/>
    <w:pPr>
      <w:widowControl w:val="0"/>
      <w:jc w:val="both"/>
    </w:pPr>
  </w:style>
  <w:style w:type="paragraph" w:customStyle="1" w:styleId="306">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7">
    <w:name w:val="索引 81"/>
    <w:basedOn w:val="1"/>
    <w:next w:val="1"/>
    <w:semiHidden/>
    <w:qFormat/>
    <w:uiPriority w:val="0"/>
    <w:pPr>
      <w:ind w:left="1400"/>
    </w:pPr>
    <w:rPr>
      <w:rFonts w:ascii="Times New Roman" w:hAnsi="Times New Roman"/>
      <w:szCs w:val="20"/>
    </w:rPr>
  </w:style>
  <w:style w:type="paragraph" w:customStyle="1" w:styleId="308">
    <w:name w:val="索引 51"/>
    <w:basedOn w:val="1"/>
    <w:next w:val="1"/>
    <w:semiHidden/>
    <w:qFormat/>
    <w:uiPriority w:val="0"/>
    <w:pPr>
      <w:ind w:left="800"/>
    </w:pPr>
    <w:rPr>
      <w:rFonts w:ascii="Times New Roman" w:hAnsi="Times New Roman"/>
      <w:szCs w:val="20"/>
    </w:rPr>
  </w:style>
  <w:style w:type="paragraph" w:customStyle="1" w:styleId="309">
    <w:name w:val="索引 61"/>
    <w:basedOn w:val="1"/>
    <w:next w:val="1"/>
    <w:semiHidden/>
    <w:qFormat/>
    <w:uiPriority w:val="0"/>
    <w:pPr>
      <w:ind w:left="1000"/>
    </w:pPr>
    <w:rPr>
      <w:rFonts w:ascii="Times New Roman" w:hAnsi="Times New Roman"/>
      <w:szCs w:val="20"/>
    </w:rPr>
  </w:style>
  <w:style w:type="paragraph" w:customStyle="1" w:styleId="310">
    <w:name w:val="寄信人地址1"/>
    <w:basedOn w:val="1"/>
    <w:qFormat/>
    <w:uiPriority w:val="0"/>
    <w:rPr>
      <w:rFonts w:ascii="Arial" w:hAnsi="Arial"/>
      <w:szCs w:val="20"/>
    </w:rPr>
  </w:style>
  <w:style w:type="paragraph" w:customStyle="1" w:styleId="311">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2">
    <w:name w:val="索引 41"/>
    <w:basedOn w:val="1"/>
    <w:next w:val="1"/>
    <w:semiHidden/>
    <w:qFormat/>
    <w:uiPriority w:val="0"/>
    <w:pPr>
      <w:ind w:left="600"/>
    </w:pPr>
    <w:rPr>
      <w:rFonts w:ascii="Times New Roman" w:hAnsi="Times New Roman"/>
      <w:szCs w:val="20"/>
    </w:rPr>
  </w:style>
  <w:style w:type="paragraph" w:customStyle="1" w:styleId="313">
    <w:name w:val="索引 31"/>
    <w:basedOn w:val="1"/>
    <w:next w:val="1"/>
    <w:semiHidden/>
    <w:qFormat/>
    <w:uiPriority w:val="0"/>
    <w:pPr>
      <w:ind w:left="400"/>
    </w:pPr>
    <w:rPr>
      <w:rFonts w:ascii="Times New Roman" w:hAnsi="Times New Roman"/>
      <w:szCs w:val="20"/>
    </w:rPr>
  </w:style>
  <w:style w:type="paragraph" w:customStyle="1" w:styleId="314">
    <w:name w:val="签名1"/>
    <w:basedOn w:val="1"/>
    <w:link w:val="335"/>
    <w:qFormat/>
    <w:uiPriority w:val="0"/>
    <w:pPr>
      <w:spacing w:after="600" w:line="312" w:lineRule="atLeast"/>
      <w:jc w:val="center"/>
    </w:pPr>
    <w:rPr>
      <w:rFonts w:ascii="Times New Roman" w:hAnsi="Times New Roman" w:eastAsia="仿宋_GB2312"/>
      <w:sz w:val="24"/>
      <w:szCs w:val="20"/>
    </w:rPr>
  </w:style>
  <w:style w:type="character" w:customStyle="1" w:styleId="315">
    <w:name w:val="签名 字符"/>
    <w:qFormat/>
    <w:uiPriority w:val="0"/>
    <w:rPr>
      <w:sz w:val="21"/>
      <w:szCs w:val="22"/>
    </w:rPr>
  </w:style>
  <w:style w:type="paragraph" w:customStyle="1" w:styleId="316">
    <w:name w:val="索引标题1"/>
    <w:basedOn w:val="1"/>
    <w:next w:val="241"/>
    <w:semiHidden/>
    <w:qFormat/>
    <w:uiPriority w:val="0"/>
    <w:rPr>
      <w:rFonts w:ascii="Times New Roman" w:hAnsi="Times New Roman"/>
      <w:szCs w:val="20"/>
    </w:rPr>
  </w:style>
  <w:style w:type="paragraph" w:customStyle="1" w:styleId="317">
    <w:name w:val="脚注文本1"/>
    <w:basedOn w:val="1"/>
    <w:link w:val="318"/>
    <w:qFormat/>
    <w:uiPriority w:val="0"/>
    <w:pPr>
      <w:jc w:val="left"/>
    </w:pPr>
    <w:rPr>
      <w:rFonts w:ascii="Times New Roman" w:hAnsi="Times New Roman"/>
      <w:sz w:val="18"/>
      <w:szCs w:val="18"/>
    </w:rPr>
  </w:style>
  <w:style w:type="character" w:customStyle="1" w:styleId="318">
    <w:name w:val="脚注文本 字符"/>
    <w:link w:val="317"/>
    <w:qFormat/>
    <w:uiPriority w:val="0"/>
    <w:rPr>
      <w:rFonts w:ascii="Times New Roman" w:hAnsi="Times New Roman"/>
      <w:sz w:val="18"/>
      <w:szCs w:val="18"/>
    </w:rPr>
  </w:style>
  <w:style w:type="paragraph" w:customStyle="1" w:styleId="319">
    <w:name w:val="索引 71"/>
    <w:basedOn w:val="1"/>
    <w:next w:val="1"/>
    <w:semiHidden/>
    <w:qFormat/>
    <w:uiPriority w:val="0"/>
    <w:pPr>
      <w:ind w:left="1200"/>
    </w:pPr>
    <w:rPr>
      <w:rFonts w:ascii="Times New Roman" w:hAnsi="Times New Roman"/>
      <w:szCs w:val="20"/>
    </w:rPr>
  </w:style>
  <w:style w:type="paragraph" w:customStyle="1" w:styleId="320">
    <w:name w:val="索引 91"/>
    <w:basedOn w:val="1"/>
    <w:next w:val="1"/>
    <w:semiHidden/>
    <w:qFormat/>
    <w:uiPriority w:val="0"/>
    <w:pPr>
      <w:ind w:left="1600"/>
    </w:pPr>
    <w:rPr>
      <w:rFonts w:ascii="Times New Roman" w:hAnsi="Times New Roman"/>
      <w:szCs w:val="20"/>
    </w:rPr>
  </w:style>
  <w:style w:type="paragraph" w:customStyle="1" w:styleId="321">
    <w:name w:val="HTML 预设格式1"/>
    <w:basedOn w:val="1"/>
    <w:link w:val="32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2">
    <w:name w:val="HTML 预设格式 字符"/>
    <w:link w:val="321"/>
    <w:qFormat/>
    <w:uiPriority w:val="0"/>
    <w:rPr>
      <w:rFonts w:ascii="Arial" w:hAnsi="Arial"/>
      <w:sz w:val="24"/>
      <w:szCs w:val="24"/>
    </w:rPr>
  </w:style>
  <w:style w:type="paragraph" w:customStyle="1" w:styleId="323">
    <w:name w:val="索引 21"/>
    <w:basedOn w:val="1"/>
    <w:next w:val="1"/>
    <w:semiHidden/>
    <w:qFormat/>
    <w:uiPriority w:val="0"/>
    <w:pPr>
      <w:ind w:left="200"/>
    </w:pPr>
    <w:rPr>
      <w:rFonts w:ascii="Times New Roman" w:hAnsi="Times New Roman"/>
      <w:szCs w:val="20"/>
    </w:rPr>
  </w:style>
  <w:style w:type="character" w:customStyle="1" w:styleId="324">
    <w:name w:val="强调1"/>
    <w:qFormat/>
    <w:uiPriority w:val="20"/>
    <w:rPr>
      <w:i/>
      <w:iCs/>
    </w:rPr>
  </w:style>
  <w:style w:type="character" w:customStyle="1" w:styleId="325">
    <w:name w:val="脚注引用1"/>
    <w:unhideWhenUsed/>
    <w:qFormat/>
    <w:uiPriority w:val="0"/>
    <w:rPr>
      <w:vertAlign w:val="superscript"/>
    </w:rPr>
  </w:style>
  <w:style w:type="character" w:customStyle="1" w:styleId="326">
    <w:name w:val="标题 1 字符"/>
    <w:qFormat/>
    <w:uiPriority w:val="9"/>
    <w:rPr>
      <w:rFonts w:ascii="宋体" w:hAnsi="宋体"/>
      <w:b/>
      <w:sz w:val="36"/>
    </w:rPr>
  </w:style>
  <w:style w:type="character" w:customStyle="1" w:styleId="327">
    <w:name w:val="标题 2 字符2"/>
    <w:qFormat/>
    <w:uiPriority w:val="0"/>
    <w:rPr>
      <w:rFonts w:eastAsia="楷体_GB2312"/>
      <w:b/>
      <w:bCs/>
      <w:sz w:val="28"/>
      <w:szCs w:val="28"/>
    </w:rPr>
  </w:style>
  <w:style w:type="character" w:customStyle="1" w:styleId="328">
    <w:name w:val="正文缩进 字符"/>
    <w:qFormat/>
    <w:uiPriority w:val="0"/>
    <w:rPr>
      <w:sz w:val="21"/>
    </w:rPr>
  </w:style>
  <w:style w:type="character" w:customStyle="1" w:styleId="329">
    <w:name w:val="批注文字 字符1"/>
    <w:qFormat/>
    <w:uiPriority w:val="0"/>
    <w:rPr>
      <w:sz w:val="21"/>
    </w:rPr>
  </w:style>
  <w:style w:type="character" w:customStyle="1" w:styleId="330">
    <w:name w:val="正文文本 字符2"/>
    <w:qFormat/>
    <w:uiPriority w:val="0"/>
    <w:rPr>
      <w:rFonts w:ascii="楷体_GB2312" w:hAnsi="Arial" w:eastAsia="楷体_GB2312"/>
      <w:sz w:val="28"/>
    </w:rPr>
  </w:style>
  <w:style w:type="character" w:customStyle="1" w:styleId="331">
    <w:name w:val="正文文本缩进 字符"/>
    <w:qFormat/>
    <w:uiPriority w:val="0"/>
    <w:rPr>
      <w:rFonts w:ascii="宋体"/>
      <w:sz w:val="28"/>
    </w:rPr>
  </w:style>
  <w:style w:type="character" w:customStyle="1" w:styleId="332">
    <w:name w:val="纯文本 字符"/>
    <w:qFormat/>
    <w:uiPriority w:val="0"/>
    <w:rPr>
      <w:rFonts w:ascii="宋体" w:hAnsi="Courier New"/>
      <w:sz w:val="21"/>
    </w:rPr>
  </w:style>
  <w:style w:type="character" w:customStyle="1" w:styleId="333">
    <w:name w:val="日期 字符1"/>
    <w:qFormat/>
    <w:uiPriority w:val="0"/>
    <w:rPr>
      <w:rFonts w:ascii="宋体"/>
      <w:sz w:val="28"/>
    </w:rPr>
  </w:style>
  <w:style w:type="character" w:customStyle="1" w:styleId="334">
    <w:name w:val="批注框文本 字符"/>
    <w:qFormat/>
    <w:uiPriority w:val="0"/>
    <w:rPr>
      <w:sz w:val="18"/>
      <w:szCs w:val="18"/>
    </w:rPr>
  </w:style>
  <w:style w:type="character" w:customStyle="1" w:styleId="335">
    <w:name w:val="签名 字符1"/>
    <w:link w:val="314"/>
    <w:qFormat/>
    <w:uiPriority w:val="0"/>
    <w:rPr>
      <w:rFonts w:ascii="Times New Roman" w:hAnsi="Times New Roman" w:eastAsia="仿宋_GB2312"/>
      <w:sz w:val="24"/>
    </w:rPr>
  </w:style>
  <w:style w:type="character" w:customStyle="1" w:styleId="336">
    <w:name w:val="批注主题 字符"/>
    <w:qFormat/>
    <w:uiPriority w:val="0"/>
    <w:rPr>
      <w:b/>
      <w:bCs/>
      <w:sz w:val="21"/>
    </w:rPr>
  </w:style>
  <w:style w:type="character" w:customStyle="1" w:styleId="337">
    <w:name w:val="正文文本 字符"/>
    <w:qFormat/>
    <w:uiPriority w:val="0"/>
    <w:rPr>
      <w:rFonts w:ascii="楷体_GB2312" w:hAnsi="Arial" w:eastAsia="楷体_GB2312"/>
      <w:sz w:val="28"/>
    </w:rPr>
  </w:style>
  <w:style w:type="character" w:customStyle="1" w:styleId="338">
    <w:name w:val="列表段落 字符"/>
    <w:link w:val="259"/>
    <w:qFormat/>
    <w:uiPriority w:val="34"/>
    <w:rPr>
      <w:sz w:val="24"/>
      <w:szCs w:val="24"/>
      <w:lang w:eastAsia="en-US" w:bidi="en-US"/>
    </w:rPr>
  </w:style>
  <w:style w:type="paragraph" w:customStyle="1" w:styleId="339">
    <w:name w:val="Char Char Char"/>
    <w:basedOn w:val="1"/>
    <w:qFormat/>
    <w:uiPriority w:val="0"/>
    <w:pPr>
      <w:numPr>
        <w:ilvl w:val="0"/>
        <w:numId w:val="4"/>
      </w:numPr>
      <w:tabs>
        <w:tab w:val="left" w:pos="1545"/>
      </w:tabs>
    </w:pPr>
    <w:rPr>
      <w:rFonts w:ascii="Times New Roman" w:hAnsi="Times New Roman"/>
      <w:szCs w:val="20"/>
    </w:rPr>
  </w:style>
  <w:style w:type="paragraph" w:customStyle="1" w:styleId="340">
    <w:name w:val="Plain Text1"/>
    <w:basedOn w:val="1"/>
    <w:qFormat/>
    <w:uiPriority w:val="0"/>
    <w:rPr>
      <w:rFonts w:ascii="宋体" w:hAnsi="Courier New" w:eastAsia="楷体_GB2312"/>
      <w:sz w:val="28"/>
      <w:szCs w:val="20"/>
    </w:rPr>
  </w:style>
  <w:style w:type="paragraph" w:customStyle="1" w:styleId="341">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2">
    <w:name w:val="Char1 Char Char Char"/>
    <w:basedOn w:val="1"/>
    <w:qFormat/>
    <w:uiPriority w:val="0"/>
    <w:rPr>
      <w:rFonts w:ascii="Tahoma" w:hAnsi="Tahoma"/>
      <w:sz w:val="24"/>
      <w:szCs w:val="20"/>
    </w:rPr>
  </w:style>
  <w:style w:type="paragraph" w:customStyle="1" w:styleId="343">
    <w:name w:val="Char Char1 Char Char Char Char Char Char Char"/>
    <w:basedOn w:val="1"/>
    <w:qFormat/>
    <w:uiPriority w:val="0"/>
    <w:rPr>
      <w:rFonts w:ascii="Calibri Light" w:hAnsi="Calibri Light" w:cs="Berlin Sans FB Demi"/>
      <w:sz w:val="24"/>
      <w:szCs w:val="20"/>
    </w:rPr>
  </w:style>
  <w:style w:type="paragraph" w:customStyle="1" w:styleId="344">
    <w:name w:val="Char Char"/>
    <w:basedOn w:val="1"/>
    <w:qFormat/>
    <w:uiPriority w:val="0"/>
    <w:rPr>
      <w:rFonts w:ascii="Times New Roman" w:hAnsi="Times New Roman"/>
      <w:szCs w:val="21"/>
    </w:rPr>
  </w:style>
  <w:style w:type="paragraph" w:customStyle="1" w:styleId="345">
    <w:name w:val="_Style 12"/>
    <w:basedOn w:val="236"/>
    <w:qFormat/>
    <w:uiPriority w:val="0"/>
    <w:pPr>
      <w:widowControl/>
      <w:spacing w:line="360" w:lineRule="auto"/>
      <w:jc w:val="left"/>
    </w:pPr>
    <w:rPr>
      <w:sz w:val="24"/>
      <w:szCs w:val="24"/>
    </w:rPr>
  </w:style>
  <w:style w:type="character" w:customStyle="1" w:styleId="346">
    <w:name w:val="正文缩进 Char1"/>
    <w:qFormat/>
    <w:uiPriority w:val="0"/>
    <w:rPr>
      <w:rFonts w:eastAsia="楷体_GB2312"/>
      <w:sz w:val="24"/>
    </w:rPr>
  </w:style>
  <w:style w:type="character" w:customStyle="1" w:styleId="347">
    <w:name w:val="纯文本 字符1"/>
    <w:qFormat/>
    <w:uiPriority w:val="0"/>
    <w:rPr>
      <w:rFonts w:ascii="宋体" w:hAnsi="Courier New"/>
    </w:rPr>
  </w:style>
  <w:style w:type="character" w:customStyle="1" w:styleId="348">
    <w:name w:val="未处理的提及1"/>
    <w:unhideWhenUsed/>
    <w:qFormat/>
    <w:uiPriority w:val="99"/>
    <w:rPr>
      <w:color w:val="605E5C"/>
      <w:shd w:val="clear" w:color="auto" w:fill="E1DFDD"/>
    </w:rPr>
  </w:style>
  <w:style w:type="character" w:customStyle="1" w:styleId="349">
    <w:name w:val="批注文字 字符"/>
    <w:qFormat/>
    <w:uiPriority w:val="0"/>
    <w:rPr>
      <w:sz w:val="21"/>
    </w:rPr>
  </w:style>
  <w:style w:type="character" w:customStyle="1" w:styleId="350">
    <w:name w:val="标题 2 字符"/>
    <w:qFormat/>
    <w:uiPriority w:val="0"/>
    <w:rPr>
      <w:rFonts w:eastAsia="楷体_GB2312"/>
      <w:b/>
      <w:bCs/>
      <w:sz w:val="28"/>
      <w:szCs w:val="28"/>
    </w:rPr>
  </w:style>
  <w:style w:type="character" w:customStyle="1" w:styleId="351">
    <w:name w:val="日期 字符"/>
    <w:qFormat/>
    <w:uiPriority w:val="0"/>
    <w:rPr>
      <w:rFonts w:ascii="宋体"/>
      <w:sz w:val="28"/>
    </w:rPr>
  </w:style>
  <w:style w:type="character" w:customStyle="1" w:styleId="352">
    <w:name w:val="正文文本 字符1"/>
    <w:qFormat/>
    <w:uiPriority w:val="0"/>
    <w:rPr>
      <w:rFonts w:ascii="楷体_GB2312" w:hAnsi="Arial" w:eastAsia="楷体_GB2312"/>
      <w:sz w:val="28"/>
    </w:rPr>
  </w:style>
  <w:style w:type="paragraph" w:customStyle="1" w:styleId="353">
    <w:name w:val="_正文段落"/>
    <w:basedOn w:val="1"/>
    <w:link w:val="354"/>
    <w:qFormat/>
    <w:uiPriority w:val="0"/>
    <w:pPr>
      <w:spacing w:line="360" w:lineRule="auto"/>
      <w:ind w:firstLine="480"/>
    </w:pPr>
    <w:rPr>
      <w:rFonts w:ascii="宋体" w:hAnsi="宋体"/>
      <w:sz w:val="24"/>
      <w:szCs w:val="24"/>
    </w:rPr>
  </w:style>
  <w:style w:type="character" w:customStyle="1" w:styleId="354">
    <w:name w:val="_正文段落 Char"/>
    <w:link w:val="353"/>
    <w:qFormat/>
    <w:uiPriority w:val="0"/>
    <w:rPr>
      <w:rFonts w:ascii="宋体" w:hAnsi="宋体"/>
      <w:sz w:val="24"/>
      <w:szCs w:val="24"/>
    </w:rPr>
  </w:style>
  <w:style w:type="character" w:customStyle="1" w:styleId="355">
    <w:name w:val="cf01"/>
    <w:qFormat/>
    <w:uiPriority w:val="0"/>
    <w:rPr>
      <w:rFonts w:hint="eastAsia" w:ascii="Microsoft YaHei UI" w:hAnsi="Microsoft YaHei UI" w:eastAsia="Microsoft YaHei UI"/>
      <w:b/>
      <w:bCs/>
      <w:sz w:val="18"/>
      <w:szCs w:val="18"/>
    </w:rPr>
  </w:style>
  <w:style w:type="character" w:customStyle="1" w:styleId="356">
    <w:name w:val="标题 2 字符1"/>
    <w:qFormat/>
    <w:uiPriority w:val="0"/>
    <w:rPr>
      <w:rFonts w:eastAsia="楷体_GB2312"/>
      <w:b/>
      <w:bCs/>
      <w:sz w:val="28"/>
      <w:szCs w:val="28"/>
    </w:rPr>
  </w:style>
  <w:style w:type="paragraph" w:customStyle="1" w:styleId="357">
    <w:name w:val="pf0"/>
    <w:basedOn w:val="1"/>
    <w:autoRedefine/>
    <w:qFormat/>
    <w:uiPriority w:val="0"/>
    <w:pPr>
      <w:widowControl/>
      <w:spacing w:before="100" w:beforeAutospacing="1" w:after="100" w:afterAutospacing="1"/>
      <w:jc w:val="left"/>
    </w:pPr>
    <w:rPr>
      <w:rFonts w:ascii="宋体" w:hAnsi="宋体" w:cs="宋体"/>
      <w:sz w:val="24"/>
      <w:szCs w:val="24"/>
    </w:rPr>
  </w:style>
  <w:style w:type="character" w:customStyle="1" w:styleId="358">
    <w:name w:val="cf11"/>
    <w:qFormat/>
    <w:uiPriority w:val="0"/>
    <w:rPr>
      <w:rFonts w:hint="eastAsia" w:ascii="Microsoft YaHei UI" w:hAnsi="Microsoft YaHei UI" w:eastAsia="Microsoft YaHei UI"/>
      <w:sz w:val="18"/>
      <w:szCs w:val="18"/>
    </w:rPr>
  </w:style>
  <w:style w:type="character" w:customStyle="1" w:styleId="359">
    <w:name w:val="cf21"/>
    <w:qFormat/>
    <w:uiPriority w:val="0"/>
    <w:rPr>
      <w:rFonts w:hint="eastAsia" w:ascii="Microsoft YaHei UI" w:hAnsi="Microsoft YaHei UI" w:eastAsia="Microsoft YaHei UI"/>
      <w:b/>
      <w:bCs/>
      <w:sz w:val="18"/>
      <w:szCs w:val="18"/>
    </w:rPr>
  </w:style>
  <w:style w:type="paragraph" w:customStyle="1" w:styleId="360">
    <w:name w:val="TOC 标题11"/>
    <w:basedOn w:val="193"/>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1">
    <w:name w:val="普通正文 Char"/>
    <w:link w:val="242"/>
    <w:qFormat/>
    <w:uiPriority w:val="0"/>
    <w:rPr>
      <w:rFonts w:ascii="Arial" w:hAnsi="Arial"/>
      <w:sz w:val="24"/>
      <w:szCs w:val="24"/>
    </w:rPr>
  </w:style>
  <w:style w:type="character" w:customStyle="1" w:styleId="362">
    <w:name w:val="批注文字 字符2"/>
    <w:basedOn w:val="40"/>
    <w:link w:val="13"/>
    <w:semiHidden/>
    <w:qFormat/>
    <w:uiPriority w:val="99"/>
    <w:rPr>
      <w:sz w:val="21"/>
      <w:szCs w:val="22"/>
    </w:rPr>
  </w:style>
  <w:style w:type="character" w:customStyle="1" w:styleId="363">
    <w:name w:val="批注主题 字符1"/>
    <w:basedOn w:val="362"/>
    <w:link w:val="35"/>
    <w:semiHidden/>
    <w:qFormat/>
    <w:uiPriority w:val="99"/>
    <w:rPr>
      <w:b/>
      <w:bCs/>
      <w:sz w:val="21"/>
      <w:szCs w:val="22"/>
    </w:rPr>
  </w:style>
  <w:style w:type="character" w:customStyle="1" w:styleId="364">
    <w:name w:val="批注框文本 字符1"/>
    <w:basedOn w:val="40"/>
    <w:link w:val="21"/>
    <w:semiHidden/>
    <w:qFormat/>
    <w:uiPriority w:val="99"/>
    <w:rPr>
      <w:sz w:val="18"/>
      <w:szCs w:val="18"/>
    </w:rPr>
  </w:style>
  <w:style w:type="character" w:customStyle="1" w:styleId="365">
    <w:name w:val="1、 字符"/>
    <w:link w:val="366"/>
    <w:qFormat/>
    <w:uiPriority w:val="0"/>
    <w:rPr>
      <w:kern w:val="2"/>
      <w:sz w:val="24"/>
      <w:szCs w:val="24"/>
    </w:rPr>
  </w:style>
  <w:style w:type="paragraph" w:customStyle="1" w:styleId="366">
    <w:name w:val="1、"/>
    <w:basedOn w:val="1"/>
    <w:link w:val="365"/>
    <w:qFormat/>
    <w:uiPriority w:val="0"/>
    <w:pPr>
      <w:spacing w:line="440" w:lineRule="exact"/>
      <w:ind w:firstLine="200" w:firstLineChars="200"/>
    </w:pPr>
    <w:rPr>
      <w:kern w:val="2"/>
      <w:sz w:val="24"/>
      <w:szCs w:val="24"/>
    </w:rPr>
  </w:style>
  <w:style w:type="paragraph" w:customStyle="1" w:styleId="367">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68">
    <w:name w:val="15"/>
    <w:basedOn w:val="40"/>
    <w:qFormat/>
    <w:uiPriority w:val="0"/>
    <w:rPr>
      <w:rFonts w:hint="default" w:ascii="Calibri" w:hAnsi="Calibri" w:cs="Calibri"/>
    </w:rPr>
  </w:style>
  <w:style w:type="character" w:customStyle="1" w:styleId="369">
    <w:name w:val="普通(网站) 字符"/>
    <w:link w:val="33"/>
    <w:qFormat/>
    <w:locked/>
    <w:uiPriority w:val="99"/>
    <w:rPr>
      <w:rFonts w:ascii="宋体" w:hAnsi="宋体" w:cs="宋体"/>
      <w:sz w:val="24"/>
      <w:szCs w:val="24"/>
    </w:rPr>
  </w:style>
  <w:style w:type="paragraph" w:customStyle="1" w:styleId="370">
    <w:name w:val="纯文本2"/>
    <w:basedOn w:val="1"/>
    <w:qFormat/>
    <w:uiPriority w:val="0"/>
    <w:pPr>
      <w:adjustRightInd w:val="0"/>
    </w:pPr>
    <w:rPr>
      <w:rFonts w:hint="eastAsia" w:ascii="宋体" w:hAnsi="Courier New" w:eastAsia="楷体_GB2312"/>
      <w:kern w:val="2"/>
      <w:sz w:val="28"/>
      <w:szCs w:val="20"/>
    </w:rPr>
  </w:style>
  <w:style w:type="table" w:customStyle="1" w:styleId="371">
    <w:name w:val="Table Normal"/>
    <w:unhideWhenUsed/>
    <w:qFormat/>
    <w:uiPriority w:val="0"/>
    <w:tblPr>
      <w:tblCellMar>
        <w:top w:w="0" w:type="dxa"/>
        <w:left w:w="0" w:type="dxa"/>
        <w:bottom w:w="0" w:type="dxa"/>
        <w:right w:w="0" w:type="dxa"/>
      </w:tblCellMar>
    </w:tblPr>
  </w:style>
  <w:style w:type="paragraph" w:customStyle="1" w:styleId="372">
    <w:name w:val="Table Text"/>
    <w:basedOn w:val="1"/>
    <w:semiHidden/>
    <w:qFormat/>
    <w:uiPriority w:val="0"/>
    <w:rPr>
      <w:rFonts w:ascii="宋体" w:hAnsi="宋体" w:cs="宋体"/>
      <w:szCs w:val="21"/>
      <w:lang w:eastAsia="en-US"/>
    </w:rPr>
  </w:style>
  <w:style w:type="paragraph" w:customStyle="1" w:styleId="373">
    <w:name w:val="正文！！！"/>
    <w:basedOn w:val="1"/>
    <w:qFormat/>
    <w:uiPriority w:val="0"/>
    <w:pPr>
      <w:spacing w:line="440" w:lineRule="exact"/>
      <w:ind w:firstLine="200" w:firstLineChars="200"/>
    </w:pPr>
    <w:rPr>
      <w:sz w:val="24"/>
      <w:szCs w:val="24"/>
    </w:rPr>
  </w:style>
  <w:style w:type="paragraph" w:customStyle="1" w:styleId="374">
    <w:name w:val="标题 3.1"/>
    <w:basedOn w:val="4"/>
    <w:autoRedefine/>
    <w:qFormat/>
    <w:uiPriority w:val="0"/>
    <w:pPr>
      <w:tabs>
        <w:tab w:val="left" w:pos="1440"/>
        <w:tab w:val="left" w:pos="1620"/>
      </w:tabs>
      <w:spacing w:before="260" w:after="260" w:line="600" w:lineRule="exact"/>
    </w:pPr>
    <w:rPr>
      <w:b/>
      <w:color w:val="FF0000"/>
      <w:sz w:val="32"/>
    </w:rPr>
  </w:style>
  <w:style w:type="paragraph" w:customStyle="1" w:styleId="375">
    <w:name w:val="Table Paragraph"/>
    <w:basedOn w:val="1"/>
    <w:qFormat/>
    <w:uiPriority w:val="1"/>
    <w:rPr>
      <w:rFonts w:ascii="宋体" w:hAnsi="宋体" w:cs="宋体"/>
      <w:lang w:val="zh-CN" w:bidi="zh-CN"/>
    </w:rPr>
  </w:style>
  <w:style w:type="paragraph" w:customStyle="1" w:styleId="376">
    <w:name w:val="首行缩进"/>
    <w:basedOn w:val="273"/>
    <w:qFormat/>
    <w:uiPriority w:val="0"/>
    <w:pPr>
      <w:ind w:firstLine="200"/>
    </w:pPr>
    <w:rPr>
      <w:sz w:val="20"/>
    </w:rPr>
  </w:style>
  <w:style w:type="character" w:customStyle="1" w:styleId="377">
    <w:name w:val="font11"/>
    <w:qFormat/>
    <w:uiPriority w:val="0"/>
    <w:rPr>
      <w:rFonts w:hint="eastAsia" w:ascii="微软雅黑" w:hAnsi="微软雅黑" w:eastAsia="微软雅黑" w:cs="微软雅黑"/>
      <w:color w:val="000000"/>
      <w:sz w:val="20"/>
      <w:szCs w:val="20"/>
      <w:u w:val="none"/>
    </w:rPr>
  </w:style>
  <w:style w:type="paragraph" w:customStyle="1" w:styleId="378">
    <w:name w:val="正文111"/>
    <w:next w:val="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58</Pages>
  <Words>17649</Words>
  <Characters>18909</Characters>
  <Lines>283</Lines>
  <Paragraphs>79</Paragraphs>
  <TotalTime>1</TotalTime>
  <ScaleCrop>false</ScaleCrop>
  <LinksUpToDate>false</LinksUpToDate>
  <CharactersWithSpaces>19804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2024-10-31T18:51:00Z</dcterms:created>
  <dc:creator>赵国文</dc:creator>
  <cp:lastModifiedBy>大大大温柔v*</cp:lastModifiedBy>
  <dcterms:modified xsi:type="dcterms:W3CDTF">2024-12-03T06:13:30Z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D3F009EF0DE44298B13A2684A9BE53B9_13</vt:lpwstr>
  </property>
</Properties>
</file>