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320"/>
        <w:jc w:val="left"/>
        <w:spacing w:line="360" w:lineRule="auto"/>
        <w:rPr>
          <w:rFonts w:hint="eastAsia" w:ascii="仿宋" w:hAnsi="仿宋" w:eastAsia="仿宋" w:cs="仿宋"/>
          <w:sz w:val="32"/>
          <w:szCs w:val="24"/>
        </w:rPr>
      </w:pPr>
      <w:r>
        <w:rPr>
          <w:rFonts w:hint="eastAsia" w:ascii="仿宋" w:hAnsi="仿宋" w:eastAsia="仿宋" w:cs="仿宋"/>
          <w:sz w:val="32"/>
          <w:szCs w:val="24"/>
        </w:rPr>
        <w:t xml:space="preserve">     </w:t>
      </w:r>
      <w:r/>
    </w:p>
    <w:p>
      <w:pPr>
        <w:rPr>
          <w:rFonts w:hint="eastAsia" w:ascii="仿宋" w:hAnsi="仿宋" w:eastAsia="仿宋" w:cs="仿宋"/>
          <w:sz w:val="32"/>
          <w:szCs w:val="24"/>
        </w:rPr>
      </w:pPr>
      <w:r>
        <w:rPr>
          <w:rFonts w:hint="eastAsia" w:ascii="仿宋" w:hAnsi="仿宋" w:eastAsia="仿宋" w:cs="仿宋"/>
          <w:sz w:val="32"/>
          <w:szCs w:val="24"/>
        </w:rPr>
      </w:r>
      <w:r/>
    </w:p>
    <w:p>
      <w:pPr>
        <w:pStyle w:val="865"/>
        <w:rPr>
          <w:rFonts w:hint="eastAsia"/>
          <w:sz w:val="22"/>
          <w:szCs w:val="18"/>
        </w:rPr>
      </w:pPr>
      <w:r>
        <w:rPr>
          <w:rFonts w:hint="eastAsia"/>
          <w:sz w:val="22"/>
          <w:szCs w:val="18"/>
        </w:rPr>
      </w:r>
      <w:r/>
    </w:p>
    <w:p>
      <w:pPr>
        <w:pStyle w:val="1033"/>
        <w:jc w:val="center"/>
        <w:spacing w:line="360" w:lineRule="auto"/>
        <w:rPr>
          <w:rFonts w:hint="eastAsia" w:ascii="仿宋" w:hAnsi="仿宋" w:eastAsia="仿宋" w:cs="仿宋"/>
          <w:b/>
          <w:spacing w:val="76"/>
          <w:sz w:val="144"/>
          <w:szCs w:val="24"/>
        </w:rPr>
      </w:pPr>
      <w:r>
        <w:rPr>
          <w:rFonts w:hint="eastAsia" w:ascii="仿宋" w:hAnsi="仿宋" w:eastAsia="仿宋" w:cs="仿宋"/>
          <w:b/>
          <w:spacing w:val="76"/>
          <w:sz w:val="144"/>
          <w:szCs w:val="144"/>
        </w:rPr>
        <w:t xml:space="preserve">招标文件</w:t>
      </w:r>
      <w:r/>
    </w:p>
    <w:p>
      <w:pPr>
        <w:pStyle w:val="1033"/>
        <w:jc w:val="center"/>
        <w:spacing w:line="360" w:lineRule="auto"/>
        <w:rPr>
          <w:rFonts w:hint="eastAsia" w:ascii="仿宋" w:hAnsi="仿宋" w:eastAsia="仿宋" w:cs="仿宋"/>
          <w:spacing w:val="76"/>
          <w:sz w:val="24"/>
          <w:szCs w:val="24"/>
        </w:rPr>
      </w:pPr>
      <w:r>
        <w:rPr>
          <w:rFonts w:hint="eastAsia" w:ascii="仿宋" w:hAnsi="仿宋" w:eastAsia="仿宋" w:cs="仿宋"/>
          <w:spacing w:val="76"/>
          <w:sz w:val="24"/>
          <w:szCs w:val="24"/>
        </w:rPr>
      </w:r>
      <w:r/>
    </w:p>
    <w:p>
      <w:pPr>
        <w:pStyle w:val="1036"/>
        <w:ind w:left="0" w:firstLine="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1035"/>
        <w:rPr>
          <w:rFonts w:hint="eastAsia" w:ascii="仿宋" w:hAnsi="仿宋" w:eastAsia="仿宋" w:cs="仿宋"/>
          <w:sz w:val="32"/>
          <w:szCs w:val="32"/>
        </w:rPr>
      </w:pPr>
      <w:r>
        <w:rPr>
          <w:rFonts w:hint="eastAsia" w:ascii="仿宋" w:hAnsi="仿宋" w:eastAsia="仿宋" w:cs="仿宋"/>
          <w:sz w:val="32"/>
          <w:szCs w:val="32"/>
        </w:rPr>
      </w:r>
      <w:r/>
    </w:p>
    <w:p>
      <w:pPr>
        <w:pStyle w:val="1035"/>
        <w:rPr>
          <w:rFonts w:hint="eastAsia" w:ascii="仿宋" w:hAnsi="仿宋" w:eastAsia="仿宋" w:cs="仿宋"/>
          <w:sz w:val="32"/>
          <w:szCs w:val="32"/>
        </w:rPr>
      </w:pPr>
      <w:r>
        <w:rPr>
          <w:rFonts w:hint="eastAsia" w:ascii="仿宋" w:hAnsi="仿宋" w:eastAsia="仿宋" w:cs="仿宋"/>
          <w:sz w:val="32"/>
          <w:szCs w:val="32"/>
        </w:rPr>
      </w:r>
      <w:r/>
    </w:p>
    <w:p>
      <w:pPr>
        <w:pStyle w:val="1035"/>
        <w:rPr>
          <w:rFonts w:hint="eastAsia" w:ascii="仿宋" w:hAnsi="仿宋" w:eastAsia="仿宋" w:cs="仿宋"/>
          <w:sz w:val="32"/>
          <w:szCs w:val="32"/>
        </w:rPr>
      </w:pPr>
      <w:r>
        <w:rPr>
          <w:rFonts w:hint="eastAsia" w:ascii="仿宋" w:hAnsi="仿宋" w:eastAsia="仿宋" w:cs="仿宋"/>
          <w:sz w:val="32"/>
          <w:szCs w:val="32"/>
        </w:rPr>
      </w:r>
      <w:r/>
    </w:p>
    <w:p>
      <w:pPr>
        <w:pStyle w:val="1035"/>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5"/>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5"/>
        <w:spacing w:line="360" w:lineRule="auto"/>
        <w:rPr>
          <w:rFonts w:hint="default" w:ascii="仿宋" w:hAnsi="仿宋" w:eastAsia="仿宋" w:cs="仿宋"/>
          <w:sz w:val="21"/>
          <w:szCs w:val="24"/>
          <w:lang w:val="en-US" w:eastAsia="zh-CN"/>
        </w:rPr>
      </w:pPr>
      <w:r>
        <w:rPr>
          <w:rFonts w:hint="default" w:ascii="仿宋" w:hAnsi="仿宋" w:eastAsia="仿宋" w:cs="仿宋"/>
          <w:sz w:val="21"/>
          <w:szCs w:val="24"/>
          <w:lang w:val="en-US" w:eastAsia="zh-CN"/>
        </w:rPr>
      </w:r>
      <w:r/>
    </w:p>
    <w:p>
      <w:pPr>
        <w:pStyle w:val="1033"/>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项目编号:JSZC-320381-XZGB-G2024-0015</w:t>
      </w:r>
      <w:r/>
    </w:p>
    <w:p>
      <w:pPr>
        <w:ind w:firstLine="840"/>
        <w:jc w:val="both"/>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项目名称:新沂市镇村污水处理设施运营及管网维护（东片区）</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采 购 人:新沂市住房和城乡建设局</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采购代理机构：徐州国邦工程咨询管理有限公司</w:t>
      </w:r>
      <w:r/>
    </w:p>
    <w:p>
      <w:pPr>
        <w:ind w:firstLine="840"/>
        <w:jc w:val="left"/>
        <w:spacing w:line="360" w:lineRule="auto"/>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t xml:space="preserve">编制时间：二O二四年五月</w:t>
      </w:r>
      <w:r/>
    </w:p>
    <w:p>
      <w:pPr>
        <w:pStyle w:val="1039"/>
        <w:ind w:firstLine="0"/>
        <w:jc w:val="center"/>
        <w:spacing w:line="360" w:lineRule="auto"/>
        <w:rPr>
          <w:rFonts w:hint="eastAsia" w:ascii="仿宋" w:hAnsi="仿宋" w:eastAsia="仿宋" w:cs="仿宋"/>
          <w:b/>
          <w:sz w:val="44"/>
          <w:szCs w:val="24"/>
          <w:lang w:eastAsia="zh-CN"/>
        </w:rPr>
      </w:pPr>
      <w:r>
        <w:rPr>
          <w:rFonts w:hint="eastAsia" w:ascii="仿宋" w:hAnsi="仿宋" w:eastAsia="仿宋" w:cs="仿宋"/>
          <w:b/>
          <w:sz w:val="44"/>
          <w:szCs w:val="24"/>
          <w:lang w:eastAsia="zh-CN"/>
        </w:rPr>
      </w:r>
      <w:r/>
    </w:p>
    <w:p>
      <w:pPr>
        <w:pStyle w:val="1039"/>
        <w:ind w:firstLine="0"/>
        <w:jc w:val="center"/>
        <w:spacing w:line="360" w:lineRule="auto"/>
        <w:rPr>
          <w:rFonts w:hint="eastAsia" w:ascii="仿宋" w:hAnsi="仿宋" w:eastAsia="仿宋" w:cs="仿宋"/>
          <w:b/>
          <w:sz w:val="44"/>
          <w:szCs w:val="24"/>
        </w:rPr>
      </w:pPr>
      <w:r>
        <w:rPr>
          <w:rFonts w:hint="eastAsia" w:ascii="仿宋" w:hAnsi="仿宋" w:eastAsia="仿宋" w:cs="仿宋"/>
          <w:b/>
          <w:sz w:val="44"/>
          <w:szCs w:val="24"/>
        </w:rPr>
      </w:r>
      <w:r/>
    </w:p>
    <w:p>
      <w:pPr>
        <w:pStyle w:val="1029"/>
        <w:jc w:val="both"/>
        <w:keepLines w:val="0"/>
        <w:keepNext w:val="0"/>
        <w:pageBreakBefore w:val="0"/>
        <w:spacing w:line="600" w:lineRule="auto"/>
        <w:widowControl w:val="off"/>
        <w:rPr>
          <w:rFonts w:hint="eastAsia" w:ascii="仿宋" w:hAnsi="仿宋" w:eastAsia="仿宋" w:cs="仿宋"/>
          <w:b/>
          <w:sz w:val="44"/>
          <w:szCs w:val="44"/>
        </w:rPr>
      </w:pPr>
      <w:r/>
      <w:bookmarkStart w:id="0" w:name="_Toc522790130"/>
      <w:r/>
      <w:r/>
    </w:p>
    <w:p>
      <w:pPr>
        <w:pStyle w:val="1029"/>
        <w:jc w:val="both"/>
        <w:spacing w:line="360" w:lineRule="auto"/>
        <w:rPr>
          <w:rFonts w:hint="eastAsia" w:ascii="仿宋" w:hAnsi="仿宋" w:eastAsia="仿宋" w:cs="仿宋"/>
          <w:b/>
          <w:sz w:val="44"/>
          <w:szCs w:val="44"/>
        </w:rPr>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仿宋" w:hAnsi="仿宋" w:eastAsia="仿宋" w:cs="仿宋"/>
          <w:b/>
          <w:sz w:val="44"/>
          <w:szCs w:val="44"/>
        </w:rPr>
      </w:r>
      <w:r/>
    </w:p>
    <w:p>
      <w:pPr>
        <w:pStyle w:val="1029"/>
        <w:jc w:val="center"/>
        <w:spacing w:line="360" w:lineRule="auto"/>
        <w:rPr>
          <w:rFonts w:hint="eastAsia" w:ascii="仿宋" w:hAnsi="仿宋" w:eastAsia="仿宋" w:cs="仿宋"/>
          <w:b/>
          <w:sz w:val="32"/>
          <w:szCs w:val="32"/>
          <w:lang w:eastAsia="zh-CN"/>
        </w:rPr>
      </w:pPr>
      <w:r>
        <w:rPr>
          <w:rFonts w:hint="eastAsia" w:ascii="仿宋" w:hAnsi="仿宋" w:eastAsia="仿宋" w:cs="仿宋"/>
          <w:b/>
          <w:sz w:val="32"/>
          <w:szCs w:val="32"/>
          <w:lang w:eastAsia="zh-CN"/>
        </w:rPr>
        <w:t xml:space="preserve">新沂市住房和城乡建设局</w:t>
      </w:r>
      <w:r/>
    </w:p>
    <w:p>
      <w:pPr>
        <w:pStyle w:val="1029"/>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w:t>
      </w:r>
      <w:r>
        <w:rPr>
          <w:rFonts w:hint="eastAsia" w:ascii="仿宋" w:hAnsi="仿宋" w:eastAsia="仿宋" w:cs="仿宋"/>
          <w:b/>
          <w:sz w:val="32"/>
          <w:szCs w:val="32"/>
          <w:lang w:eastAsia="zh-CN"/>
        </w:rPr>
        <w:t xml:space="preserve">新沂市镇村污水处理设施运营及管网维护（东片区）</w:t>
      </w:r>
      <w:r>
        <w:rPr>
          <w:rFonts w:hint="eastAsia" w:ascii="仿宋" w:hAnsi="仿宋" w:eastAsia="仿宋" w:cs="仿宋"/>
          <w:b/>
          <w:sz w:val="32"/>
          <w:szCs w:val="32"/>
        </w:rPr>
        <w:t xml:space="preserve">》招标文件</w:t>
      </w:r>
      <w:r>
        <w:rPr>
          <w:rFonts w:hint="eastAsia" w:ascii="仿宋" w:hAnsi="仿宋" w:eastAsia="仿宋" w:cs="仿宋"/>
          <w:b/>
          <w:sz w:val="22"/>
          <w:szCs w:val="22"/>
        </w:rPr>
        <w:t xml:space="preserve"> </w:t>
      </w:r>
      <w:r/>
    </w:p>
    <w:p>
      <w:pPr>
        <w:pStyle w:val="1029"/>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    </w:t>
      </w:r>
      <w:r/>
    </w:p>
    <w:p>
      <w:pPr>
        <w:pStyle w:val="1029"/>
        <w:ind w:firstLine="60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029"/>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1"/>
        <w:spacing w:line="360" w:lineRule="auto"/>
        <w:rPr>
          <w:rFonts w:hint="eastAsia" w:ascii="仿宋" w:hAnsi="仿宋" w:eastAsia="仿宋" w:cs="仿宋"/>
          <w:sz w:val="28"/>
          <w:szCs w:val="44"/>
        </w:rPr>
      </w:pPr>
      <w:r/>
      <w:bookmarkStart w:id="1" w:name="_Toc29681"/>
      <w:r>
        <w:rPr>
          <w:rFonts w:hint="eastAsia" w:ascii="仿宋" w:hAnsi="仿宋" w:eastAsia="仿宋" w:cs="仿宋"/>
          <w:sz w:val="28"/>
          <w:szCs w:val="44"/>
        </w:rPr>
        <w:t xml:space="preserve">第一章  投标邀请</w:t>
      </w:r>
      <w:bookmarkEnd w:id="1"/>
      <w:r/>
      <w:r/>
    </w:p>
    <w:p>
      <w:pPr>
        <w:pStyle w:val="1029"/>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u w:val="single"/>
          <w:lang w:eastAsia="zh-CN"/>
        </w:rPr>
        <w:t xml:space="preserve">徐州国邦工程咨询管理有限公司</w:t>
      </w:r>
      <w:r>
        <w:rPr>
          <w:rFonts w:hint="eastAsia" w:ascii="仿宋" w:hAnsi="仿宋" w:eastAsia="仿宋" w:cs="仿宋"/>
          <w:sz w:val="24"/>
          <w:szCs w:val="24"/>
        </w:rPr>
        <w:t xml:space="preserve">对</w:t>
      </w:r>
      <w:r>
        <w:rPr>
          <w:rFonts w:hint="eastAsia" w:ascii="仿宋" w:hAnsi="仿宋" w:eastAsia="仿宋" w:cs="仿宋"/>
          <w:sz w:val="24"/>
          <w:szCs w:val="24"/>
          <w:u w:val="single"/>
          <w:lang w:eastAsia="zh-CN"/>
        </w:rPr>
        <w:t xml:space="preserve">新沂市住房和城乡建设局</w:t>
      </w:r>
      <w:r>
        <w:rPr>
          <w:rFonts w:hint="eastAsia" w:ascii="仿宋" w:hAnsi="仿宋" w:eastAsia="仿宋" w:cs="仿宋"/>
          <w:sz w:val="24"/>
          <w:szCs w:val="24"/>
        </w:rPr>
        <w:t xml:space="preserve">“</w:t>
      </w:r>
      <w:r>
        <w:rPr>
          <w:rFonts w:hint="eastAsia" w:ascii="仿宋" w:hAnsi="仿宋" w:eastAsia="仿宋" w:cs="仿宋"/>
          <w:sz w:val="24"/>
          <w:szCs w:val="24"/>
          <w:u w:val="single"/>
          <w:lang w:eastAsia="zh-CN"/>
        </w:rPr>
        <w:t xml:space="preserve">新沂市镇村污水处理设施运营及管网维护（东片区）</w:t>
      </w:r>
      <w:r>
        <w:rPr>
          <w:rFonts w:hint="eastAsia" w:ascii="仿宋" w:hAnsi="仿宋" w:eastAsia="仿宋" w:cs="仿宋"/>
          <w:sz w:val="24"/>
          <w:szCs w:val="24"/>
        </w:rPr>
        <w:t xml:space="preserve">”进行公开招标采购，现邀请符合相关条件的供应商投标。</w:t>
      </w:r>
      <w:r/>
    </w:p>
    <w:p>
      <w:pPr>
        <w:pStyle w:val="1029"/>
        <w:ind w:firstLine="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一、项目名称和项目编号</w:t>
      </w:r>
      <w:r/>
    </w:p>
    <w:p>
      <w:pPr>
        <w:pStyle w:val="1029"/>
        <w:ind w:firstLine="24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(一)项目名称：</w:t>
      </w:r>
      <w:r>
        <w:rPr>
          <w:rFonts w:hint="eastAsia" w:ascii="仿宋" w:hAnsi="仿宋" w:eastAsia="仿宋" w:cs="仿宋"/>
          <w:sz w:val="24"/>
          <w:szCs w:val="24"/>
          <w:lang w:eastAsia="zh-CN"/>
        </w:rPr>
        <w:t xml:space="preserve">新沂市镇村污水处理设施运营及管网维护（东片区）</w:t>
      </w:r>
      <w:r/>
    </w:p>
    <w:p>
      <w:pPr>
        <w:pStyle w:val="1029"/>
        <w:ind w:firstLine="24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(二)项目编号：</w:t>
      </w:r>
      <w:r>
        <w:rPr>
          <w:rFonts w:hint="eastAsia" w:ascii="仿宋" w:hAnsi="仿宋" w:eastAsia="仿宋" w:cs="仿宋"/>
          <w:sz w:val="24"/>
          <w:szCs w:val="24"/>
          <w:lang w:eastAsia="zh-CN"/>
        </w:rPr>
        <w:t xml:space="preserve">JSZC-320381-XZGB-G2024-0015</w:t>
      </w:r>
      <w:r/>
    </w:p>
    <w:p>
      <w:pPr>
        <w:pStyle w:val="1029"/>
        <w:ind w:firstLine="0"/>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二、对投标人的资格要求</w:t>
      </w:r>
      <w:r/>
    </w:p>
    <w:p>
      <w:pPr>
        <w:pStyle w:val="102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详见本项目公开招标公告。</w:t>
      </w:r>
      <w:bookmarkEnd w:id="0"/>
      <w:r/>
      <w:r/>
    </w:p>
    <w:p>
      <w:pPr>
        <w:numPr>
          <w:ilvl w:val="0"/>
          <w:numId w:val="2"/>
        </w:numPr>
        <w:jc w:val="both"/>
        <w:keepLines w:val="0"/>
        <w:keepNext w:val="0"/>
        <w:pageBreakBefore w:val="0"/>
        <w:spacing w:after="0" w:line="360" w:lineRule="auto"/>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获取招标文件</w:t>
      </w:r>
      <w:r/>
    </w:p>
    <w:p>
      <w:pPr>
        <w:numPr>
          <w:ilvl w:val="0"/>
          <w:numId w:val="0"/>
        </w:numPr>
        <w:jc w:val="both"/>
        <w:keepLines w:val="0"/>
        <w:keepNext w:val="0"/>
        <w:pageBreakBefore w:val="0"/>
        <w:spacing w:after="0"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（1）潜在供应商访问电子招标投标交易平台的网络地址和方法：</w:t>
      </w:r>
      <w:r/>
    </w:p>
    <w:p>
      <w:pPr>
        <w:pStyle w:val="102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2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②潜在供应商访问“苏采云”系统的网络地址和方法：“苏采云”系统的网址：http://jszfcg.jsczt.cn/；或进入徐州政府采购网（网址：http://czj.xz.gov.cn/Home/HomeIndex）--业务工作--用户登录，点击“苏采云”进入系统。</w:t>
      </w:r>
      <w:r/>
    </w:p>
    <w:p>
      <w:pPr>
        <w:pStyle w:val="102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③“CA数字证书”的获取：</w:t>
      </w:r>
      <w:r/>
    </w:p>
    <w:p>
      <w:pPr>
        <w:pStyle w:val="102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29"/>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（2）采购代理机构将数据电文形式的招标文件加载至电子招标投标交易平台，供潜在供应商下载或者查阅。</w:t>
      </w:r>
      <w:r/>
    </w:p>
    <w:p>
      <w:pPr>
        <w:pStyle w:val="102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（3）苏采云系统使用谷歌浏览器参与不见面开标。</w:t>
      </w:r>
      <w:r/>
    </w:p>
    <w:p>
      <w:pPr>
        <w:pStyle w:val="1029"/>
        <w:ind w:firstLine="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（4）售价：免费。  </w:t>
      </w:r>
      <w:r/>
    </w:p>
    <w:p>
      <w:pPr>
        <w:pStyle w:val="1029"/>
        <w:ind w:firstLine="0"/>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sz w:val="24"/>
          <w:szCs w:val="24"/>
        </w:rPr>
        <w:t xml:space="preserve">四、投标有关信息</w:t>
      </w:r>
      <w:r/>
    </w:p>
    <w:p>
      <w:pPr>
        <w:pStyle w:val="1029"/>
        <w:ind w:firstLine="24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highlight w:val="none"/>
        </w:rPr>
        <w:t xml:space="preserve">投标截</w:t>
      </w:r>
      <w:r>
        <w:rPr>
          <w:rFonts w:hint="eastAsia" w:ascii="仿宋" w:hAnsi="仿宋" w:eastAsia="仿宋" w:cs="仿宋"/>
          <w:color w:val="000000" w:themeColor="text1"/>
          <w:sz w:val="24"/>
          <w:szCs w:val="24"/>
          <w:highlight w:val="none"/>
          <w14:textFill>
            <w14:solidFill>
              <w14:schemeClr w14:val="tx1"/>
            </w14:solidFill>
          </w14:textFill>
        </w:rPr>
        <w:t xml:space="preserve">止时间：202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6月26</w:t>
      </w:r>
      <w:r>
        <w:rPr>
          <w:rFonts w:hint="eastAsia" w:ascii="仿宋" w:hAnsi="仿宋" w:eastAsia="仿宋" w:cs="仿宋"/>
          <w:color w:val="000000" w:themeColor="text1"/>
          <w:sz w:val="24"/>
          <w:szCs w:val="24"/>
          <w:highlight w:val="none"/>
          <w14:textFill>
            <w14:solidFill>
              <w14:schemeClr w14:val="tx1"/>
            </w14:solidFill>
          </w14:textFill>
        </w:rPr>
        <w:t xml:space="preserve">日北京时间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0。</w:t>
      </w:r>
      <w:r/>
    </w:p>
    <w:p>
      <w:pPr>
        <w:pStyle w:val="1029"/>
        <w:ind w:firstLine="24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（二）开标时间：202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6月26</w:t>
      </w:r>
      <w:r>
        <w:rPr>
          <w:rFonts w:hint="eastAsia" w:ascii="仿宋" w:hAnsi="仿宋" w:eastAsia="仿宋" w:cs="仿宋"/>
          <w:color w:val="000000" w:themeColor="text1"/>
          <w:sz w:val="24"/>
          <w:szCs w:val="24"/>
          <w:highlight w:val="none"/>
          <w14:textFill>
            <w14:solidFill>
              <w14:schemeClr w14:val="tx1"/>
            </w14:solidFill>
          </w14:textFill>
        </w:rPr>
        <w:t xml:space="preserve">日北京时间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0。</w:t>
      </w:r>
      <w:r/>
    </w:p>
    <w:p>
      <w:pPr>
        <w:pStyle w:val="102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开标地点：“苏采云”系统</w:t>
      </w:r>
      <w:r>
        <w:rPr>
          <w:rFonts w:hint="eastAsia" w:ascii="仿宋" w:hAnsi="仿宋" w:eastAsia="仿宋" w:cs="仿宋"/>
          <w:sz w:val="24"/>
          <w:szCs w:val="24"/>
        </w:rPr>
        <w:t xml:space="preserve">（网址： http://jszfcg.jsczt.cn/）“开标大厅”或进入徐州政府采购网（网址：http://czj.xz.gov.cn/Home/HomeIndex）-业务工作 -用户登录，点击“苏采云”进入系统“开标大厅”。 </w:t>
      </w:r>
      <w:r/>
    </w:p>
    <w:p>
      <w:pPr>
        <w:pStyle w:val="1029"/>
        <w:ind w:firstLine="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五、采购人</w:t>
      </w:r>
      <w:r/>
    </w:p>
    <w:p>
      <w:pPr>
        <w:pStyle w:val="1029"/>
        <w:ind w:firstLine="24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（一）名称：</w:t>
      </w:r>
      <w:r>
        <w:rPr>
          <w:rFonts w:hint="eastAsia" w:ascii="仿宋" w:hAnsi="仿宋" w:eastAsia="仿宋" w:cs="仿宋"/>
          <w:sz w:val="24"/>
          <w:szCs w:val="24"/>
          <w:lang w:eastAsia="zh-CN"/>
        </w:rPr>
        <w:t xml:space="preserve">新沂市住房和城乡建设局</w:t>
      </w:r>
      <w:r/>
    </w:p>
    <w:p>
      <w:pPr>
        <w:pStyle w:val="1029"/>
        <w:ind w:firstLine="240"/>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sz w:val="24"/>
          <w:szCs w:val="24"/>
        </w:rPr>
        <w:t xml:space="preserve">（二）地址</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新沂市市府路37号</w:t>
      </w:r>
      <w:r/>
    </w:p>
    <w:p>
      <w:pPr>
        <w:pStyle w:val="1029"/>
        <w:ind w:firstLine="24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（三）联系方法：</w:t>
      </w:r>
      <w:r>
        <w:rPr>
          <w:rFonts w:hint="eastAsia" w:ascii="仿宋" w:hAnsi="仿宋" w:eastAsia="仿宋" w:cs="仿宋"/>
          <w:color w:val="000000"/>
          <w:sz w:val="24"/>
          <w:szCs w:val="24"/>
          <w:lang w:val="en-US" w:eastAsia="zh-CN"/>
        </w:rPr>
        <w:t xml:space="preserve">13305225818</w:t>
      </w:r>
      <w:r/>
    </w:p>
    <w:p>
      <w:pPr>
        <w:pStyle w:val="1029"/>
        <w:ind w:left="258" w:hanging="48"/>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（四）采购项目联系人：</w:t>
      </w:r>
      <w:r>
        <w:rPr>
          <w:rFonts w:hint="eastAsia" w:ascii="仿宋" w:hAnsi="仿宋" w:eastAsia="仿宋" w:cs="仿宋"/>
          <w:color w:val="000000"/>
          <w:sz w:val="24"/>
          <w:szCs w:val="24"/>
          <w:lang w:val="en-US" w:eastAsia="zh-CN"/>
        </w:rPr>
        <w:t xml:space="preserve">陆兰春</w:t>
      </w:r>
      <w:r/>
    </w:p>
    <w:p>
      <w:pPr>
        <w:pStyle w:val="1029"/>
        <w:ind w:left="240" w:hanging="24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六、采购代理机构</w:t>
      </w:r>
      <w:r/>
    </w:p>
    <w:p>
      <w:pPr>
        <w:pStyle w:val="1029"/>
        <w:ind w:firstLine="24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（一）名称：</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w:t>
      </w:r>
      <w:r/>
    </w:p>
    <w:p>
      <w:pPr>
        <w:pStyle w:val="102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（二）地址：</w:t>
      </w:r>
      <w:r>
        <w:rPr>
          <w:rFonts w:hint="eastAsia" w:ascii="仿宋" w:hAnsi="仿宋" w:eastAsia="仿宋" w:cs="仿宋"/>
          <w:sz w:val="24"/>
          <w:szCs w:val="24"/>
          <w:lang w:val="en-US" w:eastAsia="zh-CN"/>
        </w:rPr>
        <w:t xml:space="preserve">新沂市新安镇钟吾花园商住楼5室4F</w:t>
      </w:r>
      <w:r/>
    </w:p>
    <w:p>
      <w:pPr>
        <w:pStyle w:val="102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（三）联系方法：</w:t>
      </w:r>
      <w:r>
        <w:rPr>
          <w:rFonts w:hint="eastAsia" w:ascii="仿宋" w:hAnsi="仿宋" w:eastAsia="仿宋" w:cs="仿宋"/>
          <w:sz w:val="24"/>
          <w:szCs w:val="24"/>
          <w:lang w:eastAsia="zh-CN"/>
        </w:rPr>
        <w:t xml:space="preserve">15996901355</w:t>
      </w:r>
      <w:r/>
    </w:p>
    <w:p>
      <w:pPr>
        <w:pStyle w:val="1029"/>
        <w:ind w:firstLine="24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（四）采购项目联系人：</w:t>
      </w:r>
      <w:r>
        <w:rPr>
          <w:rFonts w:hint="eastAsia" w:ascii="仿宋" w:hAnsi="仿宋" w:eastAsia="仿宋" w:cs="仿宋"/>
          <w:sz w:val="24"/>
          <w:szCs w:val="24"/>
          <w:lang w:val="en-US" w:eastAsia="zh-CN"/>
        </w:rPr>
        <w:t xml:space="preserve">蔡伦</w:t>
      </w:r>
      <w:bookmarkStart w:id="2" w:name="_Toc25064"/>
      <w:r/>
      <w:r/>
    </w:p>
    <w:p>
      <w:pPr>
        <w:pStyle w:val="103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31"/>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2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30"/>
        <w:rPr>
          <w:rFonts w:hint="eastAsia"/>
        </w:rPr>
      </w:pPr>
      <w:r>
        <w:rPr>
          <w:rFonts w:hint="eastAsia"/>
        </w:rPr>
      </w:r>
      <w:r/>
    </w:p>
    <w:p>
      <w:pPr>
        <w:pStyle w:val="1041"/>
        <w:pageBreakBefore w:val="0"/>
        <w:spacing w:line="360" w:lineRule="auto"/>
        <w:rPr>
          <w:rFonts w:hint="eastAsia" w:ascii="仿宋" w:hAnsi="仿宋" w:eastAsia="仿宋" w:cs="仿宋"/>
          <w:sz w:val="24"/>
          <w:szCs w:val="24"/>
        </w:rPr>
      </w:pPr>
      <w:r>
        <w:rPr>
          <w:rFonts w:hint="eastAsia" w:ascii="仿宋" w:hAnsi="仿宋" w:eastAsia="仿宋" w:cs="仿宋"/>
          <w:sz w:val="28"/>
          <w:szCs w:val="44"/>
        </w:rPr>
        <w:t xml:space="preserve">第二章  投标人须知</w:t>
      </w:r>
      <w:bookmarkEnd w:id="2"/>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一、总则</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（一）采购人。采购人即指依法进行政府采购的国家机关、事业单位和团体组织。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（二）政府招标采购方式。政府采购货物或服务（以下简称“货物服务”）的招标方式，分为公开招标和邀请招标。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（三）采购人在采购货物服务的招标投标活动中，应当贯彻落实“节约能源、保护环境、扶持不发达地区和少数民族地区和促进中小企业发展”等政府采购政策。</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（五）采购人委托采购代理机构代理招标的，采购代理机构必须在采购人委托的范围内依法开展采购活动。</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（六）投标人的资格条件：</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投标人是指响应招标、参加投标竞争的法人、其他组织或者自然人。</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2.投标人授权代表系指法定代表人或受法人委托的受托人。</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（七）投标费用：投标人应承担所有与准备和参加投标有关的费用。无论投标的结果如何，采购代理机构对上述费用不承担任何责任和义务。</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二、招标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（八）招标文件应包括以下内容：</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第一章，投标邀请；</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第二章，投标人须知；</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第三章，投标资料表；</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第四章，评标标准；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第五章，拟签订的合同文本；</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第六章，采购需求；</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第七章，投标文件相关格式。</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（九）招标文件澄清或者修改：</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2.现场考察以本文件第三章《投标资料表》中的要求为准。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3.开标前答疑会以本文件第三章《投标资料表》中的要求为准。</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三、投标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（十）投标人应当按照招标文件的要求编制投标文件。投标文件应对招标文件提出的要求和条件作出实质性响应。</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（十一）投标文件的语言。投标文件以及投标人与采购代理机构就有关投标的往来函电均应使用本文件第三章《投标资料表》规定的语言书写，否则无效。</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（十二）投标文件的构成：</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1.投标文件的构成以本文件第三章《投标资料表》中的要求为准。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2.投标人应当提交的资格、资信证明文件，以本文件第三章《投标资料表》中的所提要求为准。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（十三）投标函和价格表、商务条件、交货和提供服务的时间：</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1.投标函和价格表的要求见本章（十二）、（十三），格式见本文件第七章《投标文件相关格式》中《投标函》和《开标一览表》。</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2.商务条件以本文件第三章《投标资料表》中的要求为准。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3.交货和提供服务的时间，以本文件第三章《投标资料表》中所提要求为准。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（十四）投标报价要求：</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1.投标人应按照招标文件的要求报出分项价格和总价。</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2.投标人应按照招标文件的要求进行报价，如投标人作出偏离，应在《偏离表》中列出。</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3.采购人不支付报价以外的任何费用。</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4.投标人所报的价格，在合同执行过程中是固定的，不得以任何理由予以变更。投标人提交滑动价格的投标文件，在资格性、符合性检查时按照无效投标处理。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5.投标人只能提交一个投标价格，投标人提交多个价格的投标文件，在资格性、符合性检查时按照无效投标处理。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（十五）投标货币。以本文件第三章《投标资料表》中所提要求为准。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（十六）投标有效期：</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highlight w:val="none"/>
        </w:rPr>
        <w:t xml:space="preserve">.投标有效期为开标之日后90天。</w:t>
      </w:r>
      <w:r>
        <w:rPr>
          <w:rFonts w:hint="eastAsia" w:ascii="仿宋" w:hAnsi="仿宋" w:eastAsia="仿宋" w:cs="仿宋"/>
          <w:sz w:val="24"/>
          <w:szCs w:val="24"/>
        </w:rPr>
        <w:t xml:space="preserve">采购人可以要求对投标有效期延长一次，但该延长期最长不得超过30天。</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3.如果采购人发出要求延长投标有效期的通知，并在投标有效期届满前，没有收到投标人同意的书面通知，则视为该投标人不接受上述延期的要求。</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（十七）投标文件的编制要求和签署要求</w:t>
      </w:r>
      <w:r/>
    </w:p>
    <w:p>
      <w:pPr>
        <w:pStyle w:val="102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102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（2）投标人应对 CA 证书妥善保管，如被他人盗用投标，因此带来的结果均由投标人自行承担。</w:t>
      </w:r>
      <w:r/>
    </w:p>
    <w:p>
      <w:pPr>
        <w:pStyle w:val="102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（3）投标人应当对招标文件提出的要求和条件作出实质性响应，并在电子投标系统逐条应答。</w:t>
      </w:r>
      <w:r/>
    </w:p>
    <w:p>
      <w:pPr>
        <w:pStyle w:val="1029"/>
        <w:ind w:firstLine="482"/>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（4）投标人应对要求提供的资格证明文件（如资质证书、资格证书）、技术资料（如白皮书、彩页、手册、检测报告等）扫描上传至投标系统。</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（十八）投标文件的盖章要求：</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投标文件的盖章要求，以本文件第三章《投标资料表》中所提要求为准。</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（十九）提交投标文件的截止时间和收到投标文件后注意事项。投标人应在招标文件要求的提交投标文件的截止时间前，将投标文件提交至“苏采云”系统。</w:t>
      </w:r>
      <w:r/>
    </w:p>
    <w:p>
      <w:pPr>
        <w:pStyle w:val="1029"/>
        <w:ind w:firstLine="600"/>
        <w:jc w:val="left"/>
        <w:keepLines w:val="0"/>
        <w:keepNext w:val="0"/>
        <w:pageBreakBefore w:val="0"/>
        <w:spacing w:line="360" w:lineRule="auto"/>
        <w:widowControl/>
        <w:rPr>
          <w:rFonts w:hint="eastAsia" w:ascii="仿宋" w:hAnsi="仿宋" w:eastAsia="仿宋" w:cs="仿宋"/>
          <w:sz w:val="24"/>
          <w:szCs w:val="24"/>
          <w:highlight w:val="yellow"/>
        </w:rPr>
      </w:pPr>
      <w:r>
        <w:rPr>
          <w:rFonts w:hint="eastAsia" w:ascii="仿宋" w:hAnsi="仿宋" w:eastAsia="仿宋" w:cs="仿宋"/>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（二十二）本项目不允许分包。</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（二十三）投标人应当遵循公平竞争的原则，不得恶意串通，不得妨碍其他投标人的竞争行为，不得损害采购人或者其他投标人的合法权益。</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在评标过程中发现投标人有上述情形的，评标委员会应当认定其投标无效，并书面报告本级财政部门。</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（二十四）有下列情形之一的，其投标无效。</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1.不同投标人的投标文件，由同一单位或者个人编制；</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2.不同投标人委托同一单位或者个人办理投标事宜；</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3.不同投标人的投标文件中，所载明的项目管理成员或联系人为同一人；</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4.不同投标人的投标文件，异常一致或者投标报价呈规律性差异；</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6.电子投标文件未按规定期限投标的；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7.电子投标文件未按招标文件要求签章的；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8.投标人未在规定时间内解密电子投标文件的；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9.投标文件未按招标文件规定的内容和要求填写的；没有在投标系统指定位置上传对应文件、材料的；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10.不具备招标文件中规定的资格要求的；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11.报价超过招标文件中规定的预算金额或者最高限价的；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12.投标文件含有采购人不能接受的附加条件的；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13.法律、法规和招标文件规定的其他无效情形。</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四、开标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（二十五）开标：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1.开标时间及地点。开标应当在招标文件确定的提交投标文件截止时间的同一时间公开进行；开标地点应当为招标文件中预先确定的地点。</w:t>
      </w:r>
      <w:r/>
    </w:p>
    <w:p>
      <w:pPr>
        <w:pStyle w:val="1029"/>
        <w:ind w:firstLine="600"/>
        <w:keepLines w:val="0"/>
        <w:keepNext w:val="0"/>
        <w:pageBreakBefore w:val="0"/>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2.由电子招标投标交易平台主持，邀请投标人参加。</w:t>
      </w:r>
      <w:r/>
    </w:p>
    <w:p>
      <w:pPr>
        <w:pStyle w:val="1029"/>
        <w:ind w:firstLine="600"/>
        <w:keepLines w:val="0"/>
        <w:keepNext w:val="0"/>
        <w:pageBreakBefore w:val="0"/>
        <w:spacing w:line="360" w:lineRule="auto"/>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3.所有投标单位使用 CA 证书在开标时间时，解密各自投标文件，投标人不足3家的，不得评标。</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4.投标人原因造成投标文件未</w:t>
      </w:r>
      <w:r>
        <w:rPr>
          <w:rFonts w:hint="eastAsia" w:ascii="仿宋" w:hAnsi="仿宋" w:eastAsia="仿宋" w:cs="仿宋"/>
          <w:sz w:val="24"/>
          <w:szCs w:val="24"/>
        </w:rPr>
        <w:t xml:space="preserve">解密的，视为撤销其投标文件;因投标人之外的原因造成投标文件未解密的，视为撤回其投标文件。部分投标文件未解密的，其他投标文件的开标可以继续进行。</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五、评标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（二十六）公开招标采购项目开标结束后，采购人依法对投标人的资格进行审查。合格投标人不足3家的，不得评标。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1.评标工作由采购代理机构负责组织，并履行下列职责：</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（1）核对评审专家身份和采购人代表授权函，对评审专家在政府采购活动中的职责履行情况予以记录，并及时将有关违法违规行为向财政部门报告；</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（2）宣布评标纪律；</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（3）公布投标人名单，告知评审专家应当回避的情形；</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（4）组织评标委员会推选评标组长（采购人代表不得担任组长）；</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（5）在评标期间采取必要的通讯管理措施，保证评标活动不受外界干扰；</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（6）根据评标委员会的要求介绍政府采购相关政策法规、招标文件；</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（8）核对评标结果，对有《</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"http://www.caigou2003.com/"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政府采购</w:t>
      </w:r>
      <w:r>
        <w:rPr>
          <w:rFonts w:hint="eastAsia" w:ascii="仿宋" w:hAnsi="仿宋" w:eastAsia="仿宋" w:cs="仿宋"/>
          <w:sz w:val="24"/>
          <w:szCs w:val="24"/>
        </w:rPr>
        <w:fldChar w:fldCharType="end"/>
      </w:r>
      <w:r>
        <w:rPr>
          <w:rFonts w:hint="eastAsia" w:ascii="仿宋" w:hAnsi="仿宋" w:eastAsia="仿宋" w:cs="仿宋"/>
          <w:sz w:val="24"/>
          <w:szCs w:val="24"/>
        </w:rPr>
        <w:t xml:space="preserve">货物和服务招标投标管理办法》第六十四条规定情形的，应要求评标委员会复核或者书面说明理由，评标委员会拒绝的，应予记录并向本级财政部门报告；</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（9）评审工作完成后，按照规定向评审专家支付劳务报酬和异地评审差旅费，不得向评审专家以外的其他人员支付评审劳务报酬； </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（10）处理与评标有关的其他事项。</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2.评标委员会负责具体评标事务，并独立履行下列职责：</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（1）审查、评价投标文件是否符合招标文件的商务、技术等实质性要求；</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（2）要求投标人对投标文件有关事项作出澄清或者说明；</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（3）对投标文件进行比较和评价；</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（4）确定中标候选人名单，以及根据采购人委托直接确定中标人；</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（5）向采购人、采购代理机构或有关部门报告评标中发现的违法行为。</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（二十七）评标方法分为最低评标价法和综合评分法。</w:t>
      </w:r>
      <w:r/>
    </w:p>
    <w:p>
      <w:pPr>
        <w:pStyle w:val="1029"/>
        <w:ind w:firstLine="45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（二十八）评标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1.评标工作程序：</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（1）投标文件初审。</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①资格性审查。</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②符合性审查。</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（2）澄清有关问题。</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（3）比较与评价。</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（4）推荐中标候选供应商名单。</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（5）编写评审报告（评标报告）。</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2.在评标中，不得改变招标文件中规定的评标标准、方法和中标条件。评标委员会对投标文件响应性的判定，要基于投标文件本身的内容，而不得寻求外部的证据。</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3.采用</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"http://lilun.caigou2003.com/recijiedu/2365668.html"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最低评标价法</w:t>
      </w:r>
      <w:r>
        <w:rPr>
          <w:rFonts w:hint="eastAsia" w:ascii="仿宋" w:hAnsi="仿宋" w:eastAsia="仿宋" w:cs="仿宋"/>
          <w:sz w:val="24"/>
          <w:szCs w:val="24"/>
        </w:rPr>
        <w:fldChar w:fldCharType="end"/>
      </w:r>
      <w:r>
        <w:rPr>
          <w:rFonts w:hint="eastAsia" w:ascii="仿宋" w:hAnsi="仿宋" w:eastAsia="仿宋" w:cs="仿宋"/>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采用</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"http://lilun.caigou2003.com/recijiedu/2365667.html" \t "_blank"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综合评分法</w:t>
      </w:r>
      <w:r>
        <w:rPr>
          <w:rFonts w:hint="eastAsia" w:ascii="仿宋" w:hAnsi="仿宋" w:eastAsia="仿宋" w:cs="仿宋"/>
          <w:sz w:val="24"/>
          <w:szCs w:val="24"/>
        </w:rPr>
        <w:fldChar w:fldCharType="end"/>
      </w:r>
      <w:r>
        <w:rPr>
          <w:rFonts w:hint="eastAsia" w:ascii="仿宋" w:hAnsi="仿宋" w:eastAsia="仿宋" w:cs="仿宋"/>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非单一产品采购项目，多家投标人提供的核心产品品牌相同的，按前两款规定处理。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（二十九）投标文件报价出现前后不一致的，按照下列规定修正：</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1.投标文件中开标一览表（报价表）内容与投标文件中相应内容不一致的，以开标一览表（报价表）为准；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3.单价金额小数点或者百分比有明显错位的，以开标一览表的总价为准，并修改单价；</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4.总价金额与按单价合计金额不一致的，以单价金额计算结果为准。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1029"/>
        <w:ind w:firstLine="600"/>
        <w:jc w:val="left"/>
        <w:keepLines w:val="0"/>
        <w:keepNext w:val="0"/>
        <w:pageBreakBefore w:val="0"/>
        <w:spacing w:line="360" w:lineRule="auto"/>
        <w:widowControl/>
        <w:rPr>
          <w:rFonts w:hint="eastAsia" w:ascii="仿宋" w:hAnsi="仿宋" w:eastAsia="仿宋" w:cs="仿宋"/>
          <w:i/>
          <w:sz w:val="24"/>
          <w:szCs w:val="24"/>
        </w:rPr>
      </w:pPr>
      <w:r>
        <w:rPr>
          <w:rFonts w:hint="eastAsia" w:ascii="仿宋" w:hAnsi="仿宋" w:eastAsia="仿宋" w:cs="仿宋"/>
          <w:sz w:val="24"/>
          <w:szCs w:val="24"/>
        </w:rPr>
        <w:t xml:space="preserve">评标中需要投标人对投标文件澄清或者说明的，应当通过“苏采云”系统交换数据电文。在评标期间，请投标人保持在线。</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（三十二）废标条款：</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出现下列情形之一的，应予废标。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1.符合专业条件的供应商或者对招标文件作实质响应的供应商不足三家的；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2.出现影响采购公正的违法、违规行为的；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3.投标人的报价均超过了采购预算，采购人不能支付的；</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4.因重大变故，采购任务取消的。</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六、定标</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（三十三）采购代理机构应当在评标结束后2个工作日内将评标报告送采购人。</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（三十四）采购人应当自收到评标报告之日起5个工作日内，在评标报告确定的中标候选人名单中按顺序确定中标人。</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七、政府采购合同</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（三十六）签订政府采购合同（合同签订方式）：</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1029"/>
        <w:ind w:firstLine="60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采购人不得向中标人提出任何不合理的要求作为签订合同的条件。</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（三十七）采购人与中标人应当根据合同的约定依法履行合同义务。政府采购合同的履行、违约责任和解决争议的方法等，按《中华人民共和国合同法》相关条款执行。</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（三十八）履约保证金：</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lang w:val="en-US" w:eastAsia="zh-CN"/>
        </w:rPr>
        <w:t xml:space="preserve">本项目不需要提交履约保证金</w:t>
      </w:r>
      <w:r>
        <w:rPr>
          <w:rFonts w:hint="eastAsia" w:ascii="仿宋" w:hAnsi="仿宋" w:eastAsia="仿宋" w:cs="仿宋"/>
          <w:sz w:val="24"/>
          <w:szCs w:val="24"/>
        </w:rPr>
        <w:t xml:space="preserve">。</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（三十九）腐败和欺诈行为：</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1.采购代理机构、采购人、投标人等参与招投标的各方，均应在招标、采购、合同执行等过程中保持廉洁和最高的道德水准。</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（1）腐败和欺诈行为的含义：</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①“腐败行为”系指在招标、采购和合同执行等过程中，为了谋求私利，影响相关人员提供、给予、接受或索取有价物品，并导致损害</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、采购代理机构和他人利益的行为。</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②“欺诈行为”系指为了影响招标、采购和合同执行等过程，隐瞒事实真象，给</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、采购代理机构及他人造成损害的行为，其中包括投标人之间的串通行为。</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（2）如果被推荐的中标人有腐败和欺诈行为，将取消其中标资格。</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（3）如果投标人在任何时候，被法院及政府有关管理部门认定为有腐败和欺诈行为，采购代理机构有权拒绝其投标、取消其中标资格和撤消其已签署的合同。</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八、询问和质疑</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（四十）询问和质疑</w:t>
      </w:r>
      <w:r/>
    </w:p>
    <w:p>
      <w:pPr>
        <w:pStyle w:val="1029"/>
        <w:ind w:firstLine="60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29"/>
        <w:ind w:firstLine="600"/>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九、</w:t>
      </w:r>
      <w:r>
        <w:rPr>
          <w:rFonts w:hint="eastAsia" w:ascii="仿宋" w:hAnsi="仿宋" w:eastAsia="仿宋" w:cs="仿宋"/>
          <w:b/>
          <w:bCs/>
          <w:sz w:val="24"/>
          <w:szCs w:val="24"/>
        </w:rPr>
        <w:t xml:space="preserve">电子招标投标交易平台</w:t>
      </w:r>
      <w:r/>
    </w:p>
    <w:p>
      <w:pPr>
        <w:pStyle w:val="1029"/>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（四十一）电子招标投标交易平台（即“苏采云”系统，网址：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"http://jszfcg.jsczt.cn/" \o "http://jszfcg.jsczt.cn/"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http://jszfcg.jsczt.cn/</w:t>
      </w:r>
      <w:r>
        <w:rPr>
          <w:rFonts w:hint="eastAsia" w:ascii="仿宋" w:hAnsi="仿宋" w:eastAsia="仿宋" w:cs="仿宋"/>
          <w:sz w:val="24"/>
          <w:szCs w:val="24"/>
        </w:rPr>
        <w:fldChar w:fldCharType="end"/>
      </w:r>
      <w:r>
        <w:rPr>
          <w:rFonts w:hint="eastAsia" w:ascii="仿宋" w:hAnsi="仿宋" w:eastAsia="仿宋" w:cs="仿宋"/>
          <w:sz w:val="24"/>
          <w:szCs w:val="24"/>
        </w:rPr>
        <w:t xml:space="preserve">）相关要求是本招标文件的组成部分。</w:t>
      </w:r>
      <w:r/>
    </w:p>
    <w:p>
      <w:pPr>
        <w:pStyle w:val="1030"/>
        <w:rPr>
          <w:rFonts w:hint="eastAsia"/>
        </w:rPr>
      </w:pPr>
      <w:r>
        <w:rPr>
          <w:rFonts w:hint="eastAsia"/>
        </w:rPr>
      </w:r>
      <w:r/>
    </w:p>
    <w:p>
      <w:pPr>
        <w:pStyle w:val="1039"/>
        <w:ind w:firstLine="0"/>
        <w:jc w:val="center"/>
        <w:spacing w:line="360" w:lineRule="auto"/>
        <w:rPr>
          <w:rFonts w:hint="eastAsia" w:ascii="仿宋" w:hAnsi="仿宋" w:eastAsia="仿宋" w:cs="仿宋"/>
          <w:b/>
          <w:sz w:val="44"/>
          <w:szCs w:val="24"/>
        </w:rPr>
        <w:sectPr>
          <w:headerReference w:type="default" r:id="rId9"/>
          <w:footerReference w:type="even" r:id="rId13"/>
          <w:footnotePr/>
          <w:endnotePr/>
          <w:type w:val="nextPage"/>
          <w:pgSz w:w="11906" w:h="16838" w:orient="portrait"/>
          <w:pgMar w:top="1440" w:right="1134" w:bottom="1440" w:left="1134" w:header="851" w:footer="992" w:gutter="0"/>
          <w:cols w:num="1" w:sep="0" w:space="1701" w:equalWidth="1"/>
          <w:docGrid w:linePitch="360"/>
        </w:sectPr>
      </w:pPr>
      <w:r/>
      <w:bookmarkStart w:id="3" w:name="_Toc522790131"/>
      <w:r>
        <w:rPr>
          <w:rFonts w:hint="eastAsia" w:ascii="仿宋" w:hAnsi="仿宋" w:eastAsia="仿宋" w:cs="仿宋"/>
          <w:sz w:val="24"/>
          <w:szCs w:val="24"/>
        </w:rPr>
        <w:br w:type="page" w:clear="all"/>
      </w:r>
      <w:bookmarkEnd w:id="3"/>
      <w:r/>
      <w:r/>
    </w:p>
    <w:p>
      <w:pPr>
        <w:pStyle w:val="1041"/>
        <w:spacing w:line="360" w:lineRule="auto"/>
        <w:rPr>
          <w:rFonts w:hint="eastAsia" w:ascii="仿宋" w:hAnsi="仿宋" w:eastAsia="仿宋" w:cs="仿宋"/>
          <w:sz w:val="28"/>
          <w:szCs w:val="44"/>
        </w:rPr>
      </w:pPr>
      <w:r/>
      <w:bookmarkStart w:id="4" w:name="_Toc522790132"/>
      <w:r/>
      <w:bookmarkStart w:id="5" w:name="_Toc28226"/>
      <w:r>
        <w:rPr>
          <w:rFonts w:hint="eastAsia" w:ascii="仿宋" w:hAnsi="仿宋" w:eastAsia="仿宋" w:cs="仿宋"/>
          <w:sz w:val="28"/>
          <w:szCs w:val="44"/>
        </w:rPr>
        <w:t xml:space="preserve">第三章  投标资料表</w:t>
      </w:r>
      <w:bookmarkEnd w:id="4"/>
      <w:r/>
      <w:bookmarkEnd w:id="5"/>
      <w:r/>
      <w:r/>
    </w:p>
    <w:p>
      <w:pPr>
        <w:pStyle w:val="104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该资料表的条款项号是与《投标人须知》的条款项号相对应的，若有增加的条款，是对《投标人须知》的补充、修改和完善，如果因此而造成矛盾时，应以本资料表为准。</w:t>
      </w:r>
      <w:r/>
    </w:p>
    <w:p>
      <w:pPr>
        <w:pStyle w:val="1029"/>
        <w:spacing w:line="360" w:lineRule="auto"/>
        <w:rPr>
          <w:rFonts w:hint="eastAsia" w:ascii="仿宋" w:hAnsi="仿宋" w:eastAsia="仿宋" w:cs="仿宋"/>
          <w:sz w:val="21"/>
          <w:szCs w:val="24"/>
        </w:rPr>
      </w:pPr>
      <w:r>
        <w:rPr>
          <w:rFonts w:hint="eastAsia" w:ascii="仿宋" w:hAnsi="仿宋" w:eastAsia="仿宋" w:cs="仿宋"/>
          <w:sz w:val="21"/>
          <w:szCs w:val="24"/>
        </w:rPr>
      </w:r>
      <w:r/>
    </w:p>
    <w:tbl>
      <w:tblPr>
        <w:tblStyle w:val="837"/>
        <w:tblW w:w="9342"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0"/>
        <w:gridCol w:w="8012"/>
      </w:tblGrid>
      <w:tr>
        <w:trPr/>
        <w:tc>
          <w:tcPr>
            <w:tcW w:w="1330" w:type="dxa"/>
            <w:vAlign w:val="top"/>
            <w:textDirection w:val="lrTb"/>
            <w:noWrap w:val="false"/>
          </w:tcPr>
          <w:p>
            <w:pPr>
              <w:pStyle w:val="102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条款</w:t>
            </w:r>
            <w:r/>
          </w:p>
          <w:p>
            <w:pPr>
              <w:pStyle w:val="102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项号</w:t>
            </w:r>
            <w:r/>
          </w:p>
        </w:tc>
        <w:tc>
          <w:tcPr>
            <w:tcW w:w="8012" w:type="dxa"/>
            <w:vAlign w:val="top"/>
            <w:textDirection w:val="lrTb"/>
            <w:noWrap w:val="false"/>
          </w:tcPr>
          <w:p>
            <w:pPr>
              <w:pStyle w:val="1029"/>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内    容</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总则</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w:t>
            </w:r>
            <w:r/>
          </w:p>
        </w:tc>
        <w:tc>
          <w:tcPr>
            <w:tcW w:w="8012" w:type="dxa"/>
            <w:vAlign w:val="top"/>
            <w:textDirection w:val="lrTb"/>
            <w:noWrap w:val="false"/>
          </w:tcPr>
          <w:p>
            <w:pPr>
              <w:pStyle w:val="102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本项目采购人：</w:t>
            </w:r>
            <w:r>
              <w:rPr>
                <w:rFonts w:hint="eastAsia" w:ascii="仿宋" w:hAnsi="仿宋" w:eastAsia="仿宋" w:cs="仿宋"/>
                <w:sz w:val="24"/>
                <w:szCs w:val="24"/>
                <w:lang w:eastAsia="zh-CN"/>
              </w:rPr>
              <w:t xml:space="preserve">新沂市住房和城乡建设局</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本次采购采用的政府采购方式：公开招标。</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w:t>
            </w:r>
            <w:r/>
          </w:p>
        </w:tc>
        <w:tc>
          <w:tcPr>
            <w:tcW w:w="8012" w:type="dxa"/>
            <w:vAlign w:val="top"/>
            <w:textDirection w:val="lrTb"/>
            <w:noWrap w:val="false"/>
          </w:tcPr>
          <w:p>
            <w:pPr>
              <w:pStyle w:val="102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采购人确定的采购项目属性：</w:t>
            </w:r>
            <w:r>
              <w:rPr>
                <w:rFonts w:hint="eastAsia" w:ascii="仿宋" w:hAnsi="仿宋" w:eastAsia="仿宋" w:cs="仿宋"/>
                <w:sz w:val="24"/>
                <w:szCs w:val="24"/>
                <w:lang w:val="en-US" w:eastAsia="zh-CN"/>
              </w:rPr>
              <w:t xml:space="preserve">服务</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w:t>
            </w:r>
            <w:r/>
          </w:p>
        </w:tc>
        <w:tc>
          <w:tcPr>
            <w:tcW w:w="8012" w:type="dxa"/>
            <w:vAlign w:val="top"/>
            <w:textDirection w:val="lrTb"/>
            <w:noWrap w:val="false"/>
          </w:tcPr>
          <w:p>
            <w:pPr>
              <w:pStyle w:val="102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本项目采购代理机构：</w:t>
            </w:r>
            <w:r>
              <w:rPr>
                <w:rFonts w:hint="eastAsia" w:ascii="仿宋" w:hAnsi="仿宋" w:eastAsia="仿宋" w:cs="仿宋"/>
                <w:sz w:val="24"/>
                <w:szCs w:val="24"/>
                <w:lang w:eastAsia="zh-CN"/>
              </w:rPr>
              <w:t xml:space="preserve">徐州国邦工程咨询管理有限公司</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w:t>
            </w:r>
            <w:r/>
          </w:p>
        </w:tc>
        <w:tc>
          <w:tcPr>
            <w:tcW w:w="8012" w:type="dxa"/>
            <w:vAlign w:val="top"/>
            <w:textDirection w:val="lrTb"/>
            <w:noWrap w:val="false"/>
          </w:tcPr>
          <w:p>
            <w:pPr>
              <w:pStyle w:val="1029"/>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投标人的资格条件：</w:t>
            </w:r>
            <w:r/>
          </w:p>
          <w:p>
            <w:pPr>
              <w:pStyle w:val="1029"/>
              <w:keepLines w:val="0"/>
              <w:keepNext w:val="0"/>
              <w:pageBreakBefore w:val="0"/>
              <w:spacing w:line="36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一、符合《中华人民共和国政府采购法》第二十二条的规定；</w:t>
            </w:r>
            <w:r/>
          </w:p>
          <w:p>
            <w:pPr>
              <w:pStyle w:val="1023"/>
              <w:keepLines w:val="0"/>
              <w:keepNext w:val="0"/>
              <w:pageBreakBefore w:val="0"/>
              <w:spacing w:line="360" w:lineRule="auto"/>
              <w:rPr>
                <w:rFonts w:hint="eastAsia" w:ascii="仿宋" w:hAnsi="仿宋" w:eastAsia="仿宋" w:cs="仿宋"/>
                <w:b/>
                <w:bCs/>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val="en-US" w:eastAsia="zh-CN" w:bidi="ar-SA"/>
              </w:rPr>
              <w:t xml:space="preserve">二、此项目属于专门面向中小微企业采购的项目，供应商应为中小微企业、监狱企业、残疾人福利性单位。</w:t>
            </w:r>
            <w:r/>
          </w:p>
          <w:p>
            <w:pPr>
              <w:pStyle w:val="1029"/>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同时明确相关事项如下：</w:t>
            </w:r>
            <w:r/>
          </w:p>
          <w:p>
            <w:pPr>
              <w:pStyle w:val="1029"/>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一、本项目不接受联合体参与采购活动。</w:t>
            </w:r>
            <w:r/>
          </w:p>
          <w:p>
            <w:pPr>
              <w:pStyle w:val="1029"/>
              <w:ind w:left="480" w:firstLine="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二、单位负责人为同一人或者存在直接控股、管理关系的不同供应商，不得参加同一合同项下的政府采购活动。</w:t>
            </w:r>
            <w:r/>
          </w:p>
          <w:p>
            <w:pPr>
              <w:pStyle w:val="1029"/>
              <w:ind w:left="480" w:firstLine="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三、为本采购项目提供整体设计、规范编制或者项目管理、监理、检测等服务的供应商，不得再参加本采购项目的采购活动。</w:t>
            </w:r>
            <w:r/>
          </w:p>
          <w:p>
            <w:pPr>
              <w:pStyle w:val="1029"/>
              <w:ind w:firstLine="576"/>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四、查询及使用供应商信用记录：</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(一)由采购人查询信用信息。</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(二)查询渠道包括：</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1.“信用中国”网（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3.“信用江苏”网（www.jscredit.gov.cn）；</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4.“信用中国（江苏徐州）”网</w:t>
            </w:r>
            <w:r/>
          </w:p>
          <w:p>
            <w:pPr>
              <w:pStyle w:val="102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"http://www.xuzhoucredit.gov.cn/"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http://www.xuzhoucredit.gov.cn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pStyle w:val="1029"/>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(三)截止时点（查询环节）：资格审查结束前。</w:t>
            </w:r>
            <w:r/>
          </w:p>
          <w:p>
            <w:pPr>
              <w:pStyle w:val="1029"/>
              <w:ind w:left="480" w:firstLine="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(四)信用信息查询记录和证据留存的具体方式：网页截屏打印，与其他采购文件一并保存。</w:t>
            </w:r>
            <w:r/>
          </w:p>
          <w:p>
            <w:pPr>
              <w:pStyle w:val="1029"/>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(五)信用信息的使用规则：</w:t>
            </w:r>
            <w:r/>
          </w:p>
          <w:p>
            <w:pPr>
              <w:pStyle w:val="1029"/>
              <w:ind w:left="480" w:firstLine="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(七)</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招标代理服务费由中标人支付，标准不高于《招标代理服务收费标准》（见附件）。</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(九)1</w:t>
            </w:r>
            <w:r/>
          </w:p>
        </w:tc>
        <w:tc>
          <w:tcPr>
            <w:tcW w:w="8012" w:type="dxa"/>
            <w:vAlign w:val="top"/>
            <w:textDirection w:val="lrTb"/>
            <w:noWrap w:val="false"/>
          </w:tcPr>
          <w:p>
            <w:pPr>
              <w:pStyle w:val="102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(九)2</w:t>
            </w:r>
            <w:r/>
          </w:p>
        </w:tc>
        <w:tc>
          <w:tcPr>
            <w:tcW w:w="8012" w:type="dxa"/>
            <w:vAlign w:val="top"/>
            <w:textDirection w:val="lrTb"/>
            <w:noWrap w:val="false"/>
          </w:tcPr>
          <w:p>
            <w:pPr>
              <w:pStyle w:val="1029"/>
              <w:spacing w:line="360" w:lineRule="auto"/>
              <w:rPr>
                <w:rFonts w:hint="eastAsia" w:ascii="仿宋" w:hAnsi="仿宋" w:eastAsia="仿宋" w:cs="仿宋"/>
                <w:bCs/>
                <w:sz w:val="24"/>
                <w:szCs w:val="24"/>
                <w:lang w:eastAsia="zh-CN"/>
              </w:rPr>
            </w:pPr>
            <w:r>
              <w:rPr>
                <w:rFonts w:hint="eastAsia" w:ascii="仿宋" w:hAnsi="仿宋" w:eastAsia="仿宋" w:cs="仿宋"/>
                <w:bCs/>
                <w:sz w:val="24"/>
                <w:szCs w:val="24"/>
              </w:rPr>
              <w:t xml:space="preserve">现场考察</w:t>
            </w:r>
            <w:r>
              <w:rPr>
                <w:rFonts w:hint="eastAsia" w:ascii="仿宋" w:hAnsi="仿宋" w:eastAsia="仿宋" w:cs="仿宋"/>
                <w:bCs/>
                <w:sz w:val="24"/>
                <w:szCs w:val="24"/>
                <w:lang w:eastAsia="zh-CN"/>
              </w:rPr>
              <w:t xml:space="preserve">：</w:t>
            </w:r>
            <w:r/>
          </w:p>
          <w:p>
            <w:pPr>
              <w:pStyle w:val="1029"/>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联系方法：13305225818</w:t>
            </w:r>
            <w:r/>
          </w:p>
          <w:p>
            <w:pPr>
              <w:pStyle w:val="1029"/>
              <w:spacing w:line="360" w:lineRule="auto"/>
              <w:rPr>
                <w:rFonts w:hint="eastAsia"/>
              </w:rPr>
            </w:pPr>
            <w:r>
              <w:rPr>
                <w:rFonts w:hint="eastAsia" w:ascii="仿宋" w:hAnsi="仿宋" w:eastAsia="仿宋" w:cs="仿宋"/>
                <w:bCs/>
                <w:sz w:val="24"/>
                <w:szCs w:val="24"/>
                <w:lang w:val="en-US" w:eastAsia="zh-CN"/>
              </w:rPr>
              <w:t xml:space="preserve">采购项目联系人：陆兰春</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(九)3</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不安排开标前答疑会。</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w:t>
            </w:r>
            <w:r/>
          </w:p>
        </w:tc>
      </w:tr>
      <w:tr>
        <w:trPr>
          <w:trHeight w:val="482"/>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投标文件的语言为中文</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(十二)1</w:t>
            </w:r>
            <w:r/>
          </w:p>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(十二)2</w:t>
            </w:r>
            <w:r/>
          </w:p>
        </w:tc>
        <w:tc>
          <w:tcPr>
            <w:tcW w:w="8012" w:type="dxa"/>
            <w:vAlign w:val="top"/>
            <w:textDirection w:val="lrTb"/>
            <w:noWrap w:val="false"/>
          </w:tcPr>
          <w:p>
            <w:pPr>
              <w:pStyle w:val="1023"/>
              <w:spacing w:line="360" w:lineRule="auto"/>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线上投标文件编制要求：</w:t>
            </w:r>
            <w:r/>
          </w:p>
          <w:p>
            <w:pPr>
              <w:pStyle w:val="1023"/>
              <w:spacing w:line="360" w:lineRule="auto"/>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请按照以下要求（包括但不限于以下要求）制作：</w:t>
            </w:r>
            <w:r/>
          </w:p>
          <w:p>
            <w:pPr>
              <w:pStyle w:val="1020"/>
              <w:numPr>
                <w:ilvl w:val="0"/>
                <w:numId w:val="3"/>
              </w:numPr>
              <w:spacing w:line="360" w:lineRule="auto"/>
              <w:rPr>
                <w:rFonts w:hint="eastAsia" w:ascii="仿宋" w:hAnsi="仿宋" w:eastAsia="仿宋" w:cs="仿宋"/>
                <w:b/>
                <w:bCs w:val="0"/>
                <w:sz w:val="24"/>
                <w:szCs w:val="24"/>
                <w:lang w:eastAsia="zh-CN"/>
              </w:rPr>
            </w:pPr>
            <w:r>
              <w:rPr>
                <w:rFonts w:hint="eastAsia" w:ascii="仿宋" w:hAnsi="仿宋" w:eastAsia="仿宋" w:cs="仿宋"/>
                <w:b/>
                <w:bCs w:val="0"/>
                <w:sz w:val="24"/>
                <w:szCs w:val="24"/>
                <w:lang w:eastAsia="zh-CN"/>
              </w:rPr>
              <w:t xml:space="preserve">基本目录</w:t>
            </w:r>
            <w:r/>
          </w:p>
          <w:p>
            <w:pPr>
              <w:pStyle w:val="1029"/>
              <w:numPr>
                <w:ilvl w:val="0"/>
                <w:numId w:val="4"/>
              </w:num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《开标一览表》（加盖电子签章，政府采购客户端工具输入报价自动生成）；</w:t>
            </w:r>
            <w:r/>
          </w:p>
          <w:p>
            <w:pPr>
              <w:pStyle w:val="102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二</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资格条件</w:t>
            </w:r>
            <w:r>
              <w:rPr>
                <w:rFonts w:hint="eastAsia" w:ascii="仿宋" w:hAnsi="仿宋" w:eastAsia="仿宋" w:cs="仿宋"/>
                <w:b/>
                <w:color w:val="000000"/>
                <w:sz w:val="24"/>
                <w:szCs w:val="24"/>
              </w:rPr>
              <w:t xml:space="preserve">（必须提供，否则投标无效）</w:t>
            </w:r>
            <w:r/>
          </w:p>
          <w:p>
            <w:pPr>
              <w:pStyle w:val="1023"/>
              <w:ind w:right="28"/>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1、投标人合法有效的法人或者其他组织的营业执照等证明文件，自然人的身份证明，以上证明文件提供原件的扫描件；</w:t>
            </w:r>
            <w:r/>
          </w:p>
          <w:p>
            <w:pPr>
              <w:pStyle w:val="1023"/>
              <w:ind w:right="28"/>
              <w:spacing w:line="360" w:lineRule="auto"/>
              <w:rPr>
                <w:rFonts w:hint="eastAsia" w:ascii="仿宋" w:hAnsi="仿宋" w:eastAsia="仿宋" w:cs="仿宋"/>
                <w:color w:val="000000"/>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2.财务状况报告（即提供投标人的本项目开标时间前6个月内任何时间的</w:t>
            </w:r>
            <w:r>
              <w:rPr>
                <w:rFonts w:hint="eastAsia" w:ascii="仿宋" w:hAnsi="仿宋" w:eastAsia="仿宋" w:cs="仿宋"/>
                <w:b/>
                <w:color w:val="000000"/>
                <w:sz w:val="24"/>
                <w:szCs w:val="24"/>
              </w:rPr>
              <w:t xml:space="preserve">资产负债表、利润表扫描件各一份</w:t>
            </w:r>
            <w:r>
              <w:rPr>
                <w:rFonts w:hint="eastAsia" w:ascii="仿宋" w:hAnsi="仿宋" w:eastAsia="仿宋" w:cs="仿宋"/>
                <w:color w:val="000000"/>
                <w:sz w:val="24"/>
                <w:szCs w:val="24"/>
              </w:rPr>
              <w:t xml:space="preserve">；或提供投标人</w:t>
            </w:r>
            <w:r>
              <w:rPr>
                <w:rFonts w:hint="eastAsia" w:ascii="仿宋" w:hAnsi="仿宋" w:eastAsia="仿宋" w:cs="仿宋"/>
                <w:b/>
                <w:color w:val="000000"/>
                <w:sz w:val="24"/>
                <w:szCs w:val="24"/>
              </w:rPr>
              <w:t xml:space="preserve">上年度财务报告扫描件</w:t>
            </w:r>
            <w:r>
              <w:rPr>
                <w:rFonts w:hint="eastAsia" w:ascii="仿宋" w:hAnsi="仿宋" w:eastAsia="仿宋" w:cs="仿宋"/>
                <w:color w:val="000000"/>
                <w:sz w:val="24"/>
                <w:szCs w:val="24"/>
              </w:rPr>
              <w:t xml:space="preserve">一份；或投标人的本项目开标时间前6个月内银行出具的</w:t>
            </w:r>
            <w:r>
              <w:rPr>
                <w:rFonts w:hint="eastAsia" w:ascii="仿宋" w:hAnsi="仿宋" w:eastAsia="仿宋" w:cs="仿宋"/>
                <w:b/>
                <w:color w:val="000000"/>
                <w:sz w:val="24"/>
                <w:szCs w:val="24"/>
              </w:rPr>
              <w:t xml:space="preserve">资信证明扫描件</w:t>
            </w:r>
            <w:r>
              <w:rPr>
                <w:rFonts w:hint="eastAsia" w:ascii="仿宋" w:hAnsi="仿宋" w:eastAsia="仿宋" w:cs="仿宋"/>
                <w:color w:val="000000"/>
                <w:sz w:val="24"/>
                <w:szCs w:val="24"/>
              </w:rPr>
              <w:t xml:space="preserve">一份）；</w:t>
            </w:r>
            <w:r/>
          </w:p>
          <w:p>
            <w:pPr>
              <w:pStyle w:val="1023"/>
              <w:ind w:right="28"/>
              <w:spacing w:line="360" w:lineRule="auto"/>
              <w:rPr>
                <w:rFonts w:hint="eastAsia" w:ascii="仿宋" w:hAnsi="仿宋" w:eastAsia="仿宋" w:cs="仿宋"/>
                <w:color w:val="000000"/>
                <w:sz w:val="21"/>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3.投标人的本项目开标时间前6个月内任何1个月的</w:t>
            </w:r>
            <w:r>
              <w:rPr>
                <w:rFonts w:hint="eastAsia" w:ascii="仿宋" w:hAnsi="仿宋" w:eastAsia="仿宋" w:cs="仿宋"/>
                <w:b/>
                <w:color w:val="000000"/>
                <w:sz w:val="24"/>
                <w:szCs w:val="24"/>
              </w:rPr>
              <w:t xml:space="preserve">依法缴纳税收扫描件和社会保障资金扫描件</w:t>
            </w:r>
            <w:r>
              <w:rPr>
                <w:rFonts w:hint="eastAsia" w:ascii="仿宋" w:hAnsi="仿宋" w:eastAsia="仿宋" w:cs="仿宋"/>
                <w:color w:val="000000"/>
                <w:sz w:val="24"/>
                <w:szCs w:val="24"/>
              </w:rPr>
              <w:t xml:space="preserve">的相关材料（依法免税或不需要缴纳社会保障资金的供应商,提供相应文件扫描件证明其依法免税或不需要缴纳社会保障资金)；</w:t>
            </w:r>
            <w:r/>
          </w:p>
          <w:p>
            <w:pPr>
              <w:pStyle w:val="1029"/>
              <w:spacing w:line="360" w:lineRule="auto"/>
              <w:widowControl/>
              <w:rPr>
                <w:rFonts w:hint="eastAsia" w:ascii="仿宋" w:hAnsi="仿宋" w:eastAsia="仿宋" w:cs="仿宋"/>
                <w:color w:val="000000"/>
                <w:sz w:val="21"/>
                <w:szCs w:val="24"/>
                <w:lang w:eastAsia="zh-CN"/>
              </w:rPr>
            </w:pPr>
            <w:r>
              <w:rPr>
                <w:rFonts w:hint="eastAsia" w:ascii="仿宋" w:hAnsi="仿宋" w:eastAsia="仿宋" w:cs="仿宋"/>
                <w:color w:val="000000"/>
                <w:sz w:val="24"/>
                <w:szCs w:val="24"/>
              </w:rPr>
              <w:t xml:space="preserve">4.具备履行合同所必需的设备和专业技术能力的证明材料。</w:t>
            </w:r>
            <w:r>
              <w:rPr>
                <w:rFonts w:hint="eastAsia" w:ascii="仿宋" w:hAnsi="仿宋" w:eastAsia="仿宋" w:cs="仿宋"/>
                <w:b/>
                <w:bCs/>
                <w:color w:val="000000"/>
                <w:sz w:val="24"/>
                <w:szCs w:val="24"/>
              </w:rPr>
              <w:t xml:space="preserve">即</w:t>
            </w:r>
            <w:r>
              <w:rPr>
                <w:rFonts w:hint="eastAsia" w:ascii="仿宋" w:hAnsi="仿宋" w:eastAsia="仿宋" w:cs="仿宋"/>
                <w:b/>
                <w:color w:val="000000"/>
                <w:sz w:val="24"/>
                <w:szCs w:val="24"/>
              </w:rPr>
              <w:t xml:space="preserve">投标文件中提供《具备履行合同所必需的设备和专业技术能力的书面声明（附证明材料扫描件）》（加盖电子签章，格式见招标文件第七章《投标文件相关格式》）</w:t>
            </w:r>
            <w:r>
              <w:rPr>
                <w:rFonts w:hint="eastAsia" w:ascii="仿宋" w:hAnsi="仿宋" w:eastAsia="仿宋" w:cs="仿宋"/>
                <w:b/>
                <w:color w:val="000000"/>
                <w:sz w:val="24"/>
                <w:szCs w:val="24"/>
                <w:lang w:eastAsia="zh-CN"/>
              </w:rPr>
              <w:t xml:space="preserve">；</w:t>
            </w:r>
            <w:r/>
          </w:p>
          <w:p>
            <w:pPr>
              <w:pStyle w:val="1029"/>
              <w:spacing w:line="360" w:lineRule="auto"/>
              <w:widowControl/>
              <w:rPr>
                <w:rFonts w:hint="eastAsia" w:ascii="仿宋" w:hAnsi="仿宋" w:eastAsia="仿宋" w:cs="仿宋"/>
                <w:color w:val="000000"/>
                <w:sz w:val="21"/>
                <w:szCs w:val="24"/>
              </w:rPr>
            </w:pPr>
            <w:r>
              <w:rPr>
                <w:rFonts w:hint="eastAsia" w:ascii="仿宋" w:hAnsi="仿宋" w:eastAsia="仿宋" w:cs="仿宋"/>
                <w:color w:val="000000"/>
                <w:sz w:val="24"/>
                <w:szCs w:val="24"/>
              </w:rPr>
              <w:t xml:space="preserve">5.投标人参加政府采购活动前3年内在经营活动中没有重大违法记录的书面声</w:t>
            </w:r>
            <w:r>
              <w:rPr>
                <w:rFonts w:hint="eastAsia" w:ascii="仿宋" w:hAnsi="仿宋" w:eastAsia="仿宋" w:cs="仿宋"/>
                <w:b w:val="0"/>
                <w:bCs w:val="0"/>
                <w:color w:val="000000"/>
                <w:sz w:val="24"/>
                <w:szCs w:val="24"/>
              </w:rPr>
              <w:t xml:space="preserve">明，加盖电子签章，格</w:t>
            </w:r>
            <w:r>
              <w:rPr>
                <w:rFonts w:hint="eastAsia" w:ascii="仿宋" w:hAnsi="仿宋" w:eastAsia="仿宋" w:cs="仿宋"/>
                <w:color w:val="000000"/>
                <w:sz w:val="24"/>
                <w:szCs w:val="24"/>
              </w:rPr>
              <w:t xml:space="preserve">式见本文件第七章《投标文件相关格式》；</w:t>
            </w:r>
            <w:r/>
          </w:p>
          <w:p>
            <w:pPr>
              <w:pStyle w:val="1023"/>
              <w:ind w:right="0"/>
              <w:jc w:val="both"/>
              <w:spacing w:before="0" w:after="0" w:line="360" w:lineRule="auto"/>
              <w:rPr>
                <w:rFonts w:hint="eastAsia" w:ascii="仿宋" w:hAnsi="仿宋" w:eastAsia="仿宋" w:cs="仿宋"/>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bidi="ar-SA"/>
              </w:rPr>
              <w:t xml:space="preserve">6.</w:t>
            </w:r>
            <w:r>
              <w:rPr>
                <w:rFonts w:hint="eastAsia" w:ascii="仿宋" w:hAnsi="仿宋" w:eastAsia="仿宋" w:cs="仿宋"/>
                <w:bCs/>
                <w:color w:val="000000"/>
                <w:sz w:val="24"/>
                <w:szCs w:val="24"/>
                <w:lang w:val="en-US" w:eastAsia="zh-CN" w:bidi="ar-SA"/>
              </w:rPr>
              <w:t xml:space="preserve">投标人《中小企业声明函》（加盖电子签章，格式见招标文件第七章《投标文件相关格式》）（</w:t>
            </w:r>
            <w:r>
              <w:rPr>
                <w:rFonts w:hint="eastAsia" w:ascii="仿宋" w:hAnsi="仿宋" w:eastAsia="仿宋" w:cs="仿宋"/>
                <w:b/>
                <w:bCs w:val="0"/>
                <w:color w:val="000000"/>
                <w:sz w:val="24"/>
                <w:szCs w:val="24"/>
                <w:lang w:val="en-US" w:eastAsia="zh-CN" w:bidi="ar-SA"/>
              </w:rPr>
              <w:t xml:space="preserve">必须提供，请填写完整</w:t>
            </w:r>
            <w:r>
              <w:rPr>
                <w:rFonts w:hint="eastAsia" w:ascii="仿宋" w:hAnsi="仿宋" w:eastAsia="仿宋" w:cs="仿宋"/>
                <w:bCs/>
                <w:color w:val="000000"/>
                <w:sz w:val="24"/>
                <w:szCs w:val="24"/>
                <w:lang w:val="en-US" w:eastAsia="zh-CN" w:bidi="ar-SA"/>
              </w:rPr>
              <w:t xml:space="preserve">）。查询渠道参考工业和信息化部发布的中小企业规模自测小程序。中小企业规模自测小程序详见《中小企业声明函》格式。</w:t>
            </w:r>
            <w:r/>
          </w:p>
          <w:p>
            <w:pPr>
              <w:pStyle w:val="1029"/>
              <w:numPr>
                <w:ilvl w:val="0"/>
                <w:numId w:val="0"/>
              </w:numPr>
              <w:ind w:firstLine="480"/>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1029"/>
              <w:numPr>
                <w:ilvl w:val="0"/>
                <w:numId w:val="0"/>
              </w:numPr>
              <w:ind w:firstLine="480"/>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享受政府采购支持政策的残疾人福利性单位应当同时满足以下条件：</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①安置的残疾人占本单位在职职工人数的比例不低于25%（含25%），并且安置的残疾人人数不少于10人（含10人）；</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②依法与安置的每位残疾人签订了一年以上（含一年）的劳动合同或服务协议；</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③为安置的每位残疾人按月足额缴纳了基本养老保险、基本医疗保险、失业保险、工伤保险和生育保险等社会保险费；</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9"/>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具体以《三部门联合发布关于促进残疾人就业政府采购政策的通知》（财库〔2017〕141号）规定为准。</w:t>
            </w:r>
            <w:r/>
          </w:p>
          <w:p>
            <w:pPr>
              <w:pStyle w:val="1029"/>
              <w:numPr>
                <w:ilvl w:val="0"/>
                <w:numId w:val="5"/>
              </w:numPr>
              <w:ind w:firstLine="240"/>
              <w:jc w:val="left"/>
              <w:spacing w:line="360" w:lineRule="auto"/>
              <w:rPr>
                <w:rFonts w:hint="eastAsia" w:ascii="仿宋" w:hAnsi="仿宋" w:eastAsia="仿宋" w:cs="仿宋"/>
                <w:sz w:val="21"/>
                <w:szCs w:val="24"/>
                <w:lang w:val="en-US" w:eastAsia="zh-CN"/>
              </w:rPr>
            </w:pPr>
            <w:r>
              <w:rPr>
                <w:rFonts w:hint="eastAsia" w:ascii="仿宋" w:hAnsi="仿宋" w:eastAsia="仿宋" w:cs="仿宋"/>
                <w:bCs/>
                <w:color w:val="000000"/>
                <w:sz w:val="24"/>
                <w:szCs w:val="24"/>
                <w:lang w:val="en-US" w:eastAsia="zh-CN" w:bidi="ar-SA"/>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23"/>
              <w:numPr>
                <w:ilvl w:val="0"/>
                <w:numId w:val="0"/>
              </w:numPr>
              <w:spacing w:line="360" w:lineRule="auto"/>
              <w:rPr>
                <w:rFonts w:hint="eastAsia" w:ascii="仿宋" w:hAnsi="仿宋" w:eastAsia="仿宋" w:cs="仿宋"/>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7.</w:t>
            </w:r>
            <w:r>
              <w:rPr>
                <w:rFonts w:hint="eastAsia" w:ascii="仿宋" w:hAnsi="仿宋" w:eastAsia="仿宋" w:cs="仿宋"/>
                <w:bCs/>
                <w:color w:val="000000"/>
                <w:sz w:val="24"/>
                <w:szCs w:val="24"/>
                <w:lang w:val="en-US" w:eastAsia="zh-CN" w:bidi="ar-SA"/>
              </w:rPr>
              <w:t xml:space="preserve">未被“信用中国”网站（www.creditchina.gov.cn）列入失信被执行人、重大税收违法案件当事人名单、政府采购严重失信行为记录名单。</w:t>
            </w:r>
            <w:r/>
          </w:p>
          <w:p>
            <w:pPr>
              <w:pStyle w:val="1029"/>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三</w:t>
            </w:r>
            <w:r>
              <w:rPr>
                <w:rFonts w:hint="eastAsia" w:ascii="仿宋" w:hAnsi="仿宋" w:eastAsia="仿宋" w:cs="仿宋"/>
                <w:b/>
                <w:color w:val="000000"/>
                <w:sz w:val="24"/>
                <w:szCs w:val="24"/>
              </w:rPr>
              <w:t xml:space="preserve">、符合条件（必须提供，否则投标无效）</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（一）报价</w:t>
            </w:r>
            <w:r/>
          </w:p>
          <w:p>
            <w:pPr>
              <w:pStyle w:val="1029"/>
              <w:spacing w:line="360" w:lineRule="auto"/>
              <w:rPr>
                <w:rFonts w:hint="eastAsia" w:ascii="仿宋" w:hAnsi="仿宋" w:eastAsia="仿宋" w:cs="仿宋"/>
                <w:color w:val="000000"/>
                <w:sz w:val="21"/>
                <w:szCs w:val="24"/>
              </w:rPr>
            </w:pPr>
            <w:r>
              <w:rPr>
                <w:rFonts w:hint="eastAsia" w:ascii="仿宋" w:hAnsi="仿宋" w:eastAsia="仿宋" w:cs="仿宋"/>
                <w:bCs/>
                <w:color w:val="000000"/>
                <w:sz w:val="24"/>
                <w:szCs w:val="24"/>
              </w:rPr>
              <w:t xml:space="preserve">1.《开标一览表》（加盖电子签章，格式见招标文件第七章《投标文件相关格式》）</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.《分项价格表》（加盖电子签章，格式见招标文件第七章《投标文件相关格式》）</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（二）商务资信</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1.《投标函》（加盖电子签章，格式见招标文件第七章《投标文件相关格式》）</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2.《法定代表人授权书》（加盖电子签章，格式见招标文件第七章《投标文件相关格式》。如为法定代表人本人参加投标活动，则提供《法定代表人身份证明书》）</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（三）技术响应</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1.《偏离表》（加盖电子签章，格式见招标文件第七章《投标文件相关格式》）</w:t>
            </w:r>
            <w:r/>
          </w:p>
          <w:p>
            <w:pPr>
              <w:pStyle w:val="102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四、</w:t>
            </w:r>
            <w:r>
              <w:rPr>
                <w:rFonts w:hint="eastAsia" w:ascii="仿宋" w:hAnsi="仿宋" w:eastAsia="仿宋" w:cs="仿宋"/>
                <w:b/>
                <w:color w:val="000000"/>
                <w:sz w:val="24"/>
                <w:szCs w:val="24"/>
              </w:rPr>
              <w:t xml:space="preserve">综合评审评分项</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（一）商务部分</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要求见招标文件第四章《评标标准》；</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（二）技术部分</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要求见招标文件第四章《评标标准》及第六章《采购需求》；</w:t>
            </w:r>
            <w:r/>
          </w:p>
          <w:p>
            <w:pPr>
              <w:pStyle w:val="1029"/>
              <w:numPr>
                <w:ilvl w:val="0"/>
                <w:numId w:val="0"/>
              </w:num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五</w:t>
            </w:r>
            <w:r>
              <w:rPr>
                <w:rFonts w:hint="eastAsia" w:ascii="仿宋" w:hAnsi="仿宋" w:eastAsia="仿宋" w:cs="仿宋"/>
                <w:b/>
                <w:color w:val="000000"/>
                <w:sz w:val="24"/>
                <w:szCs w:val="24"/>
              </w:rPr>
              <w:t xml:space="preserve">、价格折扣文件格式</w:t>
            </w:r>
            <w:r/>
          </w:p>
          <w:p>
            <w:pPr>
              <w:pStyle w:val="1029"/>
              <w:spacing w:line="360" w:lineRule="auto"/>
              <w:rPr>
                <w:rFonts w:hint="default" w:ascii="仿宋" w:hAnsi="仿宋" w:eastAsia="仿宋" w:cs="仿宋"/>
                <w:color w:val="000000"/>
                <w:sz w:val="21"/>
                <w:szCs w:val="24"/>
                <w:highlight w:val="yellow"/>
                <w:lang w:val="en-US" w:eastAsia="zh-CN"/>
              </w:rPr>
            </w:pPr>
            <w:r>
              <w:rPr>
                <w:rFonts w:hint="eastAsia" w:ascii="仿宋" w:hAnsi="仿宋" w:eastAsia="仿宋" w:cs="仿宋"/>
                <w:color w:val="000000"/>
                <w:sz w:val="24"/>
                <w:szCs w:val="24"/>
              </w:rPr>
              <w:t xml:space="preserve">企业报价折扣证明</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无</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w:t>
            </w:r>
            <w:r/>
          </w:p>
          <w:p>
            <w:pPr>
              <w:pStyle w:val="1029"/>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1.投标人应对以上文件的合法性、真实性负责。</w:t>
            </w:r>
            <w:r/>
          </w:p>
          <w:p>
            <w:pPr>
              <w:pStyle w:val="1029"/>
              <w:spacing w:line="360" w:lineRule="auto"/>
              <w:rPr>
                <w:rFonts w:hint="eastAsia" w:ascii="仿宋" w:hAnsi="仿宋" w:eastAsia="仿宋" w:cs="仿宋"/>
                <w:bCs/>
                <w:sz w:val="24"/>
                <w:szCs w:val="24"/>
                <w:highlight w:val="yellow"/>
              </w:rPr>
            </w:pPr>
            <w:r>
              <w:rPr>
                <w:rFonts w:hint="eastAsia" w:ascii="仿宋" w:hAnsi="仿宋" w:eastAsia="仿宋" w:cs="仿宋"/>
                <w:bCs/>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(十三)2</w:t>
            </w:r>
            <w:r/>
          </w:p>
        </w:tc>
        <w:tc>
          <w:tcPr>
            <w:tcW w:w="8012" w:type="dxa"/>
            <w:vAlign w:val="top"/>
            <w:textDirection w:val="lrTb"/>
            <w:noWrap w:val="false"/>
          </w:tcPr>
          <w:p>
            <w:pPr>
              <w:pStyle w:val="102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商务条件见：</w:t>
            </w:r>
            <w:r/>
          </w:p>
          <w:p>
            <w:pPr>
              <w:pStyle w:val="102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一、本文件第四章《评标标准》中《评分细则》。</w:t>
            </w:r>
            <w:r/>
          </w:p>
          <w:p>
            <w:pPr>
              <w:pStyle w:val="1029"/>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二、本文件第三章《投标资料表》中(十二)1和(十二)2。</w:t>
            </w:r>
            <w:r/>
          </w:p>
        </w:tc>
      </w:tr>
      <w:tr>
        <w:trPr>
          <w:trHeight w:val="772"/>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(十三)3</w:t>
            </w:r>
            <w:r/>
          </w:p>
        </w:tc>
        <w:tc>
          <w:tcPr>
            <w:tcW w:w="8012" w:type="dxa"/>
            <w:vAlign w:val="top"/>
            <w:textDirection w:val="lrTb"/>
            <w:noWrap w:val="false"/>
          </w:tcPr>
          <w:p>
            <w:pPr>
              <w:pStyle w:val="1029"/>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提供服务的时间：见本文件第五章《拟签订的合同文本》及或本文件第六章《采购需求》。</w:t>
            </w:r>
            <w:r/>
          </w:p>
        </w:tc>
      </w:tr>
      <w:tr>
        <w:trPr>
          <w:trHeight w:val="90"/>
        </w:trPr>
        <w:tc>
          <w:tcPr>
            <w:tcW w:w="1330" w:type="dxa"/>
            <w:vAlign w:val="top"/>
            <w:textDirection w:val="lrTb"/>
            <w:noWrap w:val="false"/>
          </w:tcPr>
          <w:p>
            <w:pPr>
              <w:pStyle w:val="102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(十四)3</w:t>
            </w:r>
            <w:r/>
          </w:p>
        </w:tc>
        <w:tc>
          <w:tcPr>
            <w:tcW w:w="8012" w:type="dxa"/>
            <w:vAlign w:val="top"/>
            <w:textDirection w:val="lrTb"/>
            <w:noWrap w:val="false"/>
          </w:tcPr>
          <w:p>
            <w:pPr>
              <w:pStyle w:val="1043"/>
              <w:ind w:firstLine="24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sz w:val="24"/>
                <w:szCs w:val="24"/>
                <w:highlight w:val="none"/>
                <w:shd w:val="clear" w:color="auto"/>
                <w:lang w:val="en-US" w:eastAsia="zh-CN"/>
              </w:rPr>
              <w:t xml:space="preserve">本项目不接受超过</w:t>
            </w:r>
            <w:r>
              <w:rPr>
                <w:rFonts w:hint="eastAsia" w:ascii="仿宋" w:hAnsi="仿宋" w:eastAsia="仿宋" w:cs="仿宋"/>
                <w:b/>
                <w:bCs/>
                <w:color w:val="000000"/>
                <w:sz w:val="24"/>
                <w:szCs w:val="24"/>
                <w:highlight w:val="none"/>
                <w:shd w:val="clear" w:color="auto"/>
                <w:lang w:val="en-US" w:eastAsia="zh-CN"/>
              </w:rPr>
              <w:t xml:space="preserve">38520000.00元/三年</w:t>
            </w:r>
            <w:r>
              <w:rPr>
                <w:rFonts w:hint="eastAsia" w:ascii="仿宋" w:hAnsi="仿宋" w:eastAsia="仿宋" w:cs="仿宋"/>
                <w:color w:val="000000"/>
                <w:sz w:val="24"/>
                <w:szCs w:val="24"/>
                <w:highlight w:val="none"/>
                <w:shd w:val="clear" w:color="auto"/>
                <w:lang w:val="en-US" w:eastAsia="zh-CN"/>
              </w:rPr>
              <w:t xml:space="preserve">（采购项目预算金额）的投标报价</w:t>
            </w:r>
            <w:r>
              <w:rPr>
                <w:rFonts w:hint="eastAsia" w:ascii="仿宋" w:hAnsi="仿宋" w:eastAsia="仿宋" w:cs="仿宋"/>
                <w:color w:val="000000"/>
                <w:sz w:val="24"/>
                <w:szCs w:val="24"/>
                <w:highlight w:val="none"/>
                <w:shd w:val="clear" w:color="auto"/>
                <w:lang w:eastAsia="zh-CN"/>
              </w:rPr>
              <w:t xml:space="preserve">，（每年预算价为</w:t>
            </w:r>
            <w:r>
              <w:rPr>
                <w:rFonts w:hint="eastAsia" w:ascii="仿宋" w:hAnsi="仿宋" w:eastAsia="仿宋" w:cs="仿宋"/>
                <w:b/>
                <w:bCs/>
                <w:color w:val="000000"/>
                <w:sz w:val="24"/>
                <w:szCs w:val="24"/>
                <w:highlight w:val="none"/>
                <w:shd w:val="clear" w:color="auto"/>
                <w:lang w:eastAsia="zh-CN"/>
              </w:rPr>
              <w:t xml:space="preserve">128</w:t>
            </w:r>
            <w:r>
              <w:rPr>
                <w:rFonts w:hint="eastAsia" w:ascii="仿宋" w:hAnsi="仿宋" w:eastAsia="仿宋" w:cs="仿宋"/>
                <w:b/>
                <w:bCs/>
                <w:color w:val="000000"/>
                <w:sz w:val="24"/>
                <w:szCs w:val="24"/>
                <w:highlight w:val="none"/>
                <w:shd w:val="clear" w:color="auto"/>
                <w:lang w:val="en-US" w:eastAsia="zh-CN"/>
              </w:rPr>
              <w:t xml:space="preserve">40000.00元</w:t>
            </w:r>
            <w:r>
              <w:rPr>
                <w:rFonts w:hint="eastAsia" w:ascii="仿宋" w:hAnsi="仿宋" w:eastAsia="仿宋" w:cs="仿宋"/>
                <w:color w:val="000000"/>
                <w:sz w:val="24"/>
                <w:szCs w:val="24"/>
                <w:highlight w:val="none"/>
                <w:shd w:val="clear" w:color="auto"/>
                <w:lang w:val="en-US" w:eastAsia="zh-CN"/>
              </w:rPr>
              <w:t xml:space="preserve">，</w:t>
            </w:r>
            <w:r>
              <w:rPr>
                <w:rFonts w:hint="eastAsia" w:ascii="仿宋" w:hAnsi="仿宋" w:eastAsia="仿宋" w:cs="仿宋"/>
                <w:color w:val="000000"/>
                <w:sz w:val="24"/>
                <w:szCs w:val="24"/>
                <w:highlight w:val="none"/>
                <w:shd w:val="clear" w:color="auto"/>
                <w:lang w:eastAsia="zh-CN"/>
              </w:rPr>
              <w:t xml:space="preserve">其中：新沂市镇级污水处理设施采购预算为</w:t>
            </w:r>
            <w:r>
              <w:rPr>
                <w:rFonts w:hint="eastAsia" w:ascii="仿宋" w:hAnsi="仿宋" w:eastAsia="仿宋" w:cs="仿宋"/>
                <w:b/>
                <w:bCs/>
                <w:color w:val="000000"/>
                <w:sz w:val="24"/>
                <w:szCs w:val="24"/>
                <w:highlight w:val="none"/>
                <w:shd w:val="clear" w:color="auto"/>
                <w:lang w:val="en-US" w:eastAsia="zh-CN"/>
              </w:rPr>
              <w:t xml:space="preserve">5287800.00</w:t>
            </w:r>
            <w:r>
              <w:rPr>
                <w:rFonts w:hint="eastAsia" w:ascii="仿宋" w:hAnsi="仿宋" w:eastAsia="仿宋" w:cs="仿宋"/>
                <w:b/>
                <w:bCs/>
                <w:color w:val="000000"/>
                <w:sz w:val="24"/>
                <w:szCs w:val="24"/>
                <w:highlight w:val="none"/>
                <w:shd w:val="clear" w:color="auto"/>
                <w:lang w:eastAsia="zh-CN"/>
              </w:rPr>
              <w:t xml:space="preserve">元</w:t>
            </w:r>
            <w:r>
              <w:rPr>
                <w:rFonts w:hint="eastAsia" w:ascii="仿宋" w:hAnsi="仿宋" w:eastAsia="仿宋" w:cs="仿宋"/>
                <w:color w:val="000000"/>
                <w:sz w:val="24"/>
                <w:szCs w:val="24"/>
                <w:highlight w:val="none"/>
                <w:shd w:val="clear" w:color="auto"/>
                <w:lang w:eastAsia="zh-CN"/>
              </w:rPr>
              <w:t xml:space="preserve">，单价采购预算为</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1</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元/吨</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总处理规模4450吨/天，按照实际出水处理量付费，总出水处理量不得低于总设计出水处理量的70%，不得超过总设计出水处理量的90%；</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村级污水处理设施每年运维采购预算为</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51728</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00.00</w:t>
            </w:r>
            <w:r>
              <w:rPr>
                <w:rFonts w:hint="eastAsia" w:ascii="仿宋" w:hAnsi="仿宋" w:eastAsia="仿宋" w:cs="仿宋"/>
                <w:b/>
                <w:bCs/>
                <w:color w:val="000000" w:themeColor="text1"/>
                <w:sz w:val="24"/>
                <w:szCs w:val="24"/>
                <w:highlight w:val="none"/>
                <w:shd w:val="clear" w:color="auto"/>
                <w:lang w:eastAsia="zh-CN"/>
                <w14:textFill>
                  <w14:solidFill>
                    <w14:schemeClr w14:val="tx1"/>
                  </w14:solidFill>
                </w14:textFill>
              </w:rPr>
              <w:t xml:space="preserve">元</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（按采购清单报价，含信息化平台建设</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甲乙双方共同委托的</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第三方</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检测</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费每年</w:t>
            </w:r>
            <w:r>
              <w:rPr>
                <w:rFonts w:hint="eastAsia" w:ascii="仿宋" w:hAnsi="仿宋" w:eastAsia="仿宋" w:cs="仿宋"/>
                <w:b/>
                <w:bCs/>
                <w:color w:val="000000" w:themeColor="text1"/>
                <w:sz w:val="24"/>
                <w:szCs w:val="24"/>
                <w:highlight w:val="none"/>
                <w:shd w:val="clear" w:color="auto"/>
                <w:lang w:val="en-US" w:eastAsia="zh-CN"/>
                <w14:textFill>
                  <w14:solidFill>
                    <w14:schemeClr w14:val="tx1"/>
                  </w14:solidFill>
                </w14:textFill>
              </w:rPr>
              <w:t xml:space="preserve">379400.00元</w:t>
            </w:r>
            <w:r>
              <w:rPr>
                <w:rFonts w:hint="eastAsia" w:ascii="仿宋" w:hAnsi="仿宋" w:eastAsia="仿宋" w:cs="仿宋"/>
                <w:color w:val="000000" w:themeColor="text1"/>
                <w:sz w:val="24"/>
                <w:szCs w:val="24"/>
                <w:highlight w:val="none"/>
                <w:shd w:val="clear" w:color="auto"/>
                <w:lang w:val="en-US" w:eastAsia="zh-CN"/>
                <w14:textFill>
                  <w14:solidFill>
                    <w14:schemeClr w14:val="tx1"/>
                  </w14:solidFill>
                </w14:textFill>
              </w:rPr>
              <w:t xml:space="preserve">（以实际发生的检测费为准）；</w:t>
            </w:r>
            <w:r>
              <w:rPr>
                <w:rFonts w:hint="eastAsia" w:ascii="仿宋" w:hAnsi="仿宋" w:eastAsia="仿宋" w:cs="仿宋"/>
                <w:color w:val="000000" w:themeColor="text1"/>
                <w:sz w:val="24"/>
                <w:szCs w:val="24"/>
                <w:highlight w:val="none"/>
                <w:shd w:val="clear" w:color="auto"/>
                <w:lang w:eastAsia="zh-CN"/>
                <w14:textFill>
                  <w14:solidFill>
                    <w14:schemeClr w14:val="tx1"/>
                  </w14:solidFill>
                </w14:textFill>
              </w:rPr>
              <w:t xml:space="preserve">镇、村污水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处理设施配套管网运维每年采购预算为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2000000.00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（根据每年设施和管网实际维护需求报新沂市财政主管部门财评确认后的价格。））</w:t>
            </w:r>
            <w:r/>
          </w:p>
          <w:p>
            <w:pPr>
              <w:pStyle w:val="1043"/>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服务期限：</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lang w:eastAsia="zh-CN"/>
              </w:rPr>
              <w:t xml:space="preserve">年</w:t>
            </w:r>
            <w:r>
              <w:rPr>
                <w:rFonts w:hint="eastAsia" w:ascii="仿宋" w:hAnsi="仿宋" w:eastAsia="仿宋" w:cs="仿宋"/>
                <w:b/>
                <w:bCs/>
                <w:color w:val="000000"/>
                <w:sz w:val="24"/>
                <w:szCs w:val="24"/>
                <w:highlight w:val="none"/>
              </w:rPr>
              <w:t xml:space="preserve">。</w:t>
            </w:r>
            <w:r/>
          </w:p>
          <w:p>
            <w:pPr>
              <w:pStyle w:val="1029"/>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lang w:val="en-US" w:eastAsia="zh-CN"/>
              </w:rPr>
              <w:t xml:space="preserve">本项目报价</w:t>
            </w:r>
            <w:r>
              <w:rPr>
                <w:rFonts w:hint="eastAsia" w:ascii="仿宋" w:hAnsi="仿宋" w:eastAsia="仿宋" w:cs="仿宋"/>
                <w:color w:val="000000"/>
                <w:sz w:val="24"/>
                <w:szCs w:val="24"/>
                <w:highlight w:val="none"/>
                <w:lang w:val="en-US" w:eastAsia="zh-CN" w:bidi="ar-SA"/>
              </w:rPr>
              <w:t xml:space="preserve">包括全部费用，服务</w:t>
            </w:r>
            <w:r>
              <w:rPr>
                <w:rFonts w:hint="eastAsia" w:ascii="仿宋" w:hAnsi="仿宋" w:eastAsia="仿宋" w:cs="仿宋"/>
                <w:color w:val="000000"/>
                <w:sz w:val="24"/>
                <w:szCs w:val="24"/>
                <w:highlight w:val="none"/>
                <w:lang w:val="en-US" w:eastAsia="zh-CN"/>
              </w:rPr>
              <w:t xml:space="preserve">过程中产生的问题由中标企业自行协调，</w:t>
            </w:r>
            <w:r>
              <w:rPr>
                <w:rFonts w:hint="eastAsia" w:ascii="仿宋" w:hAnsi="仿宋" w:eastAsia="仿宋" w:cs="仿宋"/>
                <w:color w:val="000000"/>
                <w:sz w:val="24"/>
                <w:szCs w:val="24"/>
                <w:highlight w:val="none"/>
                <w:lang w:val="en-US" w:eastAsia="zh-CN" w:bidi="ar-SA"/>
              </w:rPr>
              <w:t xml:space="preserve">采购人不再支付报价以外的任何费用。</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(十六)</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以人民币报价。</w:t>
            </w:r>
            <w:r/>
          </w:p>
        </w:tc>
      </w:tr>
      <w:tr>
        <w:trPr/>
        <w:tc>
          <w:tcPr>
            <w:tcW w:w="1330" w:type="dxa"/>
            <w:vAlign w:val="top"/>
            <w:textDirection w:val="lrTb"/>
            <w:noWrap w:val="false"/>
          </w:tcPr>
          <w:p>
            <w:pPr>
              <w:pStyle w:val="1029"/>
              <w:ind w:firstLine="24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（十七）</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投标人应当通过“苏采云”系统提交数据电文形式的投标文件（即电子投标）。</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特别说明：通过“苏采云”系统提交政府采购客户端工具导出加密的投标文件（后缀名为zip）。投标文件不得超过350M！</w:t>
            </w:r>
            <w:r/>
          </w:p>
          <w:p>
            <w:pPr>
              <w:pStyle w:val="1029"/>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 说明：本项目采用线上投标，即供应商投标文件从政府采购客户端工具制作通过“苏采云”系统提交，未提供线上投标文件的，投标无效。</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(十八)4</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见本文件第三章《投标资料表》中(十二)1和(十二)2</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(十九)</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投标文件的提交与接收： </w:t>
            </w:r>
            <w:r/>
          </w:p>
          <w:p>
            <w:pPr>
              <w:pStyle w:val="1029"/>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1.投标文件提交与接收</w:t>
            </w:r>
            <w:r>
              <w:rPr>
                <w:rFonts w:hint="eastAsia" w:ascii="仿宋" w:hAnsi="仿宋" w:eastAsia="仿宋" w:cs="仿宋"/>
                <w:color w:val="000000" w:themeColor="text1"/>
                <w:sz w:val="24"/>
                <w:szCs w:val="24"/>
                <w:highlight w:val="none"/>
                <w14:textFill>
                  <w14:solidFill>
                    <w14:schemeClr w14:val="tx1"/>
                  </w14:solidFill>
                </w14:textFill>
              </w:rPr>
              <w:t xml:space="preserve">时间：</w:t>
            </w:r>
            <w:r>
              <w:rPr>
                <w:rFonts w:hint="eastAsia" w:ascii="仿宋" w:hAnsi="仿宋" w:eastAsia="仿宋" w:cs="仿宋"/>
                <w:b/>
                <w:bCs/>
                <w:color w:val="000000" w:themeColor="text1"/>
                <w:sz w:val="24"/>
                <w:szCs w:val="24"/>
                <w:highlight w:val="none"/>
                <w14:textFill>
                  <w14:solidFill>
                    <w14:schemeClr w14:val="tx1"/>
                  </w14:solidFill>
                </w14:textFill>
              </w:rPr>
              <w:t xml:space="preserve">提交投标文件截止时间（</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2024年6月26日09</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14:textFill>
                  <w14:solidFill>
                    <w14:schemeClr w14:val="tx1"/>
                  </w14:solidFill>
                </w14:textFill>
              </w:rPr>
              <w:t xml:space="preserve">0）前。</w:t>
            </w:r>
            <w:r/>
          </w:p>
          <w:p>
            <w:pPr>
              <w:pStyle w:val="10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2.投标文件提交与接收地点：投标人应当通过“苏采云”系统提交数据电文形式的投标文件（即电子投标），“苏采云”系统自动接收。</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投标人应在达到开标时间后，使用CA数字证书解密各自投标文件。</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w:t>
            </w:r>
            <w:r/>
          </w:p>
        </w:tc>
      </w:tr>
      <w:tr>
        <w:trPr/>
        <w:tc>
          <w:tcPr>
            <w:tcW w:w="133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(二十五)1</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开标时间及地点：</w:t>
            </w:r>
            <w:r/>
          </w:p>
          <w:p>
            <w:pPr>
              <w:pStyle w:val="1029"/>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开标</w:t>
            </w:r>
            <w:r>
              <w:rPr>
                <w:rFonts w:hint="eastAsia" w:ascii="仿宋" w:hAnsi="仿宋" w:eastAsia="仿宋" w:cs="仿宋"/>
                <w:b/>
                <w:bCs/>
                <w:color w:val="000000" w:themeColor="text1"/>
                <w:sz w:val="24"/>
                <w:szCs w:val="24"/>
                <w:highlight w:val="none"/>
                <w14:textFill>
                  <w14:solidFill>
                    <w14:schemeClr w14:val="tx1"/>
                  </w14:solidFill>
                </w14:textFill>
              </w:rPr>
              <w:t xml:space="preserve">时间：202</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14:textFill>
                  <w14:solidFill>
                    <w14:schemeClr w14:val="tx1"/>
                  </w14:solidFill>
                </w14:textFill>
              </w:rPr>
              <w:t xml:space="preserve">年</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6月26</w:t>
            </w:r>
            <w:r>
              <w:rPr>
                <w:rFonts w:hint="eastAsia" w:ascii="仿宋" w:hAnsi="仿宋" w:eastAsia="仿宋" w:cs="仿宋"/>
                <w:b/>
                <w:bCs/>
                <w:color w:val="000000" w:themeColor="text1"/>
                <w:sz w:val="24"/>
                <w:szCs w:val="24"/>
                <w:highlight w:val="none"/>
                <w14:textFill>
                  <w14:solidFill>
                    <w14:schemeClr w14:val="tx1"/>
                  </w14:solidFill>
                </w14:textFill>
              </w:rPr>
              <w:t xml:space="preserve">日</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14:textFill>
                  <w14:solidFill>
                    <w14:schemeClr w14:val="tx1"/>
                  </w14:solidFill>
                </w14:textFill>
              </w:rPr>
              <w:t xml:space="preserve">0（标准时间）</w:t>
            </w:r>
            <w:r/>
          </w:p>
          <w:p>
            <w:pPr>
              <w:pStyle w:val="10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2.开标地点：</w:t>
            </w:r>
            <w:r>
              <w:rPr>
                <w:rFonts w:hint="eastAsia" w:ascii="仿宋" w:hAnsi="仿宋" w:eastAsia="仿宋" w:cs="仿宋"/>
                <w:color w:val="000000"/>
                <w:sz w:val="24"/>
                <w:szCs w:val="24"/>
              </w:rPr>
              <w:t xml:space="preserve">“苏采云”系统（网址： http://jszfcg.jsczt.cn/）“开标大厅”或进入徐州政府采购网（网址：http://czj.xz.gov.cn/Home/HomeIndex）--业务工作--用户登录，点击“苏采云”进入系统“开标大厅”。</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(二十五)3</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所有投标人解密（或解密时间）结束后，“苏采云”系统生成开标记录并向社会公众公布，但依法应当保密的除外。</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w:t>
            </w:r>
            <w:r>
              <w:rPr>
                <w:rFonts w:hint="eastAsia" w:ascii="仿宋" w:hAnsi="仿宋" w:eastAsia="仿宋" w:cs="仿宋"/>
                <w:sz w:val="24"/>
                <w:szCs w:val="24"/>
                <w:lang w:eastAsia="zh-CN"/>
              </w:rPr>
              <w:t xml:space="preserve">六</w:t>
            </w:r>
            <w:r>
              <w:rPr>
                <w:rFonts w:hint="eastAsia" w:ascii="仿宋" w:hAnsi="仿宋" w:eastAsia="仿宋" w:cs="仿宋"/>
                <w:sz w:val="24"/>
                <w:szCs w:val="24"/>
              </w:rPr>
              <w:t xml:space="preserve">)</w:t>
            </w:r>
            <w:r/>
          </w:p>
        </w:tc>
        <w:tc>
          <w:tcPr>
            <w:tcW w:w="8012" w:type="dxa"/>
            <w:vAlign w:val="top"/>
            <w:textDirection w:val="lrTb"/>
            <w:noWrap w:val="false"/>
          </w:tcPr>
          <w:p>
            <w:pPr>
              <w:pStyle w:val="1029"/>
              <w:spacing w:line="360" w:lineRule="auto"/>
              <w:rPr>
                <w:rFonts w:hint="eastAsia" w:ascii="仿宋" w:hAnsi="仿宋" w:eastAsia="仿宋" w:cs="仿宋"/>
                <w:sz w:val="21"/>
                <w:szCs w:val="24"/>
                <w:lang w:eastAsia="zh-CN"/>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本次招标的新沂市镇村污水处理设施运营及管网维护项目共分两个标段，投标人可同时参加两个标段投标，但</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只能</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中标一个标段。</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(二十七)</w:t>
            </w:r>
            <w:r/>
          </w:p>
        </w:tc>
        <w:tc>
          <w:tcPr>
            <w:tcW w:w="8012" w:type="dxa"/>
            <w:vAlign w:val="top"/>
            <w:textDirection w:val="lrTb"/>
            <w:noWrap w:val="false"/>
          </w:tcPr>
          <w:p>
            <w:pPr>
              <w:pStyle w:val="1029"/>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本项目的评标方法：综合评分法。</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(二十八)1</w:t>
            </w:r>
            <w:r/>
          </w:p>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(二十八)1（4）</w:t>
            </w:r>
            <w:r/>
          </w:p>
        </w:tc>
        <w:tc>
          <w:tcPr>
            <w:tcW w:w="8012" w:type="dxa"/>
            <w:vAlign w:val="top"/>
            <w:textDirection w:val="lrTb"/>
            <w:noWrap w:val="false"/>
          </w:tcPr>
          <w:p>
            <w:pPr>
              <w:pStyle w:val="1029"/>
              <w:ind w:left="560" w:hanging="56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一、推荐中标候选供应商名单。中标候选供应商数量应当根据采购需要确定，但必须按顺序排列中标候选供应商。</w:t>
            </w:r>
            <w:r/>
          </w:p>
          <w:p>
            <w:pPr>
              <w:pStyle w:val="1029"/>
              <w:ind w:left="560" w:hanging="56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二、采用综合评分法的，按评审后得分由高到低顺序排列。得分相同的，按投标报价由低到高顺序排列。得分且投标报价相同的，按技术</w:t>
            </w:r>
            <w:r>
              <w:rPr>
                <w:rFonts w:hint="eastAsia" w:ascii="仿宋" w:hAnsi="仿宋" w:eastAsia="仿宋" w:cs="仿宋"/>
                <w:sz w:val="24"/>
                <w:szCs w:val="24"/>
                <w:lang w:val="en-US" w:eastAsia="zh-CN"/>
              </w:rPr>
              <w:t xml:space="preserve">部分</w:t>
            </w:r>
            <w:r>
              <w:rPr>
                <w:rFonts w:hint="eastAsia" w:ascii="仿宋" w:hAnsi="仿宋" w:eastAsia="仿宋" w:cs="仿宋"/>
                <w:sz w:val="24"/>
                <w:szCs w:val="24"/>
              </w:rPr>
              <w:t xml:space="preserve">得分顺序排列</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none"/>
              </w:rPr>
              <w:t xml:space="preserve">得分</w:t>
            </w:r>
            <w:r>
              <w:rPr>
                <w:rFonts w:hint="eastAsia" w:ascii="仿宋" w:hAnsi="仿宋" w:eastAsia="仿宋" w:cs="仿宋"/>
                <w:sz w:val="24"/>
                <w:szCs w:val="24"/>
                <w:highlight w:val="none"/>
                <w:lang w:val="en-US" w:eastAsia="zh-CN"/>
              </w:rPr>
              <w:t xml:space="preserve">相同、</w:t>
            </w:r>
            <w:r>
              <w:rPr>
                <w:rFonts w:hint="eastAsia" w:ascii="仿宋" w:hAnsi="仿宋" w:eastAsia="仿宋" w:cs="仿宋"/>
                <w:sz w:val="24"/>
                <w:szCs w:val="24"/>
                <w:highlight w:val="none"/>
              </w:rPr>
              <w:t xml:space="preserve">投标报价相同</w:t>
            </w:r>
            <w:r>
              <w:rPr>
                <w:rFonts w:hint="eastAsia" w:ascii="仿宋" w:hAnsi="仿宋" w:eastAsia="仿宋" w:cs="仿宋"/>
                <w:sz w:val="24"/>
                <w:szCs w:val="24"/>
                <w:highlight w:val="none"/>
                <w:lang w:val="en-US" w:eastAsia="zh-CN"/>
              </w:rPr>
              <w:t xml:space="preserve">且</w:t>
            </w: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val="en-US" w:eastAsia="zh-CN"/>
              </w:rPr>
              <w:t xml:space="preserve">部分得分相同</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w:t>
            </w:r>
            <w:r>
              <w:rPr>
                <w:rFonts w:hint="eastAsia" w:ascii="仿宋" w:hAnsi="仿宋" w:eastAsia="仿宋" w:cs="仿宋"/>
                <w:sz w:val="24"/>
                <w:szCs w:val="24"/>
                <w:highlight w:val="none"/>
                <w:lang w:eastAsia="zh-CN"/>
              </w:rPr>
              <w:t xml:space="preserve">评标委员会</w:t>
            </w:r>
            <w:r>
              <w:rPr>
                <w:rFonts w:hint="eastAsia" w:ascii="仿宋" w:hAnsi="仿宋" w:eastAsia="仿宋" w:cs="仿宋"/>
                <w:sz w:val="24"/>
                <w:szCs w:val="24"/>
                <w:highlight w:val="none"/>
                <w:lang w:val="en-US" w:eastAsia="zh-CN"/>
              </w:rPr>
              <w:t xml:space="preserve">采用</w:t>
            </w:r>
            <w:r>
              <w:rPr>
                <w:rFonts w:hint="eastAsia" w:ascii="仿宋" w:hAnsi="仿宋" w:eastAsia="仿宋" w:cs="仿宋"/>
                <w:sz w:val="24"/>
                <w:szCs w:val="24"/>
                <w:highlight w:val="none"/>
                <w:lang w:eastAsia="zh-CN"/>
              </w:rPr>
              <w:t xml:space="preserve">抽签方式</w:t>
            </w:r>
            <w:r>
              <w:rPr>
                <w:rFonts w:hint="eastAsia" w:ascii="仿宋" w:hAnsi="仿宋" w:eastAsia="仿宋" w:cs="仿宋"/>
                <w:sz w:val="24"/>
                <w:szCs w:val="24"/>
                <w:highlight w:val="none"/>
                <w:lang w:val="en-US" w:eastAsia="zh-CN"/>
              </w:rPr>
              <w:t xml:space="preserve">确定中标候选供应商。</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（二十九）</w:t>
            </w:r>
            <w:r/>
          </w:p>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1.评标中需要投标人对投标文件澄清或者说明的，应当通过“苏采云”系统交换数据电文。在评标期间，请投标人保持在线。</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29"/>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六</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政府采购合同</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(三十七)1</w:t>
            </w:r>
            <w:r/>
          </w:p>
        </w:tc>
        <w:tc>
          <w:tcPr>
            <w:tcW w:w="8012" w:type="dxa"/>
            <w:vAlign w:val="top"/>
            <w:textDirection w:val="lrTb"/>
            <w:noWrap w:val="false"/>
          </w:tcPr>
          <w:p>
            <w:pPr>
              <w:pStyle w:val="102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采购人与中标、成交供应商应当在中标、成交通知书发出之日起30日内，按照采购文件确定的事项签订政府采购合同。</w:t>
            </w:r>
            <w:r/>
          </w:p>
        </w:tc>
      </w:tr>
      <w:tr>
        <w:trPr/>
        <w:tc>
          <w:tcPr>
            <w:tcW w:w="1330" w:type="dxa"/>
            <w:vAlign w:val="top"/>
            <w:textDirection w:val="lrTb"/>
            <w:noWrap w:val="false"/>
          </w:tcPr>
          <w:p>
            <w:pPr>
              <w:pStyle w:val="1029"/>
              <w:jc w:val="left"/>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(三十</w:t>
            </w:r>
            <w:r>
              <w:rPr>
                <w:rFonts w:hint="eastAsia" w:ascii="仿宋" w:hAnsi="仿宋" w:eastAsia="仿宋" w:cs="仿宋"/>
                <w:sz w:val="24"/>
                <w:szCs w:val="24"/>
                <w:lang w:val="en-US" w:eastAsia="zh-CN"/>
              </w:rPr>
              <w:t xml:space="preserve">八</w:t>
            </w:r>
            <w:r>
              <w:rPr>
                <w:rFonts w:hint="eastAsia" w:ascii="仿宋" w:hAnsi="仿宋" w:eastAsia="仿宋" w:cs="仿宋"/>
                <w:sz w:val="24"/>
                <w:szCs w:val="24"/>
              </w:rPr>
              <w:t xml:space="preserve">)</w:t>
            </w:r>
            <w:r/>
          </w:p>
        </w:tc>
        <w:tc>
          <w:tcPr>
            <w:tcW w:w="8012" w:type="dxa"/>
            <w:vAlign w:val="top"/>
            <w:textDirection w:val="lrTb"/>
            <w:noWrap w:val="false"/>
          </w:tcPr>
          <w:p>
            <w:pPr>
              <w:pStyle w:val="1029"/>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履约保证金缴纳</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(四十一)</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3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供应商在法定质疑期内一次性提出针对同一采购程序环节的质疑。</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质疑接收人：</w:t>
            </w:r>
            <w:r>
              <w:rPr>
                <w:rFonts w:hint="eastAsia" w:ascii="仿宋" w:hAnsi="仿宋" w:eastAsia="仿宋" w:cs="仿宋"/>
                <w:sz w:val="24"/>
                <w:szCs w:val="24"/>
                <w:lang w:eastAsia="zh-CN"/>
              </w:rPr>
              <w:t xml:space="preserve">蔡伦</w:t>
            </w: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15996901355</w:t>
            </w:r>
            <w:r>
              <w:rPr>
                <w:rFonts w:hint="eastAsia" w:ascii="仿宋" w:hAnsi="仿宋" w:eastAsia="仿宋" w:cs="仿宋"/>
                <w:sz w:val="24"/>
                <w:szCs w:val="24"/>
              </w:rPr>
              <w:t xml:space="preserve">;</w:t>
            </w:r>
            <w:r/>
          </w:p>
          <w:p>
            <w:pPr>
              <w:pStyle w:val="1029"/>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办公地址：</w:t>
            </w:r>
            <w:r>
              <w:rPr>
                <w:rFonts w:hint="eastAsia" w:ascii="仿宋" w:hAnsi="仿宋" w:eastAsia="仿宋" w:cs="仿宋"/>
                <w:sz w:val="24"/>
                <w:szCs w:val="24"/>
                <w:lang w:val="en-US" w:eastAsia="zh-CN"/>
              </w:rPr>
              <w:t xml:space="preserve">新沂市新安镇钟吾花园商住楼5室4F</w:t>
            </w:r>
            <w:r/>
          </w:p>
        </w:tc>
      </w:tr>
      <w:tr>
        <w:trPr/>
        <w:tc>
          <w:tcPr>
            <w:tcW w:w="1330" w:type="dxa"/>
            <w:vAlign w:val="top"/>
            <w:textDirection w:val="lrTb"/>
            <w:noWrap w:val="false"/>
          </w:tcPr>
          <w:p>
            <w:pPr>
              <w:pStyle w:val="1029"/>
              <w:jc w:val="center"/>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附加说明</w:t>
            </w:r>
            <w:r/>
          </w:p>
        </w:tc>
        <w:tc>
          <w:tcPr>
            <w:tcW w:w="8012"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中标人在收到中标通知书时，须向采购代理机构提交《开标一览表》和《分项价格表》的数据文件（WORD格式）。</w:t>
            </w:r>
            <w:r/>
          </w:p>
        </w:tc>
      </w:tr>
    </w:tbl>
    <w:p>
      <w:pPr>
        <w:ind w:left="0" w:firstLine="540"/>
        <w:keepLines w:val="0"/>
        <w:keepNext w:val="0"/>
        <w:pageBreakBefore w:val="0"/>
        <w:spacing w:line="360" w:lineRule="auto"/>
        <w:rPr>
          <w:rFonts w:hint="eastAsia" w:ascii="仿宋" w:hAnsi="仿宋" w:eastAsia="仿宋" w:cs="仿宋"/>
          <w:color w:val="000000"/>
          <w:sz w:val="24"/>
          <w:szCs w:val="24"/>
          <w:lang w:val="en-US" w:eastAsia="zh-CN"/>
        </w:rPr>
      </w:pPr>
      <w:r/>
      <w:bookmarkStart w:id="6" w:name="_Toc522790133"/>
      <w:r>
        <w:rPr>
          <w:rFonts w:hint="eastAsia" w:ascii="仿宋" w:hAnsi="仿宋" w:eastAsia="仿宋" w:cs="仿宋"/>
          <w:color w:val="000000"/>
          <w:sz w:val="28"/>
          <w:szCs w:val="28"/>
        </w:rPr>
        <w:br w:type="page" w:clear="all"/>
      </w:r>
      <w:bookmarkEnd w:id="6"/>
      <w:r/>
      <w:r/>
    </w:p>
    <w:p>
      <w:pPr>
        <w:numPr>
          <w:ilvl w:val="0"/>
          <w:numId w:val="0"/>
        </w:numPr>
        <w:jc w:val="center"/>
        <w:spacing w:line="360" w:lineRule="auto"/>
        <w:rPr>
          <w:rFonts w:hint="eastAsia" w:ascii="仿宋" w:hAnsi="仿宋" w:eastAsia="仿宋" w:cs="仿宋"/>
          <w:b/>
          <w:bCs/>
          <w:color w:val="000000"/>
          <w:sz w:val="36"/>
          <w:szCs w:val="32"/>
          <w:highlight w:val="none"/>
        </w:rPr>
      </w:pPr>
      <w:r>
        <w:rPr>
          <w:rFonts w:hint="eastAsia" w:ascii="仿宋" w:hAnsi="仿宋" w:eastAsia="仿宋" w:cs="仿宋"/>
          <w:b/>
          <w:bCs/>
          <w:sz w:val="28"/>
          <w:szCs w:val="28"/>
          <w:lang w:val="en-US" w:eastAsia="zh-CN"/>
        </w:rPr>
        <w:t xml:space="preserve">第四章 </w:t>
      </w:r>
      <w:r>
        <w:rPr>
          <w:rFonts w:hint="eastAsia" w:ascii="仿宋" w:hAnsi="仿宋" w:eastAsia="仿宋" w:cs="仿宋"/>
          <w:b/>
          <w:bCs/>
          <w:sz w:val="28"/>
          <w:szCs w:val="28"/>
          <w:lang w:eastAsia="zh-CN"/>
        </w:rPr>
        <w:t xml:space="preserve">评标标准</w:t>
      </w:r>
      <w:r/>
    </w:p>
    <w:tbl>
      <w:tblPr>
        <w:tblStyle w:val="866"/>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63"/>
        <w:gridCol w:w="704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分采用最低价优先法计算，即满足招标文件要求且投标报价的最低评审报价为评标基准价，其报价分为满分，其他投标人的报价分按照下列公式计算：报价得分=(评标基准价/投标评审报价)×25(保留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注：得分四舍五入保留小数点后2位。</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服务实施方案和保证措施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对本项目实施方案中项目概况介绍、服务的范围、内容、目标、思路、运行维护设备，人员配置及岗位职责，工作内容分解细化并明确责任，冬季运维工作重点及难点等方面，进行简要阐述：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(2)以上内容存在1处瑕疵:4分;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(4)以上内容存在3处瑕疵:2分;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(5)以上内容存在4处瑕疵:1分;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(6)未提供方案或不满足运维要求或内容存在5处及以上瑕疵:0 分。</w:t>
            </w:r>
            <w:r/>
          </w:p>
          <w:p>
            <w:pPr>
              <w:ind w:left="0" w:right="0" w:firstLine="482"/>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4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对本项目技术保证措施中技术监管的措施、可靠性及技术保障的科学性、合理性等方面，进行简要阐述：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(2)以上内容存在1处瑕疵:4分;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(4)以上内容存在3处瑕疵:2分;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(5)以上内容存在4处瑕疵:1分;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(6)未提供方案或不满足运维要求或内容存在5处及以上瑕疵:0 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对本项目安全管理保证措施中安全管理的措施、可靠性及控制保障的科学性、合理性等方面，进行简要阐述：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(2)以上内容存在1处瑕疵:4分;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(4)以上内容存在3处瑕疵:2分;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(5)以上内容存在4处瑕疵:1分;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(6)未提供方案或不满足运维要求或内容存在5处及以上瑕疵:0 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对本项目质量保证措施中承诺的故障响应、修复时限、项目服务站点的力量配备、售后服务承诺、质量等级要求和质检服务情况等方面，进行简要阐述：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(2)以上内容存在1处瑕疵:4分;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(4)以上内容存在3处瑕疵:2分;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(6)未提供方案或不满足运维要求或内容存在5处及以上瑕疵:0 分。</w:t>
            </w: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应急预案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应急预案中突发停水停电应急处理、设备故障应急处理、水质超标应急处理、提升泵站突发停车应急处理、污水处理设施停车应急处理及冬季设施突发情况应急处理、工单处理、环保督察、进水水量超标等处理预案合理性、及时性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(1)以上内容不存在瑕疵:9分;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(2)以上内容存在1处瑕疵:7分;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(5)以上内容存在4处瑕疵:1分;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(6)未提供方案或不满足运维要求或内容存在5处及以上瑕疵:0 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技术难点、重点分析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对本项目技术难点中污水处理工艺中进水相关指标过低或过高、污水处理设施保证正常运行实施、冬季或雨季运营难度增加等技术处理措施的科学性、合理性等方面，进行简要阐述：</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(1)以上内容不存在瑕疵:6分;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(2)以上内容存在1处瑕疵:5分;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(3)以上内容存在2处瑕疵:4分;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(4)以上内容存在3处瑕疵:3分;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(5)以上内容存在4处瑕疵:2分;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(6)以上内容存在5处瑕疵:1分;</w:t>
            </w:r>
            <w:r/>
          </w:p>
          <w:p>
            <w:pPr>
              <w:ind w:left="0" w:right="0" w:firstLine="48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(7)未提供方案或不满足运维要求或内容存在6处及以上瑕疵:0 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企业资信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w:t>
            </w:r>
            <w:r>
              <w:rPr>
                <w:rFonts w:ascii="SimSun" w:hAnsi="SimSun" w:eastAsia="SimSun" w:cs="SimSun"/>
                <w:color w:val="000000"/>
                <w:sz w:val="20"/>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投标人具有质量管理体系认证证书（水处理类）、环境管理体系认证证书（水处理类）、职业健康管理体系认证证书（水处理类），每有一个得1分，最高3分。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FangSong" w:hAnsi="FangSong" w:eastAsia="FangSong" w:cs="FangSong"/>
                <w:b/>
                <w:color w:val="000000"/>
                <w:sz w:val="24"/>
              </w:rPr>
              <w:t xml:space="preserve">提供国家认证认可监督管理委员会（CNCA）官方网站（www.cnca.gov.cn）查询截图）</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人员配置（25分）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项目技术负责人要求：具有高级工程师职称（环境保护类或污水处理类）的得3分，没有不得分。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注：高级工程师职称证书认证部门为人力资源和社会保障厅或其下属职称改革领导小组办公室。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2、项目经理要求：具有高级工程师职称（环境保护类或电气自动化）的得3分，没有不得分。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注：高级工程师职称证书认证部门为人力资源和社会保障厅或其下属职称改革领导小组办公室。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3、投标人需为本项目配备8名污废水操作工、2名化验员及1名安全员，每有一个得1分，最高得11分，不提供不得分，投标人严格按照本条标准配置人员，多提供的不加分。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4、运维人员中具有电工特种作业操作证的每有一个得1分，最多得2分。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5、运维人员中具有计算机类中级工程师职称的得1分，最多的1分；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6、运维人员中具有养护员、管道工、采样员、资料员、办公文员的，每有一个得1分，最多得5分，每个工种最多得1分，不提供不得分。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注：（1）第1条-第5条每人最多提供一本证书，证书不叠加使用，证书原件扫描件上传并加盖电子签章；第6条人员不准为以上提供证书人员；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（2）以上人员须提供</w:t>
            </w:r>
            <w:r>
              <w:rPr>
                <w:rFonts w:ascii="FangSong" w:hAnsi="FangSong" w:eastAsia="FangSong" w:cs="FangSong"/>
                <w:b/>
                <w:color w:val="000000"/>
                <w:sz w:val="24"/>
              </w:rPr>
              <w:t xml:space="preserve">有效</w:t>
            </w:r>
            <w:r>
              <w:rPr>
                <w:rFonts w:ascii="FangSong" w:hAnsi="FangSong" w:eastAsia="FangSong" w:cs="FangSong"/>
                <w:b/>
                <w:color w:val="000000"/>
                <w:sz w:val="24"/>
              </w:rPr>
              <w:t xml:space="preserve">证明</w:t>
            </w:r>
            <w:r>
              <w:rPr>
                <w:rFonts w:ascii="FangSong" w:hAnsi="FangSong" w:eastAsia="FangSong" w:cs="FangSong"/>
                <w:b/>
                <w:color w:val="000000"/>
                <w:sz w:val="24"/>
              </w:rPr>
              <w:t xml:space="preserve">材料，</w:t>
            </w:r>
            <w:r>
              <w:rPr>
                <w:rFonts w:ascii="FangSong" w:hAnsi="FangSong" w:eastAsia="FangSong" w:cs="FangSong"/>
                <w:b/>
                <w:color w:val="000000"/>
                <w:sz w:val="24"/>
              </w:rPr>
              <w:t xml:space="preserve">是</w:t>
            </w:r>
            <w:r>
              <w:rPr>
                <w:rFonts w:ascii="FangSong" w:hAnsi="FangSong" w:eastAsia="FangSong" w:cs="FangSong"/>
                <w:b/>
                <w:color w:val="000000"/>
                <w:sz w:val="24"/>
              </w:rPr>
              <w:t xml:space="preserve">本公司</w:t>
            </w:r>
            <w:r>
              <w:rPr>
                <w:rFonts w:ascii="FangSong" w:hAnsi="FangSong" w:eastAsia="FangSong" w:cs="FangSong"/>
                <w:b/>
                <w:color w:val="000000"/>
                <w:sz w:val="24"/>
              </w:rPr>
              <w:t xml:space="preserve">正式</w:t>
            </w:r>
            <w:r>
              <w:rPr>
                <w:rFonts w:ascii="FangSong" w:hAnsi="FangSong" w:eastAsia="FangSong" w:cs="FangSong"/>
                <w:b/>
                <w:color w:val="000000"/>
                <w:sz w:val="24"/>
              </w:rPr>
              <w:t xml:space="preserve">员工</w:t>
            </w:r>
            <w:r>
              <w:rPr>
                <w:rFonts w:ascii="FangSong" w:hAnsi="FangSong" w:eastAsia="FangSong" w:cs="FangSong"/>
                <w:b/>
                <w:color w:val="000000"/>
                <w:sz w:val="24"/>
              </w:rPr>
              <w:t xml:space="preserve">，否则不得分。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运维车辆及仪器设备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1、车辆：为保证运维项目有效、及时，投标人需为本项目配备运维车辆4辆，其中清淤车2辆、吸污车2辆，每有一辆得1分，最高得4分，投标人严格按照本评分标准配置车辆，多提供的不加分。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仪器设备：为保证污水管网疏通及维修的准确、便捷，投标人需为本项目配备专业检测设备4套，其中CCTV管道检测仪1套、小型管道疏通车1套、管道内窥镜1套、毒气检测仪1套，每有一套得1分，最高得4分，投标人严格按照本评分标准配置仪器设备，多提供的不加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注：投标人须提供车辆、仪器设备购置发票</w:t>
            </w:r>
            <w:r>
              <w:rPr>
                <w:rFonts w:ascii="FangSong" w:hAnsi="FangSong" w:eastAsia="FangSong" w:cs="FangSong"/>
                <w:b/>
                <w:color w:val="000000"/>
                <w:sz w:val="24"/>
              </w:rPr>
              <w:t xml:space="preserve">扫描件</w:t>
            </w:r>
            <w:r>
              <w:rPr>
                <w:rFonts w:ascii="FangSong" w:hAnsi="FangSong" w:eastAsia="FangSong" w:cs="FangSong"/>
                <w:b/>
                <w:color w:val="000000"/>
                <w:sz w:val="24"/>
              </w:rPr>
              <w:t xml:space="preserve">或租赁合同扫描件及出租方的购置发票扫描件。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7" w:type="dxa"/>
            <w:vAlign w:val="center"/>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投标人提供签订日期在2021年5月1日以后且合同内容为污水处理设施运营维护类似业绩，每有1个得2分，最多得4分。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注：业绩证明材料以加盖公章的中标通知书、合同为准，日期以合同签订日期为准，原件扫描上传加盖电子签章，未提供的不得分。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044"/>
        <w:jc w:val="both"/>
        <w:spacing w:line="360" w:lineRule="auto"/>
        <w:rPr>
          <w:rFonts w:hint="default" w:ascii="仿宋" w:hAnsi="仿宋" w:eastAsia="仿宋" w:cs="仿宋"/>
          <w:b/>
          <w:bCs/>
          <w:color w:val="000000"/>
          <w:sz w:val="24"/>
          <w:szCs w:val="21"/>
          <w:highlight w:val="green"/>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1"/>
          <w:highlight w:val="none"/>
        </w:rPr>
        <w:t xml:space="preserve">本章说明：本项目采用综合评分法。</w:t>
      </w:r>
      <w:r/>
    </w:p>
    <w:p>
      <w:pPr>
        <w:pStyle w:val="1041"/>
        <w:numPr>
          <w:ilvl w:val="0"/>
          <w:numId w:val="0"/>
        </w:numPr>
        <w:ind w:left="400"/>
        <w:jc w:val="center"/>
        <w:spacing w:line="360" w:lineRule="auto"/>
        <w:rPr>
          <w:rFonts w:hint="eastAsia" w:ascii="仿宋" w:hAnsi="仿宋" w:eastAsia="仿宋" w:cs="仿宋"/>
          <w:color w:val="000000"/>
          <w:sz w:val="28"/>
          <w:szCs w:val="44"/>
        </w:rPr>
      </w:pPr>
      <w:r/>
      <w:bookmarkStart w:id="7" w:name="_Toc522790134"/>
      <w:r>
        <w:rPr>
          <w:rFonts w:hint="eastAsia" w:ascii="仿宋" w:hAnsi="仿宋" w:eastAsia="仿宋" w:cs="仿宋"/>
          <w:color w:val="000000"/>
          <w:sz w:val="28"/>
          <w:szCs w:val="44"/>
        </w:rPr>
        <w:br w:type="page" w:clear="all"/>
      </w:r>
      <w:bookmarkStart w:id="8" w:name="_Toc30753"/>
      <w:r>
        <w:rPr>
          <w:rFonts w:hint="eastAsia" w:ascii="仿宋" w:hAnsi="仿宋" w:eastAsia="仿宋" w:cs="仿宋"/>
          <w:color w:val="000000"/>
          <w:sz w:val="28"/>
          <w:szCs w:val="44"/>
          <w:lang w:val="en-US" w:eastAsia="zh-CN"/>
        </w:rPr>
        <w:t xml:space="preserve">第五章 </w:t>
      </w:r>
      <w:r>
        <w:rPr>
          <w:rFonts w:hint="eastAsia" w:ascii="仿宋" w:hAnsi="仿宋" w:eastAsia="仿宋" w:cs="仿宋"/>
          <w:color w:val="000000"/>
          <w:sz w:val="28"/>
          <w:szCs w:val="44"/>
        </w:rPr>
        <w:t xml:space="preserve">拟签订的合同文本</w:t>
      </w:r>
      <w:bookmarkEnd w:id="7"/>
      <w:r/>
      <w:bookmarkEnd w:id="8"/>
      <w:r/>
      <w:r/>
    </w:p>
    <w:p>
      <w:pPr>
        <w:pStyle w:val="1029"/>
        <w:numPr>
          <w:ilvl w:val="0"/>
          <w:numId w:val="0"/>
        </w:numPr>
        <w:ind w:left="400"/>
        <w:spacing w:line="360" w:lineRule="auto"/>
        <w:rPr>
          <w:rFonts w:hint="eastAsia" w:ascii="仿宋" w:hAnsi="仿宋" w:eastAsia="仿宋" w:cs="仿宋"/>
          <w:sz w:val="21"/>
          <w:szCs w:val="24"/>
        </w:rPr>
      </w:pPr>
      <w:r>
        <w:rPr>
          <w:rFonts w:hint="eastAsia" w:ascii="仿宋" w:hAnsi="仿宋" w:eastAsia="仿宋" w:cs="仿宋"/>
          <w:sz w:val="21"/>
          <w:szCs w:val="24"/>
        </w:rPr>
      </w:r>
      <w:r/>
    </w:p>
    <w:p>
      <w:pPr>
        <w:numPr>
          <w:ilvl w:val="0"/>
          <w:numId w:val="0"/>
        </w:numPr>
        <w:jc w:val="both"/>
        <w:spacing w:line="360" w:lineRule="auto"/>
        <w:rPr>
          <w:rFonts w:hint="eastAsia" w:ascii="仿宋" w:hAnsi="仿宋" w:eastAsia="仿宋" w:cs="仿宋"/>
          <w:highlight w:val="none"/>
        </w:rPr>
      </w:pPr>
      <w:r/>
      <w:bookmarkStart w:id="9" w:name="_Toc522790135"/>
      <w:r>
        <w:rPr>
          <w:rFonts w:hint="eastAsia" w:ascii="仿宋" w:hAnsi="仿宋" w:eastAsia="仿宋" w:cs="仿宋"/>
          <w:color w:val="000000"/>
          <w:sz w:val="28"/>
          <w:highlight w:val="none"/>
        </w:rPr>
        <w:t xml:space="preserve">项目名称：新沂市镇村污水处理设施运营及管网维护（东片区）</w:t>
      </w:r>
      <w:r/>
    </w:p>
    <w:p>
      <w:pPr>
        <w:ind w:right="0"/>
        <w:jc w:val="both"/>
        <w:keepLines w:val="0"/>
        <w:keepNext w:val="0"/>
        <w:pageBreakBefore w:val="0"/>
        <w:spacing w:before="0" w:after="0" w:line="48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t xml:space="preserve">项目编号：</w:t>
      </w:r>
      <w:r>
        <w:rPr>
          <w:rFonts w:hint="eastAsia" w:ascii="仿宋" w:hAnsi="仿宋" w:eastAsia="仿宋" w:cs="仿宋"/>
          <w:color w:val="auto"/>
          <w:sz w:val="28"/>
          <w:szCs w:val="20"/>
          <w:highlight w:val="none"/>
          <w:lang w:val="en-US" w:eastAsia="zh-CN" w:bidi="ar-SA"/>
        </w:rPr>
        <w:t xml:space="preserve">JSZC-320381-XZGB-G2024-0015</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政</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府</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采</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购</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合</w:t>
      </w:r>
      <w:r/>
    </w:p>
    <w:p>
      <w:pPr>
        <w:ind w:left="0" w:right="0" w:firstLine="0"/>
        <w:jc w:val="center"/>
        <w:spacing w:before="210" w:after="120"/>
        <w:rPr>
          <w:rFonts w:hint="eastAsia" w:ascii="仿宋" w:hAnsi="仿宋" w:eastAsia="仿宋" w:cs="仿宋"/>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72"/>
          <w:highlight w:val="none"/>
        </w:rPr>
        <w:t xml:space="preserve">同</w:t>
      </w:r>
      <w:r/>
    </w:p>
    <w:p>
      <w:pPr>
        <w:ind w:left="0" w:right="0" w:firstLine="0"/>
        <w:jc w:val="both"/>
        <w:spacing w:before="210" w:after="120"/>
        <w:rPr>
          <w:rFonts w:hint="eastAsia" w:ascii="仿宋" w:hAnsi="仿宋" w:eastAsia="仿宋" w:cs="仿宋"/>
          <w:color w:val="000000"/>
          <w:sz w:val="22"/>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2"/>
          <w:highlight w:val="none"/>
        </w:rPr>
        <w:t xml:space="preserve"> </w:t>
      </w:r>
      <w:r/>
    </w:p>
    <w:p>
      <w:pPr>
        <w:ind w:left="0" w:right="0" w:firstLine="0"/>
        <w:spacing w:before="210" w:after="120"/>
        <w:rPr>
          <w:rFonts w:hint="eastAsia" w:ascii="仿宋" w:hAnsi="仿宋" w:eastAsia="仿宋" w:cs="仿宋"/>
          <w:sz w:val="21"/>
          <w:szCs w:val="21"/>
          <w:highlight w:val="none"/>
          <w:lang w:val="en-US" w:eastAsia="zh-CN"/>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采购人：</w:t>
      </w:r>
      <w:r>
        <w:rPr>
          <w:rFonts w:hint="eastAsia" w:ascii="仿宋" w:hAnsi="仿宋" w:eastAsia="仿宋" w:cs="仿宋"/>
          <w:b/>
          <w:color w:val="000000"/>
          <w:sz w:val="24"/>
          <w:szCs w:val="21"/>
          <w:highlight w:val="none"/>
          <w:lang w:val="en-US" w:eastAsia="zh-CN"/>
        </w:rPr>
        <w:t xml:space="preserve">新沂市住房和城乡建设局</w:t>
      </w:r>
      <w:r/>
    </w:p>
    <w:p>
      <w:pPr>
        <w:ind w:left="0" w:right="0" w:firstLine="0"/>
        <w:spacing w:before="210" w:after="120"/>
        <w:rPr>
          <w:rFonts w:hint="eastAsia" w:ascii="仿宋" w:hAnsi="仿宋" w:eastAsia="仿宋" w:cs="仿宋"/>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成交供应商：</w:t>
      </w:r>
      <w:r/>
    </w:p>
    <w:p>
      <w:pPr>
        <w:ind w:left="0" w:right="0" w:firstLine="0"/>
        <w:spacing w:before="210" w:after="120"/>
        <w:rPr>
          <w:rFonts w:hint="eastAsia" w:ascii="仿宋" w:hAnsi="仿宋" w:eastAsia="仿宋" w:cs="仿宋"/>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4"/>
          <w:szCs w:val="21"/>
          <w:highlight w:val="none"/>
        </w:rPr>
        <w:t xml:space="preserve">合同签订日期：</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年</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月</w:t>
      </w:r>
      <w:r>
        <w:rPr>
          <w:rFonts w:hint="eastAsia" w:ascii="仿宋" w:hAnsi="仿宋" w:eastAsia="仿宋" w:cs="仿宋"/>
          <w:b/>
          <w:color w:val="000000"/>
          <w:sz w:val="24"/>
          <w:szCs w:val="21"/>
          <w:highlight w:val="none"/>
          <w:lang w:val="en-US" w:eastAsia="zh-CN"/>
        </w:rPr>
        <w:t xml:space="preserve">  </w:t>
      </w:r>
      <w:r>
        <w:rPr>
          <w:rFonts w:hint="eastAsia" w:ascii="仿宋" w:hAnsi="仿宋" w:eastAsia="仿宋" w:cs="仿宋"/>
          <w:b/>
          <w:color w:val="000000"/>
          <w:sz w:val="24"/>
          <w:szCs w:val="21"/>
          <w:highlight w:val="none"/>
        </w:rPr>
        <w:t xml:space="preserve">日</w:t>
      </w:r>
      <w:r/>
    </w:p>
    <w:p>
      <w:pPr>
        <w:ind w:left="0" w:right="0" w:firstLine="562"/>
        <w:jc w:val="both"/>
        <w:spacing w:before="0" w:after="0" w:line="360" w:lineRule="atLeast"/>
        <w:rPr>
          <w:rFonts w:hint="eastAsia" w:ascii="仿宋" w:hAnsi="仿宋" w:eastAsia="仿宋" w:cs="仿宋"/>
          <w:b/>
          <w:color w:val="ff0000"/>
          <w:sz w:val="24"/>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r>
      <w:r/>
    </w:p>
    <w:p>
      <w:pPr>
        <w:ind w:left="0" w:right="0" w:firstLine="562"/>
        <w:jc w:val="both"/>
        <w:spacing w:before="0" w:after="0" w:line="360" w:lineRule="atLeast"/>
        <w:rPr>
          <w:rFonts w:hint="eastAsia" w:ascii="仿宋" w:hAnsi="仿宋" w:eastAsia="仿宋" w:cs="仿宋"/>
          <w:color w:val="ff0000"/>
          <w:sz w:val="21"/>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t xml:space="preserve">友情提醒：采购人与中标</w:t>
      </w:r>
      <w:r>
        <w:rPr>
          <w:rFonts w:hint="eastAsia" w:ascii="仿宋" w:hAnsi="仿宋" w:eastAsia="仿宋" w:cs="仿宋"/>
          <w:b/>
          <w:color w:val="ff0000"/>
          <w:sz w:val="24"/>
          <w:szCs w:val="21"/>
          <w:highlight w:val="none"/>
          <w:lang w:eastAsia="zh-CN"/>
        </w:rPr>
        <w:t xml:space="preserve">人</w:t>
      </w:r>
      <w:r>
        <w:rPr>
          <w:rFonts w:hint="eastAsia" w:ascii="仿宋" w:hAnsi="仿宋" w:eastAsia="仿宋" w:cs="仿宋"/>
          <w:b/>
          <w:color w:val="ff0000"/>
          <w:sz w:val="24"/>
          <w:szCs w:val="21"/>
          <w:highlight w:val="none"/>
        </w:rPr>
        <w:t xml:space="preserve">、</w:t>
      </w:r>
      <w:r>
        <w:rPr>
          <w:rFonts w:hint="eastAsia" w:ascii="仿宋" w:hAnsi="仿宋" w:eastAsia="仿宋" w:cs="仿宋"/>
          <w:b/>
          <w:color w:val="ff0000"/>
          <w:sz w:val="24"/>
          <w:szCs w:val="21"/>
          <w:highlight w:val="none"/>
          <w:lang w:eastAsia="zh-CN"/>
        </w:rPr>
        <w:t xml:space="preserve">成交</w:t>
      </w:r>
      <w:r>
        <w:rPr>
          <w:rFonts w:hint="eastAsia" w:ascii="仿宋" w:hAnsi="仿宋" w:eastAsia="仿宋" w:cs="仿宋"/>
          <w:b/>
          <w:color w:val="ff0000"/>
          <w:sz w:val="24"/>
          <w:szCs w:val="21"/>
          <w:highlight w:val="none"/>
        </w:rPr>
        <w:t xml:space="preserve">人应当在中标</w:t>
      </w:r>
      <w:r>
        <w:rPr>
          <w:rFonts w:hint="eastAsia" w:ascii="仿宋" w:hAnsi="仿宋" w:eastAsia="仿宋" w:cs="仿宋"/>
          <w:b/>
          <w:color w:val="ff0000"/>
          <w:sz w:val="24"/>
          <w:szCs w:val="21"/>
          <w:highlight w:val="none"/>
          <w:lang w:eastAsia="zh-CN"/>
        </w:rPr>
        <w:t xml:space="preserve">通知书</w:t>
      </w:r>
      <w:r>
        <w:rPr>
          <w:rFonts w:hint="eastAsia" w:ascii="仿宋" w:hAnsi="仿宋" w:eastAsia="仿宋" w:cs="仿宋"/>
          <w:b/>
          <w:color w:val="ff0000"/>
          <w:sz w:val="24"/>
          <w:szCs w:val="21"/>
          <w:highlight w:val="none"/>
        </w:rPr>
        <w:t xml:space="preserve">、成交通知书发出之日起三十日内，按照采购文件确定的事项签订政府采购合同。</w:t>
      </w:r>
      <w:r/>
    </w:p>
    <w:p>
      <w:pPr>
        <w:ind w:left="0" w:right="0" w:firstLine="562"/>
        <w:jc w:val="both"/>
        <w:spacing w:before="0" w:after="0" w:line="360" w:lineRule="atLeast"/>
        <w:rPr>
          <w:rFonts w:hint="eastAsia" w:ascii="仿宋" w:hAnsi="仿宋" w:eastAsia="仿宋" w:cs="仿宋"/>
          <w:b/>
          <w:color w:val="ff0000"/>
          <w:sz w:val="24"/>
          <w:szCs w:val="21"/>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
          <w:color w:val="ff0000"/>
          <w:sz w:val="24"/>
          <w:szCs w:val="21"/>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9"/>
      <w:r/>
      <w:r/>
    </w:p>
    <w:p>
      <w:pPr>
        <w:jc w:val="both"/>
      </w:pPr>
      <w:r/>
      <w:bookmarkStart w:id="10" w:name="_Toc30892"/>
      <w:r/>
      <w:bookmarkStart w:id="11" w:name="_Toc522790136"/>
      <w:r>
        <w:rPr>
          <w:rFonts w:hint="eastAsia"/>
        </w:rPr>
        <w:t xml:space="preserve">合同编号：</w:t>
      </w:r>
      <w:r/>
    </w:p>
    <w:p>
      <w:r>
        <w:rPr>
          <w:rFonts w:hint="eastAsia"/>
        </w:rPr>
        <w:t xml:space="preserve">发包人：</w:t>
      </w:r>
      <w:r>
        <w:rPr>
          <w:rFonts w:hint="eastAsia"/>
          <w:u w:val="single"/>
        </w:rPr>
        <w:t xml:space="preserve">新沂市住房和城乡建设局  </w:t>
      </w:r>
      <w:r>
        <w:rPr>
          <w:rFonts w:hint="eastAsia"/>
        </w:rPr>
        <w:t xml:space="preserve">（以下简称“甲方”）</w:t>
      </w:r>
      <w:r/>
    </w:p>
    <w:p>
      <w:r>
        <w:rPr>
          <w:rFonts w:hint="eastAsia"/>
        </w:rPr>
        <w:t xml:space="preserve">承包人：</w:t>
      </w:r>
      <w:r>
        <w:rPr>
          <w:rFonts w:hint="eastAsia"/>
          <w:u w:val="single"/>
        </w:rPr>
        <w:t xml:space="preserve">                        </w:t>
      </w:r>
      <w:r>
        <w:rPr>
          <w:rFonts w:hint="eastAsia"/>
        </w:rPr>
        <w:t xml:space="preserve">（以下简称“乙方”）</w:t>
      </w:r>
      <w:r/>
    </w:p>
    <w:p>
      <w:r>
        <w:rPr>
          <w:rFonts w:hint="eastAsia"/>
        </w:rPr>
        <w:t xml:space="preserve">经甲方招标，根据编号</w:t>
      </w:r>
      <w:r>
        <w:rPr>
          <w:rFonts w:hint="eastAsia"/>
          <w:u w:val="single"/>
        </w:rPr>
        <w:t xml:space="preserve">                </w:t>
      </w:r>
      <w:r>
        <w:rPr>
          <w:rFonts w:hint="eastAsia"/>
        </w:rPr>
        <w:t xml:space="preserve">的招标结果，依据《中华人民共和国民法典》和有关法律、法规，甲、乙双方本着自愿、公平、诚信、有利于节约资源、保护生态环境原则，就</w:t>
      </w:r>
      <w:bookmarkStart w:id="12" w:name="_Hlk166330251"/>
      <w:r>
        <w:rPr>
          <w:rFonts w:hint="eastAsia"/>
          <w:u w:val="single"/>
        </w:rPr>
        <w:t xml:space="preserve">新沂市镇村污水处理设施运营及管网维护（东片区）</w:t>
      </w:r>
      <w:bookmarkEnd w:id="12"/>
      <w:r>
        <w:rPr>
          <w:rFonts w:hint="eastAsia"/>
        </w:rPr>
        <w:t xml:space="preserve">事宜，签订本合同</w:t>
      </w:r>
      <w:bookmarkStart w:id="13" w:name="_Hlk166330341"/>
      <w:r>
        <w:rPr>
          <w:rFonts w:hint="eastAsia"/>
        </w:rPr>
        <w:t xml:space="preserve">。</w:t>
      </w:r>
      <w:bookmarkEnd w:id="13"/>
      <w:r/>
      <w:r/>
    </w:p>
    <w:p>
      <w:pPr>
        <w:rPr>
          <w:b/>
          <w:bCs/>
        </w:rPr>
      </w:pPr>
      <w:r>
        <w:rPr>
          <w:rFonts w:hint="eastAsia"/>
          <w:b/>
          <w:bCs/>
        </w:rPr>
        <w:t xml:space="preserve">一、服务内容</w:t>
      </w:r>
      <w:r/>
    </w:p>
    <w:p>
      <w:pPr>
        <w:rPr>
          <w:u w:val="single"/>
        </w:rPr>
      </w:pPr>
      <w:r>
        <w:rPr>
          <w:rFonts w:hint="eastAsia"/>
        </w:rPr>
        <w:t xml:space="preserve">1.项目名称：</w:t>
      </w:r>
      <w:bookmarkStart w:id="14" w:name="_Hlk166333106"/>
      <w:r>
        <w:rPr>
          <w:rFonts w:hint="eastAsia"/>
          <w:u w:val="single"/>
        </w:rPr>
        <w:t xml:space="preserve">新沂市镇村污水处理设施运营及管网维护（东片区）</w:t>
      </w:r>
      <w:bookmarkEnd w:id="14"/>
      <w:r/>
      <w:r/>
    </w:p>
    <w:p>
      <w:r>
        <w:rPr>
          <w:rFonts w:hint="eastAsia"/>
        </w:rPr>
        <w:t xml:space="preserve">2.项目座落位置：</w:t>
      </w:r>
      <w:r>
        <w:rPr>
          <w:rFonts w:hint="eastAsia"/>
          <w:u w:val="single"/>
        </w:rPr>
        <w:t xml:space="preserve">见附件1</w:t>
      </w:r>
      <w:r>
        <w:rPr>
          <w:rFonts w:hint="eastAsia"/>
        </w:rPr>
        <w:t xml:space="preserve">。</w:t>
      </w:r>
      <w:r/>
    </w:p>
    <w:p>
      <w:pPr>
        <w:jc w:val="both"/>
      </w:pPr>
      <w:r>
        <w:rPr>
          <w:rFonts w:hint="eastAsia"/>
        </w:rPr>
        <w:t xml:space="preserve">3.运营权</w:t>
      </w:r>
      <w:r/>
    </w:p>
    <w:p>
      <w:pPr>
        <w:jc w:val="both"/>
      </w:pPr>
      <w:r>
        <w:rPr>
          <w:rFonts w:hint="eastAsia"/>
        </w:rPr>
        <w:t xml:space="preserve">3.1依据本合同，乙方在合同履行期限内独家接收项目设施，运营、维护的污水处理厂、污水处理设施、提升泵站，提供污水处理服务并取得污水处理费。</w:t>
      </w:r>
      <w:r/>
    </w:p>
    <w:p>
      <w:pPr>
        <w:jc w:val="both"/>
      </w:pPr>
      <w:r>
        <w:rPr>
          <w:rFonts w:hint="eastAsia"/>
        </w:rPr>
        <w:t xml:space="preserve">3.2乙方在合同履行期限内自行承担费用及发生的风险，在合同期满时将污水处理厂、污水处理设施、提升泵站无偿移交给甲方。</w:t>
      </w:r>
      <w:r/>
    </w:p>
    <w:p>
      <w:pPr>
        <w:jc w:val="both"/>
      </w:pPr>
      <w:r>
        <w:rPr>
          <w:rFonts w:hint="eastAsia"/>
        </w:rPr>
        <w:t xml:space="preserve">3.3项目占用土地及地上附属物、设施、设备，权属属于政府及政府部门，乙方不得将上述资产转让，不得进行抵押、质押等设定担保，不得用于入股及融资等。</w:t>
      </w:r>
      <w:r/>
    </w:p>
    <w:p>
      <w:pPr>
        <w:jc w:val="both"/>
      </w:pPr>
      <w:r>
        <w:rPr>
          <w:rFonts w:hint="eastAsia"/>
        </w:rPr>
        <w:t xml:space="preserve">4.乙方在合同期限内对新沂市镇级污水处理厂、镇村污水处理设施、提升泵站及管网维护等进行运营维护（具体详见附件清单）。</w:t>
      </w:r>
      <w:r/>
    </w:p>
    <w:p>
      <w:pPr>
        <w:jc w:val="both"/>
      </w:pPr>
      <w:r>
        <w:rPr>
          <w:rFonts w:hint="eastAsia"/>
        </w:rPr>
        <w:t xml:space="preserve">4.1在合同期限内严格按照有关法律、服务协议及操作规程的规定，运营污水处理设施，承担污水处理设施的日常管理及操作，包括：</w:t>
      </w:r>
      <w:r/>
    </w:p>
    <w:p>
      <w:pPr>
        <w:jc w:val="both"/>
        <w:rPr>
          <w:rFonts w:asciiTheme="minorEastAsia" w:hAnsiTheme="minorEastAsia"/>
        </w:rPr>
      </w:pPr>
      <w:r/>
      <w:bookmarkStart w:id="15" w:name="_Hlk166338763"/>
      <w:r/>
      <w:bookmarkStart w:id="16" w:name="_Hlk166338137"/>
      <w:r>
        <w:rPr>
          <w:rFonts w:hint="eastAsia" w:asciiTheme="minorEastAsia" w:hAnsiTheme="minorEastAsia"/>
        </w:rPr>
        <w:t xml:space="preserve">①设备运行管理和工作状况记录；</w:t>
      </w:r>
      <w:r/>
    </w:p>
    <w:p>
      <w:pPr>
        <w:jc w:val="both"/>
        <w:rPr>
          <w:rFonts w:asciiTheme="minorEastAsia" w:hAnsiTheme="minorEastAsia"/>
        </w:rPr>
      </w:pPr>
      <w:r>
        <w:rPr>
          <w:rFonts w:hint="eastAsia" w:asciiTheme="minorEastAsia" w:hAnsiTheme="minorEastAsia"/>
        </w:rPr>
        <w:t xml:space="preserve">②</w:t>
      </w:r>
      <w:bookmarkEnd w:id="15"/>
      <w:r>
        <w:rPr>
          <w:rFonts w:hint="eastAsia" w:asciiTheme="minorEastAsia" w:hAnsiTheme="minorEastAsia"/>
        </w:rPr>
        <w:t xml:space="preserve">水质监测与自检记录；</w:t>
      </w:r>
      <w:r/>
    </w:p>
    <w:p>
      <w:pPr>
        <w:jc w:val="both"/>
        <w:rPr>
          <w:rFonts w:asciiTheme="minorEastAsia" w:hAnsiTheme="minorEastAsia"/>
        </w:rPr>
      </w:pPr>
      <w:r>
        <w:rPr>
          <w:rFonts w:hint="eastAsia" w:asciiTheme="minorEastAsia" w:hAnsiTheme="minorEastAsia"/>
        </w:rPr>
        <w:t xml:space="preserve">③</w:t>
      </w:r>
      <w:bookmarkEnd w:id="16"/>
      <w:r>
        <w:rPr>
          <w:rFonts w:hint="eastAsia" w:asciiTheme="minorEastAsia" w:hAnsiTheme="minorEastAsia"/>
        </w:rPr>
        <w:t xml:space="preserve">设备维护保养记录与数据管理；</w:t>
      </w:r>
      <w:r/>
    </w:p>
    <w:p>
      <w:pPr>
        <w:jc w:val="both"/>
        <w:rPr>
          <w:rFonts w:asciiTheme="minorEastAsia" w:hAnsiTheme="minorEastAsia"/>
        </w:rPr>
      </w:pPr>
      <w:r>
        <w:rPr>
          <w:rFonts w:hint="eastAsia" w:asciiTheme="minorEastAsia" w:hAnsiTheme="minorEastAsia"/>
        </w:rPr>
        <w:t xml:space="preserve">④智慧水务建设（保证数据上传准确、上传数据及时、平台维护、运行稳定）。</w:t>
      </w:r>
      <w:r/>
    </w:p>
    <w:p>
      <w:pPr>
        <w:jc w:val="both"/>
        <w:rPr>
          <w:rFonts w:asciiTheme="minorEastAsia" w:hAnsiTheme="minorEastAsia"/>
        </w:rPr>
      </w:pPr>
      <w:r>
        <w:rPr>
          <w:rFonts w:hint="eastAsia" w:asciiTheme="minorEastAsia" w:hAnsiTheme="minorEastAsia"/>
        </w:rPr>
        <w:t xml:space="preserve">确保污水处理设备的正常运转与水质达标排放；保障污水处理设施的安全运行；保持环境整洁；对相应设施进行维修和修复；承担在管理过程中，由于人员违规、设备故障、出水超标等引起的影响到正常生产生活所造成的经济责任，同时配合甲方完成各项检查任务。</w:t>
      </w:r>
      <w:r/>
    </w:p>
    <w:p>
      <w:pPr>
        <w:jc w:val="both"/>
        <w:rPr>
          <w:rFonts w:asciiTheme="minorEastAsia" w:hAnsiTheme="minorEastAsia"/>
        </w:rPr>
      </w:pPr>
      <w:r>
        <w:rPr>
          <w:rFonts w:hint="eastAsia" w:asciiTheme="minorEastAsia" w:hAnsiTheme="minorEastAsia"/>
        </w:rPr>
        <w:t xml:space="preserve">⑤村级污水处理设施站点以实际交付为准。</w:t>
      </w:r>
      <w:r/>
    </w:p>
    <w:p>
      <w:pPr>
        <w:jc w:val="both"/>
      </w:pPr>
      <w:r>
        <w:rPr>
          <w:rFonts w:hint="eastAsia"/>
        </w:rPr>
        <w:t xml:space="preserve">4.2获取污水处理运行维护费及维修工程费；</w:t>
      </w:r>
      <w:r/>
    </w:p>
    <w:p>
      <w:pPr>
        <w:jc w:val="both"/>
      </w:pPr>
      <w:r>
        <w:rPr>
          <w:rFonts w:hint="eastAsia"/>
        </w:rPr>
        <w:t xml:space="preserve">4.3执行本项目招标文件“采购需求”。</w:t>
      </w:r>
      <w:r/>
    </w:p>
    <w:p>
      <w:pPr>
        <w:jc w:val="both"/>
        <w:rPr>
          <w:b/>
          <w:bCs/>
        </w:rPr>
      </w:pPr>
      <w:r>
        <w:rPr>
          <w:rFonts w:hint="eastAsia"/>
          <w:b/>
          <w:bCs/>
        </w:rPr>
        <w:t xml:space="preserve">二、合同金额及期限</w:t>
      </w:r>
      <w:r/>
    </w:p>
    <w:p>
      <w:pPr>
        <w:jc w:val="both"/>
        <w:rPr>
          <w:rFonts w:eastAsiaTheme="minorHAnsi"/>
          <w:szCs w:val="22"/>
          <w:u w:val="single"/>
        </w:rPr>
      </w:pPr>
      <w:r>
        <w:rPr>
          <w:rFonts w:hint="eastAsia" w:eastAsiaTheme="minorHAnsi"/>
          <w:szCs w:val="22"/>
        </w:rPr>
        <w:t xml:space="preserve">1.合同金额：本合同运维费用总计为人民币</w:t>
      </w:r>
      <w:bookmarkStart w:id="17" w:name="_Hlk166332681"/>
      <w:r>
        <w:rPr>
          <w:rFonts w:hint="eastAsia" w:eastAsiaTheme="minorHAnsi"/>
          <w:szCs w:val="22"/>
        </w:rPr>
        <w:t xml:space="preserve">（大写）</w:t>
      </w:r>
      <w:bookmarkEnd w:id="17"/>
      <w:r>
        <w:rPr>
          <w:rFonts w:hint="eastAsia" w:eastAsiaTheme="minorHAnsi"/>
          <w:szCs w:val="22"/>
          <w:u w:val="single"/>
        </w:rPr>
        <w:t xml:space="preserve">                        </w:t>
      </w:r>
      <w:r>
        <w:rPr>
          <w:rFonts w:hint="eastAsia" w:eastAsiaTheme="minorHAnsi"/>
          <w:szCs w:val="22"/>
        </w:rPr>
        <w:t xml:space="preserve">元整，（小写）</w:t>
      </w:r>
      <w:r>
        <w:rPr>
          <w:rFonts w:hint="eastAsia" w:eastAsiaTheme="minorHAnsi"/>
          <w:szCs w:val="22"/>
          <w:u w:val="single"/>
        </w:rPr>
        <w:t xml:space="preserve">                        </w:t>
      </w:r>
      <w:r>
        <w:rPr>
          <w:rFonts w:hint="eastAsia" w:eastAsiaTheme="minorHAnsi"/>
          <w:szCs w:val="22"/>
        </w:rPr>
        <w:t xml:space="preserve">。</w:t>
      </w:r>
      <w:r/>
    </w:p>
    <w:p>
      <w:pPr>
        <w:ind w:left="440" w:hanging="400"/>
        <w:jc w:val="both"/>
      </w:pPr>
      <w:r>
        <w:rPr>
          <w:rFonts w:hint="eastAsia"/>
        </w:rPr>
        <w:t xml:space="preserve">2.运营期限：</w:t>
      </w:r>
      <w:r>
        <w:rPr>
          <w:rFonts w:hint="eastAsia"/>
          <w:u w:val="single"/>
        </w:rPr>
        <w:t xml:space="preserve">3</w:t>
      </w:r>
      <w:r>
        <w:rPr>
          <w:rFonts w:hint="eastAsia"/>
        </w:rPr>
        <w:t xml:space="preserve">年，从甲、乙双方签字、盖章之日起计算，即</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至年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left="440" w:hanging="402"/>
        <w:jc w:val="both"/>
        <w:rPr>
          <w:b/>
          <w:bCs/>
        </w:rPr>
      </w:pPr>
      <w:r>
        <w:rPr>
          <w:rFonts w:hint="eastAsia"/>
          <w:b/>
          <w:bCs/>
        </w:rPr>
        <w:t xml:space="preserve">三、组成本合同的有关文件</w:t>
      </w:r>
      <w:r/>
    </w:p>
    <w:p>
      <w:pPr>
        <w:jc w:val="both"/>
        <w:spacing w:after="0"/>
      </w:pPr>
      <w:r>
        <w:rPr>
          <w:rFonts w:hint="eastAsia"/>
        </w:rPr>
        <w:t xml:space="preserve">1.关于新沂市镇村污水处理设施运营及管网维护（东片区）的招标文件、与本次采购活动相适应的文件及有关附件；</w:t>
      </w:r>
      <w:r/>
    </w:p>
    <w:p>
      <w:pPr>
        <w:jc w:val="both"/>
      </w:pPr>
      <w:r>
        <w:rPr>
          <w:rFonts w:hint="eastAsia"/>
        </w:rPr>
        <w:t xml:space="preserve">2.乙方提供的投标文件和报价表；</w:t>
      </w:r>
      <w:r/>
    </w:p>
    <w:p>
      <w:pPr>
        <w:jc w:val="both"/>
      </w:pPr>
      <w:r>
        <w:rPr>
          <w:rFonts w:hint="eastAsia"/>
        </w:rPr>
        <w:t xml:space="preserve">3.中标通知书；</w:t>
      </w:r>
      <w:r/>
    </w:p>
    <w:p>
      <w:pPr>
        <w:jc w:val="both"/>
      </w:pPr>
      <w:r>
        <w:rPr>
          <w:rFonts w:hint="eastAsia"/>
        </w:rPr>
        <w:t xml:space="preserve">4.甲乙双方商定的其他文件。</w:t>
      </w:r>
      <w:r/>
    </w:p>
    <w:p>
      <w:pPr>
        <w:jc w:val="both"/>
        <w:rPr>
          <w:b/>
          <w:bCs/>
        </w:rPr>
      </w:pPr>
      <w:r>
        <w:rPr>
          <w:rFonts w:hint="eastAsia"/>
          <w:b/>
          <w:bCs/>
        </w:rPr>
        <w:t xml:space="preserve">四、技术资料</w:t>
      </w:r>
      <w:r/>
    </w:p>
    <w:p>
      <w:pPr>
        <w:jc w:val="both"/>
      </w:pPr>
      <w:r>
        <w:rPr>
          <w:rFonts w:hint="eastAsia"/>
        </w:rPr>
        <w:t xml:space="preserve">1.乙方应按采购文件规定的时间向甲方提供有关技术资料；</w:t>
      </w:r>
      <w:r/>
    </w:p>
    <w:p>
      <w:pPr>
        <w:jc w:val="both"/>
      </w:pPr>
      <w:r>
        <w:rPr>
          <w:rFonts w:hint="eastAsia"/>
        </w:rPr>
        <w:t xml:space="preserve">2.没有甲方书面同意，乙方不得将由甲方提供的有关合同及合同文件、规格、计划、图纸、样品或资料提供给无关人员。向履职人员提供时，应遵守保密条款，否则承担违约责任。</w:t>
      </w:r>
      <w:r/>
    </w:p>
    <w:p>
      <w:pPr>
        <w:jc w:val="both"/>
        <w:rPr>
          <w:b/>
          <w:bCs/>
        </w:rPr>
      </w:pPr>
      <w:r>
        <w:rPr>
          <w:rFonts w:hint="eastAsia"/>
          <w:b/>
          <w:bCs/>
        </w:rPr>
        <w:t xml:space="preserve">五、知识产权</w:t>
      </w:r>
      <w:r/>
    </w:p>
    <w:p>
      <w:pPr>
        <w:jc w:val="both"/>
      </w:pPr>
      <w:r>
        <w:rPr>
          <w:rFonts w:hint="eastAsia"/>
        </w:rPr>
        <w:t xml:space="preserve">乙方提供服务过程中不得侵犯第三方知识产权。</w:t>
      </w:r>
      <w:r/>
    </w:p>
    <w:p>
      <w:pPr>
        <w:jc w:val="both"/>
        <w:rPr>
          <w:b/>
          <w:bCs/>
        </w:rPr>
      </w:pPr>
      <w:r>
        <w:rPr>
          <w:rFonts w:hint="eastAsia"/>
          <w:b/>
          <w:bCs/>
        </w:rPr>
        <w:t xml:space="preserve">六、转包或分包</w:t>
      </w:r>
      <w:r/>
    </w:p>
    <w:p>
      <w:pPr>
        <w:jc w:val="both"/>
      </w:pPr>
      <w:r>
        <w:rPr>
          <w:rFonts w:hint="eastAsia"/>
        </w:rPr>
        <w:t xml:space="preserve">1.未经甲方同意，乙方不得转让项目运营权。</w:t>
      </w:r>
      <w:r/>
    </w:p>
    <w:p>
      <w:pPr>
        <w:jc w:val="both"/>
      </w:pPr>
      <w:r>
        <w:rPr>
          <w:rFonts w:hint="eastAsia"/>
        </w:rPr>
        <w:t xml:space="preserve">2.除本合同约定的管网维修工程外，本合同包含的运维服务，应由甲方自己履行，不得转包。</w:t>
      </w:r>
      <w:r/>
    </w:p>
    <w:p>
      <w:pPr>
        <w:jc w:val="both"/>
      </w:pPr>
      <w:r>
        <w:rPr>
          <w:rFonts w:hint="eastAsia"/>
        </w:rPr>
        <w:t xml:space="preserve">3.管网维修工程在征得甲方审批同意后方可分包，分包单位需具备市政叁级及以上资质。</w:t>
      </w:r>
      <w:r/>
    </w:p>
    <w:p>
      <w:pPr>
        <w:jc w:val="both"/>
      </w:pPr>
      <w:r>
        <w:rPr>
          <w:rFonts w:hint="eastAsia"/>
        </w:rPr>
        <w:t xml:space="preserve">4.如有转包和未经甲方同意的分包，甲方有权解除合同并追究乙方的违约责任。</w:t>
      </w:r>
      <w:r/>
    </w:p>
    <w:p>
      <w:pPr>
        <w:jc w:val="both"/>
        <w:spacing w:line="240" w:lineRule="auto"/>
        <w:rPr>
          <w:rFonts w:hint="eastAsia" w:ascii="宋体" w:hAnsi="宋体" w:eastAsia="宋体" w:cs="宋体"/>
          <w:b/>
          <w:sz w:val="20"/>
          <w:szCs w:val="20"/>
          <w:lang w:val="en-US" w:eastAsia="zh-CN"/>
        </w:rPr>
      </w:pPr>
      <w:r>
        <w:rPr>
          <w:rFonts w:hint="eastAsia"/>
          <w:b/>
          <w:bCs/>
        </w:rPr>
        <w:t xml:space="preserve">七、</w:t>
      </w:r>
      <w:r>
        <w:rPr>
          <w:rFonts w:hint="eastAsia" w:ascii="宋体" w:hAnsi="宋体" w:eastAsia="宋体" w:cs="宋体"/>
          <w:b/>
          <w:sz w:val="20"/>
          <w:szCs w:val="20"/>
          <w:lang w:val="en-US" w:eastAsia="zh-CN"/>
        </w:rPr>
        <w:t xml:space="preserve">付款方式</w:t>
      </w:r>
      <w:r/>
    </w:p>
    <w:p>
      <w:pPr>
        <w:jc w:val="both"/>
        <w:spacing w:line="240" w:lineRule="auto"/>
        <w:rPr>
          <w:rFonts w:hint="eastAsia" w:ascii="宋体" w:hAnsi="宋体" w:eastAsia="宋体" w:cs="宋体"/>
          <w:sz w:val="20"/>
          <w:szCs w:val="20"/>
          <w:lang w:val="en-US" w:eastAsia="zh-CN"/>
        </w:rPr>
      </w:pPr>
      <w:r>
        <w:rPr>
          <w:rFonts w:hint="eastAsia"/>
        </w:rPr>
        <w:t xml:space="preserve">1.</w:t>
      </w:r>
      <w:r>
        <w:rPr>
          <w:rFonts w:hint="eastAsia" w:ascii="宋体" w:hAnsi="宋体" w:eastAsia="宋体" w:cs="宋体"/>
          <w:sz w:val="20"/>
          <w:szCs w:val="20"/>
          <w:lang w:val="zh-CN" w:eastAsia="zh-CN"/>
        </w:rPr>
        <w:t xml:space="preserve">本合同项下所有款项均以人民币支付。</w:t>
      </w:r>
      <w:r/>
    </w:p>
    <w:p>
      <w:pPr>
        <w:pStyle w:val="864"/>
        <w:ind w:left="0" w:firstLine="0"/>
        <w:spacing w:line="240" w:lineRule="auto"/>
        <w:rPr>
          <w:rFonts w:hint="eastAsia" w:ascii="宋体" w:hAnsi="宋体" w:eastAsia="宋体" w:cs="宋体"/>
          <w:sz w:val="20"/>
          <w:szCs w:val="20"/>
          <w:lang w:val="zh-CN" w:eastAsia="zh-CN"/>
        </w:rPr>
      </w:pPr>
      <w:r>
        <w:rPr>
          <w:rFonts w:hint="eastAsia" w:ascii="宋体" w:hAnsi="宋体" w:eastAsia="宋体" w:cs="宋体"/>
          <w:sz w:val="20"/>
          <w:szCs w:val="20"/>
          <w:highlight w:val="none"/>
          <w:lang w:val="zh-CN" w:eastAsia="zh-CN"/>
        </w:rPr>
        <w:t xml:space="preserve">2.付款方式：</w:t>
      </w:r>
      <w:r/>
    </w:p>
    <w:p>
      <w:pPr>
        <w:pStyle w:val="864"/>
        <w:ind w:left="0" w:firstLine="400"/>
        <w:spacing w:line="240" w:lineRule="auto"/>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合同总价款为</w:t>
      </w:r>
      <w:r>
        <w:rPr>
          <w:rFonts w:hint="eastAsia" w:ascii="宋体" w:hAnsi="宋体" w:eastAsia="宋体" w:cs="宋体"/>
          <w:color w:val="000000"/>
          <w:sz w:val="20"/>
          <w:szCs w:val="20"/>
          <w:highlight w:val="none"/>
          <w:u w:val="single"/>
          <w:lang w:val="en-US" w:eastAsia="zh-CN" w:bidi="ar-SA"/>
        </w:rPr>
        <w:t xml:space="preserve">     </w:t>
      </w:r>
      <w:r>
        <w:rPr>
          <w:rFonts w:hint="eastAsia" w:ascii="宋体" w:hAnsi="宋体" w:eastAsia="宋体" w:cs="宋体"/>
          <w:color w:val="000000"/>
          <w:sz w:val="20"/>
          <w:szCs w:val="20"/>
          <w:highlight w:val="none"/>
          <w:lang w:val="en-US" w:eastAsia="zh-CN" w:bidi="ar-SA"/>
        </w:rPr>
        <w:t xml:space="preserve">万元，经双方协商一致，选择以下第</w:t>
      </w:r>
      <w:r>
        <w:rPr>
          <w:rFonts w:hint="eastAsia" w:ascii="宋体" w:hAnsi="宋体" w:eastAsia="宋体" w:cs="宋体"/>
          <w:color w:val="000000"/>
          <w:sz w:val="20"/>
          <w:szCs w:val="20"/>
          <w:highlight w:val="none"/>
          <w:u w:val="single"/>
        </w:rPr>
        <w:t xml:space="preserve">（1）</w:t>
      </w:r>
      <w:r>
        <w:rPr>
          <w:rFonts w:hint="eastAsia" w:ascii="宋体" w:hAnsi="宋体" w:eastAsia="宋体" w:cs="宋体"/>
          <w:color w:val="000000"/>
          <w:sz w:val="20"/>
          <w:szCs w:val="20"/>
          <w:highlight w:val="none"/>
          <w:lang w:val="en-US" w:eastAsia="zh-CN" w:bidi="ar-SA"/>
        </w:rPr>
        <w:t xml:space="preserve">种付款方式</w:t>
      </w:r>
      <w:r/>
    </w:p>
    <w:p>
      <w:pPr>
        <w:ind w:firstLine="402"/>
        <w:jc w:val="both"/>
        <w:spacing w:line="240" w:lineRule="auto"/>
        <w:rPr>
          <w:rFonts w:hint="eastAsia" w:ascii="宋体" w:hAnsi="宋体" w:eastAsia="宋体" w:cs="宋体"/>
          <w:b/>
          <w:sz w:val="20"/>
          <w:szCs w:val="20"/>
          <w:lang w:val="en-US" w:eastAsia="zh-CN"/>
        </w:rPr>
      </w:pPr>
      <w:r>
        <w:rPr>
          <w:rFonts w:hint="eastAsia" w:ascii="宋体" w:hAnsi="宋体" w:eastAsia="宋体" w:cs="宋体"/>
          <w:b/>
          <w:sz w:val="20"/>
          <w:szCs w:val="20"/>
          <w:lang w:val="en-US" w:eastAsia="zh-CN"/>
        </w:rPr>
        <w:t xml:space="preserve">付款方式一：提交预付款保函的</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运维</w:t>
      </w:r>
      <w:r>
        <w:rPr>
          <w:rFonts w:hint="eastAsia" w:ascii="宋体" w:hAnsi="宋体" w:eastAsia="宋体" w:cs="宋体"/>
          <w:sz w:val="20"/>
          <w:szCs w:val="20"/>
        </w:rPr>
        <w:t xml:space="preserve">合同</w:t>
      </w:r>
      <w:r>
        <w:rPr>
          <w:rFonts w:hint="eastAsia" w:ascii="宋体" w:hAnsi="宋体" w:eastAsia="宋体" w:cs="宋体"/>
          <w:sz w:val="20"/>
          <w:szCs w:val="20"/>
          <w:lang w:val="en-US" w:eastAsia="zh-CN"/>
        </w:rPr>
        <w:t xml:space="preserve">年度</w:t>
      </w:r>
      <w:r>
        <w:rPr>
          <w:rFonts w:hint="eastAsia" w:ascii="宋体" w:hAnsi="宋体" w:eastAsia="宋体" w:cs="宋体"/>
          <w:sz w:val="20"/>
          <w:szCs w:val="20"/>
        </w:rPr>
        <w:t xml:space="preserve">总价的百分之十(10%)即￥</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元整，在双方签订合同后，乙方向甲方出具等额预付款保函后，办理政府采购资金结算手续支付给乙方。</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rPr>
        <w:t xml:space="preserve">剩余合同价款由甲方按</w:t>
      </w:r>
      <w:r>
        <w:rPr>
          <w:rFonts w:hint="eastAsia" w:ascii="宋体" w:hAnsi="宋体" w:eastAsia="宋体" w:cs="宋体"/>
          <w:sz w:val="20"/>
          <w:szCs w:val="20"/>
          <w:lang w:val="en-US" w:eastAsia="zh-CN"/>
        </w:rPr>
        <w:t xml:space="preserve">每季度</w:t>
      </w:r>
      <w:r>
        <w:rPr>
          <w:rFonts w:hint="eastAsia" w:ascii="宋体" w:hAnsi="宋体" w:eastAsia="宋体" w:cs="宋体"/>
          <w:sz w:val="20"/>
          <w:szCs w:val="20"/>
        </w:rPr>
        <w:t xml:space="preserve">考核结果</w:t>
      </w:r>
      <w:r>
        <w:rPr>
          <w:rFonts w:hint="eastAsia" w:ascii="宋体" w:hAnsi="宋体" w:eastAsia="宋体" w:cs="宋体"/>
          <w:sz w:val="20"/>
          <w:szCs w:val="20"/>
          <w:lang w:val="en-US" w:eastAsia="zh-CN"/>
        </w:rPr>
        <w:t xml:space="preserve">兑付，达到优秀标准的支付当季度结算费用的100%即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；良好的支付当季度结算费用的70%即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；合格的支付当季度结算费用的50%即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不合格的不支付当季度结算费用。</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镇、村污水处理设施配套管网运维费在完成年度运维任务后，支付至年度结算价</w:t>
      </w:r>
      <w:r>
        <w:rPr>
          <w:rFonts w:hint="eastAsia" w:ascii="宋体" w:hAnsi="宋体" w:eastAsia="宋体" w:cs="宋体"/>
          <w:sz w:val="20"/>
          <w:szCs w:val="20"/>
          <w:highlight w:val="none"/>
          <w:lang w:val="en-US" w:eastAsia="zh-CN"/>
        </w:rPr>
        <w:t xml:space="preserve">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（结算价计算依据为新沂市财政主管部门财评的价格×中标下浮率。）</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具体考核细则见合同附件2。</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需提交的支付文件包括：</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1</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等额预付款保函</w:t>
      </w:r>
      <w:r>
        <w:rPr>
          <w:rFonts w:hint="eastAsia" w:ascii="宋体" w:hAnsi="宋体" w:eastAsia="宋体" w:cs="宋体"/>
          <w:sz w:val="20"/>
          <w:szCs w:val="20"/>
          <w:lang w:eastAsia="zh-CN"/>
        </w:rPr>
        <w:t xml:space="preserve">；</w:t>
      </w:r>
      <w:r/>
    </w:p>
    <w:p>
      <w:pPr>
        <w:ind w:firstLine="400"/>
        <w:jc w:val="both"/>
        <w:spacing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lang w:eastAsia="zh-CN"/>
        </w:rPr>
        <w:t xml:space="preserve">）乙方</w:t>
      </w:r>
      <w:r>
        <w:rPr>
          <w:rFonts w:hint="eastAsia" w:ascii="宋体" w:hAnsi="宋体" w:eastAsia="宋体" w:cs="宋体"/>
          <w:sz w:val="20"/>
          <w:szCs w:val="20"/>
          <w:highlight w:val="none"/>
        </w:rPr>
        <w:t xml:space="preserve">出具的全额正式发票。</w:t>
      </w:r>
      <w:r/>
    </w:p>
    <w:p>
      <w:pPr>
        <w:ind w:firstLine="400"/>
        <w:jc w:val="both"/>
        <w:spacing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付款方式二：不提交预付款保函的</w:t>
      </w:r>
      <w:r/>
    </w:p>
    <w:p>
      <w:pPr>
        <w:ind w:firstLine="400"/>
        <w:jc w:val="both"/>
        <w:spacing w:line="240" w:lineRule="auto"/>
        <w:rPr>
          <w:rFonts w:hint="eastAsia" w:ascii="宋体" w:hAnsi="宋体" w:eastAsia="宋体" w:cs="宋体"/>
          <w:sz w:val="20"/>
          <w:szCs w:val="20"/>
          <w:highlight w:val="none"/>
        </w:rPr>
      </w:pPr>
      <w:r>
        <w:rPr>
          <w:rFonts w:hint="eastAsia" w:ascii="宋体" w:hAnsi="宋体" w:eastAsia="宋体" w:cs="宋体"/>
          <w:sz w:val="20"/>
          <w:szCs w:val="20"/>
          <w:lang w:eastAsia="zh-CN"/>
        </w:rPr>
        <w:t xml:space="preserve">运维</w:t>
      </w:r>
      <w:r>
        <w:rPr>
          <w:rFonts w:hint="eastAsia" w:ascii="宋体" w:hAnsi="宋体" w:eastAsia="宋体" w:cs="宋体"/>
          <w:sz w:val="20"/>
          <w:szCs w:val="20"/>
        </w:rPr>
        <w:t xml:space="preserve">合同</w:t>
      </w:r>
      <w:r>
        <w:rPr>
          <w:rFonts w:hint="eastAsia" w:ascii="宋体" w:hAnsi="宋体" w:eastAsia="宋体" w:cs="宋体"/>
          <w:sz w:val="20"/>
          <w:szCs w:val="20"/>
          <w:lang w:val="en-US" w:eastAsia="zh-CN"/>
        </w:rPr>
        <w:t xml:space="preserve">年度</w:t>
      </w:r>
      <w:r>
        <w:rPr>
          <w:rFonts w:hint="eastAsia" w:ascii="宋体" w:hAnsi="宋体" w:eastAsia="宋体" w:cs="宋体"/>
          <w:sz w:val="20"/>
          <w:szCs w:val="20"/>
        </w:rPr>
        <w:t xml:space="preserve">总价</w:t>
      </w:r>
      <w:r>
        <w:rPr>
          <w:rFonts w:hint="eastAsia" w:ascii="宋体" w:hAnsi="宋体" w:eastAsia="宋体" w:cs="宋体"/>
          <w:sz w:val="20"/>
          <w:szCs w:val="20"/>
          <w:highlight w:val="none"/>
        </w:rPr>
        <w:t xml:space="preserve">的百分之十(10%)即￥</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元整，在双方签订合同后，</w:t>
      </w:r>
      <w:r>
        <w:rPr>
          <w:rFonts w:hint="eastAsia" w:ascii="宋体" w:hAnsi="宋体" w:eastAsia="宋体" w:cs="宋体"/>
          <w:sz w:val="20"/>
          <w:szCs w:val="20"/>
          <w:highlight w:val="none"/>
          <w:lang w:val="en-US" w:eastAsia="zh-CN"/>
        </w:rPr>
        <w:t xml:space="preserve">甲方</w:t>
      </w:r>
      <w:r>
        <w:rPr>
          <w:rFonts w:hint="eastAsia" w:ascii="宋体" w:hAnsi="宋体" w:eastAsia="宋体" w:cs="宋体"/>
          <w:sz w:val="20"/>
          <w:szCs w:val="20"/>
          <w:highlight w:val="none"/>
        </w:rPr>
        <w:t xml:space="preserve">办理政府采购资金结算手续支付给乙方。</w:t>
      </w:r>
      <w:r/>
    </w:p>
    <w:p>
      <w:pPr>
        <w:ind w:firstLine="400"/>
        <w:jc w:val="both"/>
        <w:spacing w:line="240"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剩余合同价款由甲方按</w:t>
      </w:r>
      <w:r>
        <w:rPr>
          <w:rFonts w:hint="eastAsia" w:ascii="宋体" w:hAnsi="宋体" w:eastAsia="宋体" w:cs="宋体"/>
          <w:sz w:val="20"/>
          <w:szCs w:val="20"/>
          <w:highlight w:val="none"/>
          <w:lang w:val="en-US" w:eastAsia="zh-CN"/>
        </w:rPr>
        <w:t xml:space="preserve">每季度</w:t>
      </w:r>
      <w:r>
        <w:rPr>
          <w:rFonts w:hint="eastAsia" w:ascii="宋体" w:hAnsi="宋体" w:eastAsia="宋体" w:cs="宋体"/>
          <w:sz w:val="20"/>
          <w:szCs w:val="20"/>
          <w:highlight w:val="none"/>
        </w:rPr>
        <w:t xml:space="preserve">考核结果</w:t>
      </w:r>
      <w:r>
        <w:rPr>
          <w:rFonts w:hint="eastAsia" w:ascii="宋体" w:hAnsi="宋体" w:eastAsia="宋体" w:cs="宋体"/>
          <w:sz w:val="20"/>
          <w:szCs w:val="20"/>
          <w:highlight w:val="none"/>
          <w:lang w:val="en-US" w:eastAsia="zh-CN"/>
        </w:rPr>
        <w:t xml:space="preserve">兑付，达到优秀标准的支付当季度结算费用的100%即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val="en-US" w:eastAsia="zh-CN"/>
        </w:rPr>
        <w:t xml:space="preserve">；良好的支付当季度结算费用的70%即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val="en-US" w:eastAsia="zh-CN"/>
        </w:rPr>
        <w:t xml:space="preserve">；合格的支付当季度结算费用的50%即</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，大写：人民币</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元整</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不合格的不支付当季度结算费用。</w:t>
      </w:r>
      <w:r/>
    </w:p>
    <w:p>
      <w:pPr>
        <w:ind w:firstLine="400"/>
        <w:jc w:val="both"/>
        <w:spacing w:line="240" w:lineRule="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镇、村污水处理设施配套管网运维费在完成年度运维任务后，支付至年度结算价的100%即</w:t>
      </w:r>
      <w:r>
        <w:rPr>
          <w:rFonts w:hint="eastAsia" w:ascii="宋体" w:hAnsi="宋体" w:eastAsia="宋体" w:cs="宋体"/>
          <w:sz w:val="20"/>
          <w:szCs w:val="20"/>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，大写：人民币</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元整</w:t>
      </w:r>
      <w:r>
        <w:rPr>
          <w:rFonts w:hint="eastAsia" w:ascii="宋体" w:hAnsi="宋体" w:eastAsia="宋体" w:cs="宋体"/>
          <w:sz w:val="20"/>
          <w:szCs w:val="20"/>
          <w:lang w:val="en-US" w:eastAsia="zh-CN"/>
        </w:rPr>
        <w:t xml:space="preserve">；（结算价计算依据为新沂市财政主管部门财评的价格×中标下浮率。）</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具体考核细则见合同附件2。</w:t>
      </w:r>
      <w:r/>
    </w:p>
    <w:p>
      <w:pPr>
        <w:ind w:firstLine="400"/>
        <w:jc w:val="both"/>
        <w:spacing w:line="240" w:lineRule="auto"/>
        <w:rPr>
          <w:rFonts w:hint="eastAsia" w:ascii="宋体" w:hAnsi="宋体" w:eastAsia="宋体" w:cs="宋体"/>
          <w:sz w:val="20"/>
          <w:szCs w:val="20"/>
        </w:rPr>
      </w:pP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需提交的支付文件包括：</w:t>
      </w:r>
      <w:r>
        <w:rPr>
          <w:rFonts w:hint="eastAsia" w:ascii="宋体" w:hAnsi="宋体" w:eastAsia="宋体" w:cs="宋体"/>
          <w:sz w:val="20"/>
          <w:szCs w:val="20"/>
          <w:lang w:eastAsia="zh-CN"/>
        </w:rPr>
        <w:t xml:space="preserve">乙方</w:t>
      </w:r>
      <w:r>
        <w:rPr>
          <w:rFonts w:hint="eastAsia" w:ascii="宋体" w:hAnsi="宋体" w:eastAsia="宋体" w:cs="宋体"/>
          <w:sz w:val="20"/>
          <w:szCs w:val="20"/>
        </w:rPr>
        <w:t xml:space="preserve">出具的全额正式发票。</w:t>
      </w:r>
      <w:r/>
    </w:p>
    <w:p>
      <w:pPr>
        <w:jc w:val="both"/>
        <w:rPr>
          <w:rFonts w:asciiTheme="minorEastAsia" w:hAnsiTheme="minorEastAsia"/>
        </w:rPr>
      </w:pPr>
      <w:r>
        <w:rPr>
          <w:rFonts w:hint="eastAsia" w:asciiTheme="minorEastAsia" w:hAnsiTheme="minorEastAsia"/>
          <w:lang w:val="en-US" w:eastAsia="zh-CN"/>
        </w:rPr>
        <w:t xml:space="preserve">3</w:t>
      </w:r>
      <w:r>
        <w:rPr>
          <w:rFonts w:hint="eastAsia" w:asciiTheme="minorEastAsia" w:hAnsiTheme="minorEastAsia"/>
        </w:rPr>
        <w:t xml:space="preserve">.乙方在每个运营支付周期结束后5个工作日内，按照污水处理服务费金额向甲方开具该支付周期运营服务发票，甲方在收到发票后及时支付污水处理服务费给乙方。</w:t>
      </w:r>
      <w:r/>
    </w:p>
    <w:p>
      <w:pPr>
        <w:jc w:val="both"/>
        <w:rPr>
          <w:rFonts w:asciiTheme="minorEastAsia" w:hAnsiTheme="minorEastAsia"/>
        </w:rPr>
      </w:pPr>
      <w:r>
        <w:rPr>
          <w:rFonts w:hint="eastAsia" w:asciiTheme="minorEastAsia" w:hAnsiTheme="minorEastAsia"/>
          <w:lang w:val="en-US" w:eastAsia="zh-CN"/>
        </w:rPr>
        <w:t xml:space="preserve">4</w:t>
      </w:r>
      <w:r>
        <w:rPr>
          <w:rFonts w:hint="eastAsia" w:asciiTheme="minorEastAsia" w:hAnsiTheme="minorEastAsia"/>
        </w:rPr>
        <w:t xml:space="preserve">.镇级污水处理厂及村级污水处理设施的计费办法。</w:t>
      </w:r>
      <w:r/>
    </w:p>
    <w:p>
      <w:pPr>
        <w:jc w:val="both"/>
        <w:rPr>
          <w:rFonts w:asciiTheme="minorEastAsia" w:hAnsiTheme="minorEastAsia"/>
        </w:rPr>
      </w:pPr>
      <w:r>
        <w:rPr>
          <w:rFonts w:hint="eastAsia" w:asciiTheme="minorEastAsia" w:hAnsiTheme="minorEastAsia"/>
        </w:rPr>
        <w:t xml:space="preserve">①5座镇级污水处理厂当前总处理规模为4450吨╱天，按照实际出水处理量付费，总出水处理量不得低于总设计</w:t>
      </w:r>
      <w:r>
        <w:rPr>
          <w:rFonts w:hint="eastAsia" w:asciiTheme="minorEastAsia" w:hAnsiTheme="minorEastAsia"/>
          <w:lang w:eastAsia="zh-CN"/>
        </w:rPr>
        <w:t xml:space="preserve">出水处理量的70%</w:t>
      </w:r>
      <w:r>
        <w:rPr>
          <w:rFonts w:hint="eastAsia" w:asciiTheme="minorEastAsia" w:hAnsiTheme="minorEastAsia"/>
        </w:rPr>
        <w:t xml:space="preserve">，不得超过总设计出水处理量的90%。</w:t>
      </w:r>
      <w:r/>
    </w:p>
    <w:p>
      <w:pPr>
        <w:jc w:val="both"/>
        <w:rPr>
          <w:rFonts w:asciiTheme="minorEastAsia" w:hAnsiTheme="minorEastAsia"/>
        </w:rPr>
      </w:pPr>
      <w:r>
        <w:rPr>
          <w:rFonts w:hint="eastAsia" w:asciiTheme="minorEastAsia" w:hAnsiTheme="minorEastAsia"/>
        </w:rPr>
        <w:t xml:space="preserve">②</w:t>
      </w:r>
      <w:r>
        <w:rPr>
          <w:rFonts w:hint="eastAsia" w:asciiTheme="minorEastAsia" w:hAnsiTheme="minorEastAsia"/>
          <w:lang w:eastAsia="zh-CN"/>
        </w:rPr>
        <w:t xml:space="preserve">295座</w:t>
      </w:r>
      <w:r>
        <w:rPr>
          <w:rFonts w:hint="eastAsia" w:asciiTheme="minorEastAsia" w:hAnsiTheme="minorEastAsia"/>
        </w:rPr>
        <w:t xml:space="preserve">村级污水处理设施及提升泵站根据其处理规模、工艺形式等参数按台套报价，村级污水处理设施站点以实际交付为准，不设置保底水量。</w:t>
      </w:r>
      <w:r/>
    </w:p>
    <w:p>
      <w:pPr>
        <w:jc w:val="both"/>
        <w:rPr>
          <w:rFonts w:asciiTheme="minorEastAsia" w:hAnsiTheme="minorEastAsia"/>
        </w:rPr>
      </w:pPr>
      <w:r>
        <w:rPr>
          <w:rFonts w:hint="eastAsia" w:asciiTheme="minorEastAsia" w:hAnsiTheme="minorEastAsia"/>
          <w:lang w:val="en-US" w:eastAsia="zh-CN"/>
        </w:rPr>
        <w:t xml:space="preserve">5</w:t>
      </w:r>
      <w:r>
        <w:rPr>
          <w:rFonts w:hint="eastAsia" w:asciiTheme="minorEastAsia" w:hAnsiTheme="minorEastAsia"/>
        </w:rPr>
        <w:t xml:space="preserve">.镇村污水收集配套管网的计算方法：管道检测费、疏通费、管道维修费、井盖更换费，施工费、接管费，维修等费用以甲方和监理现场认量为准进行付费。</w:t>
      </w:r>
      <w:r/>
    </w:p>
    <w:p>
      <w:pPr>
        <w:jc w:val="both"/>
        <w:rPr>
          <w:rFonts w:asciiTheme="minorEastAsia" w:hAnsiTheme="minorEastAsia"/>
        </w:rPr>
      </w:pPr>
      <w:r>
        <w:rPr>
          <w:rFonts w:hint="eastAsia" w:asciiTheme="minorEastAsia" w:hAnsiTheme="minorEastAsia"/>
          <w:lang w:val="en-US" w:eastAsia="zh-CN"/>
        </w:rPr>
        <w:t xml:space="preserve">6</w:t>
      </w:r>
      <w:r>
        <w:rPr>
          <w:rFonts w:hint="eastAsia" w:asciiTheme="minorEastAsia" w:hAnsiTheme="minorEastAsia"/>
        </w:rPr>
        <w:t xml:space="preserve">.镇级污水处理厂、村级污水处理设施及提升泵站运营维护和所有通信费用（包括仪表比对、验收等产生的一切费用），发包人不再承担。</w:t>
      </w:r>
      <w:r/>
    </w:p>
    <w:p>
      <w:pPr>
        <w:jc w:val="both"/>
        <w:rPr>
          <w:rFonts w:asciiTheme="minorEastAsia" w:hAnsiTheme="minorEastAsia"/>
          <w:b/>
          <w:bCs/>
        </w:rPr>
      </w:pPr>
      <w:r>
        <w:rPr>
          <w:rFonts w:hint="eastAsia" w:asciiTheme="minorEastAsia" w:hAnsiTheme="minorEastAsia"/>
          <w:b/>
          <w:bCs/>
        </w:rPr>
        <w:t xml:space="preserve">八、税费</w:t>
      </w:r>
      <w:r/>
    </w:p>
    <w:p>
      <w:pPr>
        <w:jc w:val="both"/>
        <w:rPr>
          <w:rFonts w:asciiTheme="minorEastAsia" w:hAnsiTheme="minorEastAsia"/>
        </w:rPr>
      </w:pPr>
      <w:r>
        <w:rPr>
          <w:rFonts w:hint="eastAsia" w:asciiTheme="minorEastAsia" w:hAnsiTheme="minorEastAsia"/>
        </w:rPr>
        <w:t xml:space="preserve">本合同履行过程中的发生一切税费均由乙方负担。</w:t>
      </w:r>
      <w:r/>
    </w:p>
    <w:p>
      <w:pPr>
        <w:jc w:val="both"/>
        <w:rPr>
          <w:rFonts w:asciiTheme="minorEastAsia" w:hAnsiTheme="minorEastAsia"/>
          <w:b/>
          <w:bCs/>
        </w:rPr>
      </w:pPr>
      <w:r>
        <w:rPr>
          <w:rFonts w:hint="eastAsia" w:asciiTheme="minorEastAsia" w:hAnsiTheme="minorEastAsia"/>
          <w:b/>
          <w:bCs/>
        </w:rPr>
        <w:t xml:space="preserve">九、甲方的权力和义务</w:t>
      </w:r>
      <w:r/>
    </w:p>
    <w:p>
      <w:pPr>
        <w:jc w:val="both"/>
        <w:rPr>
          <w:rFonts w:asciiTheme="minorEastAsia" w:hAnsiTheme="minorEastAsia"/>
        </w:rPr>
      </w:pPr>
      <w:r>
        <w:rPr>
          <w:rFonts w:hint="eastAsia" w:asciiTheme="minorEastAsia" w:hAnsiTheme="minorEastAsia"/>
        </w:rPr>
        <w:t xml:space="preserve">1.授予乙方运营权。</w:t>
      </w:r>
      <w:r/>
    </w:p>
    <w:p>
      <w:pPr>
        <w:jc w:val="both"/>
        <w:rPr>
          <w:rFonts w:asciiTheme="minorEastAsia" w:hAnsiTheme="minorEastAsia"/>
        </w:rPr>
      </w:pPr>
      <w:r>
        <w:rPr>
          <w:rFonts w:hint="eastAsia" w:asciiTheme="minorEastAsia" w:hAnsiTheme="minorEastAsia"/>
        </w:rPr>
        <w:t xml:space="preserve">2.依据合同约定向乙方及时支付污水处理运维服务费。</w:t>
      </w:r>
      <w:r/>
    </w:p>
    <w:p>
      <w:pPr>
        <w:jc w:val="both"/>
        <w:rPr>
          <w:rFonts w:asciiTheme="minorEastAsia" w:hAnsiTheme="minorEastAsia"/>
        </w:rPr>
      </w:pPr>
      <w:r>
        <w:rPr>
          <w:rFonts w:hint="eastAsia" w:asciiTheme="minorEastAsia" w:hAnsiTheme="minorEastAsia"/>
        </w:rPr>
        <w:t xml:space="preserve">3.办理本项目有关批准手续，乙方负有协助义务。</w:t>
      </w:r>
      <w:r/>
    </w:p>
    <w:p>
      <w:pPr>
        <w:jc w:val="both"/>
        <w:rPr>
          <w:rFonts w:asciiTheme="minorEastAsia" w:hAnsiTheme="minorEastAsia"/>
        </w:rPr>
      </w:pPr>
      <w:r>
        <w:rPr>
          <w:rFonts w:hint="eastAsia" w:asciiTheme="minorEastAsia" w:hAnsiTheme="minorEastAsia"/>
        </w:rPr>
        <w:t xml:space="preserve">4. 监管乙方污水处理运营，包括产品和服务质量，项目运营状况和安全防范措施，协助相关部门核算和监控企业成本。</w:t>
      </w:r>
      <w:r/>
    </w:p>
    <w:p>
      <w:pPr>
        <w:jc w:val="both"/>
        <w:rPr>
          <w:rFonts w:asciiTheme="minorEastAsia" w:hAnsiTheme="minorEastAsia"/>
        </w:rPr>
      </w:pPr>
      <w:r>
        <w:rPr>
          <w:rFonts w:hint="eastAsia" w:asciiTheme="minorEastAsia" w:hAnsiTheme="minorEastAsia"/>
        </w:rPr>
        <w:t xml:space="preserve">5.为保障社会公众的知情权，依据有关规定，及时将产品及服务质量检查、监测、评估结果和整改情况以适当的方式向社会公布，同时受理群众投诉，并调查处理。</w:t>
      </w:r>
      <w:r/>
    </w:p>
    <w:p>
      <w:pPr>
        <w:jc w:val="both"/>
        <w:rPr>
          <w:rFonts w:asciiTheme="minorEastAsia" w:hAnsiTheme="minorEastAsia"/>
        </w:rPr>
      </w:pPr>
      <w:r>
        <w:rPr>
          <w:rFonts w:hint="eastAsia" w:asciiTheme="minorEastAsia" w:hAnsiTheme="minorEastAsia"/>
        </w:rPr>
        <w:t xml:space="preserve">6.1在可能严重影响社会公共利益的紧急情况下，经有关部门批准对乙方临时接管，紧急情况临时接管产生的费用由乙方承担。在紧急情况消失之日起30日内，将运营管理权交给乙方。</w:t>
      </w:r>
      <w:r/>
    </w:p>
    <w:p>
      <w:pPr>
        <w:jc w:val="both"/>
        <w:rPr>
          <w:rFonts w:asciiTheme="minorEastAsia" w:hAnsiTheme="minorEastAsia"/>
        </w:rPr>
      </w:pPr>
      <w:r>
        <w:rPr>
          <w:rFonts w:hint="eastAsia" w:asciiTheme="minorEastAsia" w:hAnsiTheme="minorEastAsia"/>
        </w:rPr>
        <w:t xml:space="preserve">6.2乙方因拖欠工人工资等原因致使不能正常运营的，甲方可以聘请第三方临时接管运维工作。在乙方彻底解决问题后，甲方再移交给乙方，所产生的费用由乙方承担。</w:t>
      </w:r>
      <w:r/>
    </w:p>
    <w:p>
      <w:pPr>
        <w:jc w:val="both"/>
        <w:rPr>
          <w:rFonts w:asciiTheme="minorEastAsia" w:hAnsiTheme="minorEastAsia"/>
        </w:rPr>
      </w:pPr>
      <w:r>
        <w:rPr>
          <w:rFonts w:hint="eastAsia" w:asciiTheme="minorEastAsia" w:hAnsiTheme="minorEastAsia"/>
        </w:rPr>
        <w:t xml:space="preserve">7.不干预乙方内部管理事务，除非合同的履行受到影响。</w:t>
      </w:r>
      <w:r/>
    </w:p>
    <w:p>
      <w:pPr>
        <w:jc w:val="both"/>
        <w:rPr>
          <w:rFonts w:asciiTheme="minorEastAsia" w:hAnsiTheme="minorEastAsia"/>
        </w:rPr>
      </w:pPr>
      <w:r>
        <w:rPr>
          <w:rFonts w:hint="eastAsia" w:asciiTheme="minorEastAsia" w:hAnsiTheme="minorEastAsia"/>
        </w:rPr>
        <w:t xml:space="preserve">8. 为方便乙方运营，提供与本项目有关的专有技术、图书资料及相关文件，。</w:t>
      </w:r>
      <w:r/>
    </w:p>
    <w:p>
      <w:pPr>
        <w:jc w:val="both"/>
        <w:rPr>
          <w:rFonts w:asciiTheme="minorEastAsia" w:hAnsiTheme="minorEastAsia"/>
        </w:rPr>
      </w:pPr>
      <w:r>
        <w:rPr>
          <w:rFonts w:hint="eastAsia" w:asciiTheme="minorEastAsia" w:hAnsiTheme="minorEastAsia"/>
        </w:rPr>
        <w:t xml:space="preserve">9.甲方每季度委托第三方检测机构对出水水质进行检测，检测费用由乙方承担。</w:t>
      </w:r>
      <w:r/>
    </w:p>
    <w:p>
      <w:pPr>
        <w:jc w:val="both"/>
        <w:rPr>
          <w:rFonts w:asciiTheme="minorEastAsia" w:hAnsiTheme="minorEastAsia"/>
        </w:rPr>
      </w:pPr>
      <w:r>
        <w:rPr>
          <w:rFonts w:hint="eastAsia" w:asciiTheme="minorEastAsia" w:hAnsiTheme="minorEastAsia"/>
        </w:rPr>
        <w:t xml:space="preserve">10甲方可以抽查人员到岗情况，乙方应按照招标文件要求配备人员，否则承担违约责任。未经甲方同意，第一次发现人证不符的，按5000元╱人支付违约金；</w:t>
      </w:r>
      <w:bookmarkStart w:id="18" w:name="_Hlk166341668"/>
      <w:r>
        <w:rPr>
          <w:rFonts w:hint="eastAsia" w:asciiTheme="minorEastAsia" w:hAnsiTheme="minorEastAsia"/>
        </w:rPr>
        <w:t xml:space="preserve">第二次发现人证不符的，按10000元╱人</w:t>
      </w:r>
      <w:bookmarkEnd w:id="18"/>
      <w:r>
        <w:rPr>
          <w:rFonts w:hint="eastAsia" w:asciiTheme="minorEastAsia" w:hAnsiTheme="minorEastAsia"/>
        </w:rPr>
        <w:t xml:space="preserve">支付违约金；第三次发现人证不符的，按20000元╱人支付违约金。甲方可约谈乙方法定代表人，并责令限期整改。整改不到位或拒不配合的，甲方可启动清退机制。</w:t>
      </w:r>
      <w:r/>
    </w:p>
    <w:p>
      <w:pPr>
        <w:jc w:val="both"/>
        <w:rPr>
          <w:rFonts w:asciiTheme="minorEastAsia" w:hAnsiTheme="minorEastAsia"/>
        </w:rPr>
      </w:pPr>
      <w:r>
        <w:rPr>
          <w:rFonts w:hint="eastAsia" w:asciiTheme="minorEastAsia" w:hAnsiTheme="minorEastAsia"/>
        </w:rPr>
        <w:t xml:space="preserve">注：款项采用现金缴纳，自收到整改通知书之日起3日内，缴至新沂市住房和城乡建设局供排水管理服务中心。</w:t>
      </w:r>
      <w:r/>
    </w:p>
    <w:p>
      <w:pPr>
        <w:jc w:val="both"/>
        <w:rPr>
          <w:rFonts w:asciiTheme="minorEastAsia" w:hAnsiTheme="minorEastAsia"/>
        </w:rPr>
      </w:pPr>
      <w:r>
        <w:rPr>
          <w:rFonts w:hint="eastAsia" w:asciiTheme="minorEastAsia" w:hAnsiTheme="minorEastAsia"/>
        </w:rPr>
        <w:t xml:space="preserve">11.甲方委托第三方考核小组对运维单位进行考核。</w:t>
      </w:r>
      <w:r/>
    </w:p>
    <w:p>
      <w:pPr>
        <w:jc w:val="both"/>
        <w:rPr>
          <w:rFonts w:asciiTheme="minorEastAsia" w:hAnsiTheme="minorEastAsia"/>
        </w:rPr>
      </w:pPr>
      <w:r>
        <w:rPr>
          <w:rFonts w:hint="eastAsia" w:asciiTheme="minorEastAsia" w:hAnsiTheme="minorEastAsia"/>
        </w:rPr>
        <w:t xml:space="preserve">12. 甲方负担合同履行期间发生的污泥处置费用，乙方负责污泥处置运输费用。</w:t>
      </w:r>
      <w:r/>
    </w:p>
    <w:p>
      <w:pPr>
        <w:jc w:val="both"/>
        <w:rPr>
          <w:rFonts w:asciiTheme="minorEastAsia" w:hAnsiTheme="minorEastAsia"/>
          <w:b/>
          <w:bCs/>
        </w:rPr>
      </w:pPr>
      <w:r>
        <w:rPr>
          <w:rFonts w:hint="eastAsia" w:asciiTheme="minorEastAsia" w:hAnsiTheme="minorEastAsia"/>
          <w:b/>
          <w:bCs/>
        </w:rPr>
        <w:t xml:space="preserve">十、乙方的权力和义务</w:t>
      </w:r>
      <w:r/>
    </w:p>
    <w:p>
      <w:pPr>
        <w:jc w:val="both"/>
        <w:rPr>
          <w:rFonts w:asciiTheme="minorEastAsia" w:hAnsiTheme="minorEastAsia"/>
        </w:rPr>
      </w:pPr>
      <w:r/>
      <w:bookmarkStart w:id="19" w:name="_Hlk166486010"/>
      <w:r/>
      <w:bookmarkStart w:id="20" w:name="_Hlk166486869"/>
      <w:r>
        <w:rPr>
          <w:rFonts w:hint="eastAsia" w:asciiTheme="minorEastAsia" w:hAnsiTheme="minorEastAsia"/>
        </w:rPr>
        <w:t xml:space="preserve">1.乙方享有运营权，自主经营，自负营亏。</w:t>
      </w:r>
      <w:r/>
    </w:p>
    <w:p>
      <w:pPr>
        <w:jc w:val="both"/>
        <w:rPr>
          <w:rFonts w:asciiTheme="minorEastAsia" w:hAnsiTheme="minorEastAsia"/>
        </w:rPr>
      </w:pPr>
      <w:r>
        <w:rPr>
          <w:rFonts w:hint="eastAsia" w:asciiTheme="minorEastAsia" w:hAnsiTheme="minorEastAsia"/>
        </w:rPr>
        <w:t xml:space="preserve">2.对本项目内的设施积极运营维护（包括建筑物），镇村污水处理设施出水水质应达到国家标准和地方标准。</w:t>
      </w:r>
      <w:r/>
    </w:p>
    <w:p>
      <w:pPr>
        <w:jc w:val="both"/>
        <w:rPr>
          <w:rFonts w:asciiTheme="minorEastAsia" w:hAnsiTheme="minorEastAsia"/>
        </w:rPr>
      </w:pPr>
      <w:r>
        <w:rPr>
          <w:rFonts w:hint="eastAsia" w:asciiTheme="minorEastAsia" w:hAnsiTheme="minorEastAsia"/>
        </w:rPr>
        <w:t xml:space="preserve">3.乙方承担操作不当造成设备损坏相关费用。</w:t>
      </w:r>
      <w:r/>
    </w:p>
    <w:p>
      <w:pPr>
        <w:jc w:val="both"/>
        <w:rPr>
          <w:rFonts w:asciiTheme="minorEastAsia" w:hAnsiTheme="minorEastAsia"/>
        </w:rPr>
      </w:pPr>
      <w:r>
        <w:rPr>
          <w:rFonts w:hint="eastAsia" w:asciiTheme="minorEastAsia" w:hAnsiTheme="minorEastAsia"/>
        </w:rPr>
        <w:t xml:space="preserve">4.按照协议约定取得污水处理运营服务费。</w:t>
      </w:r>
      <w:bookmarkEnd w:id="19"/>
      <w:r/>
      <w:r/>
    </w:p>
    <w:p>
      <w:pPr>
        <w:jc w:val="both"/>
        <w:rPr>
          <w:rFonts w:asciiTheme="minorEastAsia" w:hAnsiTheme="minorEastAsia"/>
        </w:rPr>
      </w:pPr>
      <w:r>
        <w:rPr>
          <w:rFonts w:hint="eastAsia" w:asciiTheme="minorEastAsia" w:hAnsiTheme="minorEastAsia"/>
        </w:rPr>
        <w:t xml:space="preserve">5.接受政府部门的行业监管，履行社会公益事业应尽的义务，做好有关服务工作。</w:t>
      </w:r>
      <w:r/>
    </w:p>
    <w:p>
      <w:pPr>
        <w:jc w:val="both"/>
        <w:rPr>
          <w:rFonts w:asciiTheme="minorEastAsia" w:hAnsiTheme="minorEastAsia"/>
        </w:rPr>
      </w:pPr>
      <w:r>
        <w:rPr>
          <w:rFonts w:hint="eastAsia" w:asciiTheme="minorEastAsia" w:hAnsiTheme="minorEastAsia"/>
        </w:rPr>
        <w:t xml:space="preserve">6.合同履行期间，乙方应接受社会监督，受理社会群众投诉事件，积极办理，及时消除不良影响，造成损失由乙方承担。</w:t>
      </w:r>
      <w:bookmarkEnd w:id="20"/>
      <w:r/>
      <w:r/>
    </w:p>
    <w:p>
      <w:pPr>
        <w:jc w:val="both"/>
        <w:rPr>
          <w:rFonts w:asciiTheme="minorEastAsia" w:hAnsiTheme="minorEastAsia"/>
        </w:rPr>
      </w:pPr>
      <w:r>
        <w:rPr>
          <w:rFonts w:hint="eastAsia" w:asciiTheme="minorEastAsia" w:hAnsiTheme="minorEastAsia"/>
        </w:rPr>
        <w:t xml:space="preserve">7.1合同履行期间，乙方应每日对污水处理厂设施及出水水质进行一次自检，每月上报月度运维设施情况及出水水质报告（含自检报告）。对水质突发情况，乙方应及时自检，自检费用由乙方承担。</w:t>
      </w:r>
      <w:r/>
    </w:p>
    <w:p>
      <w:pPr>
        <w:jc w:val="both"/>
        <w:rPr>
          <w:rFonts w:asciiTheme="minorEastAsia" w:hAnsiTheme="minorEastAsia"/>
        </w:rPr>
      </w:pPr>
      <w:r>
        <w:rPr>
          <w:rFonts w:hint="eastAsia" w:asciiTheme="minorEastAsia" w:hAnsiTheme="minorEastAsia"/>
        </w:rPr>
        <w:t xml:space="preserve">7.2甲方可抽查自检情况，乙方如漏检一次，按500元╱次支付违约金，三次及以上未进行自检的，按2000元╱次支付违约金。</w:t>
      </w:r>
      <w:r/>
    </w:p>
    <w:p>
      <w:pPr>
        <w:jc w:val="both"/>
        <w:rPr>
          <w:rFonts w:asciiTheme="minorEastAsia" w:hAnsiTheme="minorEastAsia"/>
        </w:rPr>
      </w:pPr>
      <w:r>
        <w:rPr>
          <w:rFonts w:hint="eastAsia" w:asciiTheme="minorEastAsia" w:hAnsiTheme="minorEastAsia"/>
        </w:rPr>
        <w:t xml:space="preserve">8.乙方建设的实验室应符合行业标准，并承担危险废物处置费用。</w:t>
      </w:r>
      <w:r/>
    </w:p>
    <w:p>
      <w:pPr>
        <w:jc w:val="both"/>
        <w:rPr>
          <w:rFonts w:asciiTheme="minorEastAsia" w:hAnsiTheme="minorEastAsia"/>
        </w:rPr>
      </w:pPr>
      <w:r>
        <w:rPr>
          <w:rFonts w:hint="eastAsia" w:asciiTheme="minorEastAsia" w:hAnsiTheme="minorEastAsia"/>
        </w:rPr>
        <w:t xml:space="preserve">9.</w:t>
      </w:r>
      <w:bookmarkStart w:id="21" w:name="_Hlk166509449"/>
      <w:r>
        <w:rPr>
          <w:rFonts w:hint="eastAsia" w:asciiTheme="minorEastAsia" w:hAnsiTheme="minorEastAsia"/>
        </w:rPr>
        <w:t xml:space="preserve">合同履行</w:t>
      </w:r>
      <w:bookmarkEnd w:id="21"/>
      <w:r>
        <w:rPr>
          <w:rFonts w:hint="eastAsia" w:asciiTheme="minorEastAsia" w:hAnsiTheme="minorEastAsia"/>
        </w:rPr>
        <w:t xml:space="preserve">过程中，乙方应对服务内容及时进行检验和维修，因检验和维修不及时造成的一切损失由乙方自行承担。</w:t>
      </w:r>
      <w:r/>
    </w:p>
    <w:p>
      <w:pPr>
        <w:jc w:val="both"/>
        <w:rPr>
          <w:rFonts w:asciiTheme="minorEastAsia" w:hAnsiTheme="minorEastAsia"/>
        </w:rPr>
      </w:pPr>
      <w:r>
        <w:rPr>
          <w:rFonts w:hint="eastAsia" w:asciiTheme="minorEastAsia" w:hAnsiTheme="minorEastAsia"/>
        </w:rPr>
        <w:t xml:space="preserve">10. 合同履行期间，</w:t>
      </w:r>
      <w:bookmarkStart w:id="22" w:name="_Hlk166483220"/>
      <w:r>
        <w:rPr>
          <w:rFonts w:hint="eastAsia" w:asciiTheme="minorEastAsia" w:hAnsiTheme="minorEastAsia"/>
        </w:rPr>
        <w:t xml:space="preserve">镇级污水处理厂设备单次维修金额在20000元及以下的，由乙方负责维修更换；</w:t>
      </w:r>
      <w:bookmarkEnd w:id="22"/>
      <w:r>
        <w:rPr>
          <w:rFonts w:hint="eastAsia" w:asciiTheme="minorEastAsia" w:hAnsiTheme="minorEastAsia"/>
        </w:rPr>
        <w:t xml:space="preserve">村级污水处理设施设备单次维修金额在5000元及以下的，由乙方负责维修更换；乙方负责镇村污水收集配套管网管道检测、疏通、维修、井盖更换，施工、接管，维修费用以甲方和监理现场确认量进行支付。</w:t>
      </w:r>
      <w:r/>
    </w:p>
    <w:p>
      <w:pPr>
        <w:jc w:val="both"/>
        <w:rPr>
          <w:rFonts w:asciiTheme="minorEastAsia" w:hAnsiTheme="minorEastAsia"/>
        </w:rPr>
      </w:pPr>
      <w:r>
        <w:rPr>
          <w:rFonts w:hint="eastAsia" w:asciiTheme="minorEastAsia" w:hAnsiTheme="minorEastAsia"/>
        </w:rPr>
        <w:t xml:space="preserve">11. 乙方必须按照上级部门要求组织学习培训，学习成果上报甲方。</w:t>
      </w:r>
      <w:r/>
    </w:p>
    <w:p>
      <w:pPr>
        <w:jc w:val="both"/>
        <w:rPr>
          <w:rFonts w:asciiTheme="minorEastAsia" w:hAnsiTheme="minorEastAsia"/>
          <w:b/>
          <w:bCs/>
        </w:rPr>
      </w:pPr>
      <w:r>
        <w:rPr>
          <w:rFonts w:hint="eastAsia" w:asciiTheme="minorEastAsia" w:hAnsiTheme="minorEastAsia"/>
          <w:b/>
          <w:bCs/>
        </w:rPr>
        <w:t xml:space="preserve">十一、质量保证</w:t>
      </w:r>
      <w:r/>
    </w:p>
    <w:p>
      <w:pPr>
        <w:jc w:val="both"/>
        <w:rPr>
          <w:rFonts w:asciiTheme="minorEastAsia" w:hAnsiTheme="minorEastAsia"/>
        </w:rPr>
      </w:pPr>
      <w:r>
        <w:rPr>
          <w:rFonts w:hint="eastAsia" w:asciiTheme="minorEastAsia" w:hAnsiTheme="minorEastAsia"/>
        </w:rPr>
        <w:t xml:space="preserve">1. 建立质量管理体系并有效运行，管理服务能够接受质量审核。</w:t>
      </w:r>
      <w:r/>
    </w:p>
    <w:p>
      <w:pPr>
        <w:jc w:val="both"/>
        <w:rPr>
          <w:rFonts w:asciiTheme="minorEastAsia" w:hAnsiTheme="minorEastAsia"/>
        </w:rPr>
      </w:pPr>
      <w:r>
        <w:rPr>
          <w:rFonts w:hint="eastAsia" w:asciiTheme="minorEastAsia" w:hAnsiTheme="minorEastAsia"/>
        </w:rPr>
        <w:t xml:space="preserve">2.管理服务逐步达到接受创优评审条件。</w:t>
      </w:r>
      <w:r/>
    </w:p>
    <w:p>
      <w:pPr>
        <w:jc w:val="both"/>
        <w:rPr>
          <w:rFonts w:asciiTheme="minorEastAsia" w:hAnsiTheme="minorEastAsia"/>
        </w:rPr>
      </w:pPr>
      <w:r>
        <w:rPr>
          <w:rFonts w:hint="eastAsia" w:asciiTheme="minorEastAsia" w:hAnsiTheme="minorEastAsia"/>
        </w:rPr>
        <w:t xml:space="preserve">3.严格保证进出水和污泥质量标准及检测。</w:t>
      </w:r>
      <w:r/>
    </w:p>
    <w:p>
      <w:pPr>
        <w:jc w:val="both"/>
        <w:rPr>
          <w:rFonts w:asciiTheme="minorEastAsia" w:hAnsiTheme="minorEastAsia"/>
        </w:rPr>
      </w:pPr>
      <w:r>
        <w:rPr>
          <w:rFonts w:hint="eastAsia" w:asciiTheme="minorEastAsia" w:hAnsiTheme="minorEastAsia"/>
        </w:rPr>
        <w:t xml:space="preserve">3.1水质检测</w:t>
      </w:r>
      <w:r/>
    </w:p>
    <w:p>
      <w:pPr>
        <w:jc w:val="both"/>
        <w:rPr>
          <w:rFonts w:asciiTheme="minorEastAsia" w:hAnsiTheme="minorEastAsia"/>
        </w:rPr>
      </w:pPr>
      <w:r>
        <w:rPr>
          <w:rFonts w:hint="eastAsia" w:asciiTheme="minorEastAsia" w:hAnsiTheme="minorEastAsia"/>
        </w:rPr>
        <w:t xml:space="preserve">3.1.1</w:t>
      </w:r>
      <w:bookmarkStart w:id="23" w:name="_Hlk166509788"/>
      <w:r>
        <w:rPr>
          <w:rFonts w:hint="eastAsia" w:asciiTheme="minorEastAsia" w:hAnsiTheme="minorEastAsia"/>
        </w:rPr>
        <w:t xml:space="preserve">乙方</w:t>
      </w:r>
      <w:bookmarkEnd w:id="23"/>
      <w:r>
        <w:rPr>
          <w:rFonts w:hint="eastAsia" w:asciiTheme="minorEastAsia" w:hAnsiTheme="minorEastAsia"/>
        </w:rPr>
        <w:t xml:space="preserve">的检测义务</w:t>
      </w:r>
      <w:r/>
    </w:p>
    <w:p>
      <w:pPr>
        <w:jc w:val="both"/>
        <w:rPr>
          <w:rFonts w:asciiTheme="minorEastAsia" w:hAnsiTheme="minorEastAsia"/>
        </w:rPr>
      </w:pPr>
      <w:r>
        <w:rPr>
          <w:rFonts w:hint="eastAsia" w:asciiTheme="minorEastAsia" w:hAnsiTheme="minorEastAsia"/>
        </w:rPr>
        <w:t xml:space="preserve">负责对污水处理设施日常的进水水质、工段过程水质、出水水质和污泥的分析检测；各项水质指标的检测分析方法按国家和地方现行标准的执行。</w:t>
      </w:r>
      <w:r/>
    </w:p>
    <w:p>
      <w:pPr>
        <w:jc w:val="both"/>
        <w:rPr>
          <w:rFonts w:asciiTheme="minorEastAsia" w:hAnsiTheme="minorEastAsia"/>
        </w:rPr>
      </w:pPr>
      <w:r>
        <w:rPr>
          <w:rFonts w:hint="eastAsia" w:asciiTheme="minorEastAsia" w:hAnsiTheme="minorEastAsia"/>
        </w:rPr>
        <w:t xml:space="preserve">3.1.2水样的采集和储存</w:t>
      </w:r>
      <w:r/>
    </w:p>
    <w:p>
      <w:pPr>
        <w:jc w:val="both"/>
        <w:rPr>
          <w:rFonts w:asciiTheme="minorEastAsia" w:hAnsiTheme="minorEastAsia"/>
        </w:rPr>
      </w:pPr>
      <w:r>
        <w:rPr>
          <w:rFonts w:hint="eastAsia" w:asciiTheme="minorEastAsia" w:hAnsiTheme="minorEastAsia"/>
        </w:rPr>
        <w:t xml:space="preserve">水样的采集应满足国家标准《水质采样方案设计技术规定》</w:t>
      </w:r>
      <w:bookmarkStart w:id="24" w:name="_Hlk166483994"/>
      <w:r>
        <w:rPr>
          <w:rFonts w:hint="eastAsia" w:asciiTheme="minorEastAsia" w:hAnsiTheme="minorEastAsia"/>
        </w:rPr>
        <w:t xml:space="preserve">（HJ495-2009</w:t>
      </w:r>
      <w:r>
        <w:rPr>
          <w:rFonts w:asciiTheme="minorEastAsia" w:hAnsiTheme="minorEastAsia"/>
        </w:rPr>
        <w:t xml:space="preserve">）</w:t>
      </w:r>
      <w:bookmarkEnd w:id="24"/>
      <w:r>
        <w:rPr>
          <w:rFonts w:hint="eastAsia" w:asciiTheme="minorEastAsia" w:hAnsiTheme="minorEastAsia"/>
        </w:rPr>
        <w:t xml:space="preserve">和国家标准《水质采样技术指导》（HJ494-2009</w:t>
      </w:r>
      <w:r>
        <w:rPr>
          <w:rFonts w:asciiTheme="minorEastAsia" w:hAnsiTheme="minorEastAsia"/>
        </w:rPr>
        <w:t xml:space="preserve">）</w:t>
      </w:r>
      <w:r>
        <w:rPr>
          <w:rFonts w:hint="eastAsia" w:asciiTheme="minorEastAsia" w:hAnsiTheme="minorEastAsia"/>
        </w:rPr>
        <w:t xml:space="preserve">以及《地表水和污水监测技术规范》（HJ/T91-2002</w:t>
      </w:r>
      <w:r>
        <w:rPr>
          <w:rFonts w:asciiTheme="minorEastAsia" w:hAnsiTheme="minorEastAsia"/>
        </w:rPr>
        <w:t xml:space="preserve">）</w:t>
      </w:r>
      <w:r>
        <w:rPr>
          <w:rFonts w:hint="eastAsia" w:asciiTheme="minorEastAsia" w:hAnsiTheme="minorEastAsia"/>
        </w:rPr>
        <w:t xml:space="preserve">的要求；</w:t>
      </w:r>
      <w:r/>
    </w:p>
    <w:p>
      <w:pPr>
        <w:jc w:val="both"/>
        <w:rPr>
          <w:rFonts w:asciiTheme="minorEastAsia" w:hAnsiTheme="minorEastAsia"/>
        </w:rPr>
      </w:pPr>
      <w:r>
        <w:rPr>
          <w:rFonts w:hint="eastAsia" w:asciiTheme="minorEastAsia" w:hAnsiTheme="minorEastAsia"/>
        </w:rPr>
        <w:t xml:space="preserve">水样储存应满足国家标准《水质采样样品的保存和管理技术规定》（HJ493-2009</w:t>
      </w:r>
      <w:r>
        <w:rPr>
          <w:rFonts w:asciiTheme="minorEastAsia" w:hAnsiTheme="minorEastAsia"/>
        </w:rPr>
        <w:t xml:space="preserve">）</w:t>
      </w:r>
      <w:r>
        <w:rPr>
          <w:rFonts w:hint="eastAsia" w:asciiTheme="minorEastAsia" w:hAnsiTheme="minorEastAsia"/>
        </w:rPr>
        <w:t xml:space="preserve">的要求；</w:t>
      </w:r>
      <w:r/>
    </w:p>
    <w:p>
      <w:pPr>
        <w:jc w:val="both"/>
        <w:rPr>
          <w:rFonts w:asciiTheme="minorEastAsia" w:hAnsiTheme="minorEastAsia"/>
        </w:rPr>
      </w:pPr>
      <w:r>
        <w:rPr>
          <w:rFonts w:hint="eastAsia" w:asciiTheme="minorEastAsia" w:hAnsiTheme="minorEastAsia"/>
        </w:rPr>
        <w:t xml:space="preserve">用于检测水质的进水水样和出水水样应按项目监测计划规定的采样点、采样频次采取。</w:t>
      </w:r>
      <w:r/>
    </w:p>
    <w:p>
      <w:pPr>
        <w:jc w:val="both"/>
        <w:rPr>
          <w:rFonts w:asciiTheme="minorEastAsia" w:hAnsiTheme="minorEastAsia"/>
        </w:rPr>
      </w:pPr>
      <w:r>
        <w:rPr>
          <w:rFonts w:hint="eastAsia" w:asciiTheme="minorEastAsia" w:hAnsiTheme="minorEastAsia"/>
        </w:rPr>
        <w:t xml:space="preserve">3.1.3水质检测结果的报告</w:t>
      </w:r>
      <w:r/>
    </w:p>
    <w:p>
      <w:pPr>
        <w:jc w:val="both"/>
        <w:rPr>
          <w:rFonts w:asciiTheme="minorEastAsia" w:hAnsiTheme="minorEastAsia"/>
        </w:rPr>
      </w:pPr>
      <w:r>
        <w:rPr>
          <w:rFonts w:hint="eastAsia" w:asciiTheme="minorEastAsia" w:hAnsiTheme="minorEastAsia"/>
        </w:rPr>
        <w:t xml:space="preserve">乙方应如实记录每次检测结果，每月按规定格式填写检测结果月报表应存档、上报、备查。</w:t>
      </w:r>
      <w:r/>
    </w:p>
    <w:p>
      <w:pPr>
        <w:jc w:val="both"/>
        <w:rPr>
          <w:rFonts w:asciiTheme="minorEastAsia" w:hAnsiTheme="minorEastAsia"/>
        </w:rPr>
      </w:pPr>
      <w:r>
        <w:rPr>
          <w:rFonts w:hint="eastAsia" w:asciiTheme="minorEastAsia" w:hAnsiTheme="minorEastAsia"/>
        </w:rPr>
        <w:t xml:space="preserve">3.1.4水质检测负面事件</w:t>
      </w:r>
      <w:r/>
    </w:p>
    <w:p>
      <w:pPr>
        <w:jc w:val="both"/>
        <w:rPr>
          <w:rFonts w:asciiTheme="minorEastAsia" w:hAnsiTheme="minorEastAsia"/>
        </w:rPr>
      </w:pPr>
      <w:r>
        <w:rPr>
          <w:rFonts w:hint="eastAsia" w:asciiTheme="minorEastAsia" w:hAnsiTheme="minorEastAsia"/>
        </w:rPr>
        <w:t xml:space="preserve">如因乙方运维管理不当，受到群众举报、上级及本级督察部门通报批评、媒体曝光的，被行业主管部门取样检测出水水质不合格的，视为乙方违约，并承担违约责任。群众举报经查实的，</w:t>
      </w:r>
      <w:bookmarkStart w:id="25" w:name="_Hlk166484891"/>
      <w:r>
        <w:rPr>
          <w:rFonts w:hint="eastAsia" w:asciiTheme="minorEastAsia" w:hAnsiTheme="minorEastAsia"/>
        </w:rPr>
        <w:t xml:space="preserve">按照3000元╱次支付违约金；</w:t>
      </w:r>
      <w:bookmarkEnd w:id="25"/>
      <w:r>
        <w:rPr>
          <w:rFonts w:hint="eastAsia" w:asciiTheme="minorEastAsia" w:hAnsiTheme="minorEastAsia"/>
        </w:rPr>
        <w:t xml:space="preserve">被上级督察部门通报批评的，按照5000元╱次支付违约金，情节严重的，按照10000元╱次支付违约金；经媒体曝光经查实的，按照30000元╱次支付违约金。</w:t>
      </w:r>
      <w:r/>
    </w:p>
    <w:p>
      <w:pPr>
        <w:jc w:val="both"/>
        <w:rPr>
          <w:rFonts w:asciiTheme="minorEastAsia" w:hAnsiTheme="minorEastAsia"/>
        </w:rPr>
      </w:pPr>
      <w:r>
        <w:rPr>
          <w:rFonts w:hint="eastAsia" w:asciiTheme="minorEastAsia" w:hAnsiTheme="minorEastAsia"/>
        </w:rPr>
        <w:t xml:space="preserve">注：款项采用现金缴纳，自收到整改通知书之日起3日内缴至新沂市住房和城乡建设局供排水管理服务中心。</w:t>
      </w:r>
      <w:r/>
    </w:p>
    <w:p>
      <w:pPr>
        <w:jc w:val="both"/>
        <w:rPr>
          <w:rFonts w:asciiTheme="minorEastAsia" w:hAnsiTheme="minorEastAsia"/>
        </w:rPr>
      </w:pPr>
      <w:r>
        <w:rPr>
          <w:rFonts w:hint="eastAsia" w:asciiTheme="minorEastAsia" w:hAnsiTheme="minorEastAsia"/>
        </w:rPr>
        <w:t xml:space="preserve">3.2污水进水水质超标</w:t>
      </w:r>
      <w:r/>
    </w:p>
    <w:p>
      <w:pPr>
        <w:jc w:val="both"/>
        <w:rPr>
          <w:rFonts w:asciiTheme="minorEastAsia" w:hAnsiTheme="minorEastAsia"/>
        </w:rPr>
      </w:pPr>
      <w:r>
        <w:rPr>
          <w:rFonts w:hint="eastAsia" w:asciiTheme="minorEastAsia" w:hAnsiTheme="minorEastAsia"/>
        </w:rPr>
        <w:t xml:space="preserve">如进水水质超标，乙方应积极排查，排查结果上报甲方，共同协商处理办法，制定整改方案。</w:t>
      </w:r>
      <w:r/>
    </w:p>
    <w:p>
      <w:pPr>
        <w:jc w:val="both"/>
        <w:rPr>
          <w:rFonts w:asciiTheme="minorEastAsia" w:hAnsiTheme="minorEastAsia"/>
        </w:rPr>
      </w:pPr>
      <w:r>
        <w:rPr>
          <w:rFonts w:hint="eastAsia" w:asciiTheme="minorEastAsia" w:hAnsiTheme="minorEastAsia"/>
        </w:rPr>
        <w:t xml:space="preserve">3.3更改出水排放标准</w:t>
      </w:r>
      <w:r/>
    </w:p>
    <w:p>
      <w:pPr>
        <w:jc w:val="both"/>
        <w:rPr>
          <w:rFonts w:asciiTheme="minorEastAsia" w:hAnsiTheme="minorEastAsia"/>
        </w:rPr>
      </w:pPr>
      <w:r>
        <w:rPr>
          <w:rFonts w:hint="eastAsia" w:asciiTheme="minorEastAsia" w:hAnsiTheme="minorEastAsia"/>
        </w:rPr>
        <w:t xml:space="preserve">因执行甲方要求改变污水处理水质标准，造成运行成本增加或资本性支出，乙方有权获得相应的补偿。</w:t>
      </w:r>
      <w:r/>
    </w:p>
    <w:p>
      <w:pPr>
        <w:jc w:val="both"/>
        <w:rPr>
          <w:rFonts w:asciiTheme="minorEastAsia" w:hAnsiTheme="minorEastAsia"/>
          <w:b/>
          <w:bCs/>
        </w:rPr>
      </w:pPr>
      <w:r>
        <w:rPr>
          <w:rFonts w:hint="eastAsia" w:asciiTheme="minorEastAsia" w:hAnsiTheme="minorEastAsia"/>
          <w:b/>
          <w:bCs/>
        </w:rPr>
        <w:t xml:space="preserve">十二、安全生产和环境保护</w:t>
      </w:r>
      <w:r/>
    </w:p>
    <w:p>
      <w:pPr>
        <w:jc w:val="both"/>
        <w:rPr>
          <w:rFonts w:asciiTheme="minorEastAsia" w:hAnsiTheme="minorEastAsia"/>
        </w:rPr>
      </w:pPr>
      <w:r>
        <w:rPr>
          <w:rFonts w:hint="eastAsia" w:asciiTheme="minorEastAsia" w:hAnsiTheme="minorEastAsia"/>
        </w:rPr>
        <w:t xml:space="preserve">1.乙方应遵守安全生产、环境保护及公共卫生等有关法律法规。</w:t>
      </w:r>
      <w:r/>
    </w:p>
    <w:p>
      <w:pPr>
        <w:jc w:val="both"/>
        <w:rPr>
          <w:rFonts w:asciiTheme="minorEastAsia" w:hAnsiTheme="minorEastAsia"/>
        </w:rPr>
      </w:pPr>
      <w:r>
        <w:rPr>
          <w:rFonts w:hint="eastAsia" w:asciiTheme="minorEastAsia" w:hAnsiTheme="minorEastAsia"/>
        </w:rPr>
        <w:t xml:space="preserve">2.乙方不得造成污水处理场地和排水干管（如果有）、土地（包括土壤、地下水或地表水及空气）及周围环境的污染。</w:t>
      </w:r>
      <w:r/>
    </w:p>
    <w:p>
      <w:pPr>
        <w:jc w:val="both"/>
        <w:rPr>
          <w:rFonts w:asciiTheme="minorEastAsia" w:hAnsiTheme="minorEastAsia"/>
        </w:rPr>
      </w:pPr>
      <w:r>
        <w:rPr>
          <w:rFonts w:hint="eastAsia" w:asciiTheme="minorEastAsia" w:hAnsiTheme="minorEastAsia"/>
        </w:rPr>
        <w:t xml:space="preserve">3.乙方应采取一切合理措施减少或避免对项目设施周围建筑物和居民区的干扰。</w:t>
      </w:r>
      <w:r/>
    </w:p>
    <w:p>
      <w:pPr>
        <w:jc w:val="both"/>
        <w:rPr>
          <w:rFonts w:asciiTheme="minorEastAsia" w:hAnsiTheme="minorEastAsia"/>
        </w:rPr>
      </w:pPr>
      <w:r>
        <w:rPr>
          <w:rFonts w:hint="eastAsia" w:asciiTheme="minorEastAsia" w:hAnsiTheme="minorEastAsia"/>
        </w:rPr>
        <w:t xml:space="preserve">4.乙方应做好人员安全防护，操作规程齐全、到位；岗位人员有必要的安全保护措施；必要场所有安全警示牌；有毒有害场所安全防护仪器、仪表、器具配备齐全；危险品、易燃、易爆品有相应的管理规。合同履行期间造成的人员伤亡或财产损失由乙方承担。</w:t>
      </w:r>
      <w:r/>
    </w:p>
    <w:p>
      <w:pPr>
        <w:jc w:val="both"/>
        <w:rPr>
          <w:rFonts w:asciiTheme="minorEastAsia" w:hAnsiTheme="minorEastAsia"/>
          <w:b/>
          <w:bCs/>
        </w:rPr>
      </w:pPr>
      <w:r>
        <w:rPr>
          <w:rFonts w:hint="eastAsia" w:asciiTheme="minorEastAsia" w:hAnsiTheme="minorEastAsia"/>
          <w:b/>
          <w:bCs/>
        </w:rPr>
        <w:t xml:space="preserve">十三、合同解除</w:t>
      </w:r>
      <w:r/>
    </w:p>
    <w:p>
      <w:pPr>
        <w:jc w:val="both"/>
        <w:rPr>
          <w:rFonts w:asciiTheme="minorEastAsia" w:hAnsiTheme="minorEastAsia"/>
        </w:rPr>
      </w:pPr>
      <w:r>
        <w:rPr>
          <w:rFonts w:hint="eastAsia" w:asciiTheme="minorEastAsia" w:hAnsiTheme="minorEastAsia"/>
        </w:rPr>
        <w:t xml:space="preserve">发生下列情况的，甲方可以解除合同，有权清退乙方，造成损失由乙方承担。</w:t>
      </w:r>
      <w:r/>
    </w:p>
    <w:p>
      <w:pPr>
        <w:jc w:val="both"/>
        <w:rPr>
          <w:rFonts w:asciiTheme="minorEastAsia" w:hAnsiTheme="minorEastAsia"/>
        </w:rPr>
      </w:pPr>
      <w:r>
        <w:rPr>
          <w:rFonts w:hint="eastAsia" w:asciiTheme="minorEastAsia" w:hAnsiTheme="minorEastAsia"/>
        </w:rPr>
        <w:t xml:space="preserve">1.因乙方原因造成社会性恶劣事件。</w:t>
      </w:r>
      <w:r/>
    </w:p>
    <w:p>
      <w:pPr>
        <w:jc w:val="both"/>
        <w:rPr>
          <w:rFonts w:asciiTheme="minorEastAsia" w:hAnsiTheme="minorEastAsia"/>
        </w:rPr>
      </w:pPr>
      <w:r>
        <w:rPr>
          <w:rFonts w:hint="eastAsia" w:asciiTheme="minorEastAsia" w:hAnsiTheme="minorEastAsia"/>
        </w:rPr>
        <w:t xml:space="preserve">2.甲方要求整改，乙方整改不到位且拒不配合的。</w:t>
      </w:r>
      <w:r/>
    </w:p>
    <w:p>
      <w:pPr>
        <w:jc w:val="both"/>
        <w:rPr>
          <w:rFonts w:asciiTheme="minorEastAsia" w:hAnsiTheme="minorEastAsia"/>
        </w:rPr>
      </w:pPr>
      <w:r>
        <w:rPr>
          <w:rFonts w:hint="eastAsia" w:asciiTheme="minorEastAsia" w:hAnsiTheme="minorEastAsia"/>
        </w:rPr>
        <w:t xml:space="preserve">3.乙方人员及证书不符合投标文件要求，要求整改后仍多次出现人证不符合的。</w:t>
      </w:r>
      <w:r/>
    </w:p>
    <w:p>
      <w:pPr>
        <w:jc w:val="both"/>
        <w:rPr>
          <w:rFonts w:asciiTheme="minorEastAsia" w:hAnsiTheme="minorEastAsia"/>
        </w:rPr>
      </w:pPr>
      <w:r>
        <w:rPr>
          <w:rFonts w:hint="eastAsia" w:asciiTheme="minorEastAsia" w:hAnsiTheme="minorEastAsia"/>
        </w:rPr>
        <w:t xml:space="preserve">4.连续2次考核为不合格的。</w:t>
      </w:r>
      <w:r/>
    </w:p>
    <w:p>
      <w:pPr>
        <w:jc w:val="both"/>
        <w:rPr>
          <w:rFonts w:asciiTheme="minorEastAsia" w:hAnsiTheme="minorEastAsia"/>
          <w:b/>
          <w:bCs/>
        </w:rPr>
      </w:pPr>
      <w:r>
        <w:rPr>
          <w:rFonts w:hint="eastAsia" w:asciiTheme="minorEastAsia" w:hAnsiTheme="minorEastAsia"/>
          <w:b/>
          <w:bCs/>
        </w:rPr>
        <w:t xml:space="preserve">十四、违约责任</w:t>
      </w:r>
      <w:r/>
    </w:p>
    <w:p>
      <w:pPr>
        <w:jc w:val="both"/>
        <w:rPr>
          <w:rFonts w:asciiTheme="minorEastAsia" w:hAnsiTheme="minorEastAsia"/>
        </w:rPr>
      </w:pPr>
      <w:r>
        <w:rPr>
          <w:rFonts w:hint="eastAsia" w:asciiTheme="minorEastAsia" w:hAnsiTheme="minorEastAsia"/>
        </w:rPr>
        <w:t xml:space="preserve">1.乙方未能按照约定提供服务，或提供的服务不符合合同约定的，或在甲方整改通知指定的期限内未能完成整改的，视为乙方违约，应承担违约责任，按照每日合同价款的千分之五向甲方支付违约金。</w:t>
      </w:r>
      <w:r/>
    </w:p>
    <w:p>
      <w:pPr>
        <w:jc w:val="both"/>
        <w:rPr>
          <w:rFonts w:asciiTheme="minorEastAsia" w:hAnsiTheme="minorEastAsia"/>
        </w:rPr>
      </w:pPr>
      <w:r>
        <w:rPr>
          <w:rFonts w:hint="eastAsia" w:asciiTheme="minorEastAsia" w:hAnsiTheme="minorEastAsia"/>
        </w:rPr>
        <w:t xml:space="preserve">2.乙方超过整改通知规定期限10天仍不能提供服务的，甲方可解除本合同。乙方因未能按照约定提供服务，或因其他违约行为致使甲方解除合同的，乙方应承担违约责任，并支付合同总价10%的违约金。损失超过违约金的，甲方可主张赔偿责任。</w:t>
      </w:r>
      <w:r/>
    </w:p>
    <w:p>
      <w:pPr>
        <w:jc w:val="both"/>
        <w:rPr>
          <w:rFonts w:asciiTheme="minorEastAsia" w:hAnsiTheme="minorEastAsia"/>
        </w:rPr>
      </w:pPr>
      <w:r>
        <w:rPr>
          <w:rFonts w:hint="eastAsia" w:asciiTheme="minorEastAsia" w:hAnsiTheme="minorEastAsia"/>
        </w:rPr>
        <w:t xml:space="preserve">2.因乙方原因致使合同被解除的，合同当事人应在合同解除后30天内完成估价、清算和付款，并按以下约定执行：</w:t>
      </w:r>
      <w:r/>
    </w:p>
    <w:p>
      <w:pPr>
        <w:jc w:val="both"/>
        <w:rPr>
          <w:rFonts w:asciiTheme="minorEastAsia" w:hAnsiTheme="minorEastAsia"/>
        </w:rPr>
      </w:pPr>
      <w:r>
        <w:rPr>
          <w:rFonts w:hint="eastAsia" w:asciiTheme="minorEastAsia" w:hAnsiTheme="minorEastAsia"/>
        </w:rPr>
        <w:t xml:space="preserve">（1）合同当事人商定或确定乙方实际完成的运维服务费用。</w:t>
      </w:r>
      <w:r/>
    </w:p>
    <w:p>
      <w:pPr>
        <w:jc w:val="both"/>
        <w:rPr>
          <w:rFonts w:asciiTheme="minorEastAsia" w:hAnsiTheme="minorEastAsia"/>
        </w:rPr>
      </w:pPr>
      <w:r>
        <w:rPr>
          <w:rFonts w:hint="eastAsia" w:asciiTheme="minorEastAsia" w:hAnsiTheme="minorEastAsia"/>
        </w:rPr>
        <w:t xml:space="preserve">（2）乙方应支付的违约金。</w:t>
      </w:r>
      <w:r/>
    </w:p>
    <w:p>
      <w:pPr>
        <w:jc w:val="both"/>
        <w:rPr>
          <w:rFonts w:asciiTheme="minorEastAsia" w:hAnsiTheme="minorEastAsia"/>
        </w:rPr>
      </w:pPr>
      <w:r>
        <w:rPr>
          <w:rFonts w:hint="eastAsia" w:asciiTheme="minorEastAsia" w:hAnsiTheme="minorEastAsia"/>
        </w:rPr>
        <w:t xml:space="preserve">（3）因解除合同给甲方造成的损失，由乙方承担。</w:t>
      </w:r>
      <w:r/>
    </w:p>
    <w:p>
      <w:pPr>
        <w:jc w:val="both"/>
        <w:rPr>
          <w:rFonts w:asciiTheme="minorEastAsia" w:hAnsiTheme="minorEastAsia"/>
        </w:rPr>
      </w:pPr>
      <w:r>
        <w:rPr>
          <w:rFonts w:hint="eastAsia" w:asciiTheme="minorEastAsia" w:hAnsiTheme="minorEastAsia"/>
        </w:rPr>
        <w:t xml:space="preserve">（4）合同解除后，乙方应按照甲方要求完成现场的清理和撤离。</w:t>
      </w:r>
      <w:r/>
    </w:p>
    <w:p>
      <w:pPr>
        <w:jc w:val="both"/>
        <w:rPr>
          <w:rFonts w:asciiTheme="minorEastAsia" w:hAnsiTheme="minorEastAsia"/>
        </w:rPr>
      </w:pPr>
      <w:r>
        <w:rPr>
          <w:rFonts w:hint="eastAsia" w:asciiTheme="minorEastAsia" w:hAnsiTheme="minorEastAsia"/>
        </w:rPr>
        <w:t xml:space="preserve">（5）甲方和乙方应进行清算，出具最终结清付款凭证，结清全部款项。</w:t>
      </w:r>
      <w:r/>
    </w:p>
    <w:p>
      <w:pPr>
        <w:jc w:val="both"/>
        <w:rPr>
          <w:rFonts w:asciiTheme="minorEastAsia" w:hAnsiTheme="minorEastAsia"/>
        </w:rPr>
      </w:pPr>
      <w:r>
        <w:rPr>
          <w:rFonts w:hint="eastAsia" w:asciiTheme="minorEastAsia" w:hAnsiTheme="minorEastAsia"/>
        </w:rPr>
        <w:t xml:space="preserve">（6）因乙方原因解除合同的，甲方应暂停对乙方的支付，查清各项付款和已扣款项。</w:t>
      </w:r>
      <w:r/>
    </w:p>
    <w:p>
      <w:pPr>
        <w:jc w:val="both"/>
        <w:rPr>
          <w:rFonts w:asciiTheme="minorEastAsia" w:hAnsiTheme="minorEastAsia"/>
          <w:b/>
          <w:bCs/>
          <w:color w:val="000000" w:themeColor="text1"/>
          <w14:textFill>
            <w14:solidFill>
              <w14:schemeClr w14:val="tx1"/>
            </w14:solidFill>
          </w14:textFill>
        </w:rPr>
      </w:pPr>
      <w:r>
        <w:rPr>
          <w:rFonts w:hint="eastAsia" w:asciiTheme="minorEastAsia" w:hAnsiTheme="minorEastAsia"/>
          <w:b/>
          <w:bCs/>
          <w:color w:val="000000" w:themeColor="text1"/>
          <w14:textFill>
            <w14:solidFill>
              <w14:schemeClr w14:val="tx1"/>
            </w14:solidFill>
          </w14:textFill>
        </w:rPr>
        <w:t xml:space="preserve">十五、</w:t>
      </w:r>
      <w:bookmarkStart w:id="26" w:name="_Hlk166512975"/>
      <w:r>
        <w:rPr>
          <w:rFonts w:hint="eastAsia" w:asciiTheme="minorEastAsia" w:hAnsiTheme="minorEastAsia"/>
          <w:b/>
          <w:bCs/>
          <w:color w:val="000000" w:themeColor="text1"/>
          <w14:textFill>
            <w14:solidFill>
              <w14:schemeClr w14:val="tx1"/>
            </w14:solidFill>
          </w14:textFill>
        </w:rPr>
        <w:t xml:space="preserve">合同期满时</w:t>
      </w:r>
      <w:bookmarkEnd w:id="26"/>
      <w:r>
        <w:rPr>
          <w:rFonts w:hint="eastAsia" w:asciiTheme="minorEastAsia" w:hAnsiTheme="minorEastAsia"/>
          <w:b/>
          <w:bCs/>
          <w:color w:val="000000" w:themeColor="text1"/>
          <w14:textFill>
            <w14:solidFill>
              <w14:schemeClr w14:val="tx1"/>
            </w14:solidFill>
          </w14:textFill>
        </w:rPr>
        <w:t xml:space="preserve">项目设施的移交</w:t>
      </w:r>
      <w:r/>
    </w:p>
    <w:p>
      <w:pPr>
        <w:jc w:val="both"/>
        <w:rPr>
          <w:rFonts w:asciiTheme="minorEastAsia" w:hAnsiTheme="minorEastAsia"/>
        </w:rPr>
      </w:pPr>
      <w:r>
        <w:rPr>
          <w:rFonts w:hint="eastAsia" w:asciiTheme="minorEastAsia" w:hAnsiTheme="minorEastAsia"/>
        </w:rPr>
        <w:t xml:space="preserve">1.移交范围</w:t>
      </w:r>
      <w:r/>
    </w:p>
    <w:p>
      <w:pPr>
        <w:jc w:val="both"/>
        <w:rPr>
          <w:rFonts w:asciiTheme="minorEastAsia" w:hAnsiTheme="minorEastAsia"/>
        </w:rPr>
      </w:pPr>
      <w:r>
        <w:rPr>
          <w:rFonts w:hint="eastAsia" w:asciiTheme="minorEastAsia" w:hAnsiTheme="minorEastAsia"/>
        </w:rPr>
        <w:t xml:space="preserve">1.1合同履行期满，乙方应向甲方或其指定机构无偿移交。</w:t>
      </w:r>
      <w:r/>
    </w:p>
    <w:p>
      <w:pPr>
        <w:jc w:val="both"/>
        <w:rPr>
          <w:rFonts w:asciiTheme="minorEastAsia" w:hAnsiTheme="minorEastAsia"/>
        </w:rPr>
      </w:pPr>
      <w:r>
        <w:rPr>
          <w:rFonts w:hint="eastAsia" w:asciiTheme="minorEastAsia" w:hAnsiTheme="minorEastAsia"/>
        </w:rPr>
        <w:t xml:space="preserve">（1）项目设施所占用土地及相关材料。</w:t>
      </w:r>
      <w:r/>
    </w:p>
    <w:p>
      <w:pPr>
        <w:jc w:val="both"/>
        <w:rPr>
          <w:rFonts w:asciiTheme="minorEastAsia" w:hAnsiTheme="minorEastAsia"/>
        </w:rPr>
      </w:pPr>
      <w:r>
        <w:rPr>
          <w:rFonts w:hint="eastAsia" w:asciiTheme="minorEastAsia" w:hAnsiTheme="minorEastAsia"/>
        </w:rPr>
        <w:t xml:space="preserve">（2）</w:t>
      </w:r>
      <w:bookmarkStart w:id="27" w:name="_Hlk166487822"/>
      <w:r>
        <w:rPr>
          <w:rFonts w:hint="eastAsia" w:asciiTheme="minorEastAsia" w:hAnsiTheme="minorEastAsia"/>
        </w:rPr>
        <w:t xml:space="preserve">项目设施</w:t>
      </w:r>
      <w:bookmarkEnd w:id="27"/>
      <w:r>
        <w:rPr>
          <w:rFonts w:hint="eastAsia" w:asciiTheme="minorEastAsia" w:hAnsiTheme="minorEastAsia"/>
        </w:rPr>
        <w:t xml:space="preserve">的建筑物和构筑物，项目设施的所有设备、机器、装置、零部件、备品备件、化学品。</w:t>
      </w:r>
      <w:r/>
    </w:p>
    <w:p>
      <w:pPr>
        <w:jc w:val="both"/>
        <w:rPr>
          <w:rFonts w:asciiTheme="minorEastAsia" w:hAnsiTheme="minorEastAsia"/>
        </w:rPr>
      </w:pPr>
      <w:r>
        <w:rPr>
          <w:rFonts w:hint="eastAsia" w:asciiTheme="minorEastAsia" w:hAnsiTheme="minorEastAsia"/>
        </w:rPr>
        <w:t xml:space="preserve">（3）运行和维护项目设施所必需的技术文件和技术诀窍，以及甲方或相关主管部门合理要求的运营手册、运营记录、移交记录、设计图纸、文件和其他资料。</w:t>
      </w:r>
      <w:r/>
    </w:p>
    <w:p>
      <w:pPr>
        <w:jc w:val="both"/>
        <w:rPr>
          <w:rFonts w:asciiTheme="minorEastAsia" w:hAnsiTheme="minorEastAsia"/>
        </w:rPr>
      </w:pPr>
      <w:r>
        <w:rPr>
          <w:rFonts w:hint="eastAsia" w:asciiTheme="minorEastAsia" w:hAnsiTheme="minorEastAsia"/>
        </w:rPr>
        <w:t xml:space="preserve">（4）甲方或其指定机构合理要求的其它物品与资料。</w:t>
      </w:r>
      <w:r/>
    </w:p>
    <w:p>
      <w:pPr>
        <w:jc w:val="both"/>
        <w:rPr>
          <w:rFonts w:asciiTheme="minorEastAsia" w:hAnsiTheme="minorEastAsia"/>
        </w:rPr>
      </w:pPr>
      <w:r>
        <w:rPr>
          <w:rFonts w:hint="eastAsia" w:asciiTheme="minorEastAsia" w:hAnsiTheme="minorEastAsia"/>
        </w:rPr>
        <w:t xml:space="preserve">1.2移交上述资产时，除经甲方书面同意外，乙方不享有留置权，不得设置担保物权，并保证无债务纠纷。不得因建设、运营和维护项目设施导致环境污染。</w:t>
      </w:r>
      <w:r/>
    </w:p>
    <w:p>
      <w:pPr>
        <w:jc w:val="both"/>
        <w:rPr>
          <w:rFonts w:asciiTheme="minorEastAsia" w:hAnsiTheme="minorEastAsia"/>
        </w:rPr>
      </w:pPr>
      <w:r>
        <w:rPr>
          <w:rFonts w:hint="eastAsia" w:asciiTheme="minorEastAsia" w:hAnsiTheme="minorEastAsia"/>
        </w:rPr>
        <w:t xml:space="preserve">2移交小组和移交程序</w:t>
      </w:r>
      <w:r/>
    </w:p>
    <w:p>
      <w:pPr>
        <w:jc w:val="both"/>
        <w:rPr>
          <w:rFonts w:asciiTheme="minorEastAsia" w:hAnsiTheme="minorEastAsia"/>
        </w:rPr>
      </w:pPr>
      <w:r>
        <w:rPr>
          <w:rFonts w:hint="eastAsia" w:asciiTheme="minorEastAsia" w:hAnsiTheme="minorEastAsia"/>
        </w:rPr>
        <w:t xml:space="preserve">2.1</w:t>
      </w:r>
      <w:bookmarkStart w:id="28" w:name="_Hlk166488349"/>
      <w:r>
        <w:rPr>
          <w:rFonts w:hint="eastAsia" w:asciiTheme="minorEastAsia" w:hAnsiTheme="minorEastAsia"/>
        </w:rPr>
        <w:t xml:space="preserve">合同期满前3个月</w:t>
      </w:r>
      <w:bookmarkEnd w:id="28"/>
      <w:r>
        <w:rPr>
          <w:rFonts w:hint="eastAsia" w:asciiTheme="minorEastAsia" w:hAnsiTheme="minorEastAsia"/>
        </w:rPr>
        <w:t xml:space="preserve">，甲方或相关主管部门可以通知乙方移交项目。甲方或相关主管部门和乙方成立移交小组，由乙方代理人和甲方或相关主管部门代理人组成。</w:t>
      </w:r>
      <w:r/>
    </w:p>
    <w:p>
      <w:pPr>
        <w:jc w:val="both"/>
        <w:rPr>
          <w:rFonts w:asciiTheme="minorEastAsia" w:hAnsiTheme="minorEastAsia"/>
        </w:rPr>
      </w:pPr>
      <w:r>
        <w:rPr>
          <w:rFonts w:hint="eastAsia" w:asciiTheme="minorEastAsia" w:hAnsiTheme="minorEastAsia"/>
        </w:rPr>
        <w:t xml:space="preserve">2.2移交日前1个月，由移交小组在双方约定的时间举行会谈并商定项目设施移交的详尽程序、最后恢复性大修计划。</w:t>
      </w:r>
      <w:r/>
    </w:p>
    <w:p>
      <w:pPr>
        <w:jc w:val="both"/>
        <w:rPr>
          <w:rFonts w:asciiTheme="minorEastAsia" w:hAnsiTheme="minorEastAsia"/>
        </w:rPr>
      </w:pPr>
      <w:r>
        <w:rPr>
          <w:rFonts w:hint="eastAsia" w:asciiTheme="minorEastAsia" w:hAnsiTheme="minorEastAsia"/>
        </w:rPr>
        <w:t xml:space="preserve">3.在移交日乙方</w:t>
      </w:r>
      <w:r>
        <w:rPr>
          <w:rFonts w:hint="eastAsia"/>
        </w:rPr>
        <w:t xml:space="preserve">将项目设施完好、无偿移交给甲方，</w:t>
      </w:r>
      <w:r>
        <w:rPr>
          <w:rFonts w:hint="eastAsia" w:asciiTheme="minorEastAsia" w:hAnsiTheme="minorEastAsia"/>
        </w:rPr>
        <w:t xml:space="preserve">保证项目设施均处于良好运行状态，确保项目设施能够稳定可靠地运行。污水处理项目场地不存在任何环境问题和环境遗留问题。</w:t>
      </w:r>
      <w:r/>
    </w:p>
    <w:p>
      <w:pPr>
        <w:jc w:val="both"/>
        <w:rPr>
          <w:rFonts w:asciiTheme="minorEastAsia" w:hAnsiTheme="minorEastAsia"/>
          <w:b/>
          <w:bCs/>
        </w:rPr>
      </w:pPr>
      <w:r>
        <w:rPr>
          <w:rFonts w:hint="eastAsia" w:asciiTheme="minorEastAsia" w:hAnsiTheme="minorEastAsia"/>
          <w:b/>
          <w:bCs/>
        </w:rPr>
        <w:t xml:space="preserve">十六、</w:t>
      </w:r>
      <w:bookmarkStart w:id="29" w:name="_Hlk166489608"/>
      <w:r>
        <w:rPr>
          <w:rFonts w:hint="eastAsia" w:asciiTheme="minorEastAsia" w:hAnsiTheme="minorEastAsia"/>
          <w:b/>
          <w:bCs/>
        </w:rPr>
        <w:t xml:space="preserve">不可抗力</w:t>
      </w:r>
      <w:bookmarkEnd w:id="29"/>
      <w:r>
        <w:rPr>
          <w:rFonts w:hint="eastAsia" w:asciiTheme="minorEastAsia" w:hAnsiTheme="minorEastAsia"/>
          <w:b/>
          <w:bCs/>
        </w:rPr>
        <w:t xml:space="preserve">等事件处理</w:t>
      </w:r>
      <w:r/>
    </w:p>
    <w:p>
      <w:pPr>
        <w:jc w:val="both"/>
        <w:rPr>
          <w:rFonts w:asciiTheme="minorEastAsia" w:hAnsiTheme="minorEastAsia"/>
        </w:rPr>
      </w:pPr>
      <w:r>
        <w:rPr>
          <w:rFonts w:hint="eastAsia" w:asciiTheme="minorEastAsia" w:hAnsiTheme="minorEastAsia"/>
        </w:rPr>
        <w:t xml:space="preserve">1.在合同履行期限内，如遇不可抗力事件致使合同不能履行，应立即通知相对方，同时寄送有关权威机构出具的证明文件，以减轻可能给对方造成的损失。双方可以协商解决，其顺眼时间与不可抗力影响期相同。</w:t>
      </w:r>
      <w:r>
        <w:rPr>
          <w:rFonts w:asciiTheme="minorEastAsia" w:hAnsiTheme="minorEastAsia"/>
        </w:rPr>
        <w:t xml:space="preserve"> </w:t>
      </w:r>
      <w:r/>
    </w:p>
    <w:p>
      <w:pPr>
        <w:jc w:val="both"/>
        <w:rPr>
          <w:rFonts w:asciiTheme="minorEastAsia" w:hAnsiTheme="minorEastAsia"/>
        </w:rPr>
      </w:pPr>
      <w:r>
        <w:rPr>
          <w:rFonts w:hint="eastAsia" w:asciiTheme="minorEastAsia" w:hAnsiTheme="minorEastAsia"/>
        </w:rPr>
        <w:t xml:space="preserve">2.甲、乙双方因不可抗力、公司改制、公司破产等原因导致不能继续履行本合同时，双方经过协商可终止本合同，有关费用及劳务以实际履行进行结算。</w:t>
      </w:r>
      <w:r/>
    </w:p>
    <w:p>
      <w:pPr>
        <w:jc w:val="both"/>
        <w:rPr>
          <w:rFonts w:asciiTheme="minorEastAsia" w:hAnsiTheme="minorEastAsia"/>
          <w:b/>
          <w:bCs/>
        </w:rPr>
      </w:pPr>
      <w:r>
        <w:rPr>
          <w:rFonts w:hint="eastAsia" w:asciiTheme="minorEastAsia" w:hAnsiTheme="minorEastAsia"/>
          <w:b/>
          <w:bCs/>
        </w:rPr>
        <w:t xml:space="preserve">十七、保密事项</w:t>
      </w:r>
      <w:r/>
    </w:p>
    <w:p>
      <w:pPr>
        <w:jc w:val="both"/>
        <w:rPr>
          <w:rFonts w:asciiTheme="minorEastAsia" w:hAnsiTheme="minorEastAsia"/>
        </w:rPr>
      </w:pPr>
      <w:r>
        <w:rPr>
          <w:rFonts w:hint="eastAsia" w:asciiTheme="minorEastAsia" w:hAnsiTheme="minorEastAsia"/>
        </w:rPr>
        <w:t xml:space="preserve">1.任何一方及其工作人员对获获取的与本合同及项目有关的资料和文件（包括财务、技术及其它方面的资料和文件）予以保密，未经另一方的同意，不得在合同期满后五年内提供给第三方或公众，但法律法规要求提供的除外。</w:t>
      </w:r>
      <w:r/>
    </w:p>
    <w:p>
      <w:pPr>
        <w:jc w:val="both"/>
        <w:rPr>
          <w:rFonts w:asciiTheme="minorEastAsia" w:hAnsiTheme="minorEastAsia"/>
        </w:rPr>
      </w:pPr>
      <w:r>
        <w:rPr>
          <w:rFonts w:hint="eastAsia" w:asciiTheme="minorEastAsia" w:hAnsiTheme="minorEastAsia"/>
        </w:rPr>
        <w:t xml:space="preserve">2.一方在取得另一方面同意的情况下，发布含有有关本项目进展的非敏感信息的新闻稿。</w:t>
      </w:r>
      <w:r/>
    </w:p>
    <w:p>
      <w:pPr>
        <w:jc w:val="both"/>
        <w:rPr>
          <w:rFonts w:asciiTheme="minorEastAsia" w:hAnsiTheme="minorEastAsia"/>
          <w:b/>
          <w:bCs/>
        </w:rPr>
      </w:pPr>
      <w:r>
        <w:rPr>
          <w:rFonts w:hint="eastAsia" w:asciiTheme="minorEastAsia" w:hAnsiTheme="minorEastAsia"/>
          <w:b/>
          <w:bCs/>
        </w:rPr>
        <w:t xml:space="preserve">十八、争议解决方式</w:t>
      </w:r>
      <w:r/>
    </w:p>
    <w:p>
      <w:pPr>
        <w:jc w:val="both"/>
        <w:rPr>
          <w:rFonts w:asciiTheme="minorEastAsia" w:hAnsiTheme="minorEastAsia"/>
        </w:rPr>
      </w:pPr>
      <w:r>
        <w:rPr>
          <w:rFonts w:hint="eastAsia" w:asciiTheme="minorEastAsia" w:hAnsiTheme="minorEastAsia"/>
        </w:rPr>
        <w:t xml:space="preserve">甲、乙双方因履行本合同发生纠纷时，可以</w:t>
      </w:r>
      <w:bookmarkStart w:id="30" w:name="_Hlk166490142"/>
      <w:r>
        <w:rPr>
          <w:rFonts w:hint="eastAsia" w:asciiTheme="minorEastAsia" w:hAnsiTheme="minorEastAsia"/>
        </w:rPr>
        <w:t xml:space="preserve">协商</w:t>
      </w:r>
      <w:bookmarkEnd w:id="30"/>
      <w:r>
        <w:rPr>
          <w:rFonts w:hint="eastAsia" w:asciiTheme="minorEastAsia" w:hAnsiTheme="minorEastAsia"/>
        </w:rPr>
        <w:t xml:space="preserve">解决；协商不成的，可以向新沂市人民法院提起诉讼。</w:t>
      </w:r>
      <w:r/>
    </w:p>
    <w:p>
      <w:pPr>
        <w:jc w:val="both"/>
        <w:rPr>
          <w:rFonts w:asciiTheme="minorEastAsia" w:hAnsiTheme="minorEastAsia"/>
          <w:b/>
          <w:bCs/>
        </w:rPr>
      </w:pPr>
      <w:r>
        <w:rPr>
          <w:rFonts w:hint="eastAsia" w:asciiTheme="minorEastAsia" w:hAnsiTheme="minorEastAsia"/>
          <w:b/>
          <w:bCs/>
        </w:rPr>
        <w:t xml:space="preserve">十九、其它</w:t>
      </w:r>
      <w:r/>
    </w:p>
    <w:p>
      <w:pPr>
        <w:jc w:val="both"/>
        <w:rPr>
          <w:rFonts w:asciiTheme="minorEastAsia" w:hAnsiTheme="minorEastAsia"/>
        </w:rPr>
      </w:pPr>
      <w:r>
        <w:rPr>
          <w:rFonts w:hint="eastAsia" w:asciiTheme="minorEastAsia" w:hAnsiTheme="minorEastAsia"/>
        </w:rPr>
        <w:t xml:space="preserve">1.本合同未尽事宜，双方经过协商可以达成书面补充协议，补充协议</w:t>
      </w:r>
      <w:bookmarkStart w:id="31" w:name="_Hlk166490709"/>
      <w:r>
        <w:rPr>
          <w:rFonts w:hint="eastAsia" w:asciiTheme="minorEastAsia" w:hAnsiTheme="minorEastAsia"/>
        </w:rPr>
        <w:t xml:space="preserve">与本合同具有同等法律效力</w:t>
      </w:r>
      <w:bookmarkEnd w:id="31"/>
      <w:r>
        <w:rPr>
          <w:rFonts w:hint="eastAsia" w:asciiTheme="minorEastAsia" w:hAnsiTheme="minorEastAsia"/>
        </w:rPr>
        <w:t xml:space="preserve">。</w:t>
      </w:r>
      <w:r/>
    </w:p>
    <w:p>
      <w:pPr>
        <w:jc w:val="both"/>
        <w:rPr>
          <w:rFonts w:asciiTheme="minorEastAsia" w:hAnsiTheme="minorEastAsia"/>
        </w:rPr>
      </w:pPr>
      <w:r>
        <w:rPr>
          <w:rFonts w:hint="eastAsia" w:asciiTheme="minorEastAsia" w:hAnsiTheme="minorEastAsia"/>
        </w:rPr>
        <w:t xml:space="preserve">2.合同附件是合同</w:t>
      </w:r>
      <w:bookmarkStart w:id="32" w:name="_Hlk166573178"/>
      <w:r>
        <w:rPr>
          <w:rFonts w:hint="eastAsia" w:asciiTheme="minorEastAsia" w:hAnsiTheme="minorEastAsia"/>
        </w:rPr>
        <w:t xml:space="preserve">组成</w:t>
      </w:r>
      <w:bookmarkEnd w:id="32"/>
      <w:r>
        <w:rPr>
          <w:rFonts w:hint="eastAsia" w:asciiTheme="minorEastAsia" w:hAnsiTheme="minorEastAsia"/>
        </w:rPr>
        <w:t xml:space="preserve">部分，与本合同具有同等法律效力。甲方招标文件、乙方投标文件及乙方投标最终报价单、承诺等均是本合同组成部分。</w:t>
      </w:r>
      <w:r/>
    </w:p>
    <w:p>
      <w:pPr>
        <w:jc w:val="both"/>
        <w:rPr>
          <w:rFonts w:asciiTheme="minorEastAsia" w:hAnsiTheme="minorEastAsia"/>
        </w:rPr>
      </w:pPr>
      <w:r>
        <w:rPr>
          <w:rFonts w:hint="eastAsia" w:asciiTheme="minorEastAsia" w:hAnsiTheme="minorEastAsia"/>
        </w:rPr>
        <w:t xml:space="preserve">3.本合同一式捌份，甲方执陆份，乙方执贰份；本合同自甲、乙双方签字、盖章之日起生效。</w:t>
      </w:r>
      <w:r/>
    </w:p>
    <w:p>
      <w:pPr>
        <w:jc w:val="both"/>
        <w:rPr>
          <w:rFonts w:asciiTheme="minorEastAsia" w:hAnsiTheme="minorEastAsia"/>
        </w:rPr>
      </w:pPr>
      <w:r>
        <w:rPr>
          <w:rFonts w:asciiTheme="minorEastAsia" w:hAnsiTheme="minorEastAsia"/>
        </w:rPr>
      </w:r>
      <w:r/>
    </w:p>
    <w:p>
      <w:pPr>
        <w:jc w:val="both"/>
        <w:rPr>
          <w:rFonts w:asciiTheme="minorEastAsia" w:hAnsiTheme="minorEastAsia"/>
        </w:rPr>
      </w:pPr>
      <w:r>
        <w:rPr>
          <w:rFonts w:hint="eastAsia" w:asciiTheme="minorEastAsia" w:hAnsiTheme="minorEastAsia"/>
        </w:rPr>
        <w:t xml:space="preserve">甲方：                                   乙方：</w:t>
      </w:r>
      <w:r/>
    </w:p>
    <w:p>
      <w:pPr>
        <w:jc w:val="both"/>
        <w:rPr>
          <w:rFonts w:asciiTheme="minorEastAsia" w:hAnsiTheme="minorEastAsia"/>
        </w:rPr>
      </w:pPr>
      <w:r>
        <w:rPr>
          <w:rFonts w:hint="eastAsia" w:asciiTheme="minorEastAsia" w:hAnsiTheme="minorEastAsia"/>
        </w:rPr>
        <w:t xml:space="preserve">地址：                                   地址：</w:t>
      </w:r>
      <w:r/>
    </w:p>
    <w:p>
      <w:pPr>
        <w:jc w:val="both"/>
        <w:rPr>
          <w:rFonts w:asciiTheme="minorEastAsia" w:hAnsiTheme="minorEastAsia"/>
        </w:rPr>
      </w:pPr>
      <w:r>
        <w:rPr>
          <w:rFonts w:hint="eastAsia" w:asciiTheme="minorEastAsia" w:hAnsiTheme="minorEastAsia"/>
        </w:rPr>
        <w:t xml:space="preserve">法定代表人（代理人）:                     法定代表人（代理人）:</w:t>
      </w:r>
      <w:r/>
    </w:p>
    <w:p>
      <w:pPr>
        <w:jc w:val="both"/>
        <w:rPr>
          <w:rFonts w:asciiTheme="minorEastAsia" w:hAnsiTheme="minorEastAsia"/>
        </w:rPr>
      </w:pPr>
      <w:r>
        <w:rPr>
          <w:rFonts w:hint="eastAsia" w:asciiTheme="minorEastAsia" w:hAnsiTheme="minorEastAsia"/>
        </w:rPr>
        <w:t xml:space="preserve">        </w:t>
      </w:r>
      <w:bookmarkStart w:id="33" w:name="_Hlk166491173"/>
      <w:r>
        <w:rPr>
          <w:rFonts w:hint="eastAsia" w:asciiTheme="minorEastAsia" w:hAnsiTheme="minorEastAsia"/>
        </w:rPr>
        <w:t xml:space="preserve">年  月  日</w:t>
      </w:r>
      <w:bookmarkEnd w:id="33"/>
      <w:r>
        <w:rPr>
          <w:rFonts w:hint="eastAsia" w:asciiTheme="minorEastAsia" w:hAnsiTheme="minorEastAsia"/>
        </w:rPr>
        <w:t xml:space="preserve">                                  年  月  日</w:t>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t xml:space="preserve"> </w:t>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r>
      <w:r/>
    </w:p>
    <w:p>
      <w:pPr>
        <w:pStyle w:val="843"/>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43"/>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附件1：项目座落位置：</w:t>
      </w:r>
      <w:r/>
    </w:p>
    <w:p>
      <w:pPr>
        <w:numPr>
          <w:ilvl w:val="0"/>
          <w:numId w:val="7"/>
        </w:numPr>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新沂市镇级污水处理设施：</w:t>
      </w:r>
      <w:r/>
    </w:p>
    <w:tbl>
      <w:tblPr>
        <w:tblStyle w:val="837"/>
        <w:tblW w:w="817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0"/>
        <w:gridCol w:w="3315"/>
        <w:gridCol w:w="3760"/>
      </w:tblGrid>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厂名</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规模（t/d）</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高流</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马陵山</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时集</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阿湖</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邵店</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阿湖镇区污水提升泵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45kw/h</w:t>
            </w:r>
            <w:r/>
          </w:p>
        </w:tc>
      </w:tr>
      <w:tr>
        <w:trPr>
          <w:trHeight w:val="238"/>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高流镇区污水提升泵</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45kw/h</w:t>
            </w:r>
            <w:r/>
          </w:p>
        </w:tc>
      </w:tr>
    </w:tbl>
    <w:p>
      <w:pPr>
        <w:pStyle w:val="864"/>
        <w:numPr>
          <w:ilvl w:val="0"/>
          <w:numId w:val="0"/>
        </w:numPr>
        <w:spacing w:after="120" w:line="440" w:lineRule="exact"/>
        <w:rPr>
          <w:rFonts w:hint="eastAsia"/>
          <w:lang w:val="en-US" w:eastAsia="zh-CN"/>
        </w:rPr>
      </w:pPr>
      <w:r>
        <w:rPr>
          <w:rFonts w:hint="eastAsia"/>
          <w:lang w:val="en-US" w:eastAsia="zh-CN"/>
        </w:rPr>
      </w:r>
      <w:r/>
    </w:p>
    <w:p>
      <w:pPr>
        <w:numPr>
          <w:ilvl w:val="0"/>
          <w:numId w:val="0"/>
        </w:numPr>
        <w:rPr>
          <w:rFonts w:hint="default"/>
          <w:lang w:val="en-US" w:eastAsia="zh-CN"/>
        </w:rPr>
      </w:pPr>
      <w:r>
        <w:rPr>
          <w:rFonts w:hint="eastAsia" w:ascii="仿宋" w:hAnsi="仿宋" w:eastAsia="仿宋" w:cs="仿宋"/>
          <w:b/>
          <w:color w:val="auto"/>
          <w:sz w:val="21"/>
          <w:szCs w:val="21"/>
          <w:highlight w:val="none"/>
          <w:lang w:val="en-US" w:eastAsia="zh-CN"/>
        </w:rPr>
        <w:t xml:space="preserve">（2）村级污水处理设施：</w:t>
      </w:r>
      <w:r/>
    </w:p>
    <w:tbl>
      <w:tblPr>
        <w:tblStyle w:val="837"/>
        <w:tblW w:w="9090"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935"/>
        <w:gridCol w:w="1860"/>
        <w:gridCol w:w="1005"/>
        <w:gridCol w:w="1365"/>
        <w:gridCol w:w="1200"/>
        <w:gridCol w:w="1095"/>
      </w:tblGrid>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行政镇（街道）村名称村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项目所在地</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服务户数</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规模</w:t>
            </w:r>
            <w:r/>
          </w:p>
        </w:tc>
        <w:tc>
          <w:tcPr>
            <w:shd w:val="clear" w:color="auto" w:fill="auto"/>
            <w:tcBorders>
              <w:top w:val="single" w:color="000000" w:sz="4" w:space="0"/>
              <w:left w:val="single" w:color="000000" w:sz="4" w:space="0"/>
              <w:bottom w:val="non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建设年份</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建设单位</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9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古沟庄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佃户二组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西姜庄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小郑庄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东黄庄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后湾庄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西闻村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唐店街道八户村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小芦汪</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踢球西街</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墨河街道新戴村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沙圩庄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马陵山镇冲口村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高程村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李山庄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北沟街道塔山村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山后村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前戴庄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桥北村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钟吾街道臧圩村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藏圩二组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阿湖镇古村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阿湖镇阿湖村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河西小新庄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岳庄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相庄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后邢组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前干口</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时集镇白科村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欢墩组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时集镇万沟村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邢庄(改陆庄)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大农场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潘徐庄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红武</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阿湖镇双池村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山水泉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沟埃庄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郑刘/佃北村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小八户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小何</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马陵山镇大沟村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马陵山镇广玉村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马陵山镇湖东村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马庙</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马陵山镇花厅村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前窑</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官代</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邵店镇菜园村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老虎流</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邵店镇陈堰村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沟涯头</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刘冲</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邵店镇邵西村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官坊庄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邵店镇叶海村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锦绣新农村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东埠组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小凉泉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西钓台</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大尚湖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后段宅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前段宅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小黄墩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九里墩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后井1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老界沟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唐店街道杜湖村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东常圩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臭桔障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官东(官路)</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超纲</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阿湖镇下湖村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阿湖镇上旺村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凤凰新农社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黑墩庄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马陵山镇陆庄</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三合（三合集居区）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庄胡</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许相</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狄湖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卓庄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东鲍圩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悦集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时集镇敬元村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祥瑞新农社一期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桃花源新农社2期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温墩集居区（温墩新区）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时集镇新庄村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蒲沟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non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non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丁集</w:t>
            </w:r>
            <w:r/>
          </w:p>
        </w:tc>
        <w:tc>
          <w:tcPr>
            <w:shd w:val="clear" w:color="auto" w:fill="auto"/>
            <w:tcBorders>
              <w:top w:val="non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non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non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non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小乔村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non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西常圩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non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尚营</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唐店街道徐李村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谷庄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桃岭集居区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高流镇官王村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黑沙墩（季圩）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老范（范南）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马陵山镇姜庄村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宋山集居区（宋山新区）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凤云（夏圩）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嶂仓</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蒋马（南庄）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北沟街道南沟村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三岔（吴庄）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盘石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邵店镇联合村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周新圩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邵店镇朱圩村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朱圩村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前双井</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shd w:val="clear" w:color="auto" w:fill="auto"/>
            <w:tcBorders>
              <w:top w:val="single" w:color="000000" w:sz="4" w:space="0"/>
              <w:left w:val="single" w:color="000000" w:sz="4" w:space="0"/>
              <w:bottom w:val="non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唐店街道山前村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沙仲子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桃花居集居区（小魏）</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双塘镇刘庄村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双塘镇孟庄村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沭河（黄集）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桃花源（桃花源集居区）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墩新（东庄）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阿湖镇芦湖村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蒋沟组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唐店街道坡桥村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坡桥</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小尚湖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龙河村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黄墩组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1*7(用户机）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沂北干渠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钟吾街道官王村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官王（养牛场）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孔圩小区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non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non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练马村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提升泵（大功率）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bl>
    <w:p>
      <w:pPr>
        <w:pStyle w:val="843"/>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43"/>
        <w:numPr>
          <w:ilvl w:val="0"/>
          <w:numId w:val="0"/>
        </w:numPr>
        <w:jc w:val="both"/>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r>
      <w:r/>
    </w:p>
    <w:p>
      <w:pPr>
        <w:pStyle w:val="843"/>
        <w:numPr>
          <w:ilvl w:val="0"/>
          <w:numId w:val="0"/>
        </w:numPr>
        <w:jc w:val="both"/>
        <w:rPr>
          <w:rFonts w:hint="eastAsia" w:ascii="仿宋" w:hAnsi="仿宋" w:eastAsia="仿宋" w:cs="仿宋"/>
          <w:b/>
          <w:color w:val="auto"/>
          <w:sz w:val="21"/>
          <w:szCs w:val="21"/>
          <w:highlight w:val="none"/>
          <w:lang w:val="en-US" w:eastAsia="zh-CN"/>
        </w:rP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1"/>
          <w:szCs w:val="21"/>
          <w:highlight w:val="none"/>
          <w:lang w:val="en-US" w:eastAsia="zh-CN"/>
        </w:rPr>
      </w:r>
      <w:r/>
    </w:p>
    <w:p>
      <w:pPr>
        <w:rPr>
          <w:rFonts w:hint="eastAsia" w:ascii="仿宋" w:hAnsi="仿宋" w:eastAsia="仿宋" w:cs="仿宋"/>
          <w:b/>
          <w:color w:val="auto"/>
          <w:sz w:val="20"/>
          <w:szCs w:val="20"/>
          <w:lang w:val="en-US" w:eastAsia="zh-CN"/>
        </w:rPr>
      </w:pPr>
      <w:r>
        <w:rPr>
          <w:rFonts w:hint="eastAsia" w:ascii="仿宋" w:hAnsi="仿宋" w:eastAsia="仿宋" w:cs="仿宋"/>
          <w:b/>
          <w:color w:val="auto"/>
          <w:sz w:val="20"/>
          <w:szCs w:val="20"/>
          <w:lang w:val="en-US" w:eastAsia="zh-CN"/>
        </w:rPr>
        <w:t xml:space="preserve">附件2：考核办法</w:t>
      </w:r>
      <w:r/>
    </w:p>
    <w:tbl>
      <w:tblPr>
        <w:tblStyle w:val="837"/>
        <w:tblpPr w:horzAnchor="page" w:tblpX="811" w:vertAnchor="text" w:tblpY="317" w:leftFromText="180" w:topFromText="0" w:rightFromText="180" w:bottomFromText="0"/>
        <w:tblW w:w="14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0"/>
        <w:gridCol w:w="1037"/>
        <w:gridCol w:w="705"/>
        <w:gridCol w:w="600"/>
        <w:gridCol w:w="1005"/>
        <w:gridCol w:w="5633"/>
        <w:gridCol w:w="4190"/>
        <w:gridCol w:w="955"/>
      </w:tblGrid>
      <w:tr>
        <w:trPr>
          <w:trHeight w:val="582"/>
        </w:trPr>
        <w:tc>
          <w:tcPr>
            <w:gridSpan w:val="8"/>
            <w:tcBorders>
              <w:top w:val="none" w:color="000000" w:sz="4" w:space="0"/>
              <w:left w:val="none" w:color="000000" w:sz="4" w:space="0"/>
              <w:bottom w:val="none" w:color="000000" w:sz="4" w:space="0"/>
              <w:right w:val="none" w:color="000000" w:sz="4" w:space="0"/>
            </w:tcBorders>
            <w:tcW w:w="1499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新沂市镇级污水处理厂及提升泵站运营维护管理考核项 </w:t>
            </w:r>
            <w:r/>
          </w:p>
        </w:tc>
      </w:tr>
      <w:tr>
        <w:trPr>
          <w:trHeight w:val="795"/>
        </w:trPr>
        <w:tc>
          <w:tcPr>
            <w:gridSpan w:val="6"/>
            <w:tcBorders>
              <w:top w:val="none" w:color="000000" w:sz="4" w:space="0"/>
              <w:left w:val="none" w:color="000000" w:sz="4" w:space="0"/>
              <w:bottom w:val="none" w:color="000000" w:sz="4" w:space="0"/>
              <w:right w:val="none" w:color="000000" w:sz="4" w:space="0"/>
            </w:tcBorders>
            <w:tcW w:w="9850"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污水厂名称(季度考核，所有污水处理厂、提升泵站全部考核，统筹按下表赋分)：</w:t>
            </w:r>
            <w:r/>
          </w:p>
        </w:tc>
        <w:tc>
          <w:tcPr>
            <w:gridSpan w:val="2"/>
            <w:tcBorders>
              <w:top w:val="none" w:color="000000" w:sz="4" w:space="0"/>
              <w:left w:val="none" w:color="000000" w:sz="4" w:space="0"/>
              <w:bottom w:val="none" w:color="000000" w:sz="4" w:space="0"/>
              <w:right w:val="none" w:color="000000" w:sz="4" w:space="0"/>
            </w:tcBorders>
            <w:tcW w:w="51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考核时间段：年  月 日～ 年 月  日</w:t>
            </w:r>
            <w:r/>
          </w:p>
        </w:tc>
      </w:tr>
      <w:tr>
        <w:trPr>
          <w:trHeight w:val="5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考核内容得分</w:t>
            </w:r>
            <w:r/>
          </w:p>
        </w:tc>
      </w:tr>
      <w:tr>
        <w:trPr>
          <w:trHeight w:val="90"/>
        </w:trPr>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处理厂污水管理</w:t>
            </w:r>
            <w:r/>
          </w:p>
        </w:tc>
        <w:tc>
          <w:tcPr>
            <w:tcBorders>
              <w:top w:val="non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污水处理现状</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能正常运行，出水水质好，得3分；能正常运行，出水水质差，有正当理由的，得2分；能正常运行，出水水质差，无正当理由的，得1分；不能正常运行的不得分。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现场查看污水处理厂处理单元是否运行正常，处理出水清澈透明，达到出水标准。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污水处理质量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（1）处理出水的CODcr、NH3-N、TN、TP每日平均排放值达标，得5分；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（2）有一项不达标即认定为一天不达标，一天不达标扣0.2分，扣完为止。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查月度水质化验台帐或在线监测数据及监测报告，并与实际运行情况相比较。处理出水排放指标值依据工程设计标准，以及国家、江苏省的相关规定要求确定。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815"/>
        </w:trPr>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处理厂污泥管理</w:t>
            </w:r>
            <w:r/>
          </w:p>
        </w:tc>
        <w:tc>
          <w:tcPr>
            <w:tcBorders>
              <w:top w:val="non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污泥处置合同及处置办法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有污泥处置合同，有科学、合理的污泥处置办法，不会造成二次污染的，得2分；</w:t>
            </w:r>
            <w:r/>
          </w:p>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（2）有污泥处置合同和处置办法，但会造成一定程度的二次污染的，得1分；</w:t>
            </w:r>
            <w:r/>
          </w:p>
          <w:p>
            <w:pPr>
              <w:numPr>
                <w:ilvl w:val="0"/>
                <w:numId w:val="8"/>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（3）有污泥处置合同，但未明确处理方法和处理地点的，得0.5分；                                                </w:t>
            </w:r>
            <w:r/>
          </w:p>
          <w:p>
            <w:pPr>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（4）无污泥处置合同，不得分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查污泥处置（含污泥外运）合同、污泥出厂单据，污泥处置单位出具的收费票据等。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85"/>
        </w:trPr>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污泥处理设施</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（1）有污泥处理设施且运行正常，得2分；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（2）有污泥处理设施但运行不正常，且无合理理由的，得1分；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（3）无污泥处理设施，不得分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现场查看污泥处理设施是否正常运行；如遇特殊情况未生产，应有合理依据。</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泵站运行维护质量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（1）泵站运行正常，设备检修维护得当且及时，现场管理到位，得2分；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（2）设备运行基本正常，设备检修维护一般且欠及时，现场管理一般，得1分；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（3）设备运行不正常，设备检修维护滞后，现场管理差，得0分。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现场查看泵站运行管理水平，对泵站设备进行现场试车，检查设备状况。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泵站运行资料记录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（1）泵站运行有齐全的资料记录和检修维护记录，得2分；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（2）泵站运行资料记录和检修维护记录不齐全，得0分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检查泵站运行有齐全的资料记录和检修维护记录。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75"/>
        </w:trPr>
        <w:tc>
          <w:tcPr>
            <w:tcBorders>
              <w:top w:val="non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non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生产运行管理</w:t>
            </w:r>
            <w:r/>
          </w:p>
        </w:tc>
        <w:tc>
          <w:tcPr>
            <w:tcBorders>
              <w:top w:val="non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人员</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配备</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人员配备满足处理规模要求，且生产人员&gt;50%，得1分；人员配备相对合理，得0.5分；人员配备不合理，不得分。</w:t>
            </w:r>
            <w:r>
              <w:rPr>
                <w:rStyle w:val="1074"/>
                <w:rFonts w:hint="eastAsia" w:ascii="仿宋" w:hAnsi="仿宋" w:eastAsia="仿宋" w:cs="仿宋"/>
                <w:sz w:val="21"/>
                <w:szCs w:val="21"/>
                <w:lang w:val="en-US" w:eastAsia="zh-CN" w:bidi="ar"/>
              </w:rPr>
              <w:t xml:space="preserve"> </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提供职工名册和分工。采用区域统一管理的，技术、机修、化验人员可由公司统筹共用。</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80"/>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人员    培训</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（1）制定科学、合理的人员培训计划，并按计划有序实施，得2分；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（2）有科学、合理的人员培训计划，但未按计划有序实施，得1分；</w:t>
            </w:r>
            <w:r/>
          </w:p>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（3）无科学、合理的人员培训计划，不得分。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查培训计划及实施情况记录。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持证    情况</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独立运行管理或区域性统一管理的，技术负责人应具有相关专业大专及以上学历，并需取得江苏省住房城乡建设厅组织的技术管理人员培训合格人员证书，得2分；否则不得分。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查看相关证书，人证合一。</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工艺</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工艺管理到位，有详细的工艺管理规定，并有工艺应急预案、调试方案、月运行报表，得2分；每缺一项，扣一分，扣完为止。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查工艺运行管理规定、应急预案、调试方案、月运行报表等。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32"/>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再生水  回用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厂内回用得2分；无再生水回用不得分。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厂内回用于脱水机反冲洗、绿化浇灌、道路喷洒等。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70"/>
        </w:trPr>
        <w:tc>
          <w:tcPr>
            <w:tcBorders>
              <w:top w:val="non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消毒</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消毒设施正常运行，得1分，不能正常运行，不得分。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臭氧、紫外等消毒方式均应有安全运行场所和防护措施。</w:t>
            </w:r>
            <w:r>
              <w:rPr>
                <w:rFonts w:hint="eastAsia" w:ascii="仿宋" w:hAnsi="仿宋" w:eastAsia="仿宋" w:cs="仿宋"/>
                <w:i w:val="0"/>
                <w:iCs w:val="0"/>
                <w:color w:val="000000"/>
                <w:sz w:val="21"/>
                <w:szCs w:val="21"/>
                <w:highlight w:val="none"/>
                <w:u w:val="none"/>
                <w:lang w:val="en-US" w:eastAsia="zh-CN" w:bidi="ar"/>
              </w:rPr>
              <w:t xml:space="preserve">按规定次氯酸钠消毒，需依据《氯气安全规程》GB11984-1989的有关规定。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15"/>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台帐</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污水</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（1）运行台帐记录齐全、真实可靠，得3分；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（2）运行台帐记录不齐全，每缺一项扣0.5分，扣完为止；</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（3）记录数据不真实不得分；无运行台帐不得分。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污水台帐记录内容包括：水量、设备、仪表开启及运行记录；工艺控制参数如DO、MLSS、污泥回流等；值班人、接班人、交接班记录等。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9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污泥</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污泥处理运行台帐和污泥处置凭证记录齐全、真实可靠，得3分；记录不齐全，每缺一项扣1分，扣完为止；记录数据不真实不得分；无台帐不得分。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污泥台帐包括脱水机的开停、运行时间、污泥产量等记录，以及絮凝剂的配制及用量、药泵开启时间、污泥外运记录等。值班人、接班人、交接班情况等应记录齐全。</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设备及在线仪表台帐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台帐记录齐全、真实可靠，得2分；记录不齐全，每缺一项扣0.5分，扣完为止；记录不真实，不得分；无台帐不得分。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主要设备，如鼓风机等的设备运行记录台帐，设备开停时间等齐全；设备大修计划及记录台帐；设备维护保养计划及记录台帐；在线仪表的维护校验记录。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9"/>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化验</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台帐</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记录齐全、真实、合理、可靠，得2分；记录不真实，不得分；缺少一项扣0.5分，扣完为止。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记录真实可靠、信息齐全、填写规范，实验室记录能够复现检测过程。</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9"/>
        </w:trPr>
        <w:tc>
          <w:tcPr>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污水处理能耗</w:t>
            </w:r>
            <w:r/>
          </w:p>
        </w:tc>
        <w:tc>
          <w:tcPr>
            <w:tcBorders>
              <w:top w:val="single" w:color="000000" w:sz="4" w:space="0"/>
              <w:left w:val="single" w:color="000000" w:sz="4" w:space="0"/>
              <w:bottom w:val="non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能耗一览表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污水处理运行单位耗电一览表完整、真实、准确得2分；不完整得1分，没有或不真实不得分。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查月度运行单位耗电一览表、电费单据、污水处理水量等。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85"/>
        </w:trPr>
        <w:tc>
          <w:tcPr>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智慧水务平台建设运行情况</w:t>
            </w:r>
            <w:r/>
          </w:p>
        </w:tc>
        <w:tc>
          <w:tcPr>
            <w:tcBorders>
              <w:top w:val="single" w:color="000000" w:sz="4" w:space="0"/>
              <w:left w:val="single" w:color="000000" w:sz="4" w:space="0"/>
              <w:bottom w:val="non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中控系统建设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按时完成智慧水务系统建设，操作方式简单易懂，数据调阅明显直观，得4分，否则酌情扣分。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中控系统完善情况。</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905"/>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水质</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与检</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验</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化验室配备</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配备化验室且检测仪器设备配齐全的的2分；未配备化验室，不得分；检测仪器设备配备不足，常规项缺1项扣1分，扣完为止；化验室配备但不能正常工作的，常规项缺1项扣1分，扣完为止。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厂的运行应有化验数据的支撑和指导，应配备化验室。同一城市的多个污水处理厂，可共用综合分析中心，但污水厂内用于常规化验项目如COD、BOD、SS、NH-N、TP、TN的检测设备应配备齐全。化学品、危险化学品仓库均应按要求布设，规章制度齐全并按相关规定管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化验项目及频次</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（1）化验分析项目及频次齐全，得2分；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（2）化验项目每少一项扣0.5分，频次每少一次扣0.1分，扣完为止；</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（3）未开展化验项目，不得分。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化验项目及频次依据CJJ60-94《城市污水处理厂运行、维护及其安全技术规程》中的规定。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化验分析方法</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采用国家或行业标准检验分析方法，得3分；有一项不合理扣0.5分，扣完为止。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水质检测项目的分析方法按照《城镇污水处理厂污染物排放标准》（GB18918-2002）一级A标准的规定。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化验质量控制</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每有1项不符合要求，扣1分，扣完为止。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化验室内部应建立健全水质分析质量保证制度；每日样品需进行精密度（平行双样）和准确度（加标回收）控制，定期进行标准样品、仪器设备的量值溯源，并完整保存记录。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与仪</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表</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设备外观整洁；螺栓齐全牢固；设备无腐蚀，无渗漏，润滑充分；电气设备符合安全要求；附属设备工作正常；整机运行平稳可靠；仪器仪表准确灵敏；使用高效节能设备；设备完好率&gt;95%。</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在线监测仪表</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按工艺要求布设仪表，且仪表工作正常，得4分；有一套在线仪表工作不正常，扣0.5分，扣完为止；不按工艺要求布设的，有一套扣0.5分，扣完为止；仪表的完好率、运转率不达要求的，各扣0.5分。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场查看与智慧水务联网的在线COD监测仪、流量计等运行状况；现场查看工艺流程中指导生产的在线仪表如液位计、pH计、DO、浊度仪等检测点是否按工艺要求布设，显示是否正常，仪表的完好率不应小于90%，仪表的运转率不应小于90%。</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5"/>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安全管理制度</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有健全的各级安全管理机构；安全规章制度；安全检查记录齐全；安全隐患检查记录齐全，发现安全隐患有积极的响应措施、并能及时有效解决；安全检查台帐及安全隐患排除记录齐全 。</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5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安全规程及防护</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操作规程齐全、到位；岗位人员有必要的安全保护措施，必要场所有安全警示牌；有毒、有害场所有安全防护仪器、仪表、器具配备；危险品、易燃、易爆品有相应的管理规定。</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安全培训要有年度、月度计划，并结合工作岗位对职工进行安全教育，并有安全教育台帐。</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non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厂容</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厂貌</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室外</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每有一项不符合扣1分,扣完为止。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建筑物外观整洁、无明显的破损和渗漏；厂内道路完好、通畅，无破损；所有车辆在固定场所停放有序；各种管道色标明显、阀门井、计量井等处整齐完好，井内无积水污物；厂内照明设施完好； 厂内可绿化面积30%以上，且绿地植被无死亡缺损现象。</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15"/>
        </w:trPr>
        <w:tc>
          <w:tcPr>
            <w:tcBorders>
              <w:top w:val="single" w:color="000000" w:sz="4" w:space="0"/>
              <w:left w:val="single" w:color="000000" w:sz="4" w:space="0"/>
              <w:bottom w:val="non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室内</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每有一项不符合扣0.2分,扣完为止。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办公室、值班室、操作室、机房内物品摆放整齐，卫生整洁，无烟头污渍等，照明齐全有效；门、窗、玻璃明亮无破损，墙壁整洁；办公桌椅、操作工具摆放整齐；淋浴室、卫生间设施齐全、无破损、无异味；操作人员着装整齐、干净、文明礼貌。</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3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制度</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操作</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缺一项扣0.5分,扣完为止。</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设备、岗位、安全的各项操作规程应健全、科学、完善；各工艺、工段操作规程齐备；各工艺、工段安全操作规程、防护规程齐备；生产管理制度、岗位责任制度、设备管理制度、化验室管理制度、岗位工作职责均应齐备。</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考核制度</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有完善的考核制度且确保很好地实施，得2分；有考核制度但不能很好地实施，得1分，无考核制度不得分。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查考核制度及实施情况记录。</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信息建设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有很好的信息化建设平台，能很好地通过对内对外信息平台为生产服务；网上上报运营信息，数据要真实可靠，并及时按日/周/月/季度上报，得2分；否则不得分。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包括内部信息传递、信息上报；对内、对外信息管理；“全国城镇污水处理管理信息系统”信息填报工作按建设部建城（2007）277号文件规定执行。</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037"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企业文化建设</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有良好的企业文化氛围，得2分；否则不得分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企业文化包括招牌、门面、服饰、工作环境等，还包括人员素质、生产经营能力、管理水平、资本实力、产品质量等。</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13</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药剂存放和使用</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rPr>
              <w:t xml:space="preserve">药剂存放和使用考核</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none"/>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规范存放药剂且规范使用药剂，得2分；否则不得分。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none"/>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根据实际需要使用药剂，并按规范存放药剂的。</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处理水量</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处理水量考核</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yellow"/>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已实际处理达标出水水量高于90%不扣分；每少1%扣0.5分；低于70%不得分</w:t>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yellow"/>
                <w:u w:val="none"/>
                <w:lang w:val="en-US" w:eastAsia="zh-CN" w:bidi="ar-SA"/>
              </w:rPr>
              <w:suppressLineNumbers w:val="0"/>
            </w:pPr>
            <w:r>
              <w:rPr>
                <w:rFonts w:hint="eastAsia" w:ascii="仿宋" w:hAnsi="仿宋" w:eastAsia="仿宋" w:cs="仿宋"/>
                <w:i w:val="0"/>
                <w:iCs w:val="0"/>
                <w:color w:val="000000"/>
                <w:sz w:val="21"/>
                <w:szCs w:val="21"/>
                <w:highlight w:val="none"/>
                <w:u w:val="none"/>
                <w:lang w:val="en-US" w:eastAsia="zh-CN" w:bidi="ar"/>
              </w:rPr>
              <w:t xml:space="preserve">实际处理达标水量高于90%不扣分；每少1%扣0.5分；低于70%不得分。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non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none" w:color="000000" w:sz="4" w:space="0"/>
            </w:tcBorders>
            <w:tcW w:w="41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按照要求做好安排的其他相关工作，得10分。因客观原因无法及时完成相关工作要求经过主管部门同意的或超出协议约定范围的影响到正常运行或成本的需另行商定的，不扣分。（2）已经展开相关工作，未能按时完成造成一定不良影响的，有一项扣1分。（3）故意拖延或不配合相关工作造成严重后果的，有一项扣2分。</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32"/>
        </w:trPr>
        <w:tc>
          <w:tcPr>
            <w:tcBorders>
              <w:top w:val="none" w:color="000000" w:sz="4" w:space="0"/>
              <w:left w:val="single" w:color="000000" w:sz="4" w:space="0"/>
              <w:bottom w:val="single" w:color="000000" w:sz="4" w:space="0"/>
              <w:right w:val="none" w:color="000000" w:sz="4" w:space="0"/>
            </w:tcBorders>
            <w:tcW w:w="87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gridSpan w:val="6"/>
            <w:tcBorders>
              <w:top w:val="single" w:color="000000" w:sz="4" w:space="0"/>
              <w:left w:val="single" w:color="000000" w:sz="4" w:space="0"/>
              <w:bottom w:val="single" w:color="000000" w:sz="4" w:space="0"/>
              <w:right w:val="single" w:color="000000" w:sz="4" w:space="0"/>
            </w:tcBorders>
            <w:tcW w:w="13170"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50"/>
        </w:trPr>
        <w:tc>
          <w:tcPr>
            <w:gridSpan w:val="8"/>
            <w:tcBorders>
              <w:top w:val="single" w:color="000000" w:sz="4" w:space="0"/>
              <w:left w:val="none" w:color="000000" w:sz="4" w:space="0"/>
              <w:bottom w:val="none" w:color="000000" w:sz="4" w:space="0"/>
              <w:right w:val="none" w:color="000000" w:sz="4" w:space="0"/>
            </w:tcBorders>
            <w:tcW w:w="1499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1369"/>
        </w:trPr>
        <w:tc>
          <w:tcPr>
            <w:gridSpan w:val="6"/>
            <w:tcBorders>
              <w:top w:val="none" w:color="000000" w:sz="4" w:space="0"/>
              <w:left w:val="none" w:color="000000" w:sz="4" w:space="0"/>
              <w:bottom w:val="none" w:color="000000" w:sz="4" w:space="0"/>
              <w:right w:val="none" w:color="000000" w:sz="4" w:space="0"/>
            </w:tcBorders>
            <w:tcW w:w="985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gridSpan w:val="2"/>
            <w:tcBorders>
              <w:top w:val="none" w:color="000000" w:sz="4" w:space="0"/>
              <w:left w:val="none" w:color="000000" w:sz="4" w:space="0"/>
              <w:bottom w:val="none" w:color="000000" w:sz="4" w:space="0"/>
              <w:right w:val="none" w:color="000000" w:sz="4" w:space="0"/>
            </w:tcBorders>
            <w:tcW w:w="51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r>
    </w:tbl>
    <w:p>
      <w:pPr>
        <w:pStyle w:val="861"/>
        <w:ind w:left="0" w:firstLine="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864"/>
        <w:rPr>
          <w:rFonts w:hint="default"/>
          <w:lang w:val="en-US" w:eastAsia="zh-CN"/>
        </w:rPr>
      </w:pPr>
      <w:r>
        <w:rPr>
          <w:rFonts w:hint="default"/>
          <w:lang w:val="en-US" w:eastAsia="zh-CN"/>
        </w:rPr>
      </w:r>
      <w:r/>
    </w:p>
    <w:p>
      <w:pPr>
        <w:pStyle w:val="865"/>
        <w:rPr>
          <w:rFonts w:hint="default"/>
          <w:lang w:val="en-US" w:eastAsia="zh-CN"/>
        </w:rPr>
      </w:pPr>
      <w:r>
        <w:rPr>
          <w:rFonts w:hint="default"/>
          <w:lang w:val="en-US" w:eastAsia="zh-CN"/>
        </w:rPr>
      </w:r>
      <w:r/>
    </w:p>
    <w:tbl>
      <w:tblPr>
        <w:tblStyle w:val="837"/>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879"/>
        <w:gridCol w:w="705"/>
        <w:gridCol w:w="600"/>
        <w:gridCol w:w="1005"/>
        <w:gridCol w:w="5254"/>
        <w:gridCol w:w="4516"/>
        <w:gridCol w:w="950"/>
      </w:tblGrid>
      <w:tr>
        <w:trPr>
          <w:trHeight w:val="522"/>
        </w:trPr>
        <w:tc>
          <w:tcPr>
            <w:gridSpan w:val="8"/>
            <w:tcBorders>
              <w:top w:val="none" w:color="000000" w:sz="4" w:space="0"/>
              <w:left w:val="none" w:color="000000" w:sz="4" w:space="0"/>
              <w:bottom w:val="none" w:color="000000" w:sz="4" w:space="0"/>
              <w:right w:val="none" w:color="000000" w:sz="4" w:space="0"/>
            </w:tcBorders>
            <w:tcW w:w="14325" w:type="dxa"/>
            <w:vAlign w:val="center"/>
            <w:textDirection w:val="lrTb"/>
            <w:noWrap w:val="false"/>
          </w:tcPr>
          <w:p>
            <w:pPr>
              <w:pStyle w:val="843"/>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新沂市镇村污水收集管网维护修复工程管理考核项 </w:t>
            </w:r>
            <w:r/>
          </w:p>
        </w:tc>
      </w:tr>
      <w:tr>
        <w:trPr>
          <w:trHeight w:val="642"/>
        </w:trPr>
        <w:tc>
          <w:tcPr>
            <w:gridSpan w:val="6"/>
            <w:tcBorders>
              <w:top w:val="none" w:color="000000" w:sz="4" w:space="0"/>
              <w:left w:val="none" w:color="000000" w:sz="4" w:space="0"/>
              <w:bottom w:val="none" w:color="000000" w:sz="4" w:space="0"/>
              <w:right w:val="none" w:color="000000" w:sz="4" w:space="0"/>
            </w:tcBorders>
            <w:tcW w:w="885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半年考核，根据污水收集管网维护修复内容，考核项赋分值=（实得总分/应得总分）得分率的百分值。</w:t>
            </w:r>
            <w:r/>
          </w:p>
        </w:tc>
        <w:tc>
          <w:tcPr>
            <w:gridSpan w:val="2"/>
            <w:tcBorders>
              <w:top w:val="none" w:color="000000" w:sz="4" w:space="0"/>
              <w:left w:val="none" w:color="000000" w:sz="4" w:space="0"/>
              <w:bottom w:val="none" w:color="000000" w:sz="4" w:space="0"/>
              <w:right w:val="none" w:color="000000" w:sz="4" w:space="0"/>
            </w:tcBorders>
            <w:tcW w:w="54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考核时间段：年  月 日～  年  月  日</w:t>
            </w:r>
            <w:r/>
          </w:p>
        </w:tc>
      </w:tr>
      <w:tr>
        <w:trPr>
          <w:trHeight w:val="48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考核内容得分</w:t>
            </w:r>
            <w:r/>
          </w:p>
        </w:tc>
      </w:tr>
      <w:tr>
        <w:trPr>
          <w:trHeight w:val="142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管网污水泄漏情况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泄漏、冒水，无农田或其他损失，得5分；管网功能基本正常，水流基本通畅，轻微泄漏，无冒水，无农田或其他损失，得3分；管网功能欠正常，但尚能过流，中等程度渗漏或泄漏，无冒水，无农田或其他损失，得1分；管网功能不正常，严重渗漏或泄漏，发生冒水，发生农田或其他损失，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通过现场检查污水管网渗漏及泄漏情况，依据评分标准赋分。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管网污水积存情况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管网功能正常，水流通畅，无积存，得5分；管网功能基本正常，水流基本通畅，轻微积存，得3分；管网功能欠正常，但尚能过流，中等程度积存，得1分；管网功能不正常，严重积存，无流动迹象，得0分。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通过现场检查污水管网积存情况，依据评分标准赋分。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管网清淤管理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管网沉泥情况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积泥清理及时，未对管网运行造成影响，得5分；管网积泥清理基本及时，未对管网运行造成影响，得3分；管网积泥清理欠及时，造成管网中度淤堵，污水尚可通过，得1分；管网积泥清理不及时，造成管网严重淤堵，污水不可通过，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通过现场检查污水管网积泥情况，依据评分标准赋分。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管网沉砂、石情况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沉砂、沉石清理及时，未对管网运行造成影响，得5分；管网沉砂、沉石清理基本及时，未对管网运行造成影响，得3分；管网沉砂、沉石清理欠及时，造成管网中度淤堵，污水尚可通过，得1分；管网沉砂、沉石清理不及时，造成管网严重淤堵，污水不可通过，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通过现场检查污水管网沉砂、石情况，依据评分标准赋分。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管网巡视制度</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（1）管网巡视制度健全，制度编制合理，可操作性强，得4分；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（2）管网巡视制度基本健全，制度编制欠合理，可操作性一般，得2分；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（3）无管网巡视制度，管理混乱，得0分。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通过查阅管网巡视制度，按照评分标准赋分。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6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管网巡视及时性和到位情况</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（1）管网巡视频率正常，及时发现管网中存在的问题，并针对该问题采取临时性安全控制和功能控制措施，得8分；</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（2）管网巡视频率一般，对管网中存在的问题发现欠及时，未对该问题采取临时性安全控制和功能控制措施，得4分；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（3）管网巡视率低，无法做到月度管网巡视全覆盖，对管网中存在的问题把控不力，并无临时性安全控制和功能控制措施，得0分。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通过查阅管网巡视工作记录、所发现的管网问题记录、所采取的安全控制和功能控制措施记录，并结合管网现场检查，按照评分标准赋分。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管网巡视配车、配人</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（1）所配车辆和人员满足招标文件要求，车辆性能佳，人员充足，得6分；</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（2）所配车辆和人员基本满足使用要求，车辆性能一般，人员数量一般，得3分；                                        （3）所配车辆和人员不能满足使用要求，车辆性能差，人员数量紧张，得0分。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通过查阅管网巡视工作记录，并结合现场检查车辆及人员配备情况，按照评分标准赋分。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59"/>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施工生产管理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检查井、截污井维修施工</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⑴检查井、截污井损坏后，发现和维修及时，砌筑质量</w:t>
            </w:r>
            <w:r>
              <w:rPr>
                <w:rFonts w:hint="eastAsia" w:ascii="仿宋" w:hAnsi="仿宋" w:eastAsia="仿宋" w:cs="仿宋"/>
                <w:i w:val="0"/>
                <w:iCs w:val="0"/>
                <w:color w:val="000000"/>
                <w:sz w:val="21"/>
                <w:szCs w:val="21"/>
                <w:u w:val="none"/>
                <w:lang w:val="en-US" w:eastAsia="zh-CN" w:bidi="ar"/>
              </w:rPr>
              <w:t xml:space="preserve">佳，抹灰标准高，砼浇筑质量好，施工规范、安全，防坠网、井盖安装可靠，得6分；                                                ⑵检查井、截污井损坏后，发现和维修基本及时，砌筑质量一般，抹灰标准一般，砼浇筑质量一般，施工基本规范、安全，防坠网、井盖安装基本可靠，得3分；                               ⑶检查井、截污井损坏后，发现和维修不及时，砌筑质量差，抹灰控制不严，砼浇筑质量差，无配筋，施工欠规范、安全，未安装防坠网、井盖，得0分。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74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人员配备及培训</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⑴施工人员配备充足，建造师、安全管理人员持证上岗，了解本工程合同模式并参加针对性培训（培训内容包括但不限于安全、质量、相关交底等），按计划有序实施，得3分；                    </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⑵施工人员配备一般，建造师、安全管理人员持证上岗，对本工程合同模式欠了解并未参加针对性培训（培训内容包括但不限于安全、质量、相关交底等），无实施，得2分；                  </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⑶以上条件均不满足，不得分。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通过人员花名册，检查相关证件和有效期，检查培训记录和实施证明，按照评分标准赋分。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管道埋设</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⑴管道埋设规范，土方开挖及回填标准高，砂垫层回填质量好，管道材料采购</w:t>
            </w:r>
            <w:r>
              <w:rPr>
                <w:rFonts w:hint="eastAsia" w:ascii="仿宋" w:hAnsi="仿宋" w:eastAsia="仿宋" w:cs="仿宋"/>
                <w:i w:val="0"/>
                <w:iCs w:val="0"/>
                <w:color w:val="000000"/>
                <w:sz w:val="21"/>
                <w:szCs w:val="21"/>
                <w:u w:val="none"/>
                <w:lang w:val="en-US" w:eastAsia="zh-CN" w:bidi="ar"/>
              </w:rPr>
              <w:t xml:space="preserve">规范且质量证明、附件手续齐全，做闭水试验，得6分；⑵管道埋设规范，土方开挖及回填标准高，砂垫层回填质量好，管道材料采购规范且质量证明、附件手续齐全，未做闭水试验，得5分；                                                 ⑶管道埋设欠规范，土方开挖及回填标准一般，砂垫层回填质量一般，管道材料采购欠规范且质量证明、复检手续欠缺，未做闭水试验，得3分；                                            ⑷以上条件均不满足，不得分。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74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机电设备施工</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⑴机电设备施工规范，水泵、电机质量高，配电箱配置安全规范，相关采购规范且出厂合格证等质量证明齐全，做机电设备试运行试验，得5分；                                        ⑵机电设备施工规范，水泵、电机维修质量一般，配电箱配置安全规范，相关采购规范且出厂合格证等质量证明欠缺，未做机电设备试运行试验，得3分；                                    ⑶以上条件均不满足，不得分。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恢复工程</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⑴道路、农田等恢复工程施工规范，道路砼强度、基层厚度满足原标准要求，农田整理标准高，园林绿化满足要求，相关采购规范且出厂合格证等质量证明齐全、复检手续齐全，得5分；          </w:t>
            </w:r>
            <w:r/>
          </w:p>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⑵以上标准欠规范，酌情扣分。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工程资料</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⑴工程资料整理规范、齐全，包间程序符合要求；计量资料计算正确无误，合同外报价合理、依据充分，监理等签字确认手续完备；配备资料员1名，得5分；                                 ⑵根据以上条件的不满足项，酌情扣分，最低0分。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通过查阅工程资料、建立监督和有关手续，查看施工现场、检查工程实体，按照评分标准赋分。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生产及文明施工</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安全生产现场管理</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曝闪灯、安全生产标志等设置规范齐全，封闭施工规范，临时道路等组织得当、有序，隐患排查和整改及时，安全责任人明确，劳动防护用品配备齐全，施工组织科学合理，等得10分；（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通过日常检查施工现场进行主观判断，并查阅相关安全文明施工台账资料，按照评分标准赋分。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482"/>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文明施工现场管理</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施工现场整洁，无污物及污水，作业人员衣着规范，安全防护用品使用正确、规范，警示标语温馨且提醒度高，无野蛮施工现象，工完场清、建筑垃圾处理得当，未对相邻农田、居民、单位等造成不良影响，得7分；                                   （2）赋分考核人员可以根据主观判断，结合上述标准，酌情扣分，最低0分。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通过日常检查施工现场进行主观判断，并查阅相关安全文明施工台账资料，按照评分标准赋分。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安全资料</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安全文明施工台账资料整理齐全，有劳动保护用品领用记录、安全交底记录、安全培训内容及记录、隐患排查及整改记录、重大危险源排查及应对记录、重要机械设备使用及维护记录等，相应培训、检查记录按规定频次进行，得5分；                                                         （2）赋分考核人员可以根据主观判断，结合上述标准，酌情扣分，最低0分。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通过查阅相关安全文明施工台账资料，按照评分标准赋分。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1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t xml:space="preserve">其他相关工作</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其他相关工作</w:t>
            </w:r>
            <w:r/>
          </w:p>
        </w:tc>
        <w:tc>
          <w:tcPr>
            <w:tcBorders>
              <w:top w:val="single" w:color="000000" w:sz="4" w:space="0"/>
              <w:left w:val="single" w:color="000000" w:sz="4" w:space="0"/>
              <w:bottom w:val="single" w:color="000000" w:sz="4" w:space="0"/>
              <w:right w:val="single" w:color="000000" w:sz="4" w:space="0"/>
            </w:tcBorders>
            <w:tcW w:w="5254"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按照要求做好安排的其他相关工作，得10分。因客观原因无法及时完成相关工作要求经过主管部门同意的或超出协议约定范围的影响到正常运行或成本的需另行商定的，不扣分。</w:t>
            </w:r>
            <w:r/>
          </w:p>
          <w:p>
            <w:pPr>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（2）已经展开相关工作，未能按时完成造成一定不良影响的，有一项扣1分。</w:t>
            </w:r>
            <w:r/>
          </w:p>
          <w:p>
            <w:pPr>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（3）故意拖延或不配合相关工作造成严重后果的，有一项扣2分。</w:t>
            </w:r>
            <w:r/>
          </w:p>
        </w:tc>
        <w:tc>
          <w:tcPr>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22"/>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gridSpan w:val="6"/>
            <w:tcBorders>
              <w:top w:val="single" w:color="000000" w:sz="4" w:space="0"/>
              <w:left w:val="single" w:color="000000" w:sz="4" w:space="0"/>
              <w:bottom w:val="single" w:color="000000" w:sz="4" w:space="0"/>
              <w:right w:val="single" w:color="000000" w:sz="4" w:space="0"/>
            </w:tcBorders>
            <w:tcW w:w="12959"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20"/>
        </w:trPr>
        <w:tc>
          <w:tcPr>
            <w:gridSpan w:val="8"/>
            <w:tcBorders>
              <w:top w:val="single" w:color="000000" w:sz="4" w:space="0"/>
              <w:left w:val="none" w:color="000000" w:sz="4" w:space="0"/>
              <w:bottom w:val="none" w:color="000000" w:sz="4" w:space="0"/>
              <w:right w:val="none" w:color="000000" w:sz="4" w:space="0"/>
            </w:tcBorders>
            <w:tcW w:w="14325"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240"/>
        </w:trPr>
        <w:tc>
          <w:tcPr>
            <w:tcBorders>
              <w:top w:val="none" w:color="000000" w:sz="4" w:space="0"/>
              <w:left w:val="none" w:color="000000" w:sz="4" w:space="0"/>
              <w:bottom w:val="none" w:color="000000" w:sz="4" w:space="0"/>
              <w:right w:val="none" w:color="000000" w:sz="4" w:space="0"/>
            </w:tcBorders>
            <w:tcW w:w="416"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879"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70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100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none" w:color="000000" w:sz="4" w:space="0"/>
              <w:left w:val="none" w:color="000000" w:sz="4" w:space="0"/>
              <w:bottom w:val="none" w:color="000000" w:sz="4" w:space="0"/>
              <w:right w:val="none" w:color="000000" w:sz="4" w:space="0"/>
            </w:tcBorders>
            <w:tcW w:w="525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年          月       日</w:t>
            </w:r>
            <w:r/>
          </w:p>
        </w:tc>
        <w:tc>
          <w:tcPr>
            <w:tcBorders>
              <w:top w:val="none" w:color="000000" w:sz="4" w:space="0"/>
              <w:left w:val="none" w:color="000000" w:sz="4" w:space="0"/>
              <w:bottom w:val="none" w:color="000000" w:sz="4" w:space="0"/>
              <w:right w:val="none" w:color="000000" w:sz="4" w:space="0"/>
            </w:tcBorders>
            <w:tcW w:w="45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tcBorders>
              <w:top w:val="none" w:color="000000" w:sz="4" w:space="0"/>
              <w:left w:val="none" w:color="000000" w:sz="4" w:space="0"/>
              <w:bottom w:val="none" w:color="000000" w:sz="4" w:space="0"/>
              <w:right w:val="none" w:color="000000" w:sz="4" w:space="0"/>
            </w:tcBorders>
            <w:tcW w:w="950" w:type="dxa"/>
            <w:vAlign w:val="center"/>
            <w:textDirection w:val="lrTb"/>
            <w:noWrap w:val="false"/>
          </w:tcPr>
          <w:p>
            <w:pP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861"/>
        <w:ind w:left="0" w:firstLine="0"/>
        <w:rPr>
          <w:rFonts w:hint="eastAsia" w:ascii="仿宋" w:hAnsi="仿宋" w:eastAsia="仿宋" w:cs="仿宋"/>
          <w:sz w:val="21"/>
          <w:szCs w:val="21"/>
          <w:highlight w:val="yellow"/>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pStyle w:val="843"/>
        <w:numPr>
          <w:ilvl w:val="0"/>
          <w:numId w:val="0"/>
        </w:num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tbl>
      <w:tblPr>
        <w:tblStyle w:val="837"/>
        <w:tblpPr w:horzAnchor="page" w:tblpX="1209" w:vertAnchor="text" w:tblpY="-31" w:leftFromText="180" w:topFromText="0" w:rightFromText="180" w:bottomFromText="0"/>
        <w:tblW w:w="15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945"/>
        <w:gridCol w:w="705"/>
        <w:gridCol w:w="600"/>
        <w:gridCol w:w="1005"/>
        <w:gridCol w:w="6319"/>
        <w:gridCol w:w="4245"/>
        <w:gridCol w:w="1155"/>
      </w:tblGrid>
      <w:tr>
        <w:trPr>
          <w:trHeight w:val="582"/>
        </w:trPr>
        <w:tc>
          <w:tcPr>
            <w:gridSpan w:val="8"/>
            <w:tcBorders>
              <w:top w:val="none" w:color="000000" w:sz="4" w:space="0"/>
              <w:left w:val="none" w:color="000000" w:sz="4" w:space="0"/>
              <w:bottom w:val="none" w:color="000000" w:sz="4" w:space="0"/>
              <w:right w:val="none" w:color="000000" w:sz="4" w:space="0"/>
            </w:tcBorders>
            <w:tcW w:w="153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新沂市村级污水处理站运营维护管理考核项 </w:t>
            </w:r>
            <w:r/>
          </w:p>
        </w:tc>
      </w:tr>
      <w:tr>
        <w:trPr>
          <w:trHeight w:val="619"/>
        </w:trPr>
        <w:tc>
          <w:tcPr>
            <w:gridSpan w:val="6"/>
            <w:tcBorders>
              <w:top w:val="none" w:color="000000" w:sz="4" w:space="0"/>
              <w:left w:val="none" w:color="000000" w:sz="4" w:space="0"/>
              <w:bottom w:val="none" w:color="000000" w:sz="4" w:space="0"/>
              <w:right w:val="none" w:color="000000" w:sz="4" w:space="0"/>
            </w:tcBorders>
            <w:tcW w:w="9990" w:type="dxa"/>
            <w:vAlign w:val="top"/>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污水处理站名称(半年考核，统筹按下表赋分)：</w:t>
            </w:r>
            <w:r/>
          </w:p>
        </w:tc>
        <w:tc>
          <w:tcPr>
            <w:gridSpan w:val="2"/>
            <w:tcBorders>
              <w:top w:val="none" w:color="000000" w:sz="4" w:space="0"/>
              <w:left w:val="none" w:color="000000" w:sz="4" w:space="0"/>
              <w:bottom w:val="none" w:color="000000" w:sz="4" w:space="0"/>
              <w:right w:val="none" w:color="000000" w:sz="4" w:space="0"/>
            </w:tcBorders>
            <w:tcW w:w="54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考核时间段：      年   月   日～      年   月   日</w:t>
            </w:r>
            <w:r/>
          </w:p>
        </w:tc>
      </w:tr>
      <w:tr>
        <w:trPr>
          <w:trHeight w:val="540"/>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序</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项目</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分</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值</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考核说明</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   得分</w:t>
            </w:r>
            <w:r/>
          </w:p>
        </w:tc>
      </w:tr>
      <w:tr>
        <w:trPr>
          <w:trHeight w:val="1362"/>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污水处理站污水管理</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污水泄漏情况</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泄漏、冒水，无农田或其他损失，得10分；管网功能基本正常，水流基本通畅，轻微泄漏，无冒水，无农田或其他损失，得5分；管网功能欠正常，但尚能过流，中等程度渗漏或泄漏，无冒水，无农田或其他损失，得2分；管网功能不正常，严重渗漏或泄漏，发生冒水，发生农田或其他损失，得0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通过现场检查污水处理站污水渗漏及泄漏情况，依据评分标准赋分。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污水积存情况</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管网功能正常，水流通畅，无积存，得2分；管网功能基本正常，水流基本通畅，轻微积存，得2分；管网功能欠正常，但尚能过流，中等程度积存，得1分；管网功能不正常，严重积存，无流动迹象，得0分</w:t>
            </w:r>
            <w:r/>
          </w:p>
        </w:tc>
        <w:tc>
          <w:tcPr>
            <w:tcBorders>
              <w:top w:val="single" w:color="000000" w:sz="4" w:space="0"/>
              <w:left w:val="single" w:color="000000" w:sz="4" w:space="0"/>
              <w:bottom w:val="single" w:color="000000" w:sz="4" w:space="0"/>
              <w:right w:val="singl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通过现场检查污水处理站污水积存情况，依据评分标准赋分。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305"/>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设备</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与仪</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表</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设备运行</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每有一项不符合扣2分，扣完为止。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设备外观整洁；螺栓齐全牢固；设备无腐蚀，无渗漏，润滑充分；电气设备符合安全要求；附属设备工作正常；整机运行平稳可靠；仪器仪表准确灵敏；使用高效节能设备；设备完好率&gt;95%。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在线监测仪表</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按工艺要求布设仪表，且仪表工作正常，得10分；有一套在线仪表工作不正常，扣2分，扣完为止；不按工艺要求布设的，有一套扣2分，扣完为止；仪表的完好率、运转率不达要求的，各扣2分。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5"/>
        </w:trPr>
        <w:tc>
          <w:tcPr>
            <w:tcBorders>
              <w:top w:val="single" w:color="000000" w:sz="4" w:space="0"/>
              <w:left w:val="single" w:color="000000" w:sz="4" w:space="0"/>
              <w:bottom w:val="non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安全</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w:t>
            </w:r>
            <w:r/>
          </w:p>
        </w:tc>
        <w:tc>
          <w:tcPr>
            <w:tcBorders>
              <w:top w:val="singl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安全管理制度</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有健全的各级安全管理机构；安全规章制度；安全检查记录齐全；安全隐患检查记录齐全，发现安全隐患有积极的响应措施、并能及时有效解决；安全检查台帐及安全隐患排除记录齐全 。</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50"/>
        </w:trPr>
        <w:tc>
          <w:tcPr>
            <w:tcBorders>
              <w:top w:val="single" w:color="000000" w:sz="4" w:space="0"/>
              <w:left w:val="single" w:color="000000" w:sz="4" w:space="0"/>
              <w:bottom w:val="non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安全规程及防护</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操作规程齐全、到位；岗位人员有必要的安全保护措施；必要场所有安全警示牌；有毒、有害场所有安全防护仪器、仪表、器具配备；危险品、易燃、易爆品有相应的管理规定。</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00"/>
        </w:trPr>
        <w:tc>
          <w:tcPr>
            <w:tcBorders>
              <w:top w:val="single" w:color="000000" w:sz="4" w:space="0"/>
              <w:left w:val="single" w:color="000000" w:sz="4" w:space="0"/>
              <w:bottom w:val="non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安全培训要有年度、月度计划，并结合工作岗位对职工进行安全教育，并有安全教育台帐。</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站容</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站貌</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r>
            <w:r/>
          </w:p>
          <w:p>
            <w:pPr>
              <w:pStyle w:val="864"/>
              <w:ind w:left="0" w:firstLine="0"/>
              <w:jc w:val="center"/>
              <w:rPr>
                <w:rFonts w:hint="default"/>
                <w:lang w:val="en-US"/>
              </w:rPr>
            </w:pPr>
            <w:r>
              <w:rPr>
                <w:rFonts w:hint="eastAsia" w:ascii="仿宋" w:hAnsi="仿宋" w:eastAsia="仿宋" w:cs="仿宋"/>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站容</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每有一项不符合扣3分,扣完为止。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建筑物外观整洁、无明显的破损和渗漏；站内道路完好、通畅，无破损；各种管道色标明显、阀门井、计量井等处整齐完好，井内无积水污物；站内设施完好，可绿化面积30%以上，且绿地植被无死亡缺损现象。</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1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设施展板</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default"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每有一项扣4分，扣完为止。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default" w:ascii="仿宋" w:hAnsi="仿宋" w:eastAsia="仿宋" w:cs="仿宋"/>
                <w:i w:val="0"/>
                <w:iCs w:val="0"/>
                <w:color w:val="000000"/>
                <w:sz w:val="21"/>
                <w:szCs w:val="21"/>
                <w:highlight w:val="green"/>
                <w:u w:val="none"/>
                <w:lang w:val="en-US" w:eastAsia="zh-CN"/>
              </w:rPr>
              <w:suppressLineNumbers w:val="0"/>
            </w:pPr>
            <w:r>
              <w:rPr>
                <w:rFonts w:hint="eastAsia" w:ascii="仿宋" w:hAnsi="仿宋" w:eastAsia="仿宋" w:cs="仿宋"/>
                <w:i w:val="0"/>
                <w:iCs w:val="0"/>
                <w:color w:val="000000"/>
                <w:sz w:val="21"/>
                <w:szCs w:val="21"/>
                <w:highlight w:val="none"/>
                <w:u w:val="none"/>
                <w:lang w:val="en-US" w:eastAsia="zh-CN"/>
              </w:rPr>
              <w:t xml:space="preserve">保证展板无缺失、内容完善、整洁、格式正确、无破损。</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每有一项</w:t>
            </w:r>
            <w:r>
              <w:rPr>
                <w:rFonts w:hint="eastAsia" w:ascii="仿宋" w:hAnsi="仿宋" w:eastAsia="仿宋" w:cs="仿宋"/>
                <w:i w:val="0"/>
                <w:iCs w:val="0"/>
                <w:color w:val="000000"/>
                <w:sz w:val="21"/>
                <w:szCs w:val="21"/>
                <w:highlight w:val="none"/>
                <w:u w:val="none"/>
                <w:lang w:val="en-US" w:eastAsia="zh-CN" w:bidi="ar"/>
              </w:rPr>
              <w:t xml:space="preserve">不符合扣1分,扣完为止</w:t>
            </w:r>
            <w:r>
              <w:rPr>
                <w:rFonts w:hint="eastAsia" w:ascii="仿宋" w:hAnsi="仿宋" w:eastAsia="仿宋" w:cs="仿宋"/>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构筑物无渗漏；油漆良好无锈蚀；堰口、池壁保持清洁、完好、出水均匀；池面清洁；闸阀无渗漏、安全有效。</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556"/>
        </w:trPr>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制度</w:t>
            </w:r>
            <w:r/>
          </w:p>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操作管理</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缺一项扣1分,扣完为止。</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构筑物、设备、岗位、安全的各项操作规程应健全、科学、完善；各工艺、工段操作规程齐备；各工艺、工段安全操作规程、防护规程齐备；生产管理制度、岗位责任制度、设备管理制度、化验室管理制度、岗位工作职责均应齐备。</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考核制度</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有完善的考核制度且确保很好地实施，得2分；有考核制度但不能很好地实施，得1分，无考核制度不得分。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查考核制度及实施情况记录。</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信息建设</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有很好的信息化建设平台，能很好地通过对内对外信息平台为生产服务；网上上报运营信息，数据要真实可靠，并及时按日/周/月/季度上报，得4分；否则不得分。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auto" w:sz="4" w:space="0"/>
              <w:right w:val="single" w:color="000000" w:sz="4" w:space="0"/>
            </w:tcBorders>
            <w:tcW w:w="70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企业文化建设</w:t>
            </w:r>
            <w:r/>
          </w:p>
        </w:tc>
        <w:tc>
          <w:tcPr>
            <w:tcBorders>
              <w:top w:val="single" w:color="000000" w:sz="4" w:space="0"/>
              <w:left w:val="single" w:color="000000" w:sz="4" w:space="0"/>
              <w:bottom w:val="single" w:color="000000" w:sz="4" w:space="0"/>
              <w:right w:val="single" w:color="000000"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有良好的企业文化氛围，得1分；否则不得分。</w:t>
            </w:r>
            <w:r/>
          </w:p>
        </w:tc>
        <w:tc>
          <w:tcPr>
            <w:tcBorders>
              <w:top w:val="single" w:color="000000" w:sz="4" w:space="0"/>
              <w:left w:val="single" w:color="000000"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企业文化包括招牌、门面、服饰、工作环境等，还包括人员素质、生产经营能力、管理水平、资本实力、产品质量等。</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5"/>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auto" w:sz="4" w:space="0"/>
            </w:tcBorders>
            <w:tcW w:w="9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运营率考核</w:t>
            </w:r>
            <w:r/>
          </w:p>
        </w:tc>
        <w:tc>
          <w:tcPr>
            <w:tcBorders>
              <w:top w:val="single" w:color="000000" w:sz="4" w:space="0"/>
              <w:left w:val="single" w:color="auto" w:sz="4" w:space="0"/>
              <w:bottom w:val="single" w:color="000000" w:sz="4" w:space="0"/>
              <w:right w:val="single" w:color="auto" w:sz="4" w:space="0"/>
            </w:tcBorders>
            <w:tcW w:w="6319"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运营率高于90%不扣分；每少1%扣1分；低于80%不得分。</w:t>
            </w:r>
            <w:r/>
          </w:p>
        </w:tc>
        <w:tc>
          <w:tcPr>
            <w:tcBorders>
              <w:top w:val="single" w:color="000000" w:sz="4" w:space="0"/>
              <w:left w:val="single" w:color="auto" w:sz="4" w:space="0"/>
              <w:bottom w:val="single" w:color="000000" w:sz="4" w:space="0"/>
              <w:right w:val="none" w:color="000000" w:sz="4" w:space="0"/>
            </w:tcBorders>
            <w:tcW w:w="4245"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运营率高于90%不扣分；每少1%扣1分；低于80%不得分。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5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auto" w:sz="4" w:space="0"/>
            </w:tcBorders>
            <w:tcW w:w="945" w:type="dxa"/>
            <w:vAlign w:val="center"/>
            <w:textDirection w:val="lrTb"/>
            <w:noWrap w:val="false"/>
          </w:tcPr>
          <w:p>
            <w:pPr>
              <w:jc w:val="both"/>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其他相</w:t>
            </w:r>
            <w:r/>
          </w:p>
          <w:p>
            <w:pPr>
              <w:jc w:val="both"/>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关工作      </w:t>
            </w:r>
            <w:r/>
          </w:p>
        </w:tc>
        <w:tc>
          <w:tcPr>
            <w:tcBorders>
              <w:top w:val="single" w:color="000000" w:sz="4" w:space="0"/>
              <w:left w:val="single" w:color="auto" w:sz="4" w:space="0"/>
              <w:bottom w:val="single" w:color="000000" w:sz="4" w:space="0"/>
              <w:right w:val="single" w:color="auto" w:sz="4" w:space="0"/>
            </w:tcBorders>
            <w:tcW w:w="7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60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p>
        </w:tc>
        <w:tc>
          <w:tcPr>
            <w:tcBorders>
              <w:top w:val="single" w:color="000000" w:sz="4" w:space="0"/>
              <w:left w:val="single" w:color="auto" w:sz="4" w:space="0"/>
              <w:bottom w:val="single" w:color="000000" w:sz="4" w:space="0"/>
              <w:right w:val="single" w:color="auto" w:sz="4" w:space="0"/>
            </w:tcBorders>
            <w:tcW w:w="100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其他相关工作</w:t>
            </w:r>
            <w:r/>
          </w:p>
        </w:tc>
        <w:tc>
          <w:tcPr>
            <w:tcBorders>
              <w:top w:val="single" w:color="000000" w:sz="4" w:space="0"/>
              <w:left w:val="single" w:color="auto" w:sz="4" w:space="0"/>
              <w:bottom w:val="single" w:color="000000" w:sz="4" w:space="0"/>
              <w:right w:val="single" w:color="auto" w:sz="4" w:space="0"/>
            </w:tcBorders>
            <w:tcW w:w="6319" w:type="dxa"/>
            <w:vAlign w:val="center"/>
            <w:textDirection w:val="lrTb"/>
            <w:noWrap w:val="false"/>
          </w:tcPr>
          <w:p>
            <w:pPr>
              <w:numPr>
                <w:ilvl w:val="0"/>
                <w:numId w:val="9"/>
              </w:numPr>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按照要求做好安排的其他相关工作，得10分。因客观原因无法及时完成相关工作要求经过主管部门同意的或超出协议约定范围的影响到正常运行或成本的需另行商定的，不扣分。</w:t>
            </w:r>
            <w:r/>
          </w:p>
          <w:p>
            <w:pPr>
              <w:numPr>
                <w:ilvl w:val="0"/>
                <w:numId w:val="0"/>
              </w:numPr>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（2）已经展开相关工作，未能按时完成造成一定不良影响的，有一项扣1分。</w:t>
            </w:r>
            <w:r/>
          </w:p>
          <w:p>
            <w:pPr>
              <w:numPr>
                <w:ilvl w:val="0"/>
                <w:numId w:val="0"/>
              </w:numPr>
              <w:ind w:left="0" w:firstLine="0"/>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（3）故意拖延或不配合相关工作造成严重后果的，有一项扣2分。</w:t>
            </w:r>
            <w:r/>
          </w:p>
        </w:tc>
        <w:tc>
          <w:tcPr>
            <w:tcBorders>
              <w:top w:val="single" w:color="000000" w:sz="4" w:space="0"/>
              <w:left w:val="single" w:color="auto" w:sz="4" w:space="0"/>
              <w:bottom w:val="single" w:color="000000" w:sz="4" w:space="0"/>
              <w:right w:val="single" w:color="000000" w:sz="4" w:space="0"/>
            </w:tcBorders>
            <w:tcW w:w="42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yellow"/>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积极配合业主迎接各项检查</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59"/>
        </w:trPr>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gridSpan w:val="6"/>
            <w:tcBorders>
              <w:top w:val="single" w:color="000000" w:sz="4" w:space="0"/>
              <w:left w:val="single" w:color="000000" w:sz="4" w:space="0"/>
              <w:bottom w:val="single" w:color="000000" w:sz="4" w:space="0"/>
              <w:right w:val="single" w:color="000000" w:sz="4" w:space="0"/>
            </w:tcBorders>
            <w:tcW w:w="13819" w:type="dxa"/>
            <w:vAlign w:val="center"/>
            <w:textDirection w:val="lrTb"/>
            <w:noWrap w:val="false"/>
          </w:tcPr>
          <w:p>
            <w:pPr>
              <w:jc w:val="righ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考核项赋分值</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00"/>
        </w:trPr>
        <w:tc>
          <w:tcPr>
            <w:gridSpan w:val="8"/>
            <w:tcBorders>
              <w:top w:val="single" w:color="000000" w:sz="4" w:space="0"/>
              <w:left w:val="none" w:color="000000" w:sz="4" w:space="0"/>
              <w:bottom w:val="none" w:color="000000" w:sz="4" w:space="0"/>
              <w:right w:val="none" w:color="000000" w:sz="4" w:space="0"/>
            </w:tcBorders>
            <w:tcW w:w="1539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考核人员（签字）：                                                                                   运营公司代表（签字）：</w:t>
            </w:r>
            <w:r/>
          </w:p>
        </w:tc>
      </w:tr>
      <w:tr>
        <w:trPr>
          <w:trHeight w:val="379"/>
        </w:trPr>
        <w:tc>
          <w:tcPr>
            <w:gridSpan w:val="6"/>
            <w:tcBorders>
              <w:top w:val="none" w:color="000000" w:sz="4" w:space="0"/>
              <w:left w:val="none" w:color="000000" w:sz="4" w:space="0"/>
              <w:bottom w:val="none" w:color="000000" w:sz="4" w:space="0"/>
              <w:right w:val="none" w:color="000000" w:sz="4" w:space="0"/>
            </w:tcBorders>
            <w:tcW w:w="999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c>
          <w:tcPr>
            <w:gridSpan w:val="2"/>
            <w:tcBorders>
              <w:top w:val="none" w:color="000000" w:sz="4" w:space="0"/>
              <w:left w:val="none" w:color="000000" w:sz="4" w:space="0"/>
              <w:bottom w:val="none" w:color="000000" w:sz="4" w:space="0"/>
              <w:right w:val="none" w:color="000000" w:sz="4" w:space="0"/>
            </w:tcBorders>
            <w:tcW w:w="540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年       月         日</w:t>
            </w:r>
            <w:r/>
          </w:p>
        </w:tc>
      </w:tr>
    </w:tbl>
    <w:p>
      <w:pPr>
        <w:pStyle w:val="861"/>
        <w:ind w:left="0" w:firstLine="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注：运维考核90（含）-100为优秀，80（含）-90（不含）为良好，70（含）-80（不含）为合格，70分以下为不合格。</w:t>
      </w:r>
      <w:r/>
    </w:p>
    <w:p>
      <w:pPr>
        <w:pStyle w:val="843"/>
        <w:numPr>
          <w:ilvl w:val="0"/>
          <w:numId w:val="0"/>
        </w:numPr>
        <w:jc w:val="center"/>
        <w:rPr>
          <w:rFonts w:hint="eastAsia" w:ascii="仿宋" w:hAnsi="仿宋" w:eastAsia="仿宋" w:cs="仿宋"/>
          <w:color w:val="auto"/>
          <w:sz w:val="21"/>
          <w:szCs w:val="21"/>
          <w:highlight w:val="none"/>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仿宋" w:hAnsi="仿宋" w:eastAsia="仿宋" w:cs="仿宋"/>
          <w:color w:val="auto"/>
          <w:sz w:val="21"/>
          <w:szCs w:val="21"/>
          <w:highlight w:val="none"/>
        </w:rPr>
      </w:r>
      <w:r/>
    </w:p>
    <w:p>
      <w:pPr>
        <w:pStyle w:val="1041"/>
        <w:jc w:val="center"/>
        <w:spacing w:line="360" w:lineRule="auto"/>
        <w:rPr>
          <w:rFonts w:hint="eastAsia" w:ascii="仿宋" w:hAnsi="仿宋" w:eastAsia="仿宋" w:cs="仿宋"/>
          <w:color w:val="000000"/>
          <w:sz w:val="28"/>
          <w:szCs w:val="44"/>
          <w:highlight w:val="none"/>
          <w:lang w:eastAsia="zh-CN"/>
        </w:rPr>
      </w:pPr>
      <w:r>
        <w:rPr>
          <w:rFonts w:hint="eastAsia" w:ascii="仿宋" w:hAnsi="仿宋" w:eastAsia="仿宋" w:cs="仿宋"/>
          <w:sz w:val="28"/>
          <w:szCs w:val="44"/>
        </w:rPr>
        <w:t xml:space="preserve">第</w:t>
      </w:r>
      <w:r>
        <w:rPr>
          <w:rFonts w:hint="eastAsia" w:ascii="仿宋" w:hAnsi="仿宋" w:eastAsia="仿宋" w:cs="仿宋"/>
          <w:sz w:val="28"/>
          <w:szCs w:val="44"/>
          <w:lang w:eastAsia="zh-CN"/>
        </w:rPr>
        <w:t xml:space="preserve">六</w:t>
      </w:r>
      <w:r>
        <w:rPr>
          <w:rFonts w:hint="eastAsia" w:ascii="仿宋" w:hAnsi="仿宋" w:eastAsia="仿宋" w:cs="仿宋"/>
          <w:sz w:val="28"/>
          <w:szCs w:val="44"/>
        </w:rPr>
        <w:t xml:space="preserve">章  </w:t>
      </w:r>
      <w:r>
        <w:rPr>
          <w:rFonts w:hint="eastAsia" w:ascii="仿宋" w:hAnsi="仿宋" w:eastAsia="仿宋" w:cs="仿宋"/>
          <w:sz w:val="28"/>
          <w:szCs w:val="44"/>
          <w:lang w:eastAsia="zh-CN"/>
        </w:rPr>
        <w:t xml:space="preserve">采购需求</w:t>
      </w:r>
      <w:bookmarkEnd w:id="10"/>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一</w:t>
      </w:r>
      <w:r>
        <w:rPr>
          <w:rFonts w:hint="eastAsia" w:ascii="仿宋" w:hAnsi="仿宋" w:eastAsia="仿宋" w:cs="仿宋"/>
          <w:b/>
          <w:color w:val="auto"/>
          <w:sz w:val="21"/>
          <w:szCs w:val="21"/>
        </w:rPr>
        <w:t xml:space="preserve">、项目内容</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rPr>
        <w:t xml:space="preserve">1镇级污水处理厂</w:t>
      </w:r>
      <w:r/>
    </w:p>
    <w:p>
      <w:pPr>
        <w:pStyle w:val="848"/>
        <w:jc w:val="both"/>
        <w:spacing w:line="420" w:lineRule="exact"/>
        <w:rPr>
          <w:rFonts w:hint="eastAsia" w:ascii="仿宋" w:hAnsi="仿宋" w:eastAsia="仿宋" w:cs="仿宋"/>
          <w:b/>
          <w:bCs/>
          <w:sz w:val="21"/>
          <w:szCs w:val="21"/>
        </w:rPr>
      </w:pPr>
      <w:r>
        <w:rPr>
          <w:rFonts w:hint="eastAsia" w:ascii="仿宋" w:hAnsi="仿宋" w:eastAsia="仿宋" w:cs="仿宋"/>
          <w:b/>
          <w:bCs/>
          <w:color w:val="000000"/>
          <w:sz w:val="21"/>
          <w:szCs w:val="21"/>
        </w:rPr>
        <w:t xml:space="preserve"> 1.1镇</w:t>
      </w:r>
      <w:r>
        <w:rPr>
          <w:rFonts w:hint="eastAsia" w:ascii="仿宋" w:hAnsi="仿宋" w:eastAsia="仿宋" w:cs="仿宋"/>
          <w:b/>
          <w:bCs/>
          <w:sz w:val="21"/>
          <w:szCs w:val="21"/>
        </w:rPr>
        <w:t xml:space="preserve">级污水处理厂基本情况(</w:t>
      </w:r>
      <w:r>
        <w:rPr>
          <w:rFonts w:hint="eastAsia" w:ascii="仿宋" w:hAnsi="仿宋" w:eastAsia="仿宋" w:cs="仿宋"/>
          <w:b/>
          <w:bCs/>
          <w:sz w:val="21"/>
          <w:szCs w:val="21"/>
          <w:lang w:val="en-US" w:eastAsia="zh-CN"/>
        </w:rPr>
        <w:t xml:space="preserve">5</w:t>
      </w:r>
      <w:r>
        <w:rPr>
          <w:rFonts w:hint="eastAsia" w:ascii="仿宋" w:hAnsi="仿宋" w:eastAsia="仿宋" w:cs="仿宋"/>
          <w:b/>
          <w:bCs/>
          <w:sz w:val="21"/>
          <w:szCs w:val="21"/>
        </w:rPr>
        <w:t xml:space="preserve">座)：</w:t>
      </w:r>
      <w:r/>
    </w:p>
    <w:p>
      <w:pPr>
        <w:pStyle w:val="848"/>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(1)高流厂：新沂市高流污水处理厂位于高流镇夏塘村大沙河南侧，远期总规模4500m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/d，目前一期建设规模为1500m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/d,采用工艺为“厌氧水解+</w:t>
      </w:r>
      <w:r>
        <w:rPr>
          <w:rFonts w:hint="eastAsia" w:ascii="仿宋" w:hAnsi="仿宋" w:eastAsia="仿宋" w:cs="仿宋"/>
          <w:sz w:val="21"/>
          <w:szCs w:val="21"/>
          <w:lang w:val="en-US" w:eastAsia="zh-CN"/>
        </w:rPr>
        <w:t xml:space="preserve">A2</w:t>
      </w:r>
      <w:r>
        <w:rPr>
          <w:rFonts w:hint="eastAsia" w:ascii="仿宋" w:hAnsi="仿宋" w:eastAsia="仿宋" w:cs="仿宋"/>
          <w:sz w:val="21"/>
          <w:szCs w:val="21"/>
        </w:rPr>
        <w:t xml:space="preserve">/O+混凝沉淀+压力滤池”的处理工艺，污水主要以生活污水为主，出水水质执行</w:t>
      </w:r>
      <w:r>
        <w:rPr>
          <w:rFonts w:hint="eastAsia" w:ascii="仿宋" w:hAnsi="仿宋" w:eastAsia="仿宋" w:cs="仿宋"/>
          <w:color w:val="000000"/>
          <w:sz w:val="21"/>
          <w:szCs w:val="21"/>
          <w:lang w:val="en-US" w:eastAsia="zh-CN"/>
        </w:rPr>
        <w:t xml:space="preserve">村级污水处理站出水水质达到相应的设计标准</w:t>
      </w:r>
      <w:r>
        <w:rPr>
          <w:rFonts w:hint="eastAsia" w:ascii="仿宋" w:hAnsi="仿宋" w:eastAsia="仿宋" w:cs="仿宋"/>
          <w:sz w:val="21"/>
          <w:szCs w:val="21"/>
        </w:rPr>
        <w:t xml:space="preserve">，尾水外排至大沙河。</w:t>
      </w:r>
      <w:r/>
    </w:p>
    <w:p>
      <w:pPr>
        <w:pStyle w:val="848"/>
        <w:ind w:firstLine="420"/>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新沂市高流污水处理厂进水水质       单位:mg/L</w:t>
      </w:r>
      <w:r/>
    </w:p>
    <w:tbl>
      <w:tblPr>
        <w:tblStyle w:val="837"/>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70"/>
        <w:gridCol w:w="1377"/>
        <w:gridCol w:w="1336"/>
        <w:gridCol w:w="1200"/>
        <w:gridCol w:w="1487"/>
        <w:gridCol w:w="1322"/>
        <w:gridCol w:w="1323"/>
      </w:tblGrid>
      <w:tr>
        <w:trPr>
          <w:jc w:val="center"/>
          <w:trHeight w:val="647"/>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P</w:t>
            </w:r>
            <w:r>
              <w:rPr>
                <w:rFonts w:hint="eastAsia" w:ascii="仿宋" w:hAnsi="仿宋" w:eastAsia="仿宋" w:cs="仿宋"/>
                <w:sz w:val="21"/>
                <w:szCs w:val="21"/>
              </w:rPr>
              <w:t xml:space="preserve">H</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48"/>
              <w:jc w:val="center"/>
              <w:spacing w:line="460" w:lineRule="exact"/>
              <w:rPr>
                <w:rFonts w:hint="eastAsia" w:ascii="仿宋" w:hAnsi="仿宋" w:eastAsia="仿宋" w:cs="仿宋"/>
                <w:sz w:val="21"/>
                <w:szCs w:val="21"/>
                <w:lang w:val="en-US" w:eastAsia="zh-CN"/>
              </w:rPr>
            </w:pPr>
            <w:r>
              <w:rPr>
                <w:rFonts w:hint="eastAsia" w:ascii="仿宋" w:hAnsi="仿宋" w:eastAsia="仿宋" w:cs="仿宋"/>
                <w:sz w:val="21"/>
                <w:szCs w:val="21"/>
                <w:highlight w:val="none"/>
                <w:lang w:eastAsia="zh-CN"/>
              </w:rPr>
              <w:t xml:space="preserve">CODcr</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13"/>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6～9</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48"/>
              <w:jc w:val="center"/>
              <w:spacing w:line="460" w:lineRule="exact"/>
              <w:rPr>
                <w:rFonts w:hint="eastAsia" w:ascii="仿宋" w:hAnsi="仿宋" w:eastAsia="仿宋" w:cs="仿宋"/>
                <w:sz w:val="21"/>
                <w:szCs w:val="21"/>
                <w:lang w:val="en-US" w:eastAsia="zh-CN"/>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350</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≤150</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≤302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≤30</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≤4.12</w:t>
            </w:r>
            <w:r/>
          </w:p>
        </w:tc>
      </w:tr>
    </w:tbl>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新沂市高流污水处理厂出水水质      单位:mg/L</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187"/>
        <w:gridCol w:w="1363"/>
        <w:gridCol w:w="1350"/>
        <w:gridCol w:w="1309"/>
        <w:gridCol w:w="1309"/>
        <w:gridCol w:w="1378"/>
      </w:tblGrid>
      <w:tr>
        <w:trPr>
          <w:jc w:val="center"/>
          <w:trHeight w:val="504"/>
        </w:trPr>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指标</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COD</w:t>
            </w:r>
            <w:r/>
          </w:p>
        </w:tc>
        <w:tc>
          <w:tcPr>
            <w:tcBorders>
              <w:top w:val="single" w:color="auto" w:sz="4" w:space="0"/>
              <w:left w:val="none" w:color="000000" w:sz="4" w:space="0"/>
              <w:bottom w:val="single" w:color="auto" w:sz="4" w:space="0"/>
              <w:right w:val="single" w:color="auto" w:sz="4" w:space="0"/>
            </w:tcBorders>
            <w:tcW w:w="13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504"/>
        </w:trPr>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标准</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≤50</w:t>
            </w:r>
            <w:r/>
          </w:p>
        </w:tc>
        <w:tc>
          <w:tcPr>
            <w:tcBorders>
              <w:top w:val="single" w:color="auto" w:sz="4" w:space="0"/>
              <w:left w:val="none" w:color="000000" w:sz="4" w:space="0"/>
              <w:bottom w:val="single" w:color="auto" w:sz="4" w:space="0"/>
              <w:right w:val="single" w:color="auto" w:sz="4" w:space="0"/>
            </w:tcBorders>
            <w:tcW w:w="13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≤5（8）</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w:t>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≤0.5</w:t>
            </w:r>
            <w:r/>
          </w:p>
        </w:tc>
      </w:tr>
    </w:tbl>
    <w:p>
      <w:pPr>
        <w:pStyle w:val="848"/>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(2)时集厂：新沂市时集镇污水处理厂位于时集镇陈刘村，远期总规模1500m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/d，目前一期建设规模为</w:t>
      </w:r>
      <w:r>
        <w:rPr>
          <w:rFonts w:hint="eastAsia" w:ascii="仿宋" w:hAnsi="仿宋" w:eastAsia="仿宋" w:cs="仿宋"/>
          <w:sz w:val="21"/>
          <w:szCs w:val="21"/>
          <w:lang w:val="en-US" w:eastAsia="zh-CN"/>
        </w:rPr>
        <w:t xml:space="preserve">950</w:t>
      </w:r>
      <w:r>
        <w:rPr>
          <w:rFonts w:hint="eastAsia" w:ascii="仿宋" w:hAnsi="仿宋" w:eastAsia="仿宋" w:cs="仿宋"/>
          <w:sz w:val="21"/>
          <w:szCs w:val="21"/>
        </w:rPr>
        <w:t xml:space="preserve">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/d,全部为生活污水。采用工艺为：“A2/O+混凝沉淀+压力滤池+次氯酸钠消毒”的处理工艺，出水水质执行《城镇污水处理厂污染物排放标准》（GB18918-2002）一级A标准，尾水外排至泥敦河。</w:t>
      </w:r>
      <w:r/>
    </w:p>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新沂市时集镇污水处理厂进水水质       单位：mg/L</w:t>
      </w:r>
      <w:r/>
    </w:p>
    <w:tbl>
      <w:tblPr>
        <w:tblStyle w:val="837"/>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97"/>
        <w:gridCol w:w="1022"/>
        <w:gridCol w:w="1405"/>
        <w:gridCol w:w="1309"/>
        <w:gridCol w:w="1391"/>
        <w:gridCol w:w="1282"/>
        <w:gridCol w:w="1718"/>
      </w:tblGrid>
      <w:tr>
        <w:trPr>
          <w:jc w:val="center"/>
          <w:trHeight w:val="647"/>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pH</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pStyle w:val="848"/>
              <w:jc w:val="center"/>
              <w:spacing w:line="460" w:lineRule="exact"/>
              <w:rPr>
                <w:rFonts w:hint="eastAsia" w:ascii="仿宋" w:hAnsi="仿宋" w:eastAsia="仿宋" w:cs="仿宋"/>
                <w:sz w:val="21"/>
                <w:szCs w:val="21"/>
                <w:lang w:val="en-US" w:eastAsia="zh-CN"/>
              </w:rPr>
            </w:pPr>
            <w:r>
              <w:rPr>
                <w:rFonts w:hint="eastAsia" w:ascii="仿宋" w:hAnsi="仿宋" w:eastAsia="仿宋" w:cs="仿宋"/>
                <w:sz w:val="21"/>
                <w:szCs w:val="21"/>
                <w:lang w:eastAsia="zh-CN"/>
              </w:rPr>
              <w:t xml:space="preserve">CODcr</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13"/>
        </w:trPr>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6～9</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≤350</w:t>
            </w:r>
            <w:r/>
          </w:p>
        </w:tc>
        <w:tc>
          <w:tcPr>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≤140</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≤220</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r>
    </w:tbl>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新沂市时集镇污水处理厂出水水质    单位:mg/L</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4"/>
        <w:gridCol w:w="968"/>
        <w:gridCol w:w="1105"/>
        <w:gridCol w:w="1063"/>
        <w:gridCol w:w="1596"/>
        <w:gridCol w:w="1350"/>
        <w:gridCol w:w="1391"/>
      </w:tblGrid>
      <w:tr>
        <w:trPr>
          <w:jc w:val="center"/>
          <w:trHeight w:val="667"/>
        </w:trPr>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指标</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none" w:color="000000" w:sz="4" w:space="0"/>
              <w:bottom w:val="single" w:color="auto" w:sz="4" w:space="0"/>
              <w:right w:val="single" w:color="auto" w:sz="4" w:space="0"/>
            </w:tcBorders>
            <w:tcW w:w="159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none" w:color="000000" w:sz="4" w:space="0"/>
              <w:bottom w:val="single" w:color="auto" w:sz="4" w:space="0"/>
              <w:right w:val="single" w:color="auto" w:sz="4" w:space="0"/>
            </w:tcBorders>
            <w:tcW w:w="139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04"/>
        </w:trPr>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标准</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≤50</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59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≤5（8）</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w:t>
            </w:r>
            <w:r/>
          </w:p>
        </w:tc>
        <w:tc>
          <w:tcPr>
            <w:tcBorders>
              <w:top w:val="single" w:color="auto" w:sz="4" w:space="0"/>
              <w:left w:val="none" w:color="000000" w:sz="4" w:space="0"/>
              <w:bottom w:val="single" w:color="auto" w:sz="4" w:space="0"/>
              <w:right w:val="single" w:color="auto" w:sz="4" w:space="0"/>
            </w:tcBorders>
            <w:tcW w:w="139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≤0.5</w:t>
            </w:r>
            <w:r/>
          </w:p>
        </w:tc>
      </w:tr>
    </w:tbl>
    <w:p>
      <w:pPr>
        <w:pStyle w:val="848"/>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(3)阿湖厂：新沂市阿湖镇污水处理厂位于阿湖镇振兴路西侧淋头河东侧，规划总规模1500m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/d，目前一期工程建设规模为500m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/d，全部为生活污水。采用工艺为：“A2/O+混凝沉淀+砂滤+次氯酸钠消毒”的处理工艺。出水水质执行《城镇污水处理厂污染物排放标准》（GB18918-2002）一级A标准，尾水外排至淋头河。</w:t>
      </w:r>
      <w:r/>
    </w:p>
    <w:p>
      <w:pPr>
        <w:pStyle w:val="848"/>
        <w:ind w:firstLine="1470"/>
        <w:spacing w:line="460" w:lineRule="exact"/>
        <w:rPr>
          <w:rFonts w:hint="eastAsia" w:ascii="仿宋" w:hAnsi="仿宋" w:eastAsia="仿宋" w:cs="仿宋"/>
          <w:sz w:val="21"/>
          <w:szCs w:val="21"/>
        </w:rPr>
      </w:pPr>
      <w:r>
        <w:rPr>
          <w:rFonts w:hint="eastAsia" w:ascii="仿宋" w:hAnsi="仿宋" w:eastAsia="仿宋" w:cs="仿宋"/>
          <w:sz w:val="21"/>
          <w:szCs w:val="21"/>
        </w:rPr>
        <w:t xml:space="preserve"> 新沂市阿湖镇污水处理厂进水水质       单位：mg/L</w:t>
      </w:r>
      <w:r/>
    </w:p>
    <w:tbl>
      <w:tblPr>
        <w:tblStyle w:val="837"/>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218"/>
        <w:gridCol w:w="1418"/>
        <w:gridCol w:w="1134"/>
        <w:gridCol w:w="1134"/>
        <w:gridCol w:w="1134"/>
        <w:gridCol w:w="1417"/>
        <w:gridCol w:w="1388"/>
      </w:tblGrid>
      <w:tr>
        <w:trPr>
          <w:jc w:val="center"/>
          <w:trHeight w:val="647"/>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pH</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13"/>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6～9</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≤220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r>
    </w:tbl>
    <w:p>
      <w:pPr>
        <w:pStyle w:val="848"/>
        <w:ind w:firstLine="1050"/>
        <w:spacing w:line="460" w:lineRule="exact"/>
        <w:rPr>
          <w:rFonts w:hint="eastAsia" w:ascii="仿宋" w:hAnsi="仿宋" w:eastAsia="仿宋" w:cs="仿宋"/>
          <w:sz w:val="21"/>
          <w:szCs w:val="21"/>
        </w:rPr>
      </w:pPr>
      <w:r>
        <w:rPr>
          <w:rFonts w:hint="eastAsia" w:ascii="仿宋" w:hAnsi="仿宋" w:eastAsia="仿宋" w:cs="仿宋"/>
          <w:sz w:val="21"/>
          <w:szCs w:val="21"/>
        </w:rPr>
        <w:t xml:space="preserve"> 新沂市阿湖镇污水处理厂出水水质指标        单位:mg/L</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3"/>
        <w:gridCol w:w="1323"/>
        <w:gridCol w:w="1009"/>
        <w:gridCol w:w="814"/>
        <w:gridCol w:w="1596"/>
        <w:gridCol w:w="1309"/>
        <w:gridCol w:w="1431"/>
      </w:tblGrid>
      <w:tr>
        <w:trPr>
          <w:jc w:val="center"/>
          <w:trHeight w:val="667"/>
        </w:trPr>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指标</w:t>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none" w:color="000000" w:sz="4" w:space="0"/>
              <w:bottom w:val="single" w:color="auto" w:sz="4" w:space="0"/>
              <w:right w:val="single" w:color="auto" w:sz="4" w:space="0"/>
            </w:tcBorders>
            <w:tcW w:w="8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none" w:color="000000" w:sz="4" w:space="0"/>
              <w:bottom w:val="single" w:color="auto" w:sz="4" w:space="0"/>
              <w:right w:val="single" w:color="auto" w:sz="4" w:space="0"/>
            </w:tcBorders>
            <w:tcW w:w="159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none" w:color="000000" w:sz="4" w:space="0"/>
              <w:bottom w:val="single" w:color="auto" w:sz="4" w:space="0"/>
              <w:right w:val="single" w:color="auto" w:sz="4" w:space="0"/>
            </w:tcBorders>
            <w:tcW w:w="143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90"/>
        </w:trPr>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标准</w:t>
            </w:r>
            <w:r/>
          </w:p>
        </w:tc>
        <w:tc>
          <w:tcPr>
            <w:tcBorders>
              <w:top w:val="single" w:color="auto" w:sz="4" w:space="0"/>
              <w:left w:val="none" w:color="000000"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≤50</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8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59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≤5（8）</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w:t>
            </w:r>
            <w:r/>
          </w:p>
        </w:tc>
        <w:tc>
          <w:tcPr>
            <w:tcBorders>
              <w:top w:val="single" w:color="auto" w:sz="4" w:space="0"/>
              <w:left w:val="none" w:color="000000" w:sz="4" w:space="0"/>
              <w:bottom w:val="single" w:color="auto" w:sz="4" w:space="0"/>
              <w:right w:val="single" w:color="auto" w:sz="4" w:space="0"/>
            </w:tcBorders>
            <w:tcW w:w="1431"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≤0.5</w:t>
            </w:r>
            <w:r/>
          </w:p>
        </w:tc>
      </w:tr>
    </w:tbl>
    <w:p>
      <w:pPr>
        <w:pStyle w:val="848"/>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(4)马陵山厂：新沂市马陵山镇污水处理厂位于马陵山镇经四路与纬五路交叉口东南角。工程项目规划总规模 1500 吨/d，目前一期工程设计规模为 1000 吨/d。全部为生活污水，处理工艺采用“格栅/集水井＋旋流沉砂池+改良A2/O 池+二沉池+无阀滤池+消毒池”组合工艺，处理出水满足《城镇污水处理厂污染物排放标准》（GB18918-2002）一级A标准，处理后尾水经管道排入尾水导流工程。</w:t>
      </w:r>
      <w:r/>
    </w:p>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新沂市马陵山镇污水处理厂进水水质       单位：mg/L</w:t>
      </w:r>
      <w:r/>
    </w:p>
    <w:tbl>
      <w:tblPr>
        <w:tblStyle w:val="837"/>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83"/>
        <w:gridCol w:w="1350"/>
        <w:gridCol w:w="1214"/>
        <w:gridCol w:w="1025"/>
        <w:gridCol w:w="1309"/>
        <w:gridCol w:w="1377"/>
        <w:gridCol w:w="1337"/>
      </w:tblGrid>
      <w:tr>
        <w:trPr>
          <w:jc w:val="center"/>
          <w:trHeight w:val="647"/>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pH</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13"/>
        </w:trPr>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6～9</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≤350</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≤140</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≤220</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r>
    </w:tbl>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新沂市马陵山镇污水处理厂出水水质指标   单位:mg/L</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275"/>
        <w:gridCol w:w="1134"/>
        <w:gridCol w:w="1276"/>
        <w:gridCol w:w="1276"/>
        <w:gridCol w:w="1134"/>
        <w:gridCol w:w="1072"/>
      </w:tblGrid>
      <w:tr>
        <w:trPr>
          <w:jc w:val="center"/>
          <w:trHeight w:val="667"/>
        </w:trPr>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指标</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04"/>
        </w:trPr>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标准</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≤0.5</w:t>
            </w:r>
            <w:r/>
          </w:p>
        </w:tc>
      </w:tr>
    </w:tbl>
    <w:p>
      <w:pPr>
        <w:pStyle w:val="848"/>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(5)邵店厂：新沂市邵店镇污水处理厂位于邵店镇菜园村南，工程项目规划总规模1500m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/d，目前一期工程设计规模为500m</w:t>
      </w:r>
      <w:r>
        <w:rPr>
          <w:rFonts w:hint="eastAsia" w:ascii="仿宋" w:hAnsi="仿宋" w:eastAsia="仿宋" w:cs="仿宋"/>
          <w:sz w:val="21"/>
          <w:szCs w:val="21"/>
          <w:vertAlign w:val="superscript"/>
        </w:rPr>
        <w:t xml:space="preserve">3</w:t>
      </w:r>
      <w:r>
        <w:rPr>
          <w:rFonts w:hint="eastAsia" w:ascii="仿宋" w:hAnsi="仿宋" w:eastAsia="仿宋" w:cs="仿宋"/>
          <w:sz w:val="21"/>
          <w:szCs w:val="21"/>
        </w:rPr>
        <w:t xml:space="preserve">/d。全部为生活污水。污水处理厂一期工程处理工艺采用“格栅/集水池＋改良A2/O池+二沉池+混凝沉淀池+砂滤+消毒池”组合工艺，处理出水满足《城镇污水处理厂污染物排放标准》（GB18918-2002）一级A标准，处理后尾水经管道排入尾水导流通道。</w:t>
      </w:r>
      <w:r/>
    </w:p>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新沂市邵店镇污水处理厂进水水质       单位：mg/L</w:t>
      </w:r>
      <w:r/>
    </w:p>
    <w:tbl>
      <w:tblPr>
        <w:tblStyle w:val="837"/>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174"/>
        <w:gridCol w:w="1198"/>
        <w:gridCol w:w="1064"/>
        <w:gridCol w:w="1323"/>
        <w:gridCol w:w="1500"/>
        <w:gridCol w:w="1186"/>
        <w:gridCol w:w="1036"/>
      </w:tblGrid>
      <w:tr>
        <w:trPr>
          <w:jc w:val="center"/>
          <w:trHeight w:val="647"/>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pH</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13"/>
        </w:trPr>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6～9</w:t>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≤350</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≤140</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≤220</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≤35</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≤4.0</w:t>
            </w:r>
            <w:r/>
          </w:p>
        </w:tc>
      </w:tr>
    </w:tbl>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新沂市邵店镇污水处理厂出水水质指标     单位:mg/L</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1224"/>
        <w:gridCol w:w="963"/>
        <w:gridCol w:w="962"/>
        <w:gridCol w:w="1513"/>
        <w:gridCol w:w="1362"/>
        <w:gridCol w:w="1032"/>
      </w:tblGrid>
      <w:tr>
        <w:trPr>
          <w:jc w:val="center"/>
          <w:trHeight w:val="667"/>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指标</w:t>
            </w:r>
            <w:r/>
          </w:p>
        </w:tc>
        <w:tc>
          <w:tcPr>
            <w:tcBorders>
              <w:top w:val="single" w:color="auto" w:sz="4" w:space="0"/>
              <w:left w:val="none" w:color="000000" w:sz="4" w:space="0"/>
              <w:bottom w:val="single" w:color="auto" w:sz="4" w:space="0"/>
              <w:right w:val="single" w:color="auto" w:sz="4" w:space="0"/>
            </w:tcBorders>
            <w:tcW w:w="1224" w:type="dxa"/>
            <w:vAlign w:val="center"/>
            <w:textDirection w:val="lrTb"/>
            <w:noWrap w:val="false"/>
          </w:tcPr>
          <w:p>
            <w:pPr>
              <w:pStyle w:val="848"/>
              <w:jc w:val="center"/>
              <w:spacing w:line="46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CODcr</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BOD5</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SS</w:t>
            </w:r>
            <w:r/>
          </w:p>
        </w:tc>
        <w:tc>
          <w:tcPr>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NH3-N</w:t>
            </w:r>
            <w:r/>
          </w:p>
        </w:tc>
        <w:tc>
          <w:tcPr>
            <w:tcBorders>
              <w:top w:val="single" w:color="auto" w:sz="4" w:space="0"/>
              <w:left w:val="none" w:color="000000" w:sz="4" w:space="0"/>
              <w:bottom w:val="single" w:color="auto" w:sz="4" w:space="0"/>
              <w:right w:val="single" w:color="auto" w:sz="4" w:space="0"/>
            </w:tcBorders>
            <w:tcW w:w="136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TN</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TP</w:t>
            </w:r>
            <w:r/>
          </w:p>
        </w:tc>
      </w:tr>
      <w:tr>
        <w:trPr>
          <w:jc w:val="center"/>
          <w:trHeight w:val="604"/>
        </w:trPr>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标准</w:t>
            </w:r>
            <w:r/>
          </w:p>
        </w:tc>
        <w:tc>
          <w:tcPr>
            <w:tcBorders>
              <w:top w:val="single" w:color="auto" w:sz="4" w:space="0"/>
              <w:left w:val="none" w:color="000000" w:sz="4" w:space="0"/>
              <w:bottom w:val="single" w:color="auto" w:sz="4" w:space="0"/>
              <w:right w:val="single" w:color="auto" w:sz="4" w:space="0"/>
            </w:tcBorders>
            <w:tcW w:w="1224"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≤50</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≤10</w:t>
            </w:r>
            <w:r/>
          </w:p>
        </w:tc>
        <w:tc>
          <w:tcPr>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≤5（8）</w:t>
            </w:r>
            <w:r/>
          </w:p>
        </w:tc>
        <w:tc>
          <w:tcPr>
            <w:tcBorders>
              <w:top w:val="single" w:color="auto" w:sz="4" w:space="0"/>
              <w:left w:val="none" w:color="000000" w:sz="4" w:space="0"/>
              <w:bottom w:val="single" w:color="auto" w:sz="4" w:space="0"/>
              <w:right w:val="single" w:color="auto" w:sz="4" w:space="0"/>
            </w:tcBorders>
            <w:tcW w:w="136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≤15</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val="false"/>
          </w:tcPr>
          <w:p>
            <w:pPr>
              <w:pStyle w:val="848"/>
              <w:jc w:val="center"/>
              <w:spacing w:line="460" w:lineRule="exact"/>
              <w:rPr>
                <w:rFonts w:hint="eastAsia" w:ascii="仿宋" w:hAnsi="仿宋" w:eastAsia="仿宋" w:cs="仿宋"/>
                <w:sz w:val="21"/>
                <w:szCs w:val="21"/>
              </w:rPr>
            </w:pPr>
            <w:r>
              <w:rPr>
                <w:rFonts w:hint="eastAsia" w:ascii="仿宋" w:hAnsi="仿宋" w:eastAsia="仿宋" w:cs="仿宋"/>
                <w:sz w:val="21"/>
                <w:szCs w:val="21"/>
              </w:rPr>
              <w:t xml:space="preserve">≤0.5</w:t>
            </w:r>
            <w:r/>
          </w:p>
        </w:tc>
      </w:tr>
    </w:tbl>
    <w:p>
      <w:pPr>
        <w:pStyle w:val="844"/>
        <w:ind w:left="0" w:firstLine="0"/>
        <w:jc w:val="both"/>
        <w:spacing w:line="420" w:lineRule="exact"/>
        <w:rPr>
          <w:rFonts w:hint="eastAsia" w:ascii="仿宋" w:hAnsi="仿宋" w:eastAsia="仿宋" w:cs="仿宋"/>
          <w:sz w:val="21"/>
          <w:szCs w:val="21"/>
        </w:rPr>
      </w:pPr>
      <w:r>
        <w:rPr>
          <w:rFonts w:hint="eastAsia" w:ascii="仿宋" w:hAnsi="仿宋" w:eastAsia="仿宋" w:cs="仿宋"/>
          <w:b/>
          <w:bCs/>
          <w:sz w:val="21"/>
          <w:szCs w:val="21"/>
        </w:rPr>
        <w:t xml:space="preserve">注：</w:t>
      </w:r>
      <w:r>
        <w:rPr>
          <w:rFonts w:hint="eastAsia" w:ascii="仿宋" w:hAnsi="仿宋" w:eastAsia="仿宋" w:cs="仿宋"/>
          <w:sz w:val="21"/>
          <w:szCs w:val="21"/>
          <w:lang w:val="en-US" w:eastAsia="zh-CN"/>
        </w:rPr>
        <w:t xml:space="preserve">五</w:t>
      </w:r>
      <w:r>
        <w:rPr>
          <w:rFonts w:hint="eastAsia" w:ascii="仿宋" w:hAnsi="仿宋" w:eastAsia="仿宋" w:cs="仿宋"/>
          <w:sz w:val="21"/>
          <w:szCs w:val="21"/>
        </w:rPr>
        <w:t xml:space="preserve">座污水处理厂均配有下列水质在线分析仪，投标报价应包含下列设备的运维费用（包括：试剂、配件、维修、标定、废液处置、数据传输维护等全部费用）：</w:t>
      </w:r>
      <w:r/>
    </w:p>
    <w:p>
      <w:pPr>
        <w:ind w:firstLine="420"/>
        <w:jc w:val="both"/>
        <w:spacing w:line="420" w:lineRule="exact"/>
        <w:rPr>
          <w:rFonts w:hint="eastAsia" w:ascii="仿宋" w:hAnsi="仿宋" w:eastAsia="仿宋" w:cs="仿宋"/>
          <w:sz w:val="21"/>
          <w:szCs w:val="21"/>
        </w:rPr>
      </w:pPr>
      <w:r/>
      <w:bookmarkStart w:id="34" w:name="OLE_LINK13"/>
      <w:r>
        <w:rPr>
          <w:rFonts w:hint="eastAsia" w:ascii="仿宋" w:hAnsi="仿宋" w:eastAsia="仿宋" w:cs="仿宋"/>
          <w:sz w:val="21"/>
          <w:szCs w:val="21"/>
        </w:rPr>
        <w:t xml:space="preserve">进水口：COD水质在线分析仪（美国哈希）、氨氮水质在线分析仪（美国哈希）、TN水质自动监测仪（安徽皖仪）、PH仪、流量计、污染源在线自动监测数据采集传输仪、TP水质在线自动监测仪。</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出水口：COD水质在线分析仪（美国哈希）、氨氮水质在线分析仪（美国哈希）、TN水质自动监测仪（安徽皖仪）、PH仪、流量计、污染源在线自动监测数据采集传输仪、总磷总氮水质在线分析仪（美国哈希）（目前只有草桥使用）、流量计、TP水质在线自动监测仪、数采仪各一台。</w:t>
      </w:r>
      <w:r/>
    </w:p>
    <w:p>
      <w:pPr>
        <w:pStyle w:val="848"/>
        <w:ind w:firstLine="422"/>
        <w:jc w:val="both"/>
        <w:spacing w:line="42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1.2镇级污水处理厂</w:t>
      </w:r>
      <w:r>
        <w:rPr>
          <w:rFonts w:hint="eastAsia" w:ascii="仿宋" w:hAnsi="仿宋" w:eastAsia="仿宋" w:cs="仿宋"/>
          <w:b/>
          <w:bCs/>
          <w:color w:val="000000"/>
          <w:sz w:val="21"/>
          <w:szCs w:val="21"/>
          <w:lang w:eastAsia="zh-CN"/>
        </w:rPr>
        <w:t xml:space="preserve">和</w:t>
      </w:r>
      <w:r>
        <w:rPr>
          <w:rFonts w:hint="eastAsia" w:ascii="仿宋" w:hAnsi="仿宋" w:eastAsia="仿宋" w:cs="仿宋"/>
          <w:b/>
          <w:bCs/>
          <w:color w:val="000000"/>
          <w:sz w:val="21"/>
          <w:szCs w:val="21"/>
          <w:lang w:val="en-US" w:eastAsia="zh-CN"/>
        </w:rPr>
        <w:t xml:space="preserve">污水提升泵站</w:t>
      </w:r>
      <w:r>
        <w:rPr>
          <w:rFonts w:hint="eastAsia" w:ascii="仿宋" w:hAnsi="仿宋" w:eastAsia="仿宋" w:cs="仿宋"/>
          <w:b/>
          <w:bCs/>
          <w:color w:val="000000"/>
          <w:sz w:val="21"/>
          <w:szCs w:val="21"/>
        </w:rPr>
        <w:t xml:space="preserve">运营维护要求</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通过本次招标确定委托运营本项目的项目公司，由</w:t>
      </w:r>
      <w:r>
        <w:rPr>
          <w:rFonts w:hint="eastAsia" w:ascii="仿宋" w:hAnsi="仿宋" w:eastAsia="仿宋" w:cs="仿宋"/>
          <w:bCs/>
          <w:color w:val="auto"/>
          <w:sz w:val="21"/>
          <w:szCs w:val="21"/>
          <w:lang w:eastAsia="zh-CN"/>
        </w:rPr>
        <w:t xml:space="preserve">新沂市住房和城乡建设局</w:t>
      </w:r>
      <w:r>
        <w:rPr>
          <w:rFonts w:hint="eastAsia" w:ascii="仿宋" w:hAnsi="仿宋" w:eastAsia="仿宋" w:cs="仿宋"/>
          <w:color w:val="auto"/>
          <w:sz w:val="21"/>
          <w:szCs w:val="21"/>
        </w:rPr>
        <w:t xml:space="preserve">和中</w:t>
      </w:r>
      <w:r>
        <w:rPr>
          <w:rFonts w:hint="eastAsia" w:ascii="仿宋" w:hAnsi="仿宋" w:eastAsia="仿宋" w:cs="仿宋"/>
          <w:sz w:val="21"/>
          <w:szCs w:val="21"/>
        </w:rPr>
        <w:t xml:space="preserve">标项目公司签订委托运营协议书，中标项目公司在运营期内负责项目经营，并根据双方签订的委托运营协议获得运营费用。在委托运营期满后，中标项目公司将委托运营项目的财产</w:t>
      </w:r>
      <w:r>
        <w:rPr>
          <w:rFonts w:hint="eastAsia" w:ascii="仿宋" w:hAnsi="仿宋" w:eastAsia="仿宋" w:cs="仿宋"/>
          <w:color w:val="auto"/>
          <w:sz w:val="21"/>
          <w:szCs w:val="21"/>
        </w:rPr>
        <w:t xml:space="preserve">无偿地移交回委托单位。</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(1)</w:t>
      </w:r>
      <w:r>
        <w:rPr>
          <w:rFonts w:hint="eastAsia" w:ascii="仿宋" w:hAnsi="仿宋" w:eastAsia="仿宋" w:cs="仿宋"/>
          <w:color w:val="auto"/>
          <w:sz w:val="21"/>
          <w:szCs w:val="21"/>
        </w:rPr>
        <w:t xml:space="preserve">中标人所运营污水处理厂应保证出水水质达到《城镇污水处理厂污染物排放标准》（GB18918-2002）一级A标准。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color w:val="auto"/>
          <w:sz w:val="21"/>
          <w:szCs w:val="21"/>
        </w:rPr>
        <w:t xml:space="preserve">中标人需按照相关监管部门的要求</w:t>
      </w:r>
      <w:r>
        <w:rPr>
          <w:rFonts w:hint="eastAsia" w:ascii="仿宋" w:hAnsi="仿宋" w:eastAsia="仿宋" w:cs="仿宋"/>
          <w:sz w:val="21"/>
          <w:szCs w:val="21"/>
        </w:rPr>
        <w:t xml:space="preserve">，规范化运营。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color w:val="auto"/>
          <w:sz w:val="21"/>
          <w:szCs w:val="21"/>
        </w:rPr>
        <w:t xml:space="preserve">中标人需按照要求，积极配合做好各项检查工作。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(4)排水口按环评书批复文件必须根据省环保厅强制性要求设置安装在线检测仪，并接受</w:t>
      </w:r>
      <w:r>
        <w:rPr>
          <w:rFonts w:hint="eastAsia" w:ascii="仿宋" w:hAnsi="仿宋" w:eastAsia="仿宋" w:cs="仿宋"/>
          <w:color w:val="auto"/>
          <w:sz w:val="21"/>
          <w:szCs w:val="21"/>
        </w:rPr>
        <w:t xml:space="preserve">相关部</w:t>
      </w:r>
      <w:r>
        <w:rPr>
          <w:rFonts w:hint="eastAsia" w:ascii="仿宋" w:hAnsi="仿宋" w:eastAsia="仿宋" w:cs="仿宋"/>
          <w:sz w:val="21"/>
          <w:szCs w:val="21"/>
        </w:rPr>
        <w:t xml:space="preserve">门的监督、检查。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(5)污水处理厂二次污染的控制：</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处理厂的大气污染物和污泥处理应按《城镇污水处理厂污染物排放标准》（GB18918-2002）一级A标准的要求进行控制。</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(6)设备使用和管理：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所有设备都要建立技术档案、设备台帐，关键设备都要有操作规程，规定操作步骤。设备操作规程主要根据设备制造商说明书及现场情况相结合而制定。操作人员必须严格按照操作规程进行操作。设备使用过程中要做工况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(7)设备保养：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各种设备都应制订设备保养管理规程，设备保养管理规程根据设备制造厂的说明书和现场情况结合而制定。保养条例中包括进行清洁、调整、紧固、润滑和构建的防腐、防冻等内容。设备保养应留有记录。另外，</w:t>
      </w:r>
      <w:r>
        <w:rPr>
          <w:rFonts w:hint="eastAsia" w:ascii="仿宋" w:hAnsi="仿宋" w:eastAsia="仿宋" w:cs="仿宋"/>
          <w:bCs/>
          <w:color w:val="auto"/>
          <w:sz w:val="21"/>
          <w:szCs w:val="21"/>
        </w:rPr>
        <w:t xml:space="preserve">避免备用设备长期闲置，降低生产事故发生的概率，</w:t>
      </w:r>
      <w:r>
        <w:rPr>
          <w:rFonts w:hint="eastAsia" w:ascii="仿宋" w:hAnsi="仿宋" w:eastAsia="仿宋" w:cs="仿宋"/>
          <w:color w:val="auto"/>
          <w:sz w:val="21"/>
          <w:szCs w:val="21"/>
        </w:rPr>
        <w:t xml:space="preserve">需注意设备的停用保养（指备用机组或闲置设备的保养）和换季保养</w:t>
      </w:r>
      <w:r>
        <w:rPr>
          <w:rFonts w:hint="eastAsia" w:ascii="仿宋" w:hAnsi="仿宋" w:eastAsia="仿宋" w:cs="仿宋"/>
          <w:sz w:val="21"/>
          <w:szCs w:val="21"/>
        </w:rPr>
        <w:t xml:space="preserve">（指设备入夏、入冬、梅雨期等季节性需要的保养工作，包括采取防晒，防寒、防潮、降温等措施）。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(8)设备检修：</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主要设备必须明确检修周期，实行定期检修，不要到损坏严重时再修理。对常规修理，应制定检修工料定额，以降低检修成本。每次检修都应作详细记录。设备的日常维修由乙方负责，如需更换，也由乙方负责更换并按甲方固定资产进行管理，且设备的更换和更换的新设备需经两方签字确认</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设备维修所需配件低于5000元，由乙方自行提供</w:t>
      </w:r>
      <w:r>
        <w:rPr>
          <w:rFonts w:hint="eastAsia" w:ascii="仿宋" w:hAnsi="仿宋" w:eastAsia="仿宋" w:cs="仿宋"/>
          <w:sz w:val="21"/>
          <w:szCs w:val="21"/>
        </w:rPr>
        <w:t xml:space="preserve">。有影响污水运行的设备故障时，要有应急措施，比如</w:t>
      </w:r>
      <w:r>
        <w:rPr>
          <w:rFonts w:hint="eastAsia" w:ascii="仿宋" w:hAnsi="仿宋" w:eastAsia="仿宋" w:cs="仿宋"/>
          <w:color w:val="auto"/>
          <w:sz w:val="21"/>
          <w:szCs w:val="21"/>
        </w:rPr>
        <w:t xml:space="preserve">备用设备、</w:t>
      </w:r>
      <w:r>
        <w:rPr>
          <w:rFonts w:hint="eastAsia" w:ascii="仿宋" w:hAnsi="仿宋" w:eastAsia="仿宋" w:cs="仿宋"/>
          <w:sz w:val="21"/>
          <w:szCs w:val="21"/>
        </w:rPr>
        <w:t xml:space="preserve">生物药剂等；在线监测仪故障时落实手动监测，</w:t>
      </w:r>
      <w:r>
        <w:rPr>
          <w:rFonts w:hint="eastAsia" w:ascii="仿宋" w:hAnsi="仿宋" w:eastAsia="仿宋" w:cs="仿宋"/>
          <w:bCs/>
          <w:color w:val="auto"/>
          <w:sz w:val="21"/>
          <w:szCs w:val="21"/>
        </w:rPr>
        <w:t xml:space="preserve">并留存纸质记录，目的是加强管理</w:t>
      </w:r>
      <w:r>
        <w:rPr>
          <w:rFonts w:hint="eastAsia" w:ascii="仿宋" w:hAnsi="仿宋" w:eastAsia="仿宋" w:cs="仿宋"/>
          <w:color w:val="auto"/>
          <w:sz w:val="21"/>
          <w:szCs w:val="21"/>
        </w:rPr>
        <w:t xml:space="preserve">，并由分管领导签字确认。</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合同期内保证设备、材料完好率大于95%，处理系统健康稳定运行。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(9)药剂和危废：</w:t>
      </w:r>
      <w:r/>
    </w:p>
    <w:p>
      <w:pPr>
        <w:ind w:firstLine="420"/>
        <w:jc w:val="both"/>
        <w:spacing w:line="420" w:lineRule="exact"/>
        <w:rPr>
          <w:rFonts w:hint="eastAsia" w:ascii="仿宋" w:hAnsi="仿宋" w:eastAsia="仿宋" w:cs="仿宋"/>
          <w:sz w:val="21"/>
          <w:szCs w:val="21"/>
          <w:highlight w:val="yellow"/>
          <w:lang w:val="en-US" w:eastAsia="zh-CN"/>
        </w:rPr>
      </w:pPr>
      <w:r>
        <w:rPr>
          <w:rFonts w:hint="eastAsia" w:ascii="仿宋" w:hAnsi="仿宋" w:eastAsia="仿宋" w:cs="仿宋"/>
          <w:sz w:val="21"/>
          <w:szCs w:val="21"/>
        </w:rPr>
        <w:t xml:space="preserve">污水运行过程使用的药剂主要为PAC、PAM等，</w:t>
      </w:r>
      <w:r>
        <w:rPr>
          <w:rFonts w:hint="eastAsia" w:ascii="仿宋" w:hAnsi="仿宋" w:eastAsia="仿宋" w:cs="仿宋"/>
          <w:sz w:val="21"/>
          <w:szCs w:val="21"/>
          <w:highlight w:val="none"/>
        </w:rPr>
        <w:t xml:space="preserve">药剂应</w:t>
      </w:r>
      <w:r>
        <w:rPr>
          <w:rFonts w:hint="eastAsia" w:ascii="仿宋" w:hAnsi="仿宋" w:eastAsia="仿宋" w:cs="仿宋"/>
          <w:sz w:val="21"/>
          <w:szCs w:val="21"/>
          <w:highlight w:val="none"/>
          <w:lang w:val="en-US" w:eastAsia="zh-CN"/>
        </w:rPr>
        <w:t xml:space="preserve">满足相关技术规范要求</w:t>
      </w:r>
      <w:r>
        <w:rPr>
          <w:rFonts w:hint="eastAsia" w:ascii="仿宋" w:hAnsi="仿宋" w:eastAsia="仿宋" w:cs="仿宋"/>
          <w:sz w:val="21"/>
          <w:szCs w:val="21"/>
          <w:highlight w:val="none"/>
        </w:rPr>
        <w:t xml:space="preserve">，添加量应满足工艺需求，并保留药剂采购及使用记录。</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在线监测仪运行和实验室操作中产生的废有机溶剂统一做好收集、贮存、台账和标记，由运营方找有资质的危废处置单位集中处置，费用由运营方承担。运营方需定期对危废处理设施运行情况跟踪，确保危废正常处理。危废处理出现相关的责任事故和行政处罚由运营方承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污水运行中产生的固废主要为污泥及浮渣。物化处理单元为危险废物的，</w:t>
      </w:r>
      <w:r>
        <w:rPr>
          <w:rFonts w:hint="eastAsia" w:ascii="仿宋" w:hAnsi="仿宋" w:eastAsia="仿宋" w:cs="仿宋"/>
          <w:sz w:val="21"/>
          <w:szCs w:val="21"/>
          <w:highlight w:val="none"/>
          <w:lang w:val="en-US" w:eastAsia="zh-CN"/>
        </w:rPr>
        <w:t xml:space="preserve">危险废物</w:t>
      </w:r>
      <w:r>
        <w:rPr>
          <w:rFonts w:hint="eastAsia" w:ascii="仿宋" w:hAnsi="仿宋" w:eastAsia="仿宋" w:cs="仿宋"/>
          <w:sz w:val="21"/>
          <w:szCs w:val="21"/>
        </w:rPr>
        <w:t xml:space="preserve">的处置</w:t>
      </w:r>
      <w:r>
        <w:rPr>
          <w:rFonts w:hint="eastAsia" w:ascii="仿宋" w:hAnsi="仿宋" w:eastAsia="仿宋" w:cs="仿宋"/>
          <w:color w:val="auto"/>
          <w:sz w:val="21"/>
          <w:szCs w:val="21"/>
        </w:rPr>
        <w:t xml:space="preserve">由中标人统一负责，需</w:t>
      </w:r>
      <w:r>
        <w:rPr>
          <w:rFonts w:hint="eastAsia" w:ascii="仿宋" w:hAnsi="仿宋" w:eastAsia="仿宋" w:cs="仿宋"/>
          <w:color w:val="auto"/>
          <w:sz w:val="21"/>
          <w:szCs w:val="21"/>
          <w:lang w:val="en-US" w:eastAsia="zh-CN"/>
        </w:rPr>
        <w:t xml:space="preserve">保证</w:t>
      </w:r>
      <w:r>
        <w:rPr>
          <w:rFonts w:hint="eastAsia" w:ascii="仿宋" w:hAnsi="仿宋" w:eastAsia="仿宋" w:cs="仿宋"/>
          <w:color w:val="auto"/>
          <w:sz w:val="21"/>
          <w:szCs w:val="21"/>
        </w:rPr>
        <w:t xml:space="preserve">板</w:t>
      </w:r>
      <w:r>
        <w:rPr>
          <w:rFonts w:hint="eastAsia" w:ascii="仿宋" w:hAnsi="仿宋" w:eastAsia="仿宋" w:cs="仿宋"/>
          <w:sz w:val="21"/>
          <w:szCs w:val="21"/>
        </w:rPr>
        <w:t xml:space="preserve">框</w:t>
      </w:r>
      <w:r>
        <w:rPr>
          <w:rFonts w:hint="eastAsia" w:ascii="仿宋" w:hAnsi="仿宋" w:eastAsia="仿宋" w:cs="仿宋"/>
          <w:sz w:val="21"/>
          <w:szCs w:val="21"/>
          <w:lang w:val="en-US" w:eastAsia="zh-CN"/>
        </w:rPr>
        <w:t xml:space="preserve">压滤后</w:t>
      </w:r>
      <w:r>
        <w:rPr>
          <w:rFonts w:hint="eastAsia" w:ascii="仿宋" w:hAnsi="仿宋" w:eastAsia="仿宋" w:cs="仿宋"/>
          <w:sz w:val="21"/>
          <w:szCs w:val="21"/>
        </w:rPr>
        <w:t xml:space="preserve">污泥含水率≤75%（质量比）。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(10)能资源（水、电、汽等）：</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水、电、汽消耗应遵循节能降耗的原则，报价中应包含水、电、汽的全部费用。</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(11)现场管理：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污水处理厂区域范围内现场应保持整洁，服从</w:t>
      </w:r>
      <w:r>
        <w:rPr>
          <w:rFonts w:hint="eastAsia" w:ascii="仿宋" w:hAnsi="仿宋" w:eastAsia="仿宋" w:cs="仿宋"/>
          <w:bCs/>
          <w:color w:val="auto"/>
          <w:sz w:val="21"/>
          <w:szCs w:val="21"/>
        </w:rPr>
        <w:t xml:space="preserve">招标人</w:t>
      </w:r>
      <w:r>
        <w:rPr>
          <w:rFonts w:hint="eastAsia" w:ascii="仿宋" w:hAnsi="仿宋" w:eastAsia="仿宋" w:cs="仿宋"/>
          <w:color w:val="auto"/>
          <w:sz w:val="21"/>
          <w:szCs w:val="21"/>
        </w:rPr>
        <w:t xml:space="preserve">的</w:t>
      </w:r>
      <w:r>
        <w:rPr>
          <w:rFonts w:hint="eastAsia" w:ascii="仿宋" w:hAnsi="仿宋" w:eastAsia="仿宋" w:cs="仿宋"/>
          <w:sz w:val="21"/>
          <w:szCs w:val="21"/>
        </w:rPr>
        <w:t xml:space="preserve">管理要求。严禁无故私拉管线、破坏现有设施。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污水处理各单元运行过程中，应定期对各阶段进行监测，以便及时发现问题，保证整个工艺正常运转。可分析项目包括pH、NH3-N、</w:t>
      </w:r>
      <w:r>
        <w:rPr>
          <w:rFonts w:hint="eastAsia" w:ascii="仿宋" w:hAnsi="仿宋" w:eastAsia="仿宋" w:cs="仿宋"/>
          <w:sz w:val="21"/>
          <w:szCs w:val="21"/>
          <w:lang w:eastAsia="zh-CN"/>
        </w:rPr>
        <w:t xml:space="preserve">CODcr</w:t>
      </w:r>
      <w:r>
        <w:rPr>
          <w:rFonts w:hint="eastAsia" w:ascii="仿宋" w:hAnsi="仿宋" w:eastAsia="仿宋" w:cs="仿宋"/>
          <w:sz w:val="21"/>
          <w:szCs w:val="21"/>
        </w:rPr>
        <w:t xml:space="preserve">水温、污泥浓度等，按需实施监测，并记录过程数据。</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(12)操作人员管理：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具备污水处理运行经验的男性优先。</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每个操作班组至少两人，每个污水厂至少一名运营人员具备实验室检测能力。确保白天每2h巡检一次，夜间每4h巡检一次（根据班次），出现故障时可20min内人员就位响应。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进厂人员需统一服装，并服从内部管理制度。</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操作人员工作时间不得违反《劳动法》和《劳动合同法》，且要有最基本的意外伤害保险或工伤保险。</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(13)水质检测要求：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配备专业的检测人员不少于4人，检测设备齐全，包含PH计、磁力搅拌器、紫外/可见光分光光度计、标准COD消解仪、数显电导率仪、微波消解装置、压力蒸汽灭菌器、电热干燥箱、恒温水浴锅、多参数快速测定仪、显微镜(目的是观察微生物的阶梯分布情况，较直观，降低操作人员的难度)等。</w:t>
      </w:r>
      <w:r/>
    </w:p>
    <w:p>
      <w:pPr>
        <w:pStyle w:val="843"/>
        <w:ind w:right="539" w:firstLine="420"/>
        <w:jc w:val="both"/>
        <w:spacing w:line="420" w:lineRule="exact"/>
        <w:rPr>
          <w:rFonts w:hint="eastAsia" w:ascii="仿宋" w:hAnsi="仿宋" w:eastAsia="仿宋" w:cs="仿宋"/>
          <w:color w:val="auto"/>
          <w:sz w:val="21"/>
          <w:szCs w:val="21"/>
        </w:rPr>
      </w:pPr>
      <w:r>
        <w:rPr>
          <w:rFonts w:hint="eastAsia" w:ascii="仿宋" w:hAnsi="仿宋" w:eastAsia="仿宋" w:cs="仿宋"/>
          <w:b w:val="0"/>
          <w:spacing w:val="0"/>
          <w:sz w:val="21"/>
          <w:szCs w:val="21"/>
          <w:lang w:val="en-US" w:eastAsia="zh-CN" w:bidi="ar-SA"/>
        </w:rPr>
        <w:t xml:space="preserve">(14)制度和台账记录：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针对现行操作技术和方法建立完善污水运行制度和记录，其中污水运行过程记录要满足相关法律法规要求。</w:t>
      </w:r>
      <w:r/>
    </w:p>
    <w:p>
      <w:pPr>
        <w:ind w:firstLine="420"/>
        <w:jc w:val="both"/>
        <w:spacing w:line="42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另外，异常状况记录、维修保养记录、交接班记录、运行状况、巡视检查等均应保留记录，记录必须及时、正确、完整、清晰，实事求是。所有记录应保</w:t>
      </w:r>
      <w:r>
        <w:rPr>
          <w:rFonts w:hint="eastAsia" w:ascii="仿宋" w:hAnsi="仿宋" w:eastAsia="仿宋" w:cs="仿宋"/>
          <w:sz w:val="21"/>
          <w:szCs w:val="21"/>
          <w:highlight w:val="none"/>
        </w:rPr>
        <w:t xml:space="preserve">存</w:t>
      </w: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年以上，其中污水运行过程记录应同步记录纸质和电子版，保存</w:t>
      </w:r>
      <w:r>
        <w:rPr>
          <w:rFonts w:hint="eastAsia" w:ascii="仿宋" w:hAnsi="仿宋" w:eastAsia="仿宋" w:cs="仿宋"/>
          <w:sz w:val="21"/>
          <w:szCs w:val="21"/>
          <w:highlight w:val="none"/>
          <w:lang w:val="en-US" w:eastAsia="zh-CN"/>
        </w:rPr>
        <w:t xml:space="preserve">五</w:t>
      </w:r>
      <w:r>
        <w:rPr>
          <w:rFonts w:hint="eastAsia" w:ascii="仿宋" w:hAnsi="仿宋" w:eastAsia="仿宋" w:cs="仿宋"/>
          <w:sz w:val="21"/>
          <w:szCs w:val="21"/>
          <w:highlight w:val="none"/>
        </w:rPr>
        <w:t xml:space="preserve">年以上。</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日常委外和</w:t>
      </w:r>
      <w:r>
        <w:rPr>
          <w:rFonts w:hint="eastAsia" w:ascii="仿宋" w:hAnsi="仿宋" w:eastAsia="仿宋" w:cs="仿宋"/>
          <w:color w:val="auto"/>
          <w:sz w:val="21"/>
          <w:szCs w:val="21"/>
        </w:rPr>
        <w:t xml:space="preserve">例行监测由</w:t>
      </w:r>
      <w:r>
        <w:rPr>
          <w:rFonts w:hint="eastAsia" w:ascii="仿宋" w:hAnsi="仿宋" w:eastAsia="仿宋" w:cs="仿宋"/>
          <w:sz w:val="21"/>
          <w:szCs w:val="21"/>
        </w:rPr>
        <w:t xml:space="preserve">运营方按照项目环境监测管理计划进行，费用由运营方承担。监测计划之外的监测由需求方联系并付费。</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(15)安全管理：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严格遵守污水厂管理规定，对工作人员应做好三级安全教育，养成良好的安全生产的风气，预防事故发生和财产损失，确保人身安全。</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正确使用机器设备，定时</w:t>
      </w:r>
      <w:r>
        <w:rPr>
          <w:rFonts w:hint="eastAsia" w:ascii="仿宋" w:hAnsi="仿宋" w:eastAsia="仿宋" w:cs="仿宋"/>
          <w:color w:val="auto"/>
          <w:sz w:val="21"/>
          <w:szCs w:val="21"/>
        </w:rPr>
        <w:t xml:space="preserve">巡查监测</w:t>
      </w:r>
      <w:r>
        <w:rPr>
          <w:rFonts w:hint="eastAsia" w:ascii="仿宋" w:hAnsi="仿宋" w:eastAsia="仿宋" w:cs="仿宋"/>
          <w:sz w:val="21"/>
          <w:szCs w:val="21"/>
        </w:rPr>
        <w:t xml:space="preserve">各种设备的运转状况，定期保养，确保安全运转。</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化验室工作人员工作时，不得擅自离开现场，以防发生意外事故。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有毒有害药品的存放要有</w:t>
      </w:r>
      <w:r>
        <w:rPr>
          <w:rFonts w:hint="eastAsia" w:ascii="仿宋" w:hAnsi="仿宋" w:eastAsia="仿宋" w:cs="仿宋"/>
          <w:color w:val="auto"/>
          <w:sz w:val="21"/>
          <w:szCs w:val="21"/>
        </w:rPr>
        <w:t xml:space="preserve">双人、双锁专人</w:t>
      </w:r>
      <w:r>
        <w:rPr>
          <w:rFonts w:hint="eastAsia" w:ascii="仿宋" w:hAnsi="仿宋" w:eastAsia="仿宋" w:cs="仿宋"/>
          <w:sz w:val="21"/>
          <w:szCs w:val="21"/>
        </w:rPr>
        <w:t xml:space="preserve">管理；腐蚀性、挥发性、易燃性药品必须分类存放。</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(16)环保在线监测软件系统功能要求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环保在线监测软件系统以先进的技术、分布式远程集中监测为核心，结合内部管理，集在线监测数据存储、数据共享、数据分析系统整合等为一体的智能系统。系统应具有在线监测数据接收存储、报警管理、数据分析、电子地图等各大主要功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基于数据安全性和系统运行稳定性的双重考虑建议采用双机热备；两套系统同时在运行中，一台为主，一台为从，平时主系统在工作，每过一段时间把主系统的数据同步到从系统，当主系统出现异常时，从系统马上接手，等待主系统恢复后从系统把数据同步到主系统，好处是避免了异常情况下数据的丢失。</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报价中应包含环保在线监测软件系统及系统搭建所需的硬件配置（如：服务器、交换机等）。</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环保在线监测软件系统采用</w:t>
      </w:r>
      <w:r>
        <w:rPr>
          <w:rFonts w:hint="eastAsia" w:ascii="仿宋" w:hAnsi="仿宋" w:eastAsia="仿宋" w:cs="仿宋"/>
          <w:sz w:val="21"/>
          <w:szCs w:val="21"/>
          <w:highlight w:val="none"/>
        </w:rPr>
        <w:t xml:space="preserve">富交互式友</w:t>
      </w:r>
      <w:r>
        <w:rPr>
          <w:rFonts w:hint="eastAsia" w:ascii="仿宋" w:hAnsi="仿宋" w:eastAsia="仿宋" w:cs="仿宋"/>
          <w:sz w:val="21"/>
          <w:szCs w:val="21"/>
        </w:rPr>
        <w:t xml:space="preserve">好界面,具有结构清晰、操作简便等特点，各功能模块采用分级式规划,模块布局</w:t>
      </w:r>
      <w:r>
        <w:rPr>
          <w:rFonts w:hint="eastAsia" w:ascii="仿宋" w:hAnsi="仿宋" w:eastAsia="仿宋" w:cs="仿宋"/>
          <w:sz w:val="21"/>
          <w:szCs w:val="21"/>
        </w:rPr>
        <w:t xml:space="preserve">、切换和交互形式清新,各级模块可根据客户需要自由定制,同时各级模块具备灵活的用户权限管理机制。其中第三级子功能模块采用云桌面布局,可交互性强。平台污水处理监测站点接入灵活,不受站点物理地址限制,站点数据源可独立分布；站点项目及评价标准可分别灵活设置；数据接入接口统一,可有效兼容不同数据库结构。环保在线监测软件系统应向用户提供在线监测数据的查询、统计和图表分析功能：软件系统应具有地图界面显示污水处理厂在线监控站房坐标点位及概况信息。软件系统应具有实时及历史监测数据查询功能，并应具有查询导出功能。软件系统应具有</w:t>
      </w:r>
      <w:r>
        <w:rPr>
          <w:rFonts w:hint="eastAsia" w:ascii="仿宋" w:hAnsi="仿宋" w:eastAsia="仿宋" w:cs="仿宋"/>
          <w:sz w:val="21"/>
          <w:szCs w:val="21"/>
        </w:rPr>
        <w:t xml:space="preserve">数据的统计与分析功能，并支持生成任意时段及规定格式的各类统计报表。软件系统应具有不同时间范围、不同运行阶段数据的对比分析功能。当监测数据超过设定限值时，软件系统应具有报警提示功能。软件系统应按不同权限提供分级信息的显示，并具有信息共享功能。在线监测数据上传格式规范应符合数据加密要求。软件系统安全技术设计应不低于安全等级保护二级要求。各数据应用模块功能齐全、形式丰富、可扩展性强,同样可以根据客户需要单独定制。点位GIS功能采用第三方开放式地图服务,具有投入少、功能灵活等特点,界面布局和点位及数据展示形式丰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实时监管：工作人员可以通过监测软件系统对各个污水处理厂出水水质实时监控，结合监测软件系统为管理人员提供的污水处理厂分布地图、超标自动报警、实时趋势分析、历史趋势分析、不同污水处理厂出水水质变化趋势、电源故障诊断、设备故障诊断等内容。</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(17)其他：</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运营方应积极配合官方（生态环境主管部门）检查，运营方所运营污水处理厂的边界内出现的任何问题，由运营方进行交涉并承担责任。</w:t>
      </w:r>
      <w:r/>
    </w:p>
    <w:p>
      <w:pPr>
        <w:ind w:firstLine="420"/>
        <w:jc w:val="both"/>
        <w:spacing w:line="420" w:lineRule="exact"/>
        <w:rPr>
          <w:rFonts w:hint="eastAsia" w:ascii="仿宋" w:hAnsi="仿宋" w:eastAsia="仿宋" w:cs="仿宋"/>
          <w:b/>
          <w:bCs/>
          <w:sz w:val="21"/>
          <w:szCs w:val="21"/>
        </w:rPr>
      </w:pPr>
      <w:r>
        <w:rPr>
          <w:rFonts w:hint="eastAsia" w:ascii="仿宋" w:hAnsi="仿宋" w:eastAsia="仿宋" w:cs="仿宋"/>
          <w:sz w:val="21"/>
          <w:szCs w:val="21"/>
        </w:rPr>
        <w:t xml:space="preserve">及时掌握污水排放情况，根据情况调整污水处理的运行，使处理水质稳定达标。若因暗管私排、超标排放、污染设施未正常运行、在线监测异常等违规行为出现，由此产生的责任和行政处罚由乙方负责。</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lang w:val="en-US" w:eastAsia="zh-CN"/>
        </w:rPr>
        <w:t xml:space="preserve">2.</w:t>
      </w:r>
      <w:r>
        <w:rPr>
          <w:rFonts w:hint="eastAsia" w:ascii="仿宋" w:hAnsi="仿宋" w:eastAsia="仿宋" w:cs="仿宋"/>
          <w:b/>
          <w:sz w:val="21"/>
          <w:szCs w:val="21"/>
        </w:rPr>
        <w:t xml:space="preserve">2村级污水处理站</w:t>
      </w:r>
      <w:r/>
    </w:p>
    <w:p>
      <w:pPr>
        <w:pStyle w:val="848"/>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2.2.1村级污水处理站基本情况(</w:t>
      </w:r>
      <w:r>
        <w:rPr>
          <w:rFonts w:hint="eastAsia" w:ascii="仿宋" w:hAnsi="仿宋" w:eastAsia="仿宋" w:cs="仿宋"/>
          <w:b/>
          <w:bCs/>
          <w:sz w:val="21"/>
          <w:szCs w:val="21"/>
          <w:lang w:val="en-US" w:eastAsia="zh-CN"/>
        </w:rPr>
        <w:t xml:space="preserve">295座</w:t>
      </w:r>
      <w:r>
        <w:rPr>
          <w:rFonts w:hint="eastAsia" w:ascii="仿宋" w:hAnsi="仿宋" w:eastAsia="仿宋" w:cs="仿宋"/>
          <w:b/>
          <w:bCs/>
          <w:sz w:val="21"/>
          <w:szCs w:val="21"/>
        </w:rPr>
        <w:t xml:space="preserve">)：</w:t>
      </w:r>
      <w:r/>
    </w:p>
    <w:tbl>
      <w:tblPr>
        <w:tblStyle w:val="837"/>
        <w:tblW w:w="9090" w:type="dxa"/>
        <w:tblInd w:w="7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1935"/>
        <w:gridCol w:w="1860"/>
        <w:gridCol w:w="1005"/>
        <w:gridCol w:w="1365"/>
        <w:gridCol w:w="1200"/>
        <w:gridCol w:w="1095"/>
      </w:tblGrid>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行政镇（街道）村名称村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项目所在地</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服务户数</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规模</w:t>
            </w:r>
            <w:r/>
          </w:p>
        </w:tc>
        <w:tc>
          <w:tcPr>
            <w:shd w:val="clear" w:color="auto" w:fill="auto"/>
            <w:tcBorders>
              <w:top w:val="single" w:color="000000" w:sz="4" w:space="0"/>
              <w:left w:val="single" w:color="000000" w:sz="4" w:space="0"/>
              <w:bottom w:val="non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建设年份</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建设单位</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9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古沟庄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佃户二组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西姜庄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小郑庄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东黄庄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后湾庄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西闻村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唐店街道八户村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小芦汪</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踢球西街</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墨河街道新戴村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沙圩庄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马陵山镇冲口村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小张庄集中居住区</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高程村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李山庄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北沟街道塔山村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山后村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前戴庄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桥北村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钟吾街道臧圩村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藏圩二组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阿湖镇古村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前古村</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fff3ca"/>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fff3ca"/>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阿湖镇阿湖村</w:t>
            </w:r>
            <w:r/>
          </w:p>
        </w:tc>
        <w:tc>
          <w:tcPr>
            <w:shd w:val="clear" w:color="auto" w:fill="fff3ca"/>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河西小新庄</w:t>
            </w:r>
            <w:r/>
          </w:p>
        </w:tc>
        <w:tc>
          <w:tcPr>
            <w:shd w:val="clear" w:color="auto" w:fill="fff3ca"/>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fff3ca"/>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3ca"/>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岳庄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相庄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后邢组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前干口</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时集镇白科村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欢墩组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时集镇万沟村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邢庄(改陆庄)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大农场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潘徐庄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红武</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阿湖镇双池村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山水泉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沟埃庄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郑刘/佃北村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小八户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小何</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马陵山镇大沟村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马陵山镇广玉村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马陵山镇湖东村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马庙</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马陵山镇花厅村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前窑</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官代</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邵店镇菜园村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老虎流</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邵店镇陈堰村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沟涯头</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刘冲</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邵店镇邵西村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官坊庄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邵店镇叶海村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锦绣新农村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东埠组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小凉泉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西钓台</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大尚湖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后段宅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前段宅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小黄墩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九里墩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后井1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老界沟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唐店街道杜湖村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东常圩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李刘</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臭桔障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官东(官路)</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超纲</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阿湖镇下湖村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下湖（新庄）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阿湖镇上旺村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凤凰新农社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黑墩庄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马陵山镇陆庄</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三合（三合集居区）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庄胡</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许相</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狄湖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卓庄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东鲍圩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悦集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时集镇敬元村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祥瑞新农社一期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桃花源新农社2期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温墩集居区（温墩新区）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时集镇新庄村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蒲沟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non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non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丁集</w:t>
            </w:r>
            <w:r/>
          </w:p>
        </w:tc>
        <w:tc>
          <w:tcPr>
            <w:shd w:val="clear" w:color="auto" w:fill="auto"/>
            <w:tcBorders>
              <w:top w:val="non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non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non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non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小乔村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non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西常圩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shd w:val="clear" w:color="auto" w:fill="auto"/>
            <w:tcBorders>
              <w:top w:val="non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尚营</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唐店街道徐李村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徐李</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谷庄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桃岭集居区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non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non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non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高流镇官王村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黑沙墩（季圩）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老范（范南）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马陵山镇姜庄村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宋山集居区（宋山新区）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凤云（夏圩）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嶂仓</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蒋马（南庄）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北沟街道南沟村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shd w:val="clear" w:color="auto" w:fill="auto"/>
            <w:tcBorders>
              <w:top w:val="single" w:color="000000" w:sz="4" w:space="0"/>
              <w:left w:val="single" w:color="000000" w:sz="4" w:space="0"/>
              <w:bottom w:val="single" w:color="000000" w:sz="4" w:space="0"/>
              <w:right w:val="non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三岔（吴庄）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盘石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top"/>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邵店镇联合村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周新圩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邵店镇朱圩村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朱圩村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前双井</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shd w:val="clear" w:color="auto" w:fill="auto"/>
            <w:tcBorders>
              <w:top w:val="single" w:color="000000" w:sz="4" w:space="0"/>
              <w:left w:val="single" w:color="000000" w:sz="4" w:space="0"/>
              <w:bottom w:val="non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唐店街道山前村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non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沙仲子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桃花居集居区（小魏）</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双塘镇刘庄村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双塘镇孟庄村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沭河（黄集）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桃花源（桃花源集居区）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墩新（东庄）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阿湖镇芦湖村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蒋沟组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唐店街道坡桥村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坡桥</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小尚湖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水务局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龙河村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黄墩组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1*7(用户机）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沂北干渠</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钟吾街道官王村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官王（养牛场）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孔圩小区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none" w:color="000000" w:sz="4" w:space="0"/>
              <w:right w:val="single" w:color="000000" w:sz="4" w:space="0"/>
            </w:tcBorders>
            <w:tcW w:w="1935"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shd w:val="clear" w:color="auto" w:fill="auto"/>
            <w:tcBorders>
              <w:top w:val="single" w:color="000000" w:sz="4" w:space="0"/>
              <w:left w:val="single" w:color="000000" w:sz="4" w:space="0"/>
              <w:bottom w:val="none" w:color="000000" w:sz="4" w:space="0"/>
              <w:right w:val="none" w:color="000000" w:sz="4" w:space="0"/>
            </w:tcBorders>
            <w:tcW w:w="186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shd w:val="clear" w:color="auto" w:fill="auto"/>
            <w:tcBorders>
              <w:top w:val="none" w:color="000000" w:sz="4" w:space="0"/>
              <w:left w:val="single" w:color="000000" w:sz="4" w:space="0"/>
              <w:bottom w:val="non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练马村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提升泵（大功率）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住建局</w:t>
            </w:r>
            <w:r/>
          </w:p>
        </w:tc>
      </w:tr>
    </w:tbl>
    <w:p>
      <w:pPr>
        <w:pStyle w:val="848"/>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r>
      <w:r/>
    </w:p>
    <w:p>
      <w:pPr>
        <w:pStyle w:val="848"/>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2.2.2村级污水处理站运营维护要求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(1)确保村级生活污水处理站出水稳定达标排放、设施正常运行。出水水质执行</w:t>
      </w:r>
      <w:r>
        <w:rPr>
          <w:rFonts w:hint="eastAsia" w:ascii="仿宋" w:hAnsi="仿宋" w:eastAsia="仿宋" w:cs="仿宋"/>
          <w:color w:val="000000"/>
          <w:sz w:val="21"/>
          <w:szCs w:val="21"/>
          <w:highlight w:val="none"/>
          <w:lang w:val="en-US" w:eastAsia="zh-CN"/>
        </w:rPr>
        <w:t xml:space="preserve">现场设备指示牌标准</w:t>
      </w:r>
      <w:r>
        <w:rPr>
          <w:rFonts w:hint="eastAsia" w:ascii="仿宋" w:hAnsi="仿宋" w:eastAsia="仿宋" w:cs="仿宋"/>
          <w:sz w:val="21"/>
          <w:szCs w:val="21"/>
        </w:rPr>
        <w:t xml:space="preserve">。</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(2)投标人需</w:t>
      </w:r>
      <w:r>
        <w:rPr>
          <w:rFonts w:hint="eastAsia" w:ascii="仿宋" w:hAnsi="仿宋" w:eastAsia="仿宋" w:cs="仿宋"/>
          <w:color w:val="auto"/>
          <w:sz w:val="21"/>
          <w:szCs w:val="21"/>
        </w:rPr>
        <w:t xml:space="preserve">按照相关法律法规、国家或地方标准要求，</w:t>
      </w:r>
      <w:r>
        <w:rPr>
          <w:rFonts w:hint="eastAsia" w:ascii="仿宋" w:hAnsi="仿宋" w:eastAsia="仿宋" w:cs="仿宋"/>
          <w:sz w:val="21"/>
          <w:szCs w:val="21"/>
        </w:rPr>
        <w:t xml:space="preserve">规范化运营。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(3)投标人需按照要求，积极配合做好各项检查工作。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整体结构：护栏、围挡和爬梯等完整、牢固，无破损；设备房结构稳定，上锁，无破损，房内设施布置规范、整洁；整体构筑物无渗漏、沉降、开裂；大标识牌内容完整、表述正确，安装牢固；护栏、围挡和爬梯等完整、牢固，无破损；工艺流程小标牌数量齐全、内容明晰、安装牢固；场地绿地内环境整洁，无明显砖瓦石块，无堆土等；植被种类适宜，分布均匀，密度符合设计要求；植被生长良好，收割及时，无大面积倒伏、堆积或枯萎。</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格栅：及时清理格栅的垃圾，至少每周对格栅进行清查一次，以保持格栅的正常功能。定期检查传动机构是否运行平稳，以保证设备处于良好的运行状态，检修格栅或人工清捞栅渣时，应切断电源，并在有效监护下进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(6)集水井：定期对集水井进行清理保证无明显淤积，保证集水井或水泵正常运行。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(7)提升泵井：外观无锈蚀、损坏；各设备完好率应达100％,正常启停运行；当设备失灵和损坏时应立即更换；定期对提升泵井进行污泥清掏。按检修要点定期对水泵进行检修。</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(8)沉砂池：操作人员应通过调节进水渠道与沉砂池间的进水闸阀，使沉砂池配水均匀，按设计流速和停留时间运</w:t>
      </w:r>
      <w:r>
        <w:rPr>
          <w:rFonts w:hint="eastAsia" w:ascii="仿宋" w:hAnsi="仿宋" w:eastAsia="仿宋" w:cs="仿宋"/>
          <w:sz w:val="21"/>
          <w:szCs w:val="21"/>
        </w:rPr>
        <w:t xml:space="preserve">行，充分发挥沉砂池的沉砂作用；根据沉砂量的多少及变化规律，合理的安排排砂次数；应定期进行沉砂量检测并记录，同时，通过定期分析沉砂颗粒的粒径和有机物含量，掌握除砂效率，根据试验状况，调整气水比，调整排砂时间；除砂泵或除砂机如较长时间不运行，池内积砂将堵塞吸砂管道，影响设备的启动和运行，运行人员应监控现场设备的油位和限位等，出现问题，及时排除故障；沉砂池排出的砂粒和池上清捞的浮渣，应及时处置。长期运行的沉砂池，其刮板或其他部件磨损后，将降低除砂效率，导致池内存有积砂；应定期排空沉砂池，进行人工清砂和池体检修。 </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至少每三个月需对收集管道和处理设施中所有的沉砂池进行清污一次。沉砂池上的电气设备应做好防潮湿，抗腐蚀处理。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采用气提式排砂的沉砂池，应定期检查储气罐安全阀、鼓风机过滤芯的堵塞情况。</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(9)厌氧池：应定期检测消化池污泥的pH值、脂肪酸、总碱度，进行沼气成份的测定，并根据监测数据调整消</w:t>
      </w:r>
      <w:r>
        <w:rPr>
          <w:rFonts w:hint="eastAsia" w:ascii="仿宋" w:hAnsi="仿宋" w:eastAsia="仿宋" w:cs="仿宋"/>
          <w:sz w:val="21"/>
          <w:szCs w:val="21"/>
        </w:rPr>
        <w:t xml:space="preserve">化池运行工况；应保持消化池单池的进、排泥的泥量平衡。应定期检查消化池静压排泥管的通畅情况；应定期排放消化池的上清液。应定期检查消化池上清液管的通畅情况；应每日巡视并记录消化池的温度、压力和液位； 应定期检查消化池沼气管线冷凝水排放情况；应定期检查消化池及其附属沼气管线的气体密闭情况，发现问题，及时处理；应定期检查消化池污泥的安全溢流装置；应定期校核消化池内的温度、压力和液位等各种仪表；应定期检查和校验沼气系统中的压力安全阀；消化池热交换器长期停止使用时，应关闭通往消化池的相关闸阀，并将热交换器中的污泥放空。</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对厌氧池进行定期清理并及时将清理出的污泥、垃圾等淤积杂物妥善处理，做到无明显淤积以免影响厌氧水解池正常运行，及时维修填料和框架，至少每年对厌氧池清淤一次以防止污泥淤积；厌氧池作业时，要先打开全部的检查井井盖，在确保安全的情况下方可进入，防止发生窒息或中毒事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(10)水泵：每天维护检查，对水泵的运行、维护应严格按照水泵厂家提供的操作规程执行。</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(11)鼓风机：每天维护检查，至少每隔三个月要更换鼓风机润滑油，至少每隔二个月要对鼓风机和电机轴承进行润滑。对机械设备运营维护应严格按照厂家提供的操作规程执行，保持清洁无漏水、漏油、 漏气等现象。</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(12)人工湿地维护：做好日常护理，防止其他杂草滋生和及时清除枯枝落叶，防止腐烂污染；每年夏季及冬季对人工湿地内杂草、病虫害以及植物残体进行清理，对湿地内的植物进行收割和换茬。</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(13)污泥处置：现场无污泥和废弃物堆积；及时对污泥集中处置或外运委托相关单位处置；对污泥和废弃物的处置做好相关台帐记录。</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(14)出水水质达标：进水和出水口均设置采样点，定期进行水质检测；对检测数据进行记录、分析和评价，对异常数据进行原因分析、处理反馈、并形成水质检测记录；指定有资质的检测单位对处理站排水水质定期进行检测，跟踪处理设施处理状况，确保处理设施达标稳定运行，保证出水水质达到设计排放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(15)按照半小时服务圈原则合理组建村级污水处理站运维小组，配置不少于 1 名专业工程师作为项目负责人，工作人员不少于</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rPr>
        <w:t xml:space="preserve">人，针对各维护项目的需要配备管理人员、技术人员、特殊工种（电工）及相关工作人员，必需持证上岗；项目负责人及维护人员必须熟悉本项目站点基本情况，掌握项目站点的地型分布路线，合理安排维护人员对设施点进行日常维护。</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(16)按照半小时服务圈原则合理配备车辆，配置不少于3辆维护管理专用车，常备撬棍、铲子、镰刀、清淤泵及工作服等维护设备和工具，满足日常运维和突发事件应急需要，</w:t>
      </w:r>
      <w:r>
        <w:rPr>
          <w:rFonts w:hint="eastAsia" w:ascii="仿宋" w:hAnsi="仿宋" w:eastAsia="仿宋" w:cs="仿宋"/>
          <w:color w:val="auto"/>
          <w:spacing w:val="-3"/>
          <w:sz w:val="21"/>
          <w:szCs w:val="21"/>
        </w:rPr>
        <w:t xml:space="preserve">应急物资准备充足</w:t>
      </w:r>
      <w:r>
        <w:rPr>
          <w:rFonts w:hint="eastAsia" w:ascii="仿宋" w:hAnsi="仿宋" w:eastAsia="仿宋" w:cs="仿宋"/>
          <w:color w:val="auto"/>
          <w:sz w:val="21"/>
          <w:szCs w:val="21"/>
        </w:rPr>
        <w:t xml:space="preserve">。</w:t>
      </w:r>
      <w:r/>
    </w:p>
    <w:p>
      <w:pPr>
        <w:jc w:val="both"/>
        <w:spacing w:line="420" w:lineRule="exact"/>
        <w:rPr>
          <w:rFonts w:hint="eastAsia" w:ascii="仿宋" w:hAnsi="仿宋" w:eastAsia="仿宋" w:cs="仿宋"/>
          <w:b/>
          <w:bCs/>
          <w:sz w:val="21"/>
          <w:szCs w:val="21"/>
        </w:rPr>
      </w:pPr>
      <w:r>
        <w:rPr>
          <w:rFonts w:hint="eastAsia" w:ascii="仿宋" w:hAnsi="仿宋" w:eastAsia="仿宋" w:cs="仿宋"/>
          <w:b/>
          <w:sz w:val="21"/>
          <w:szCs w:val="21"/>
        </w:rPr>
        <w:t xml:space="preserve">2.3镇村污水收集管网</w:t>
      </w:r>
      <w:r/>
    </w:p>
    <w:p>
      <w:pPr>
        <w:pStyle w:val="848"/>
        <w:ind w:firstLine="422"/>
        <w:jc w:val="both"/>
        <w:spacing w:line="420" w:lineRule="exact"/>
        <w:rPr>
          <w:rFonts w:hint="eastAsia" w:ascii="仿宋" w:hAnsi="仿宋" w:eastAsia="仿宋" w:cs="仿宋"/>
          <w:b/>
          <w:bCs/>
          <w:sz w:val="21"/>
          <w:szCs w:val="21"/>
        </w:rPr>
      </w:pPr>
      <w:r>
        <w:rPr>
          <w:rFonts w:hint="eastAsia" w:ascii="仿宋" w:hAnsi="仿宋" w:eastAsia="仿宋" w:cs="仿宋"/>
          <w:b/>
          <w:bCs/>
          <w:sz w:val="21"/>
          <w:szCs w:val="21"/>
        </w:rPr>
        <w:t xml:space="preserve">镇村污水收集管网运营维护要求：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确保农户污水的正常接入，定期检查处理设施系统所有的污水井、管道（包括：接户管、支管、主管）和污水收集沟渠，清理淤积物，保持管道和沟渠的过流通畅。保证污水管道、污水收集沟渠无堵塞，无污水因堵塞漫溢现象，如污水管道及附属设施受到毁损及时组织维修，发现破损漏接及时修复，管道系统无私自接管、违章占压等现象；接户井、管网系统清掏疏浚及时，完好通畅运行正常。</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(2)每周检查终端及管网沿线窨井是否正常，严禁漏水、溢流等现象，损坏严重的及时更换；管网中出现的漏、坏、堵、溢现象做到及时处理和修复。</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(3)确保管网沿线井盖启闭顺利，井盖上有明显的文字标示，便于日常检查；每天对各种井盖缺失进行安全检查，发现缺失或破损，及时更换（费用由中标服务单位负责），并对安全监管负有直接责任。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(4)注意UPVC管材、PE管材、橡胶接头等的变性和老化问题，必要时增设保温层或者保护层，防止极端温度及日照等造成的管道老化；铸铁管道等应注意防腐，做好可靠的防护措施。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(5)如遇台风、暴雪、暴雨等自然性突发灾害，应制定应急预案，提前对管网系统做好防护工作，灾后及时检查管网系统有无损坏情况。若有损坏，应及时上报并修复。</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(6)按照半小时服务圈原则合理组建镇村污水收集管网运维小组，配置不少于 1 名专业工程师作为项目负责人，工作人员不少于10人，针对各维护项目的需要配备管理人员、技术人员、特殊工种（电工）及相关工作人员，必需持证上岗；项目负责人及维护人员必须熟悉本项目站点基本情况，掌握项目站点的地型分布路线，合理安排维护人员对设施点进行日常维护。</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(7)按照半小时服务圈原则合理配备车辆，配置不少于3辆维护管理专用车，常备撬棍、铲子、镰刀、清淤泵及工作服等维护设备和工具，满足日常运维和突发事件应急需要。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(8)配备CCTV检测设备、有毒有害气体检测仪、管道疏通机、吸粪车、封堵气囊、防毒面具、便携式检测、采样、养护、维修等专业运维工具。</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rPr>
        <w:t xml:space="preserve">2.4新沂市镇村污水收集管网维护修复工程</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新沂市镇村污水收集管网维护修复工程主要内容为针对污水收集管网日常运营中发现的管网损坏及淤堵、污水泄漏等情况采取工程措施予以维护修复，包含全费用报价清单中所列的全部内容，投标人需根据国家法律、法规、规范、标准及相关图纸资料进行施工作业，保证工程质量满足合格等级，符合招标人的使用要求。</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二</w:t>
      </w:r>
      <w:r>
        <w:rPr>
          <w:rFonts w:hint="eastAsia" w:ascii="仿宋" w:hAnsi="仿宋" w:eastAsia="仿宋" w:cs="仿宋"/>
          <w:b/>
          <w:color w:val="auto"/>
          <w:sz w:val="21"/>
          <w:szCs w:val="21"/>
        </w:rPr>
        <w:t xml:space="preserve">、投标报价编制依据和执行标准</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一）、根据省政府办公厅《关于江苏省村庄生活污水治理工作推进方案的通知》和江苏省住房城乡建设厅《关于加强苏中苏北建制镇污水处理设施全运行的通知》等文件精神，要求对污水处理设施进行统一运营维护管理。招标人组织对外统一采购确定镇级、村级污水处理设施专业运维服务，切实提高污水收集率和污水处理设施的运营效率。</w:t>
      </w:r>
      <w:r/>
    </w:p>
    <w:p>
      <w:pPr>
        <w:ind w:firstLine="420"/>
        <w:jc w:val="both"/>
        <w:spacing w:line="42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二）、</w:t>
      </w:r>
      <w:r>
        <w:rPr>
          <w:rFonts w:hint="eastAsia" w:ascii="仿宋" w:hAnsi="仿宋" w:eastAsia="仿宋" w:cs="仿宋"/>
          <w:sz w:val="21"/>
          <w:szCs w:val="21"/>
          <w:highlight w:val="none"/>
        </w:rPr>
        <w:t xml:space="preserve">工程招标范围:本次采购项目包含</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座镇级污水处理厂、</w:t>
      </w:r>
      <w:r>
        <w:rPr>
          <w:rFonts w:hint="eastAsia" w:ascii="仿宋" w:hAnsi="仿宋" w:eastAsia="仿宋" w:cs="仿宋"/>
          <w:sz w:val="21"/>
          <w:szCs w:val="21"/>
          <w:highlight w:val="none"/>
          <w:lang w:val="en-US" w:eastAsia="zh-CN"/>
        </w:rPr>
        <w:t xml:space="preserve">295座</w:t>
      </w:r>
      <w:r>
        <w:rPr>
          <w:rFonts w:hint="eastAsia" w:ascii="仿宋" w:hAnsi="仿宋" w:eastAsia="仿宋" w:cs="仿宋"/>
          <w:sz w:val="21"/>
          <w:szCs w:val="21"/>
          <w:highlight w:val="none"/>
        </w:rPr>
        <w:t xml:space="preserve">已建村级污水处理站运营维护，镇村污水收集管网(包含DN200及以上管网)的维护修复工程。</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三）、</w:t>
      </w:r>
      <w:r>
        <w:rPr>
          <w:rFonts w:hint="eastAsia" w:ascii="仿宋" w:hAnsi="仿宋" w:eastAsia="仿宋" w:cs="仿宋"/>
          <w:sz w:val="21"/>
          <w:szCs w:val="21"/>
          <w:highlight w:val="none"/>
        </w:rPr>
        <w:t xml:space="preserve">工程量清单编制依据：相关规范、政策文件及招标人提供的相关资料。</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四）、工程质量、材料、施工等的特殊要求：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工程质量：对本项目交付的设施(包括构筑物)积极运营维护，保证镇级污水处理厂出水水质达到《城镇污水处理厂污染物排放标准》（GB18918-2002）一级A标准，提升泵站设备完好并运行正常，村级污水处理站出水水质达到相应的设计标准,保证镇村污水收集管网完好通畅、运行正常，污水收集管网维护修复工程的施工内容质量等级合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2、材料要求：所有材料及成品设备需业主确认主抽检后方可开始施工，部分材料可能需提供小样，此费用投标人综合考虑含入其综合单价中。</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3、投标人按文件规定进行建筑材料、构配件、工艺试验等试样的制作、封样、送检和其它为保证工程质量进行的检验试验工作，该部分费用须计入报价，投标人自行承担由于自身原因发生的二次复检费用。</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三</w:t>
      </w:r>
      <w:r>
        <w:rPr>
          <w:rFonts w:hint="eastAsia" w:ascii="仿宋" w:hAnsi="仿宋" w:eastAsia="仿宋" w:cs="仿宋"/>
          <w:b/>
          <w:color w:val="auto"/>
          <w:sz w:val="21"/>
          <w:szCs w:val="21"/>
        </w:rPr>
        <w:t xml:space="preserve">、项目维护质量目标、服务安全施工承诺条款</w:t>
      </w:r>
      <w:r/>
    </w:p>
    <w:p>
      <w:pPr>
        <w:jc w:val="both"/>
        <w:spacing w:line="420" w:lineRule="exact"/>
        <w:rPr>
          <w:rFonts w:hint="eastAsia" w:ascii="仿宋" w:hAnsi="仿宋" w:eastAsia="仿宋" w:cs="仿宋"/>
          <w:b/>
          <w:sz w:val="21"/>
          <w:szCs w:val="21"/>
        </w:rPr>
      </w:pPr>
      <w:r>
        <w:rPr>
          <w:rFonts w:hint="eastAsia" w:ascii="仿宋" w:hAnsi="仿宋" w:eastAsia="仿宋" w:cs="仿宋"/>
          <w:b/>
          <w:sz w:val="21"/>
          <w:szCs w:val="21"/>
          <w:lang w:val="en-US" w:eastAsia="zh-CN"/>
        </w:rPr>
        <w:t xml:space="preserve">3</w:t>
      </w:r>
      <w:r>
        <w:rPr>
          <w:rFonts w:hint="eastAsia" w:ascii="仿宋" w:hAnsi="仿宋" w:eastAsia="仿宋" w:cs="仿宋"/>
          <w:b/>
          <w:sz w:val="21"/>
          <w:szCs w:val="21"/>
        </w:rPr>
        <w:t xml:space="preserve">.1项目维保质量目标</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对本项目交付的设施(包括构筑物)积极运营维护，保证镇级污水处理厂出水水质达到《城镇污水处理厂污染物排放标准》（GB18918-2002）一级A标准，提升泵站设备完好并运行正常，村级污水处理站出水水质达到相应的设计标准,保证镇村污水收集管网完好通畅、运行正常，污水收集管网维护等施工内容质量等级合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(2)投标人保证提供员工的合法身份及无犯罪记录，其派驻人员应遵守国家政策法令，遵守劳动纪律，讲究职业道德；并遵守院内的各项规章制度。</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(3)每次维护结束时，维护人员应负责清理相关工作场所。中标人在整个维保过程中，保持维保设备摆放整齐，现场清洁，维保完成后应及时清运垃圾杂物，做好物尽场清。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(4)投标人中标后有义务按照招标人要求如实填制服务内容及服务质量相关记录、维护记录（需由招标人和维护人员双方签字确认）和提供合理化改进建议。</w:t>
      </w:r>
      <w:r/>
    </w:p>
    <w:p>
      <w:pPr>
        <w:ind w:firstLine="420"/>
        <w:jc w:val="both"/>
        <w:spacing w:line="420" w:lineRule="exact"/>
        <w:rPr>
          <w:rFonts w:hint="eastAsia" w:ascii="仿宋" w:hAnsi="仿宋" w:eastAsia="仿宋" w:cs="仿宋"/>
          <w:color w:val="auto"/>
          <w:sz w:val="21"/>
          <w:szCs w:val="21"/>
        </w:rPr>
      </w:pPr>
      <w:r>
        <w:rPr>
          <w:rFonts w:hint="eastAsia" w:ascii="仿宋" w:hAnsi="仿宋" w:eastAsia="仿宋" w:cs="仿宋"/>
          <w:sz w:val="21"/>
          <w:szCs w:val="21"/>
        </w:rPr>
        <w:t xml:space="preserve">(5)维护服务过程中，由于服务人员工作不当而造成的人员意外伤害及给招标人带来财产损失，由中标人承担全部人身伤害责任，并负责赔偿招标人的财产损失。</w:t>
      </w:r>
      <w:r/>
    </w:p>
    <w:p>
      <w:pPr>
        <w:jc w:val="both"/>
        <w:spacing w:line="42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 xml:space="preserve">3</w:t>
      </w:r>
      <w:r>
        <w:rPr>
          <w:rFonts w:hint="eastAsia" w:ascii="仿宋" w:hAnsi="仿宋" w:eastAsia="仿宋" w:cs="仿宋"/>
          <w:b/>
          <w:bCs/>
          <w:color w:val="auto"/>
          <w:sz w:val="21"/>
          <w:szCs w:val="21"/>
        </w:rPr>
        <w:t xml:space="preserve">.2服务安全施工承诺条款</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(2)投标人应承担对自己员工的安全保障责任，加强安全教育并根据国家相关规定为从事本项目服务工作的投标人工作人员交纳各类保险。</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(3)投标人需要按照法律规定为工作人员配备相关的安全生产器材和安全防护用品。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投标人应建立并执行安全生产奖惩制度。根据各级签订的安全生产责任状中的有关条款和安全生产奖惩制度的有关规定，使安全生产管理工作与各级安全责任人的经济挂钩，以便更好提高各级安全管理人员的安全意识和责任心，最终实现安全生产的目标。</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投标人应对项目实施过程中的涉火作业进行有效管控，完善作业人员的动火手续，对运营维护作业中任何会产生火花、有明火的作业(如打磨、切割、烧焊等)的安全生产条件进行审核，作业人员提交动火作业施工申请，明确动火人、安全监督人及动火时间，并附上岗操作证复印件一份备案，档案资料存档备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(6)在维保过程中，如果出现任何经由政府权威机构认定的由于投标人所造成的对其他人员的人身损伤或伤害的意外事故，所造成的所有损失及责任应由投标人负责，招标人不负有任何经济或法律等联带责任。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(7)未经招标人许可，投标人不得进行任何服务范围以外的维保作业。</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(8)在距离平台、地面2米高以上的高空作业，不采取防坠落措施、将安全带或救生带系牢在上方的固定支架上，不得开始作业，投标人应做好高空作业安全管控工作。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(9)投标人应做好起重吊装作业工作方案，严禁使用自制装置或设备从事吊装作业，吊装作业应由具有起重工从业资格证的人员担任，投标人必须对起重吊装方案进行细致审核，经相关技术负责人签字后方可实施。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(10)维保作业期间现场设置警戒围挡护栏或标志，必要时应作封闭式隔离，以保证人员的安全，投标人应保证杜绝外来无关人员进入本项目实施区域，进入项目实施区域的人员应佩戴安全帽等劳保防护品。</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(11)投标人中标后，应编制各项安全操作规程，经相关技术负责人审核后实施。</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(12)禁止私自拉接电源，管理好涉电操作，涉电作业必须由专业电工负责，并保证所使用的电线、电缆、电表、开关、用电器等符合国家标准并满足本项目使用要求，专业电工应对区域内所有涉电线路或装备进行不定期检查，保证其始终满足安全生产要求，并做好检查维护记录备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(13)投标人应禁止其他一切可能对进入作业区的人员造成危险或伤害的行为，保证在项目实施过程中行使正确的管理措施并对此负责。</w:t>
      </w:r>
      <w:bookmarkEnd w:id="34"/>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四</w:t>
      </w:r>
      <w:r>
        <w:rPr>
          <w:rFonts w:hint="eastAsia" w:ascii="仿宋" w:hAnsi="仿宋" w:eastAsia="仿宋" w:cs="仿宋"/>
          <w:b/>
          <w:color w:val="auto"/>
          <w:sz w:val="21"/>
          <w:szCs w:val="21"/>
        </w:rPr>
        <w:t xml:space="preserve">、项目实施要求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服务期限：中标人须按照招标人和相关行政主管部门要求分批次完成相关维保任务，并出具维保报告、整改意见等成果文件。中标人需根据工作量，提前准备好维保顺序和维保方案，安排好合适的维保服务人员。</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(2)做好维保范围内招标人设施设备和其他设施的保护工作，若有损坏，负责修复或照价赔偿；维保过程中对设备造成损坏或造成损失的，中标人承担赔偿责任。</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(4)维保完成后，向招标人提交维保报告，汇报维保结果、遗留的问题、整改意见以及后续需要招标人履行的工作，整改后免费进行复检，直至验收合格或通过相关主管部门的审查。</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(5)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(6)中标人应列出详细项目实施方案，包括人员姓名、工作经验、学历和在本项目中的职责分工以及项目管理方法、项目实施管理策略、项目进度控制等。中标人应允许招标人的工作人员自实施工作开始即参与本项目的需求分析、详细设计、维保等工作并在实施方案中提出协同工作计划。</w:t>
      </w:r>
      <w:r/>
    </w:p>
    <w:p>
      <w:pPr>
        <w:jc w:val="both"/>
        <w:spacing w:line="42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五</w:t>
      </w:r>
      <w:r>
        <w:rPr>
          <w:rFonts w:hint="eastAsia" w:ascii="仿宋" w:hAnsi="仿宋" w:eastAsia="仿宋" w:cs="仿宋"/>
          <w:b/>
          <w:color w:val="auto"/>
          <w:sz w:val="21"/>
          <w:szCs w:val="21"/>
        </w:rPr>
        <w:t xml:space="preserve">、其他要求：</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(1)投标人必须响应招标文件中提出的全部技术服务与要求，如果以其中某些条款不响应时，应在投标文件偏离表中逐条列出，未列出的视同响应。</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(2)投标人必须保证全部投标资料的真实性，如有虚假或对招标文件所要求说明的情况故意隐瞒或虚报，视为不实质性响应招标文件，为无效投标。已中标的将取消中标资格。</w:t>
      </w:r>
      <w:r/>
    </w:p>
    <w:p>
      <w:pPr>
        <w:ind w:firstLine="420"/>
        <w:jc w:val="both"/>
        <w:spacing w:line="420" w:lineRule="exact"/>
        <w:rPr>
          <w:rFonts w:hint="eastAsia" w:ascii="仿宋" w:hAnsi="仿宋" w:eastAsia="仿宋" w:cs="仿宋"/>
          <w:sz w:val="21"/>
          <w:szCs w:val="21"/>
        </w:rPr>
      </w:pPr>
      <w:r>
        <w:rPr>
          <w:rFonts w:hint="eastAsia" w:ascii="仿宋" w:hAnsi="仿宋" w:eastAsia="仿宋" w:cs="仿宋"/>
          <w:sz w:val="21"/>
          <w:szCs w:val="21"/>
        </w:rPr>
        <w:t xml:space="preserve">(3)服务期内所有上门服务产生的一切费用（包括但不限于交通、食宿等）均包含在投标报价内。</w:t>
      </w:r>
      <w:r/>
    </w:p>
    <w:p>
      <w:pPr>
        <w:ind w:firstLine="420"/>
        <w:jc w:val="both"/>
        <w:spacing w:line="420" w:lineRule="exact"/>
        <w:rPr>
          <w:rFonts w:hint="eastAsia" w:ascii="仿宋" w:hAnsi="仿宋" w:eastAsia="仿宋" w:cs="仿宋"/>
          <w:sz w:val="28"/>
          <w:szCs w:val="44"/>
        </w:rPr>
      </w:pPr>
      <w:r>
        <w:rPr>
          <w:rFonts w:hint="eastAsia" w:ascii="仿宋" w:hAnsi="仿宋" w:eastAsia="仿宋" w:cs="仿宋"/>
          <w:sz w:val="21"/>
          <w:szCs w:val="21"/>
        </w:rPr>
        <w:t xml:space="preserve">(4)合同执行期间，如中标人出现重大服务缺陷，招标人有权扣留缺陷出现之日起的费用，直至缺陷更正，如中标人对服务缺陷不予更正，招标人有权另请其他单位更正，所发生的费用在应予结算服务费用中扣除。</w:t>
      </w:r>
      <w:bookmarkEnd w:id="11"/>
      <w:r/>
      <w:r/>
    </w:p>
    <w:p>
      <w:pPr>
        <w:pStyle w:val="1041"/>
        <w:jc w:val="center"/>
        <w:spacing w:line="360" w:lineRule="auto"/>
        <w:rPr>
          <w:rFonts w:hint="eastAsia" w:ascii="仿宋" w:hAnsi="仿宋" w:eastAsia="仿宋" w:cs="仿宋"/>
          <w:sz w:val="28"/>
          <w:szCs w:val="44"/>
        </w:rPr>
      </w:pPr>
      <w:r>
        <w:rPr>
          <w:rFonts w:hint="eastAsia" w:ascii="仿宋" w:hAnsi="仿宋" w:eastAsia="仿宋" w:cs="仿宋"/>
          <w:sz w:val="28"/>
          <w:szCs w:val="44"/>
        </w:rPr>
      </w:r>
      <w:r/>
    </w:p>
    <w:p>
      <w:pPr>
        <w:pStyle w:val="1041"/>
        <w:jc w:val="center"/>
        <w:spacing w:line="360" w:lineRule="auto"/>
        <w:rPr>
          <w:rFonts w:hint="eastAsia" w:ascii="仿宋" w:hAnsi="仿宋" w:eastAsia="仿宋" w:cs="仿宋"/>
          <w:sz w:val="28"/>
          <w:szCs w:val="44"/>
        </w:rPr>
      </w:pPr>
      <w:r>
        <w:rPr>
          <w:rFonts w:hint="eastAsia" w:ascii="仿宋" w:hAnsi="仿宋" w:eastAsia="仿宋" w:cs="仿宋"/>
          <w:sz w:val="28"/>
          <w:szCs w:val="44"/>
        </w:rPr>
      </w:r>
      <w:r/>
    </w:p>
    <w:p>
      <w:pPr>
        <w:pStyle w:val="1041"/>
        <w:jc w:val="center"/>
        <w:spacing w:line="360" w:lineRule="auto"/>
        <w:rPr>
          <w:rFonts w:hint="eastAsia" w:ascii="仿宋" w:hAnsi="仿宋" w:eastAsia="仿宋" w:cs="仿宋"/>
          <w:sz w:val="28"/>
          <w:szCs w:val="44"/>
        </w:rPr>
      </w:pPr>
      <w:r>
        <w:rPr>
          <w:rFonts w:hint="eastAsia" w:ascii="仿宋" w:hAnsi="仿宋" w:eastAsia="仿宋" w:cs="仿宋"/>
          <w:sz w:val="28"/>
          <w:szCs w:val="44"/>
        </w:rPr>
      </w:r>
      <w:r/>
    </w:p>
    <w:p>
      <w:pPr>
        <w:pStyle w:val="1041"/>
        <w:jc w:val="both"/>
        <w:spacing w:line="360" w:lineRule="auto"/>
        <w:rPr>
          <w:rFonts w:hint="eastAsia" w:ascii="仿宋" w:hAnsi="仿宋" w:eastAsia="仿宋" w:cs="仿宋"/>
          <w:sz w:val="28"/>
          <w:szCs w:val="44"/>
        </w:rPr>
      </w:pPr>
      <w:r>
        <w:rPr>
          <w:rFonts w:hint="eastAsia" w:ascii="仿宋" w:hAnsi="仿宋" w:eastAsia="仿宋" w:cs="仿宋"/>
          <w:sz w:val="28"/>
          <w:szCs w:val="44"/>
        </w:rPr>
      </w:r>
      <w:r/>
    </w:p>
    <w:p>
      <w:pPr>
        <w:rPr>
          <w:rFonts w:hint="eastAsia" w:ascii="仿宋" w:hAnsi="仿宋" w:eastAsia="仿宋" w:cs="仿宋"/>
          <w:sz w:val="28"/>
          <w:szCs w:val="44"/>
        </w:rPr>
      </w:pPr>
      <w:r>
        <w:rPr>
          <w:rFonts w:hint="eastAsia" w:ascii="仿宋" w:hAnsi="仿宋" w:eastAsia="仿宋" w:cs="仿宋"/>
          <w:sz w:val="28"/>
          <w:szCs w:val="44"/>
        </w:rPr>
      </w:r>
      <w:r/>
    </w:p>
    <w:p>
      <w:pPr>
        <w:pStyle w:val="1041"/>
        <w:jc w:val="both"/>
        <w:spacing w:line="360" w:lineRule="auto"/>
        <w:rPr>
          <w:rFonts w:hint="eastAsia" w:ascii="仿宋" w:hAnsi="仿宋" w:eastAsia="仿宋" w:cs="仿宋"/>
          <w:sz w:val="28"/>
          <w:szCs w:val="44"/>
        </w:rPr>
      </w:pPr>
      <w:r>
        <w:rPr>
          <w:rFonts w:hint="eastAsia" w:ascii="仿宋" w:hAnsi="仿宋" w:eastAsia="仿宋" w:cs="仿宋"/>
          <w:sz w:val="28"/>
          <w:szCs w:val="44"/>
        </w:rPr>
      </w:r>
      <w:r/>
    </w:p>
    <w:p>
      <w:pPr>
        <w:rPr>
          <w:rFonts w:hint="eastAsia"/>
        </w:rPr>
      </w:pPr>
      <w:r>
        <w:rPr>
          <w:rFonts w:hint="eastAsia"/>
        </w:rPr>
      </w:r>
      <w:r/>
    </w:p>
    <w:p>
      <w:pPr>
        <w:pStyle w:val="1041"/>
        <w:jc w:val="center"/>
        <w:spacing w:line="360" w:lineRule="auto"/>
        <w:rPr>
          <w:rFonts w:hint="eastAsia" w:ascii="仿宋" w:hAnsi="仿宋" w:eastAsia="仿宋" w:cs="仿宋"/>
          <w:sz w:val="24"/>
          <w:szCs w:val="44"/>
        </w:rPr>
      </w:pPr>
      <w:r>
        <w:rPr>
          <w:rFonts w:hint="eastAsia" w:ascii="仿宋" w:hAnsi="仿宋" w:eastAsia="仿宋" w:cs="仿宋"/>
          <w:sz w:val="28"/>
          <w:szCs w:val="44"/>
        </w:rPr>
        <w:t xml:space="preserve">第七章  投标文件相关格式</w:t>
      </w:r>
      <w:r/>
    </w:p>
    <w:p>
      <w:pPr>
        <w:pStyle w:val="1029"/>
        <w:ind w:firstLine="64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一、投标函格式</w:t>
      </w:r>
      <w:r/>
    </w:p>
    <w:p>
      <w:pPr>
        <w:pStyle w:val="1029"/>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徐州国邦工程咨询管理有限公司</w:t>
      </w:r>
      <w:r/>
    </w:p>
    <w:p>
      <w:pPr>
        <w:pStyle w:val="1029"/>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项目[项目编号：</w:t>
      </w:r>
      <w:r>
        <w:rPr>
          <w:rFonts w:hint="eastAsia" w:ascii="仿宋" w:hAnsi="仿宋" w:eastAsia="仿宋" w:cs="仿宋"/>
          <w:sz w:val="24"/>
          <w:szCs w:val="24"/>
          <w:lang w:eastAsia="zh-CN"/>
        </w:rPr>
        <w:t xml:space="preserve">JSZC-320381-XZGB-G2024-0015</w:t>
      </w:r>
      <w:r>
        <w:rPr>
          <w:rFonts w:hint="eastAsia" w:ascii="仿宋" w:hAnsi="仿宋" w:eastAsia="仿宋" w:cs="仿宋"/>
          <w:sz w:val="24"/>
          <w:szCs w:val="24"/>
        </w:rPr>
        <w:t xml:space="preserve">]招标文件，          (姓名)代表我方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（投标人的名称）全权处理本次投标的有关事宜。</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据此函，投标人承诺并同意如下： </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投标人唯一投标报价见《开标一览表》。</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投标人将按招标文件的规定履行合同责任和义务。</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投标人已详细审查全部招标文件，包括第[插入编号] [补遗书][如果有的话]。投标人完全理解并同意放弃对这方面有不明及误解的权力。</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投标有效期为开标之日后90天。</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5.投标人同意提供按照贵方可能要求的与其投标有关的一切数据或资料，完全理解贵方不一定接受最低价的投标或收到的任何投标。</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投标人同意在授予合同后，按照有关规定支付公证费(如有)。</w:t>
      </w:r>
      <w:r/>
    </w:p>
    <w:p>
      <w:pPr>
        <w:pStyle w:val="1029"/>
        <w:ind w:right="29"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 </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有权将我单位本项目的《开标一览表》和《分项价格表》予以公示，公示的方式由</w:t>
      </w:r>
      <w:r>
        <w:rPr>
          <w:rFonts w:hint="eastAsia" w:ascii="仿宋" w:hAnsi="仿宋" w:eastAsia="仿宋" w:cs="仿宋"/>
          <w:sz w:val="24"/>
          <w:szCs w:val="24"/>
          <w:lang w:eastAsia="zh-CN"/>
        </w:rPr>
        <w:t xml:space="preserve">徐州国邦工程咨询管理有限公司</w:t>
      </w:r>
      <w:r>
        <w:rPr>
          <w:rFonts w:hint="eastAsia" w:ascii="仿宋" w:hAnsi="仿宋" w:eastAsia="仿宋" w:cs="仿宋"/>
          <w:sz w:val="24"/>
          <w:szCs w:val="24"/>
        </w:rPr>
        <w:t xml:space="preserve">确定。</w:t>
      </w:r>
      <w:r/>
    </w:p>
    <w:p>
      <w:pPr>
        <w:pStyle w:val="1029"/>
        <w:ind w:right="29"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 与本投标有关的一切正式往来信函请寄：</w:t>
      </w:r>
      <w:r/>
    </w:p>
    <w:p>
      <w:pPr>
        <w:pStyle w:val="102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p>
    <w:p>
      <w:pPr>
        <w:pStyle w:val="102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（电子签章）  </w:t>
      </w:r>
      <w:r/>
    </w:p>
    <w:p>
      <w:pPr>
        <w:pStyle w:val="1029"/>
        <w:ind w:firstLine="45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9"/>
        <w:ind w:firstLine="4500"/>
        <w:jc w:val="right"/>
        <w:spacing w:line="360" w:lineRule="auto"/>
        <w:rPr>
          <w:rFonts w:hint="eastAsia" w:ascii="仿宋" w:hAnsi="仿宋" w:eastAsia="仿宋" w:cs="仿宋"/>
          <w:sz w:val="28"/>
          <w:szCs w:val="28"/>
        </w:rPr>
      </w:pPr>
      <w:r>
        <w:rPr>
          <w:rFonts w:hint="eastAsia" w:ascii="仿宋" w:hAnsi="仿宋" w:eastAsia="仿宋" w:cs="仿宋"/>
          <w:sz w:val="24"/>
          <w:szCs w:val="24"/>
        </w:rPr>
        <w:t xml:space="preserve">日期：   年  月  日</w:t>
      </w:r>
      <w:r/>
    </w:p>
    <w:p>
      <w:pPr>
        <w:pStyle w:val="102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二、开标一览表格式</w:t>
      </w:r>
      <w:r/>
    </w:p>
    <w:p>
      <w:pPr>
        <w:pStyle w:val="1029"/>
        <w:ind w:firstLine="7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项目名称： </w:t>
      </w:r>
      <w:r/>
    </w:p>
    <w:p>
      <w:pPr>
        <w:pStyle w:val="1029"/>
        <w:ind w:firstLine="720"/>
        <w:spacing w:line="360" w:lineRule="auto"/>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项目编号：</w:t>
      </w:r>
      <w:r/>
    </w:p>
    <w:p>
      <w:pPr>
        <w:pStyle w:val="1029"/>
        <w:ind w:firstLine="6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货币单位：人民币元</w:t>
      </w:r>
      <w:r/>
    </w:p>
    <w:tbl>
      <w:tblPr>
        <w:tblStyle w:val="837"/>
        <w:tblW w:w="0" w:type="auto"/>
        <w:tblInd w:w="118" w:type="dxa"/>
        <w:tblLayout w:type="fixed"/>
        <w:tblCellMar>
          <w:left w:w="108" w:type="dxa"/>
          <w:top w:w="0" w:type="dxa"/>
          <w:right w:w="108" w:type="dxa"/>
          <w:bottom w:w="0" w:type="dxa"/>
        </w:tblCellMar>
        <w:tblLook w:val="04A0" w:firstRow="1" w:lastRow="0" w:firstColumn="1" w:lastColumn="0" w:noHBand="0" w:noVBand="1"/>
      </w:tblPr>
      <w:tblGrid>
        <w:gridCol w:w="666"/>
        <w:gridCol w:w="3333"/>
        <w:gridCol w:w="3893"/>
        <w:gridCol w:w="1068"/>
      </w:tblGrid>
      <w:tr>
        <w:trPr>
          <w:trHeight w:val="687"/>
        </w:trPr>
        <w:tc>
          <w:tcPr>
            <w:tcBorders>
              <w:top w:val="single" w:color="auto" w:sz="8"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8" w:space="0"/>
              <w:left w:val="none" w:color="000000" w:sz="4" w:space="0"/>
              <w:bottom w:val="single" w:color="auto" w:sz="8" w:space="0"/>
              <w:right w:val="single" w:color="auto" w:sz="8" w:space="0"/>
            </w:tcBorders>
            <w:tcW w:w="333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投标项目名称</w:t>
            </w:r>
            <w:r/>
          </w:p>
        </w:tc>
        <w:tc>
          <w:tcPr>
            <w:tcBorders>
              <w:top w:val="single" w:color="auto" w:sz="8" w:space="0"/>
              <w:left w:val="none" w:color="000000" w:sz="4" w:space="0"/>
              <w:bottom w:val="single" w:color="auto" w:sz="8" w:space="0"/>
              <w:right w:val="single" w:color="auto" w:sz="8" w:space="0"/>
            </w:tcBorders>
            <w:tcW w:w="38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投标价</w:t>
            </w:r>
            <w:r/>
          </w:p>
        </w:tc>
        <w:tc>
          <w:tcPr>
            <w:tcBorders>
              <w:top w:val="single" w:color="auto" w:sz="8" w:space="0"/>
              <w:left w:val="none" w:color="000000" w:sz="4" w:space="0"/>
              <w:bottom w:val="single" w:color="auto" w:sz="8" w:space="0"/>
              <w:right w:val="single" w:color="auto" w:sz="8" w:space="0"/>
            </w:tcBorders>
            <w:tcW w:w="1068"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运营年限</w:t>
            </w:r>
            <w:r/>
          </w:p>
        </w:tc>
      </w:tr>
      <w:tr>
        <w:trPr>
          <w:trHeight w:val="1474"/>
        </w:trPr>
        <w:tc>
          <w:tcPr>
            <w:tcBorders>
              <w:top w:val="none" w:color="000000" w:sz="4" w:space="0"/>
              <w:left w:val="single" w:color="auto" w:sz="8" w:space="0"/>
              <w:right w:val="single" w:color="auto" w:sz="8" w:space="0"/>
            </w:tcBorders>
            <w:tcW w:w="666"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right w:val="single" w:color="auto" w:sz="8" w:space="0"/>
            </w:tcBorders>
            <w:tcW w:w="3333" w:type="dxa"/>
            <w:vAlign w:val="center"/>
            <w:vMerge w:val="restart"/>
            <w:textDirection w:val="lrTb"/>
            <w:noWrap w:val="false"/>
          </w:tcPr>
          <w:p>
            <w:pPr>
              <w:jc w:val="left"/>
              <w:rPr>
                <w:rFonts w:hint="default" w:ascii="仿宋" w:hAnsi="仿宋" w:eastAsia="仿宋" w:cs="仿宋"/>
                <w:sz w:val="24"/>
                <w:szCs w:val="24"/>
                <w:lang w:val="en-US" w:eastAsia="zh-CN"/>
              </w:rPr>
            </w:pPr>
            <w:r>
              <w:rPr>
                <w:rFonts w:hint="eastAsia" w:ascii="仿宋" w:hAnsi="仿宋" w:eastAsia="仿宋" w:cs="仿宋"/>
                <w:sz w:val="24"/>
                <w:szCs w:val="24"/>
              </w:rPr>
              <w:t xml:space="preserve">新沂市镇级污水处理</w:t>
            </w:r>
            <w:r>
              <w:rPr>
                <w:rFonts w:hint="eastAsia" w:ascii="仿宋" w:hAnsi="仿宋" w:eastAsia="仿宋" w:cs="仿宋"/>
                <w:sz w:val="24"/>
                <w:szCs w:val="24"/>
                <w:lang w:val="en-US" w:eastAsia="zh-CN"/>
              </w:rPr>
              <w:t xml:space="preserve">设施每年运维费（含提升泵站）</w:t>
            </w:r>
            <w:r/>
          </w:p>
        </w:tc>
        <w:tc>
          <w:tcPr>
            <w:tcBorders>
              <w:top w:val="none" w:color="000000"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rPr>
            </w:pPr>
            <w:r>
              <w:rPr>
                <w:rFonts w:hint="eastAsia" w:ascii="仿宋" w:hAnsi="仿宋" w:eastAsia="仿宋" w:cs="仿宋"/>
                <w:sz w:val="24"/>
                <w:szCs w:val="24"/>
                <w:u w:val="none"/>
                <w:lang w:val="en-US" w:eastAsia="zh-CN"/>
              </w:rPr>
              <w:t xml:space="preserve">①、单价：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元/吨</w:t>
            </w:r>
            <w:r/>
          </w:p>
        </w:tc>
        <w:tc>
          <w:tcPr>
            <w:tcBorders>
              <w:top w:val="none" w:color="000000" w:sz="4" w:space="0"/>
              <w:left w:val="none" w:color="000000" w:sz="4" w:space="0"/>
              <w:right w:val="single" w:color="auto" w:sz="8" w:space="0"/>
            </w:tcBorders>
            <w:tcW w:w="1068" w:type="dxa"/>
            <w:vAlign w:val="center"/>
            <w:vMerge w:val="restar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3年</w:t>
            </w:r>
            <w:r/>
          </w:p>
        </w:tc>
      </w:tr>
      <w:tr>
        <w:trPr>
          <w:trHeight w:val="329"/>
        </w:trPr>
        <w:tc>
          <w:tcPr>
            <w:tcBorders>
              <w:left w:val="single" w:color="auto" w:sz="8" w:space="0"/>
              <w:bottom w:val="single" w:color="auto" w:sz="8" w:space="0"/>
              <w:right w:val="single" w:color="auto" w:sz="8" w:space="0"/>
            </w:tcBorders>
            <w:tcW w:w="66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left w:val="none" w:color="000000" w:sz="4" w:space="0"/>
              <w:bottom w:val="single" w:color="auto" w:sz="8" w:space="0"/>
              <w:right w:val="single" w:color="auto" w:sz="8" w:space="0"/>
            </w:tcBorders>
            <w:tcW w:w="3333"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rPr>
            </w:pPr>
            <w:r>
              <w:rPr>
                <w:rFonts w:hint="eastAsia" w:ascii="仿宋" w:hAnsi="仿宋" w:eastAsia="仿宋" w:cs="仿宋"/>
                <w:sz w:val="24"/>
                <w:szCs w:val="24"/>
                <w:u w:val="none"/>
                <w:lang w:val="en-US" w:eastAsia="zh-CN"/>
              </w:rPr>
              <w:t xml:space="preserve">②、</w:t>
            </w:r>
            <w:r>
              <w:rPr>
                <w:rFonts w:hint="eastAsia" w:ascii="仿宋" w:hAnsi="仿宋" w:eastAsia="仿宋" w:cs="仿宋"/>
                <w:b/>
                <w:bCs/>
                <w:color w:val="ff0000"/>
                <w:sz w:val="24"/>
                <w:szCs w:val="24"/>
                <w:u w:val="none"/>
                <w:lang w:val="en-US" w:eastAsia="zh-CN"/>
              </w:rPr>
              <w:t xml:space="preserve">每年价格</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lang w:val="en-US" w:eastAsia="zh-CN"/>
              </w:rPr>
              <w:t xml:space="preserve">所报单价（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元/吨）*</w:t>
            </w:r>
            <w:r>
              <w:rPr>
                <w:rFonts w:hint="eastAsia" w:ascii="仿宋" w:hAnsi="仿宋" w:eastAsia="仿宋" w:cs="仿宋"/>
                <w:sz w:val="24"/>
                <w:szCs w:val="24"/>
                <w:highlight w:val="none"/>
                <w:lang w:val="en-US" w:eastAsia="zh-CN"/>
              </w:rPr>
              <w:t xml:space="preserve">4450吨</w:t>
            </w:r>
            <w:r>
              <w:rPr>
                <w:rFonts w:hint="eastAsia" w:ascii="仿宋" w:hAnsi="仿宋" w:eastAsia="仿宋" w:cs="仿宋"/>
                <w:sz w:val="24"/>
                <w:szCs w:val="24"/>
                <w:lang w:val="en-US" w:eastAsia="zh-CN"/>
              </w:rPr>
              <w:t xml:space="preserve">/天*</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lang w:val="en-US" w:eastAsia="zh-CN"/>
              </w:rPr>
              <w:t xml:space="preserve">*365=</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元</w:t>
            </w:r>
            <w:r/>
          </w:p>
        </w:tc>
        <w:tc>
          <w:tcPr>
            <w:tcBorders>
              <w:left w:val="none" w:color="000000" w:sz="4" w:space="0"/>
              <w:right w:val="single" w:color="auto" w:sz="8" w:space="0"/>
            </w:tcBorders>
            <w:tcW w:w="1068" w:type="dxa"/>
            <w:vAlign w:val="center"/>
            <w:vMerge w:val="continue"/>
            <w:textDirection w:val="lrTb"/>
            <w:noWrap w:val="false"/>
          </w:tcPr>
          <w:p>
            <w:pPr>
              <w:jc w:val="both"/>
              <w:rPr>
                <w:rFonts w:hint="default" w:ascii="仿宋" w:hAnsi="仿宋" w:eastAsia="仿宋" w:cs="仿宋"/>
                <w:sz w:val="24"/>
                <w:szCs w:val="24"/>
                <w:u w:val="none"/>
                <w:lang w:val="en-US" w:eastAsia="zh-CN"/>
              </w:rPr>
            </w:pPr>
            <w:r>
              <w:rPr>
                <w:rFonts w:hint="default" w:ascii="仿宋" w:hAnsi="仿宋" w:eastAsia="仿宋" w:cs="仿宋"/>
                <w:sz w:val="24"/>
                <w:szCs w:val="24"/>
                <w:u w:val="none"/>
                <w:lang w:val="en-US" w:eastAsia="zh-CN"/>
              </w:rPr>
            </w:r>
            <w:r/>
          </w:p>
        </w:tc>
      </w:tr>
      <w:tr>
        <w:trPr>
          <w:trHeight w:val="84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新沂市</w:t>
            </w:r>
            <w:r>
              <w:rPr>
                <w:rFonts w:hint="eastAsia" w:ascii="仿宋" w:hAnsi="仿宋" w:eastAsia="仿宋" w:cs="仿宋"/>
                <w:color w:val="auto"/>
                <w:sz w:val="24"/>
                <w:szCs w:val="24"/>
              </w:rPr>
              <w:t xml:space="preserve">村级污水处理</w:t>
            </w:r>
            <w:r>
              <w:rPr>
                <w:rFonts w:hint="eastAsia" w:ascii="仿宋" w:hAnsi="仿宋" w:eastAsia="仿宋" w:cs="仿宋"/>
                <w:sz w:val="24"/>
                <w:szCs w:val="24"/>
                <w:lang w:val="en-US" w:eastAsia="zh-CN"/>
              </w:rPr>
              <w:t xml:space="preserve">设施每年运维费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default" w:ascii="仿宋" w:hAnsi="仿宋" w:eastAsia="仿宋" w:cs="仿宋"/>
                <w:sz w:val="24"/>
                <w:szCs w:val="24"/>
                <w:lang w:val="en-US"/>
              </w:rPr>
            </w:pPr>
            <w:r>
              <w:rPr>
                <w:rFonts w:hint="eastAsia" w:ascii="仿宋" w:hAnsi="仿宋" w:eastAsia="仿宋" w:cs="仿宋"/>
                <w:sz w:val="24"/>
                <w:szCs w:val="24"/>
                <w:u w:val="none"/>
                <w:lang w:val="en-US" w:eastAsia="zh-CN"/>
              </w:rPr>
              <w:t xml:space="preserve">③、</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元/</w:t>
            </w:r>
            <w:r>
              <w:rPr>
                <w:rFonts w:hint="eastAsia" w:ascii="仿宋" w:hAnsi="仿宋" w:eastAsia="仿宋" w:cs="仿宋"/>
                <w:b/>
                <w:bCs/>
                <w:color w:val="ff0000"/>
                <w:sz w:val="24"/>
                <w:szCs w:val="24"/>
                <w:lang w:val="en-US" w:eastAsia="zh-CN"/>
              </w:rPr>
              <w:t xml:space="preserve">年</w:t>
            </w:r>
            <w:r/>
          </w:p>
        </w:tc>
        <w:tc>
          <w:tcPr>
            <w:tcBorders>
              <w:left w:val="none" w:color="000000" w:sz="4"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81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第三方检测费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lang w:val="en-US" w:eastAsia="zh-CN"/>
              </w:rPr>
              <w:t xml:space="preserve">④、</w:t>
            </w:r>
            <w:r>
              <w:rPr>
                <w:rFonts w:hint="eastAsia" w:ascii="仿宋" w:hAnsi="仿宋" w:eastAsia="仿宋" w:cs="仿宋"/>
                <w:b/>
                <w:bCs/>
                <w:color w:val="ff0000"/>
                <w:sz w:val="24"/>
                <w:szCs w:val="24"/>
                <w:highlight w:val="none"/>
                <w:lang w:val="en-US" w:eastAsia="zh-CN"/>
              </w:rPr>
              <w:t xml:space="preserve">37.94万元/年</w:t>
            </w:r>
            <w:r/>
          </w:p>
          <w:p>
            <w:pPr>
              <w:jc w:val="both"/>
              <w:rPr>
                <w:rFonts w:hint="default" w:ascii="仿宋" w:hAnsi="仿宋" w:eastAsia="仿宋" w:cs="仿宋"/>
                <w:sz w:val="24"/>
                <w:szCs w:val="24"/>
                <w:lang w:val="en-US"/>
              </w:rPr>
            </w:pPr>
            <w:r>
              <w:rPr>
                <w:rFonts w:hint="eastAsia" w:ascii="仿宋" w:hAnsi="仿宋" w:eastAsia="仿宋" w:cs="仿宋"/>
                <w:b/>
                <w:bCs/>
                <w:color w:val="ff0000"/>
                <w:sz w:val="24"/>
                <w:szCs w:val="24"/>
                <w:highlight w:val="none"/>
                <w:lang w:val="en-US" w:eastAsia="zh-CN"/>
              </w:rPr>
              <w:t xml:space="preserve">（以实际发生费用为准）</w:t>
            </w:r>
            <w:r/>
          </w:p>
        </w:tc>
        <w:tc>
          <w:tcPr>
            <w:tcBorders>
              <w:left w:val="none" w:color="000000" w:sz="4"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812"/>
        </w:trPr>
        <w:tc>
          <w:tcPr>
            <w:tcBorders>
              <w:top w:val="none" w:color="000000" w:sz="4" w:space="0"/>
              <w:left w:val="single" w:color="auto" w:sz="8" w:space="0"/>
              <w:bottom w:val="single" w:color="auto" w:sz="8" w:space="0"/>
              <w:right w:val="single" w:color="auto" w:sz="8" w:space="0"/>
            </w:tcBorders>
            <w:tcW w:w="66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none" w:color="000000" w:sz="4" w:space="0"/>
              <w:left w:val="none" w:color="000000" w:sz="4" w:space="0"/>
              <w:bottom w:val="single" w:color="auto" w:sz="8" w:space="0"/>
              <w:right w:val="single" w:color="auto" w:sz="8" w:space="0"/>
            </w:tcBorders>
            <w:tcW w:w="333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rPr>
              <w:t xml:space="preserve">新沂市镇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村污水</w:t>
            </w:r>
            <w:r>
              <w:rPr>
                <w:rFonts w:hint="eastAsia" w:ascii="仿宋" w:hAnsi="仿宋" w:eastAsia="仿宋" w:cs="仿宋"/>
                <w:sz w:val="24"/>
                <w:szCs w:val="24"/>
                <w:lang w:val="en-US" w:eastAsia="zh-CN"/>
              </w:rPr>
              <w:t xml:space="preserve">处理设施配套管网每年运维费</w:t>
            </w:r>
            <w:r/>
          </w:p>
        </w:tc>
        <w:tc>
          <w:tcPr>
            <w:tcBorders>
              <w:top w:val="single" w:color="auto" w:sz="4" w:space="0"/>
              <w:left w:val="single" w:color="auto" w:sz="8" w:space="0"/>
              <w:bottom w:val="single" w:color="auto" w:sz="4" w:space="0"/>
              <w:right w:val="single" w:color="auto" w:sz="8" w:space="0"/>
            </w:tcBorders>
            <w:tcW w:w="3893"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u w:val="none"/>
                <w:lang w:val="en-US" w:eastAsia="zh-CN"/>
              </w:rPr>
              <w:t xml:space="preserve">新沂市财政主管部门财评确认后的价格下浮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w:t>
            </w:r>
            <w:r/>
          </w:p>
          <w:p>
            <w:pPr>
              <w:jc w:val="both"/>
              <w:rPr>
                <w:rFonts w:hint="default" w:ascii="仿宋" w:hAnsi="仿宋" w:eastAsia="仿宋" w:cs="仿宋"/>
                <w:sz w:val="24"/>
                <w:szCs w:val="24"/>
                <w:u w:val="none"/>
                <w:lang w:val="en-US"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u w:val="none"/>
                <w:lang w:val="en-US" w:eastAsia="zh-CN"/>
              </w:rPr>
              <w:t xml:space="preserve">6</w:t>
            </w:r>
            <w:r>
              <w:rPr>
                <w:rFonts w:hint="eastAsia" w:ascii="仿宋" w:hAnsi="仿宋" w:eastAsia="仿宋" w:cs="仿宋"/>
                <w:sz w:val="24"/>
                <w:szCs w:val="24"/>
                <w:highlight w:val="none"/>
                <w:lang w:val="en-US" w:eastAsia="zh-CN"/>
              </w:rPr>
              <w:t xml:space="preserve">%≤下浮率≤20%)</w:t>
            </w:r>
            <w:r/>
          </w:p>
        </w:tc>
        <w:tc>
          <w:tcPr>
            <w:tcBorders>
              <w:left w:val="none" w:color="000000" w:sz="4" w:space="0"/>
              <w:bottom w:val="single" w:color="auto" w:sz="8" w:space="0"/>
              <w:right w:val="single" w:color="auto" w:sz="8" w:space="0"/>
            </w:tcBorders>
            <w:tcW w:w="1068" w:type="dxa"/>
            <w:vAlign w:val="center"/>
            <w:vMerge w:val="continue"/>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1176"/>
        </w:trPr>
        <w:tc>
          <w:tcPr>
            <w:gridSpan w:val="2"/>
            <w:tcBorders>
              <w:top w:val="single" w:color="auto" w:sz="8" w:space="0"/>
              <w:left w:val="single" w:color="auto" w:sz="8" w:space="0"/>
              <w:bottom w:val="single" w:color="auto" w:sz="8" w:space="0"/>
              <w:right w:val="single" w:color="auto" w:sz="4" w:space="0"/>
            </w:tcBorders>
            <w:tcW w:w="3999" w:type="dxa"/>
            <w:vAlign w:val="center"/>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b/>
                <w:bCs/>
                <w:color w:val="ff0000"/>
                <w:sz w:val="24"/>
                <w:szCs w:val="24"/>
                <w:lang w:val="en-US" w:eastAsia="zh-CN"/>
              </w:rPr>
              <w:t xml:space="preserve">每年价格为：</w:t>
            </w:r>
            <w:r>
              <w:rPr>
                <w:rFonts w:hint="eastAsia" w:ascii="仿宋" w:hAnsi="仿宋" w:eastAsia="仿宋" w:cs="仿宋"/>
                <w:sz w:val="24"/>
                <w:szCs w:val="24"/>
              </w:rPr>
              <w:t xml:space="preserve">新沂市镇级污水处理</w:t>
            </w:r>
            <w:r>
              <w:rPr>
                <w:rFonts w:hint="eastAsia" w:ascii="仿宋" w:hAnsi="仿宋" w:eastAsia="仿宋" w:cs="仿宋"/>
                <w:sz w:val="24"/>
                <w:szCs w:val="24"/>
                <w:lang w:val="en-US" w:eastAsia="zh-CN"/>
              </w:rPr>
              <w:t xml:space="preserve">设施每年运维费（含提升泵站）+</w:t>
            </w:r>
            <w:r>
              <w:rPr>
                <w:rFonts w:hint="eastAsia" w:ascii="仿宋" w:hAnsi="仿宋" w:eastAsia="仿宋" w:cs="仿宋"/>
                <w:sz w:val="24"/>
                <w:szCs w:val="24"/>
              </w:rPr>
              <w:t xml:space="preserve">新沂市</w:t>
            </w:r>
            <w:r>
              <w:rPr>
                <w:rFonts w:hint="eastAsia" w:ascii="仿宋" w:hAnsi="仿宋" w:eastAsia="仿宋" w:cs="仿宋"/>
                <w:color w:val="auto"/>
                <w:sz w:val="24"/>
                <w:szCs w:val="24"/>
              </w:rPr>
              <w:t xml:space="preserve">村级污水处理</w:t>
            </w:r>
            <w:r>
              <w:rPr>
                <w:rFonts w:hint="eastAsia" w:ascii="仿宋" w:hAnsi="仿宋" w:eastAsia="仿宋" w:cs="仿宋"/>
                <w:sz w:val="24"/>
                <w:szCs w:val="24"/>
                <w:lang w:val="en-US" w:eastAsia="zh-CN"/>
              </w:rPr>
              <w:t xml:space="preserve">设施每年运维费+第三方检测费+</w:t>
            </w:r>
            <w:r>
              <w:rPr>
                <w:rFonts w:hint="eastAsia" w:ascii="仿宋" w:hAnsi="仿宋" w:eastAsia="仿宋" w:cs="仿宋"/>
                <w:sz w:val="24"/>
                <w:szCs w:val="24"/>
              </w:rPr>
              <w:t xml:space="preserve">新沂市镇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村污水</w:t>
            </w:r>
            <w:r>
              <w:rPr>
                <w:rFonts w:hint="eastAsia" w:ascii="仿宋" w:hAnsi="仿宋" w:eastAsia="仿宋" w:cs="仿宋"/>
                <w:sz w:val="24"/>
                <w:szCs w:val="24"/>
                <w:lang w:val="en-US" w:eastAsia="zh-CN"/>
              </w:rPr>
              <w:t xml:space="preserve">处理设施配套管网每年运维费（200万元）</w:t>
            </w:r>
            <w:r/>
          </w:p>
        </w:tc>
        <w:tc>
          <w:tcPr>
            <w:tcBorders>
              <w:top w:val="single" w:color="auto" w:sz="8" w:space="0"/>
              <w:left w:val="single" w:color="auto" w:sz="4" w:space="0"/>
              <w:bottom w:val="single" w:color="auto" w:sz="8" w:space="0"/>
              <w:right w:val="single" w:color="auto" w:sz="4" w:space="0"/>
            </w:tcBorders>
            <w:tcW w:w="3893" w:type="dxa"/>
            <w:vAlign w:val="center"/>
            <w:textDirection w:val="lrTb"/>
            <w:noWrap w:val="false"/>
          </w:tcPr>
          <w:p>
            <w:pPr>
              <w:rPr>
                <w:rFonts w:hint="default" w:ascii="仿宋" w:hAnsi="仿宋" w:eastAsia="仿宋" w:cs="仿宋"/>
                <w:sz w:val="24"/>
                <w:szCs w:val="24"/>
                <w:u w:val="single"/>
                <w:lang w:val="en-US" w:eastAsia="zh-CN"/>
              </w:rPr>
            </w:pPr>
            <w:r>
              <w:rPr>
                <w:rFonts w:hint="eastAsia" w:ascii="仿宋" w:hAnsi="仿宋" w:eastAsia="仿宋" w:cs="仿宋"/>
                <w:b/>
                <w:bCs/>
                <w:color w:val="ff0000"/>
                <w:sz w:val="24"/>
                <w:szCs w:val="24"/>
                <w:lang w:val="en-US" w:eastAsia="zh-CN"/>
              </w:rPr>
              <w:t xml:space="preserve">⑤、每年价格=</w:t>
            </w:r>
            <w:r>
              <w:rPr>
                <w:rFonts w:hint="eastAsia" w:ascii="仿宋" w:hAnsi="仿宋" w:eastAsia="仿宋" w:cs="仿宋"/>
                <w:b/>
                <w:bCs/>
                <w:color w:val="ff0000"/>
                <w:sz w:val="24"/>
                <w:szCs w:val="24"/>
                <w:u w:val="none"/>
                <w:lang w:val="en-US" w:eastAsia="zh-CN"/>
              </w:rPr>
              <w:t xml:space="preserve">②+③+</w:t>
            </w:r>
            <w:r>
              <w:rPr>
                <w:rFonts w:hint="eastAsia" w:ascii="仿宋" w:hAnsi="仿宋" w:eastAsia="仿宋" w:cs="仿宋"/>
                <w:b/>
                <w:bCs/>
                <w:color w:val="ff0000"/>
                <w:sz w:val="24"/>
                <w:szCs w:val="24"/>
                <w:lang w:val="en-US" w:eastAsia="zh-CN"/>
              </w:rPr>
              <w:t xml:space="preserve">④+</w:t>
            </w:r>
            <w:r>
              <w:rPr>
                <w:rFonts w:hint="eastAsia" w:ascii="仿宋" w:hAnsi="仿宋" w:eastAsia="仿宋" w:cs="仿宋"/>
                <w:b/>
                <w:bCs/>
                <w:color w:val="ff0000"/>
                <w:sz w:val="24"/>
                <w:szCs w:val="24"/>
                <w:u w:val="none"/>
                <w:lang w:val="en-US" w:eastAsia="zh-CN"/>
              </w:rPr>
              <w:t xml:space="preserve">200万元</w:t>
            </w:r>
            <w:r>
              <w:rPr>
                <w:rFonts w:hint="eastAsia" w:ascii="仿宋" w:hAnsi="仿宋" w:eastAsia="仿宋" w:cs="仿宋"/>
                <w:b/>
                <w:bCs/>
                <w:color w:val="ff0000"/>
                <w:sz w:val="24"/>
                <w:szCs w:val="24"/>
                <w:highlight w:val="none"/>
                <w:u w:val="none"/>
                <w:lang w:val="en-US" w:eastAsia="zh-CN"/>
              </w:rPr>
              <w:t xml:space="preserve">*</w:t>
            </w:r>
            <w:r>
              <w:rPr>
                <w:rFonts w:hint="eastAsia" w:ascii="仿宋" w:hAnsi="仿宋" w:eastAsia="仿宋" w:cs="仿宋"/>
                <w:color w:val="ff0000"/>
                <w:sz w:val="24"/>
                <w:szCs w:val="24"/>
                <w:highlight w:val="none"/>
                <w:u w:val="single"/>
                <w:lang w:val="en-US" w:eastAsia="zh-CN"/>
              </w:rPr>
              <w:t xml:space="preserve"> </w:t>
            </w:r>
            <w:r>
              <w:rPr>
                <w:rFonts w:hint="eastAsia" w:ascii="仿宋" w:hAnsi="仿宋" w:eastAsia="仿宋" w:cs="仿宋"/>
                <w:b/>
                <w:bCs/>
                <w:color w:val="ff0000"/>
                <w:sz w:val="24"/>
                <w:szCs w:val="24"/>
                <w:highlight w:val="none"/>
                <w:u w:val="single"/>
                <w:lang w:val="en-US" w:eastAsia="zh-CN"/>
              </w:rPr>
              <w:t xml:space="preserve">    </w:t>
            </w:r>
            <w:r>
              <w:rPr>
                <w:rFonts w:hint="eastAsia" w:ascii="仿宋" w:hAnsi="仿宋" w:eastAsia="仿宋" w:cs="仿宋"/>
                <w:b/>
                <w:bCs/>
                <w:color w:val="ff0000"/>
                <w:sz w:val="24"/>
                <w:szCs w:val="24"/>
                <w:highlight w:val="none"/>
                <w:lang w:val="en-US" w:eastAsia="zh-CN"/>
              </w:rPr>
              <w:t xml:space="preserve">%（下浮率）</w:t>
            </w:r>
            <w:r>
              <w:rPr>
                <w:rFonts w:hint="eastAsia" w:ascii="仿宋" w:hAnsi="仿宋" w:eastAsia="仿宋" w:cs="仿宋"/>
                <w:b/>
                <w:bCs/>
                <w:color w:val="ff0000"/>
                <w:sz w:val="24"/>
                <w:szCs w:val="24"/>
                <w:u w:val="none"/>
                <w:lang w:val="en-US" w:eastAsia="zh-CN"/>
              </w:rPr>
              <w:t xml:space="preserve">=</w:t>
            </w:r>
            <w:r>
              <w:rPr>
                <w:rFonts w:hint="eastAsia" w:ascii="仿宋" w:hAnsi="仿宋" w:eastAsia="仿宋" w:cs="仿宋"/>
                <w:b/>
                <w:bCs/>
                <w:color w:val="ff0000"/>
                <w:sz w:val="24"/>
                <w:szCs w:val="24"/>
                <w:u w:val="single"/>
                <w:lang w:val="en-US" w:eastAsia="zh-CN"/>
              </w:rPr>
              <w:t xml:space="preserve">    </w:t>
            </w:r>
            <w:r>
              <w:rPr>
                <w:rFonts w:hint="eastAsia" w:ascii="仿宋" w:hAnsi="仿宋" w:eastAsia="仿宋" w:cs="仿宋"/>
                <w:b/>
                <w:bCs/>
                <w:color w:val="ff0000"/>
                <w:sz w:val="24"/>
                <w:szCs w:val="24"/>
                <w:u w:val="none"/>
                <w:lang w:val="en-US" w:eastAsia="zh-CN"/>
              </w:rPr>
              <w:t xml:space="preserve">元</w:t>
            </w:r>
            <w:r/>
          </w:p>
        </w:tc>
        <w:tc>
          <w:tcPr>
            <w:tcBorders>
              <w:top w:val="single" w:color="auto" w:sz="8" w:space="0"/>
              <w:left w:val="single" w:color="auto" w:sz="4" w:space="0"/>
              <w:bottom w:val="single" w:color="auto" w:sz="8" w:space="0"/>
              <w:right w:val="single" w:color="000000" w:sz="8" w:space="0"/>
            </w:tcBorders>
            <w:tcW w:w="1068" w:type="dxa"/>
            <w:vAlign w:val="center"/>
            <w:textDirection w:val="lrTb"/>
            <w:noWrap w:val="false"/>
          </w:tcPr>
          <w:p>
            <w:pP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trHeight w:val="843"/>
        </w:trPr>
        <w:tc>
          <w:tcPr>
            <w:gridSpan w:val="4"/>
            <w:tcBorders>
              <w:top w:val="single" w:color="auto" w:sz="8" w:space="0"/>
              <w:left w:val="single" w:color="auto" w:sz="8" w:space="0"/>
              <w:bottom w:val="single" w:color="auto" w:sz="8" w:space="0"/>
              <w:right w:val="single" w:color="000000" w:sz="8" w:space="0"/>
            </w:tcBorders>
            <w:tcW w:w="8960" w:type="dxa"/>
            <w:vAlign w:val="center"/>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b/>
                <w:bCs/>
                <w:color w:val="ff0000"/>
                <w:sz w:val="24"/>
                <w:szCs w:val="24"/>
                <w:lang w:val="en-US" w:eastAsia="zh-CN"/>
              </w:rPr>
              <w:t xml:space="preserve">3年运营期限的投标总价=⑤*3年=</w:t>
            </w:r>
            <w:r>
              <w:rPr>
                <w:rFonts w:hint="eastAsia" w:ascii="仿宋" w:hAnsi="仿宋" w:eastAsia="仿宋" w:cs="仿宋"/>
                <w:b/>
                <w:bCs/>
                <w:color w:val="ff0000"/>
                <w:sz w:val="24"/>
                <w:szCs w:val="24"/>
                <w:u w:val="single"/>
                <w:lang w:val="en-US" w:eastAsia="zh-CN"/>
              </w:rPr>
              <w:t xml:space="preserve">    </w:t>
            </w:r>
            <w:r>
              <w:rPr>
                <w:rFonts w:hint="eastAsia" w:ascii="仿宋" w:hAnsi="仿宋" w:eastAsia="仿宋" w:cs="仿宋"/>
                <w:b/>
                <w:bCs/>
                <w:color w:val="ff0000"/>
                <w:sz w:val="24"/>
                <w:szCs w:val="24"/>
                <w:u w:val="none"/>
                <w:lang w:val="en-US" w:eastAsia="zh-CN"/>
              </w:rPr>
              <w:t xml:space="preserve">元</w:t>
            </w:r>
            <w:r/>
          </w:p>
        </w:tc>
      </w:tr>
    </w:tbl>
    <w:p>
      <w:pPr>
        <w:numPr>
          <w:ilvl w:val="0"/>
          <w:numId w:val="0"/>
        </w:num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1.本项目投标报价为三年运维服务期限总报价，投标人所报价格错报、漏报视为放弃本次报价资格</w:t>
      </w:r>
      <w:r>
        <w:rPr>
          <w:rFonts w:hint="eastAsia" w:ascii="仿宋" w:hAnsi="仿宋" w:eastAsia="仿宋" w:cs="仿宋"/>
          <w:b/>
          <w:bCs/>
          <w:sz w:val="24"/>
          <w:szCs w:val="24"/>
        </w:rPr>
        <w:t xml:space="preserve">；</w:t>
      </w:r>
      <w:r/>
    </w:p>
    <w:p>
      <w:pPr>
        <w:ind w:firstLine="472"/>
        <w:spacing w:line="400" w:lineRule="exact"/>
        <w:tabs>
          <w:tab w:val="left" w:pos="1320" w:leader="none"/>
        </w:tabs>
        <w:rPr>
          <w:rFonts w:hint="eastAsia" w:ascii="仿宋" w:hAnsi="仿宋" w:eastAsia="仿宋" w:cs="仿宋"/>
          <w:b/>
          <w:color w:val="auto"/>
          <w:sz w:val="24"/>
          <w:szCs w:val="24"/>
        </w:rPr>
      </w:pPr>
      <w:r>
        <w:rPr>
          <w:rFonts w:hint="eastAsia" w:ascii="仿宋" w:hAnsi="仿宋" w:eastAsia="仿宋" w:cs="仿宋"/>
          <w:b/>
          <w:bCs/>
          <w:sz w:val="24"/>
          <w:szCs w:val="24"/>
        </w:rPr>
        <w:t xml:space="preserve">2.</w:t>
      </w:r>
      <w:r>
        <w:rPr>
          <w:rFonts w:hint="eastAsia" w:ascii="仿宋" w:hAnsi="仿宋" w:eastAsia="仿宋" w:cs="仿宋"/>
          <w:b/>
          <w:bCs/>
          <w:color w:val="auto"/>
          <w:sz w:val="24"/>
          <w:szCs w:val="24"/>
        </w:rPr>
        <w:t xml:space="preserve">本表中的报价为完成本项工作所需一切费用的报价。投标报价为最终报价，除合同另有约定外，招标人不需要支付报价以外的任何费用。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1075"/>
        <w:ind w:left="3400" w:firstLine="425"/>
        <w:jc w:val="both"/>
        <w:spacing w:line="360" w:lineRule="exact"/>
        <w:rPr>
          <w:rFonts w:hint="eastAsia" w:ascii="仿宋" w:hAnsi="仿宋" w:eastAsia="仿宋" w:cs="仿宋"/>
          <w:color w:val="auto"/>
          <w:sz w:val="24"/>
          <w:szCs w:val="24"/>
        </w:rPr>
      </w:pPr>
      <w:r/>
      <w:bookmarkStart w:id="35" w:name="_Toc142194270"/>
      <w:r/>
      <w:bookmarkEnd w:id="35"/>
      <w:r/>
      <w:bookmarkStart w:id="36" w:name="_Toc142194269"/>
      <w:r/>
      <w:bookmarkEnd w:id="36"/>
      <w:r>
        <w:rPr>
          <w:rFonts w:hint="eastAsia" w:ascii="仿宋" w:hAnsi="仿宋" w:eastAsia="仿宋" w:cs="仿宋"/>
          <w:color w:val="auto"/>
          <w:sz w:val="24"/>
          <w:szCs w:val="24"/>
        </w:rPr>
        <w:t xml:space="preserve">投标人：（单位盖章）</w:t>
      </w:r>
      <w:r/>
    </w:p>
    <w:p>
      <w:pPr>
        <w:pStyle w:val="1075"/>
        <w:ind w:left="3825"/>
        <w:jc w:val="both"/>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法定代表人或代理人：（签字或盖章）</w:t>
      </w:r>
      <w:r/>
    </w:p>
    <w:p>
      <w:pPr>
        <w:pStyle w:val="1075"/>
        <w:ind w:left="3825"/>
        <w:jc w:val="both"/>
        <w:spacing w:line="360" w:lineRule="exact"/>
        <w:rPr>
          <w:rFonts w:hint="eastAsia" w:ascii="仿宋" w:hAnsi="仿宋" w:eastAsia="仿宋" w:cs="仿宋"/>
          <w:color w:val="000000"/>
          <w:sz w:val="24"/>
          <w:szCs w:val="24"/>
        </w:rPr>
        <w:sectPr>
          <w:headerReference w:type="default" r:id="rId11"/>
          <w:footerReference w:type="default" r:id="rId15"/>
          <w:footnotePr/>
          <w:endnotePr/>
          <w:type w:val="nextPage"/>
          <w:pgSz w:w="11906" w:h="16838" w:orient="portrait"/>
          <w:pgMar w:top="1440" w:right="850" w:bottom="1440" w:left="850" w:header="851" w:footer="992" w:gutter="0"/>
          <w:cols w:num="1" w:sep="0" w:space="720" w:equalWidth="1"/>
          <w:docGrid w:linePitch="360"/>
        </w:sectPr>
      </w:pP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期：   年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月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日</w:t>
      </w:r>
      <w:r/>
    </w:p>
    <w:p>
      <w:pPr>
        <w:pStyle w:val="1029"/>
        <w:numPr>
          <w:ilvl w:val="0"/>
          <w:numId w:val="0"/>
        </w:numP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sz w:val="28"/>
          <w:szCs w:val="28"/>
          <w:lang w:eastAsia="zh-CN"/>
        </w:rPr>
        <w:t xml:space="preserve">三、</w:t>
      </w:r>
      <w:r>
        <w:rPr>
          <w:rFonts w:hint="eastAsia" w:ascii="仿宋" w:hAnsi="仿宋" w:eastAsia="仿宋" w:cs="仿宋"/>
          <w:sz w:val="28"/>
          <w:szCs w:val="28"/>
        </w:rPr>
        <w:t xml:space="preserve">分项价格表</w:t>
      </w:r>
      <w:r/>
    </w:p>
    <w:tbl>
      <w:tblPr>
        <w:tblStyle w:val="837"/>
        <w:tblW w:w="14398" w:type="dxa"/>
        <w:tblInd w:w="108" w:type="dxa"/>
        <w:tblLayout w:type="fixed"/>
        <w:tblCellMar>
          <w:left w:w="108" w:type="dxa"/>
          <w:top w:w="0" w:type="dxa"/>
          <w:right w:w="108" w:type="dxa"/>
          <w:bottom w:w="0" w:type="dxa"/>
        </w:tblCellMar>
        <w:tblLook w:val="04A0" w:firstRow="1" w:lastRow="0" w:firstColumn="1" w:lastColumn="0" w:noHBand="0" w:noVBand="1"/>
      </w:tblPr>
      <w:tblGrid>
        <w:gridCol w:w="473"/>
        <w:gridCol w:w="2979"/>
        <w:gridCol w:w="3808"/>
        <w:gridCol w:w="1179"/>
        <w:gridCol w:w="1386"/>
        <w:gridCol w:w="3694"/>
        <w:gridCol w:w="879"/>
      </w:tblGrid>
      <w:tr>
        <w:trPr>
          <w:trHeight w:val="574"/>
        </w:trPr>
        <w:tc>
          <w:tcPr>
            <w:gridSpan w:val="7"/>
            <w:tcBorders>
              <w:top w:val="single" w:color="auto" w:sz="4" w:space="0"/>
              <w:left w:val="single" w:color="auto" w:sz="4" w:space="0"/>
              <w:bottom w:val="single" w:color="auto" w:sz="4" w:space="0"/>
              <w:right w:val="single" w:color="auto" w:sz="4" w:space="0"/>
            </w:tcBorders>
            <w:tcW w:w="14398" w:type="dxa"/>
            <w:vAlign w:val="center"/>
            <w:textDirection w:val="lrTb"/>
            <w:noWrap w:val="false"/>
          </w:tcPr>
          <w:p>
            <w:pPr>
              <w:pStyle w:val="1075"/>
              <w:numPr>
                <w:ilvl w:val="0"/>
                <w:numId w:val="10"/>
              </w:numPr>
              <w:jc w:val="center"/>
              <w:spacing w:line="360" w:lineRule="auto"/>
              <w:rPr>
                <w:rFonts w:hint="eastAsia" w:ascii="仿宋" w:hAnsi="仿宋" w:eastAsia="仿宋" w:cs="仿宋"/>
                <w:b/>
                <w:bCs/>
                <w:sz w:val="32"/>
                <w:szCs w:val="32"/>
              </w:rPr>
            </w:pPr>
            <w:r>
              <w:rPr>
                <w:rFonts w:hint="eastAsia" w:ascii="仿宋" w:hAnsi="仿宋" w:eastAsia="仿宋" w:cs="仿宋"/>
                <w:b/>
                <w:color w:val="auto"/>
                <w:sz w:val="32"/>
                <w:szCs w:val="32"/>
              </w:rPr>
              <w:t xml:space="preserve">新沂市镇级污水处理</w:t>
            </w:r>
            <w:r>
              <w:rPr>
                <w:rFonts w:hint="eastAsia" w:ascii="仿宋" w:hAnsi="仿宋" w:eastAsia="仿宋" w:cs="仿宋"/>
                <w:b/>
                <w:color w:val="auto"/>
                <w:sz w:val="32"/>
                <w:szCs w:val="32"/>
                <w:highlight w:val="none"/>
              </w:rPr>
              <w:t xml:space="preserve">设施</w:t>
            </w:r>
            <w:r>
              <w:rPr>
                <w:rFonts w:hint="eastAsia" w:ascii="仿宋" w:hAnsi="仿宋" w:eastAsia="仿宋" w:cs="仿宋"/>
                <w:b/>
                <w:color w:val="auto"/>
                <w:sz w:val="32"/>
                <w:szCs w:val="32"/>
              </w:rPr>
              <w:t xml:space="preserve">每年运维费（含提升泵站）报价清单</w:t>
            </w:r>
            <w:r/>
          </w:p>
        </w:tc>
      </w:tr>
      <w:tr>
        <w:trPr>
          <w:trHeight w:val="360"/>
        </w:trPr>
        <w:tc>
          <w:tcPr>
            <w:gridSpan w:val="3"/>
            <w:tcBorders>
              <w:top w:val="single" w:color="auto" w:sz="4" w:space="0"/>
              <w:left w:val="single" w:color="auto" w:sz="4" w:space="0"/>
              <w:bottom w:val="single" w:color="auto" w:sz="4" w:space="0"/>
              <w:right w:val="single" w:color="auto" w:sz="4" w:space="0"/>
            </w:tcBorders>
            <w:tcW w:w="7260" w:type="dxa"/>
            <w:vAlign w:val="center"/>
            <w:textDirection w:val="lrTb"/>
            <w:noWrap w:val="false"/>
          </w:tcPr>
          <w:p>
            <w:pPr>
              <w:jc w:val="both"/>
              <w:rPr>
                <w:rFonts w:hint="eastAsia" w:ascii="仿宋" w:hAnsi="仿宋" w:eastAsia="仿宋" w:cs="仿宋"/>
                <w:b w:val="0"/>
                <w:bCs w:val="0"/>
                <w:sz w:val="18"/>
                <w:szCs w:val="22"/>
                <w:lang w:val="en-US" w:eastAsia="zh-CN"/>
              </w:rPr>
            </w:pPr>
            <w:r>
              <w:rPr>
                <w:rFonts w:hint="eastAsia" w:ascii="仿宋" w:hAnsi="仿宋" w:eastAsia="仿宋" w:cs="仿宋"/>
                <w:b w:val="0"/>
                <w:bCs w:val="0"/>
                <w:sz w:val="18"/>
                <w:szCs w:val="22"/>
                <w:lang w:val="en-US" w:eastAsia="zh-CN"/>
              </w:rPr>
              <w:t xml:space="preserve">项目</w:t>
            </w:r>
            <w:r>
              <w:rPr>
                <w:rFonts w:hint="eastAsia" w:ascii="仿宋" w:hAnsi="仿宋" w:eastAsia="仿宋" w:cs="仿宋"/>
                <w:b w:val="0"/>
                <w:bCs w:val="0"/>
                <w:sz w:val="18"/>
                <w:szCs w:val="22"/>
              </w:rPr>
              <w:t xml:space="preserve">名称：</w:t>
            </w:r>
            <w:r/>
          </w:p>
        </w:tc>
        <w:tc>
          <w:tcPr>
            <w:gridSpan w:val="4"/>
            <w:tcBorders>
              <w:top w:val="single" w:color="auto" w:sz="4" w:space="0"/>
              <w:left w:val="single" w:color="auto" w:sz="4" w:space="0"/>
              <w:bottom w:val="single" w:color="auto" w:sz="4" w:space="0"/>
              <w:right w:val="single" w:color="auto" w:sz="4" w:space="0"/>
            </w:tcBorders>
            <w:tcW w:w="7138" w:type="dxa"/>
            <w:vAlign w:val="center"/>
            <w:textDirection w:val="lrTb"/>
            <w:noWrap w:val="false"/>
          </w:tcPr>
          <w:p>
            <w:pPr>
              <w:jc w:val="both"/>
              <w:rPr>
                <w:rFonts w:hint="eastAsia" w:ascii="仿宋" w:hAnsi="仿宋" w:eastAsia="仿宋" w:cs="仿宋"/>
                <w:b/>
                <w:bCs/>
                <w:sz w:val="18"/>
                <w:szCs w:val="22"/>
              </w:rPr>
            </w:pPr>
            <w:r>
              <w:rPr>
                <w:rFonts w:hint="eastAsia" w:ascii="仿宋" w:hAnsi="仿宋" w:eastAsia="仿宋" w:cs="仿宋"/>
                <w:b w:val="0"/>
                <w:bCs w:val="0"/>
                <w:sz w:val="18"/>
                <w:szCs w:val="22"/>
                <w:lang w:val="en-US" w:eastAsia="zh-CN"/>
              </w:rPr>
              <w:t xml:space="preserve">项目编号：</w:t>
            </w:r>
            <w:r>
              <w:rPr>
                <w:rFonts w:hint="eastAsia" w:ascii="仿宋" w:hAnsi="仿宋" w:eastAsia="仿宋" w:cs="仿宋"/>
                <w:b/>
                <w:bCs/>
                <w:sz w:val="18"/>
                <w:szCs w:val="22"/>
              </w:rPr>
              <w:t xml:space="preserve">　</w:t>
            </w:r>
            <w:r/>
          </w:p>
        </w:tc>
      </w:tr>
      <w:tr>
        <w:trPr>
          <w:trHeight w:val="329"/>
        </w:trPr>
        <w:tc>
          <w:tcPr>
            <w:tcBorders>
              <w:top w:val="single" w:color="auto" w:sz="4" w:space="0"/>
              <w:left w:val="single" w:color="000000" w:sz="8" w:space="0"/>
              <w:bottom w:val="single" w:color="auto" w:sz="4" w:space="0"/>
              <w:right w:val="single" w:color="000000" w:sz="4" w:space="0"/>
            </w:tcBorders>
            <w:tcW w:w="473"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序号</w:t>
            </w:r>
            <w:r/>
          </w:p>
        </w:tc>
        <w:tc>
          <w:tcPr>
            <w:tcBorders>
              <w:top w:val="single" w:color="auto" w:sz="4" w:space="0"/>
              <w:left w:val="single" w:color="000000" w:sz="4" w:space="0"/>
              <w:bottom w:val="single" w:color="auto" w:sz="4" w:space="0"/>
              <w:right w:val="single" w:color="000000" w:sz="4" w:space="0"/>
            </w:tcBorders>
            <w:tcW w:w="29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项目名称</w:t>
            </w:r>
            <w:r/>
          </w:p>
        </w:tc>
        <w:tc>
          <w:tcPr>
            <w:tcBorders>
              <w:top w:val="single" w:color="auto" w:sz="4" w:space="0"/>
              <w:left w:val="single" w:color="000000" w:sz="4" w:space="0"/>
              <w:bottom w:val="single" w:color="auto" w:sz="4" w:space="0"/>
              <w:right w:val="single" w:color="000000" w:sz="4" w:space="0"/>
            </w:tcBorders>
            <w:tcW w:w="3808"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项目特征</w:t>
            </w:r>
            <w:r/>
          </w:p>
        </w:tc>
        <w:tc>
          <w:tcPr>
            <w:tcBorders>
              <w:top w:val="single" w:color="auto" w:sz="4" w:space="0"/>
              <w:left w:val="single" w:color="000000" w:sz="4" w:space="0"/>
              <w:bottom w:val="single" w:color="auto" w:sz="4" w:space="0"/>
              <w:right w:val="single" w:color="000000" w:sz="4" w:space="0"/>
            </w:tcBorders>
            <w:tcW w:w="11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单位</w:t>
            </w:r>
            <w:r/>
          </w:p>
        </w:tc>
        <w:tc>
          <w:tcPr>
            <w:gridSpan w:val="2"/>
            <w:tcBorders>
              <w:top w:val="single" w:color="auto" w:sz="4" w:space="0"/>
              <w:left w:val="single" w:color="000000" w:sz="4" w:space="0"/>
              <w:bottom w:val="single" w:color="auto" w:sz="4" w:space="0"/>
              <w:right w:val="single" w:color="000000" w:sz="4" w:space="0"/>
            </w:tcBorders>
            <w:tcW w:w="5080"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报价</w:t>
            </w:r>
            <w:r/>
          </w:p>
        </w:tc>
        <w:tc>
          <w:tcPr>
            <w:tcBorders>
              <w:top w:val="single" w:color="auto" w:sz="4" w:space="0"/>
              <w:left w:val="single" w:color="000000" w:sz="4" w:space="0"/>
              <w:bottom w:val="single" w:color="auto" w:sz="4" w:space="0"/>
              <w:right w:val="single" w:color="000000" w:sz="4" w:space="0"/>
            </w:tcBorders>
            <w:tcW w:w="879" w:type="dxa"/>
            <w:vAlign w:val="center"/>
            <w:vMerge w:val="restart"/>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备注</w:t>
            </w:r>
            <w:r/>
          </w:p>
        </w:tc>
      </w:tr>
      <w:tr>
        <w:trPr>
          <w:trHeight w:val="300"/>
        </w:trPr>
        <w:tc>
          <w:tcPr>
            <w:tcBorders>
              <w:top w:val="single" w:color="auto" w:sz="4" w:space="0"/>
              <w:left w:val="single" w:color="000000" w:sz="8" w:space="0"/>
              <w:bottom w:val="single" w:color="000000" w:sz="4" w:space="0"/>
              <w:right w:val="single" w:color="000000" w:sz="4" w:space="0"/>
            </w:tcBorders>
            <w:tcW w:w="473"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29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3808"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c>
          <w:tcPr>
            <w:tcBorders>
              <w:top w:val="single" w:color="auto" w:sz="4" w:space="0"/>
              <w:left w:val="single" w:color="000000" w:sz="4" w:space="0"/>
              <w:bottom w:val="single" w:color="000000" w:sz="4" w:space="0"/>
              <w:right w:val="single" w:color="auto" w:sz="4" w:space="0"/>
            </w:tcBorders>
            <w:tcW w:w="1386"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单价（元/吨）</w:t>
            </w:r>
            <w:r/>
          </w:p>
        </w:tc>
        <w:tc>
          <w:tcPr>
            <w:tcBorders>
              <w:top w:val="single" w:color="auto" w:sz="4" w:space="0"/>
              <w:left w:val="single" w:color="auto" w:sz="4" w:space="0"/>
              <w:bottom w:val="single" w:color="000000" w:sz="4" w:space="0"/>
              <w:right w:val="single" w:color="000000" w:sz="4" w:space="0"/>
            </w:tcBorders>
            <w:tcW w:w="3694" w:type="dxa"/>
            <w:vAlign w:val="center"/>
            <w:textDirection w:val="lrTb"/>
            <w:noWrap w:val="false"/>
          </w:tcPr>
          <w:p>
            <w:pPr>
              <w:jc w:val="center"/>
              <w:rPr>
                <w:rFonts w:hint="default"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总价（元）</w:t>
            </w:r>
            <w:r/>
          </w:p>
        </w:tc>
        <w:tc>
          <w:tcPr>
            <w:tcBorders>
              <w:top w:val="single" w:color="auto"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r>
            <w:r/>
          </w:p>
        </w:tc>
      </w:tr>
      <w:tr>
        <w:trPr>
          <w:trHeight w:val="398"/>
        </w:trPr>
        <w:tc>
          <w:tcPr>
            <w:tcBorders>
              <w:top w:val="none" w:color="000000" w:sz="4" w:space="0"/>
              <w:left w:val="single" w:color="000000" w:sz="8" w:space="0"/>
              <w:right w:val="single" w:color="000000" w:sz="4" w:space="0"/>
            </w:tcBorders>
            <w:tcW w:w="473" w:type="dxa"/>
            <w:vAlign w:val="center"/>
            <w:vMerge w:val="restart"/>
            <w:textDirection w:val="lrTb"/>
            <w:noWrap w:val="false"/>
          </w:tcPr>
          <w:p>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lang w:val="en-US" w:eastAsia="zh-CN"/>
              </w:rPr>
            </w:pPr>
            <w:r>
              <w:rPr>
                <w:rFonts w:hint="eastAsia" w:ascii="仿宋" w:hAnsi="仿宋" w:eastAsia="仿宋" w:cs="仿宋"/>
                <w:sz w:val="20"/>
                <w:szCs w:val="20"/>
              </w:rPr>
              <w:t xml:space="preserve">高流镇污水处理厂</w:t>
            </w:r>
            <w:r/>
          </w:p>
        </w:tc>
        <w:tc>
          <w:tcPr>
            <w:tcBorders>
              <w:top w:val="none" w:color="000000" w:sz="4" w:space="0"/>
              <w:left w:val="none" w:color="000000" w:sz="4" w:space="0"/>
              <w:right w:val="single" w:color="000000" w:sz="4" w:space="0"/>
            </w:tcBorders>
            <w:tcW w:w="3808" w:type="dxa"/>
            <w:vAlign w:val="center"/>
            <w:vMerge w:val="restart"/>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t xml:space="preserve">总处理规模</w:t>
            </w:r>
            <w:r>
              <w:rPr>
                <w:rFonts w:hint="eastAsia" w:ascii="仿宋" w:hAnsi="仿宋" w:eastAsia="仿宋" w:cs="仿宋"/>
                <w:sz w:val="20"/>
                <w:szCs w:val="20"/>
                <w:lang w:val="en-US" w:eastAsia="zh-CN"/>
              </w:rPr>
              <w:t xml:space="preserve">4450</w:t>
            </w:r>
            <w:r>
              <w:rPr>
                <w:rFonts w:hint="eastAsia" w:ascii="仿宋" w:hAnsi="仿宋" w:eastAsia="仿宋" w:cs="仿宋"/>
                <w:sz w:val="20"/>
                <w:szCs w:val="20"/>
              </w:rPr>
              <w:t xml:space="preserve">吨/天，按照实际出水处理量付费，总出水处理量不得低于总设计</w:t>
            </w:r>
            <w:r>
              <w:rPr>
                <w:rFonts w:hint="eastAsia" w:ascii="仿宋" w:hAnsi="仿宋" w:eastAsia="仿宋" w:cs="仿宋"/>
                <w:sz w:val="20"/>
                <w:szCs w:val="20"/>
                <w:lang w:eastAsia="zh-CN"/>
              </w:rPr>
              <w:t xml:space="preserve">出水处理量的70%</w:t>
            </w:r>
            <w:r>
              <w:rPr>
                <w:rFonts w:hint="eastAsia" w:ascii="仿宋" w:hAnsi="仿宋" w:eastAsia="仿宋" w:cs="仿宋"/>
                <w:sz w:val="20"/>
                <w:szCs w:val="20"/>
              </w:rPr>
              <w:t xml:space="preserve">，不得超过总设计出水处理量的90%</w:t>
            </w:r>
            <w:r/>
          </w:p>
        </w:tc>
        <w:tc>
          <w:tcPr>
            <w:tcBorders>
              <w:top w:val="none" w:color="000000" w:sz="4" w:space="0"/>
              <w:left w:val="none" w:color="000000" w:sz="4" w:space="0"/>
              <w:right w:val="single" w:color="000000" w:sz="4" w:space="0"/>
            </w:tcBorders>
            <w:tcW w:w="1179" w:type="dxa"/>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b w:val="0"/>
                <w:bCs w:val="0"/>
                <w:sz w:val="18"/>
                <w:szCs w:val="18"/>
                <w:lang w:val="en-US" w:eastAsia="zh-CN"/>
              </w:rPr>
              <w:t xml:space="preserve">元/</w:t>
            </w:r>
            <w:r>
              <w:rPr>
                <w:rFonts w:hint="eastAsia" w:ascii="仿宋" w:hAnsi="仿宋" w:eastAsia="仿宋" w:cs="仿宋"/>
                <w:b w:val="0"/>
                <w:bCs w:val="0"/>
                <w:sz w:val="18"/>
                <w:szCs w:val="18"/>
              </w:rPr>
              <w:t xml:space="preserve">吨</w:t>
            </w:r>
            <w:r/>
          </w:p>
        </w:tc>
        <w:tc>
          <w:tcPr>
            <w:tcBorders>
              <w:top w:val="none" w:color="000000" w:sz="4" w:space="0"/>
              <w:left w:val="none" w:color="000000" w:sz="4" w:space="0"/>
              <w:right w:val="single" w:color="auto" w:sz="4" w:space="0"/>
            </w:tcBorders>
            <w:tcW w:w="1386" w:type="dxa"/>
            <w:vAlign w:val="center"/>
            <w:vMerge w:val="restart"/>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auto" w:sz="4" w:space="0"/>
              <w:right w:val="single" w:color="000000" w:sz="4" w:space="0"/>
            </w:tcBorders>
            <w:tcW w:w="3694" w:type="dxa"/>
            <w:vAlign w:val="center"/>
            <w:vMerge w:val="restart"/>
            <w:textDirection w:val="lrTb"/>
            <w:noWrap w:val="false"/>
          </w:tcPr>
          <w:p>
            <w:pPr>
              <w:jc w:val="both"/>
              <w:rPr>
                <w:rFonts w:hint="default" w:ascii="仿宋" w:hAnsi="仿宋" w:eastAsia="仿宋" w:cs="仿宋"/>
                <w:sz w:val="20"/>
                <w:szCs w:val="20"/>
                <w:u w:val="none"/>
                <w:lang w:val="en-US" w:eastAsia="zh-CN"/>
              </w:rPr>
            </w:pPr>
            <w:r>
              <w:rPr>
                <w:rFonts w:hint="eastAsia" w:ascii="仿宋" w:hAnsi="仿宋" w:eastAsia="仿宋" w:cs="仿宋"/>
                <w:b/>
                <w:bCs/>
                <w:color w:val="ff0000"/>
                <w:sz w:val="18"/>
                <w:szCs w:val="22"/>
                <w:u w:val="none"/>
                <w:lang w:val="en-US" w:eastAsia="zh-CN"/>
              </w:rPr>
              <w:t xml:space="preserve">①、每年价格</w:t>
            </w:r>
            <w:r>
              <w:rPr>
                <w:rFonts w:hint="eastAsia" w:ascii="仿宋" w:hAnsi="仿宋" w:eastAsia="仿宋" w:cs="仿宋"/>
                <w:sz w:val="18"/>
                <w:szCs w:val="22"/>
                <w:u w:val="none"/>
                <w:lang w:val="en-US" w:eastAsia="zh-CN"/>
              </w:rPr>
              <w:t xml:space="preserve">：</w:t>
            </w:r>
            <w:r>
              <w:rPr>
                <w:rFonts w:hint="eastAsia" w:ascii="仿宋" w:hAnsi="仿宋" w:eastAsia="仿宋" w:cs="仿宋"/>
                <w:sz w:val="20"/>
                <w:szCs w:val="20"/>
                <w:lang w:val="en-US" w:eastAsia="zh-CN"/>
              </w:rPr>
              <w:t xml:space="preserve">所报单价（</w:t>
            </w:r>
            <w:r>
              <w:rPr>
                <w:rFonts w:hint="eastAsia" w:ascii="仿宋" w:hAnsi="仿宋" w:eastAsia="仿宋" w:cs="仿宋"/>
                <w:sz w:val="20"/>
                <w:szCs w:val="20"/>
                <w:u w:val="single"/>
                <w:lang w:val="en-US" w:eastAsia="zh-CN"/>
              </w:rPr>
              <w:t xml:space="preserve">  </w:t>
            </w:r>
            <w:r>
              <w:rPr>
                <w:rFonts w:hint="eastAsia" w:ascii="仿宋" w:hAnsi="仿宋" w:eastAsia="仿宋" w:cs="仿宋"/>
                <w:sz w:val="20"/>
                <w:szCs w:val="20"/>
                <w:lang w:val="en-US" w:eastAsia="zh-CN"/>
              </w:rPr>
              <w:t xml:space="preserve">元/吨）*4450吨/天*90%*365=</w:t>
            </w:r>
            <w:r>
              <w:rPr>
                <w:rFonts w:hint="eastAsia" w:ascii="仿宋" w:hAnsi="仿宋" w:eastAsia="仿宋" w:cs="仿宋"/>
                <w:sz w:val="20"/>
                <w:szCs w:val="20"/>
                <w:u w:val="single"/>
                <w:lang w:val="en-US" w:eastAsia="zh-CN"/>
              </w:rPr>
              <w:t xml:space="preserve">     </w:t>
            </w:r>
            <w:r>
              <w:rPr>
                <w:rFonts w:hint="eastAsia" w:ascii="仿宋" w:hAnsi="仿宋" w:eastAsia="仿宋" w:cs="仿宋"/>
                <w:sz w:val="20"/>
                <w:szCs w:val="20"/>
                <w:u w:val="none"/>
                <w:lang w:val="en-US" w:eastAsia="zh-CN"/>
              </w:rPr>
              <w:t xml:space="preserve">元</w:t>
            </w:r>
            <w:r/>
          </w:p>
        </w:tc>
        <w:tc>
          <w:tcPr>
            <w:tcBorders>
              <w:top w:val="non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运营</w:t>
            </w:r>
            <w:r/>
          </w:p>
          <w:p>
            <w:pPr>
              <w:jc w:val="center"/>
              <w:rPr>
                <w:rFonts w:hint="eastAsia" w:ascii="仿宋" w:hAnsi="仿宋" w:eastAsia="仿宋" w:cs="仿宋"/>
                <w:sz w:val="20"/>
                <w:szCs w:val="20"/>
              </w:rPr>
            </w:pPr>
            <w:r>
              <w:rPr>
                <w:rFonts w:hint="eastAsia" w:ascii="仿宋" w:hAnsi="仿宋" w:eastAsia="仿宋" w:cs="仿宋"/>
                <w:sz w:val="20"/>
                <w:szCs w:val="20"/>
              </w:rPr>
              <w:t xml:space="preserve">期限</w:t>
            </w:r>
            <w:r/>
          </w:p>
          <w:p>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 xml:space="preserve"> 3</w:t>
            </w:r>
            <w:r>
              <w:rPr>
                <w:rFonts w:hint="eastAsia" w:ascii="仿宋" w:hAnsi="仿宋" w:eastAsia="仿宋" w:cs="仿宋"/>
                <w:sz w:val="20"/>
                <w:szCs w:val="20"/>
              </w:rPr>
              <w:t xml:space="preserve">年</w:t>
            </w:r>
            <w:r>
              <w:rPr>
                <w:rFonts w:hint="eastAsia" w:ascii="仿宋" w:hAnsi="仿宋" w:eastAsia="仿宋" w:cs="仿宋"/>
                <w:sz w:val="20"/>
                <w:szCs w:val="20"/>
                <w:lang w:eastAsia="zh-CN"/>
              </w:rPr>
              <w:t xml:space="preserve">。</w:t>
            </w:r>
            <w:r/>
          </w:p>
        </w:tc>
      </w:tr>
      <w:tr>
        <w:trPr>
          <w:trHeight w:val="405"/>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邵店镇污水处理厂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427"/>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马陵山镇污水处理厂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453"/>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时集镇污水处理厂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453"/>
        </w:trPr>
        <w:tc>
          <w:tcPr>
            <w:tcBorders>
              <w:left w:val="single" w:color="000000" w:sz="8" w:space="0"/>
              <w:right w:val="single" w:color="000000" w:sz="4" w:space="0"/>
            </w:tcBorders>
            <w:tcW w:w="473"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阿湖镇污水处理厂</w:t>
            </w:r>
            <w:r/>
          </w:p>
        </w:tc>
        <w:tc>
          <w:tcPr>
            <w:tcBorders>
              <w:left w:val="none" w:color="000000" w:sz="4" w:space="0"/>
              <w:right w:val="single" w:color="000000" w:sz="4" w:space="0"/>
            </w:tcBorders>
            <w:tcW w:w="3808" w:type="dxa"/>
            <w:vAlign w:val="center"/>
            <w:vMerge w:val="continue"/>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000000" w:sz="4" w:space="0"/>
            </w:tcBorders>
            <w:tcW w:w="1179" w:type="dxa"/>
            <w:vAlign w:val="center"/>
            <w:vMerge w:val="continue"/>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left w:val="none" w:color="000000" w:sz="4" w:space="0"/>
              <w:right w:val="single" w:color="auto" w:sz="4" w:space="0"/>
            </w:tcBorders>
            <w:tcW w:w="1386"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left w:val="single" w:color="auto" w:sz="4" w:space="0"/>
              <w:right w:val="single" w:color="000000" w:sz="4" w:space="0"/>
            </w:tcBorders>
            <w:tcW w:w="3694" w:type="dxa"/>
            <w:vAlign w:val="center"/>
            <w:vMerge w:val="continue"/>
            <w:textDirection w:val="lrTb"/>
            <w:noWrap w:val="false"/>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non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r>
        <w:trPr>
          <w:trHeight w:val="386"/>
        </w:trPr>
        <w:tc>
          <w:tcPr>
            <w:tcBorders>
              <w:left w:val="single" w:color="000000" w:sz="8" w:space="0"/>
              <w:bottom w:val="single" w:color="000000" w:sz="4" w:space="0"/>
              <w:right w:val="single" w:color="000000" w:sz="4" w:space="0"/>
            </w:tcBorders>
            <w:tcW w:w="473"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lang w:eastAsia="zh-CN"/>
              </w:rPr>
              <w:t xml:space="preserve">2</w:t>
            </w:r>
            <w:r/>
          </w:p>
        </w:tc>
        <w:tc>
          <w:tcPr>
            <w:tcBorders>
              <w:top w:val="none" w:color="000000" w:sz="4" w:space="0"/>
              <w:left w:val="none" w:color="000000" w:sz="4" w:space="0"/>
              <w:bottom w:val="single" w:color="000000" w:sz="4" w:space="0"/>
              <w:right w:val="single" w:color="000000" w:sz="4" w:space="0"/>
            </w:tcBorders>
            <w:tcW w:w="29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提升泵站</w:t>
            </w:r>
            <w:r/>
          </w:p>
        </w:tc>
        <w:tc>
          <w:tcPr>
            <w:tcBorders>
              <w:left w:val="none" w:color="000000" w:sz="4" w:space="0"/>
              <w:bottom w:val="single" w:color="000000" w:sz="4" w:space="0"/>
              <w:right w:val="single" w:color="000000" w:sz="4" w:space="0"/>
            </w:tcBorders>
            <w:tcW w:w="3808" w:type="dxa"/>
            <w:vAlign w:val="center"/>
            <w:textDirection w:val="lrTb"/>
            <w:noWrap w:val="false"/>
          </w:tcPr>
          <w:p>
            <w:pPr>
              <w:jc w:val="both"/>
              <w:rPr>
                <w:rFonts w:hint="eastAsia" w:ascii="仿宋" w:hAnsi="仿宋" w:eastAsia="仿宋" w:cs="仿宋"/>
                <w:sz w:val="20"/>
                <w:szCs w:val="20"/>
              </w:rPr>
            </w:pPr>
            <w:r>
              <w:rPr>
                <w:rFonts w:hint="eastAsia" w:ascii="仿宋" w:hAnsi="仿宋" w:eastAsia="仿宋" w:cs="仿宋"/>
                <w:sz w:val="20"/>
                <w:szCs w:val="20"/>
              </w:rPr>
              <w:t xml:space="preserve">运维看护</w:t>
            </w:r>
            <w:r>
              <w:rPr>
                <w:rFonts w:hint="eastAsia" w:ascii="仿宋" w:hAnsi="仿宋" w:eastAsia="仿宋" w:cs="仿宋"/>
                <w:sz w:val="20"/>
                <w:szCs w:val="20"/>
                <w:lang w:val="en-US" w:eastAsia="zh-CN"/>
              </w:rPr>
              <w:t xml:space="preserve">费、电费、维修费等一切费用。</w:t>
            </w:r>
            <w:r/>
          </w:p>
        </w:tc>
        <w:tc>
          <w:tcPr>
            <w:tcBorders>
              <w:left w:val="none" w:color="000000" w:sz="4" w:space="0"/>
              <w:bottom w:val="single" w:color="000000" w:sz="4" w:space="0"/>
              <w:right w:val="single" w:color="000000" w:sz="4" w:space="0"/>
            </w:tcBorders>
            <w:tcW w:w="1179"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项</w:t>
            </w:r>
            <w:r/>
          </w:p>
        </w:tc>
        <w:tc>
          <w:tcPr>
            <w:gridSpan w:val="3"/>
            <w:tcBorders>
              <w:left w:val="none" w:color="000000" w:sz="4" w:space="0"/>
              <w:bottom w:val="single" w:color="000000" w:sz="4" w:space="0"/>
              <w:right w:val="single" w:color="000000" w:sz="4" w:space="0"/>
            </w:tcBorders>
            <w:tcW w:w="5959"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t xml:space="preserve">提升泵站</w:t>
            </w:r>
            <w:r>
              <w:rPr>
                <w:rFonts w:hint="eastAsia" w:ascii="仿宋" w:hAnsi="仿宋" w:eastAsia="仿宋" w:cs="仿宋"/>
                <w:sz w:val="20"/>
                <w:szCs w:val="20"/>
                <w:lang w:val="en-US" w:eastAsia="zh-CN"/>
              </w:rPr>
              <w:t xml:space="preserve">运营维护费不单独报价，费用包含在5座镇级污水处理厂运营维护费中。</w:t>
            </w:r>
            <w:r/>
          </w:p>
        </w:tc>
      </w:tr>
      <w:tr>
        <w:trPr>
          <w:trHeight w:val="746"/>
        </w:trPr>
        <w:tc>
          <w:tcPr>
            <w:gridSpan w:val="7"/>
            <w:tcBorders>
              <w:top w:val="none" w:color="000000" w:sz="4" w:space="0"/>
              <w:left w:val="single" w:color="000000" w:sz="8" w:space="0"/>
              <w:bottom w:val="single" w:color="auto" w:sz="4" w:space="0"/>
              <w:right w:val="single" w:color="000000" w:sz="4" w:space="0"/>
            </w:tcBorders>
            <w:tcW w:w="14398" w:type="dxa"/>
            <w:vAlign w:val="center"/>
            <w:textDirection w:val="lrTb"/>
            <w:noWrap w:val="false"/>
          </w:tcPr>
          <w:p>
            <w:pPr>
              <w:jc w:val="left"/>
              <w:rPr>
                <w:rFonts w:hint="eastAsia" w:ascii="仿宋" w:hAnsi="仿宋" w:eastAsia="仿宋" w:cs="仿宋"/>
                <w:sz w:val="20"/>
                <w:szCs w:val="20"/>
                <w:lang w:val="en-US"/>
              </w:rPr>
            </w:pPr>
            <w:r>
              <w:rPr>
                <w:rFonts w:hint="eastAsia" w:ascii="仿宋" w:hAnsi="仿宋" w:eastAsia="仿宋" w:cs="仿宋"/>
                <w:b/>
                <w:bCs/>
                <w:color w:val="ff0000"/>
                <w:sz w:val="18"/>
                <w:szCs w:val="22"/>
                <w:lang w:val="en-US" w:eastAsia="zh-CN"/>
              </w:rPr>
              <w:t xml:space="preserve">3年运营期限的投标总价=</w:t>
            </w:r>
            <w:r>
              <w:rPr>
                <w:rFonts w:hint="eastAsia" w:ascii="仿宋" w:hAnsi="仿宋" w:eastAsia="仿宋" w:cs="仿宋"/>
                <w:b/>
                <w:bCs/>
                <w:color w:val="ff0000"/>
                <w:sz w:val="18"/>
                <w:szCs w:val="22"/>
                <w:u w:val="none"/>
                <w:lang w:val="en-US" w:eastAsia="zh-CN"/>
              </w:rPr>
              <w:t xml:space="preserve">①</w:t>
            </w:r>
            <w:r>
              <w:rPr>
                <w:rFonts w:hint="eastAsia" w:ascii="仿宋" w:hAnsi="仿宋" w:eastAsia="仿宋" w:cs="仿宋"/>
                <w:b/>
                <w:bCs/>
                <w:color w:val="ff0000"/>
                <w:sz w:val="18"/>
                <w:szCs w:val="22"/>
                <w:lang w:val="en-US" w:eastAsia="zh-CN"/>
              </w:rPr>
              <w:t xml:space="preserve">*3年=</w:t>
            </w:r>
            <w:r>
              <w:rPr>
                <w:rFonts w:hint="eastAsia" w:ascii="仿宋" w:hAnsi="仿宋" w:eastAsia="仿宋" w:cs="仿宋"/>
                <w:b/>
                <w:bCs/>
                <w:color w:val="ff0000"/>
                <w:sz w:val="18"/>
                <w:szCs w:val="22"/>
                <w:u w:val="single"/>
                <w:lang w:val="en-US" w:eastAsia="zh-CN"/>
              </w:rPr>
              <w:t xml:space="preserve">    </w:t>
            </w:r>
            <w:r>
              <w:rPr>
                <w:rFonts w:hint="eastAsia" w:ascii="仿宋" w:hAnsi="仿宋" w:eastAsia="仿宋" w:cs="仿宋"/>
                <w:b/>
                <w:bCs/>
                <w:color w:val="ff0000"/>
                <w:sz w:val="18"/>
                <w:szCs w:val="22"/>
                <w:u w:val="none"/>
                <w:lang w:val="en-US" w:eastAsia="zh-CN"/>
              </w:rPr>
              <w:t xml:space="preserve">元</w:t>
            </w:r>
            <w:r/>
          </w:p>
        </w:tc>
      </w:tr>
    </w:tbl>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注：1、上述价格均为含税价格，且</w:t>
      </w:r>
      <w:r>
        <w:rPr>
          <w:rFonts w:hint="eastAsia" w:ascii="仿宋" w:hAnsi="仿宋" w:eastAsia="仿宋" w:cs="仿宋"/>
          <w:color w:val="auto"/>
          <w:sz w:val="18"/>
          <w:szCs w:val="22"/>
          <w:lang w:val="en-US" w:eastAsia="zh-CN"/>
        </w:rPr>
        <w:t xml:space="preserve">报价</w:t>
      </w:r>
      <w:r>
        <w:rPr>
          <w:rFonts w:hint="eastAsia" w:ascii="仿宋" w:hAnsi="仿宋" w:eastAsia="仿宋" w:cs="仿宋"/>
          <w:color w:val="auto"/>
          <w:sz w:val="18"/>
          <w:szCs w:val="22"/>
        </w:rPr>
        <w:t xml:space="preserve">须与开标一览表中的投标报价一致。</w:t>
      </w:r>
      <w:r/>
    </w:p>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2、本表可拓展，但应至少包含上述表格内条目。</w:t>
      </w:r>
      <w:r/>
    </w:p>
    <w:p>
      <w:pPr>
        <w:pStyle w:val="1075"/>
        <w:ind w:left="3400" w:firstLine="4182"/>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投标人：（单位盖章）</w:t>
      </w:r>
      <w:r/>
    </w:p>
    <w:p>
      <w:pPr>
        <w:pStyle w:val="1075"/>
        <w:ind w:left="3825" w:firstLine="3740"/>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法定代表人或代理人：（签字或盖章）</w:t>
      </w:r>
      <w:r/>
    </w:p>
    <w:p>
      <w:pPr>
        <w:pStyle w:val="1075"/>
        <w:ind w:left="3825" w:firstLine="5280"/>
        <w:jc w:val="both"/>
        <w:spacing w:line="360" w:lineRule="exact"/>
        <w:rPr>
          <w:rFonts w:hint="eastAsia" w:ascii="仿宋" w:hAnsi="仿宋" w:eastAsia="仿宋" w:cs="仿宋"/>
          <w:color w:val="auto"/>
          <w:sz w:val="24"/>
          <w:szCs w:val="22"/>
        </w:rPr>
      </w:pPr>
      <w:r>
        <w:rPr>
          <w:rFonts w:hint="eastAsia" w:ascii="仿宋" w:hAnsi="仿宋" w:eastAsia="仿宋" w:cs="仿宋"/>
          <w:color w:val="auto"/>
          <w:sz w:val="24"/>
          <w:szCs w:val="22"/>
        </w:rPr>
        <w:t xml:space="preserve">年     月     日</w:t>
      </w:r>
      <w:r/>
    </w:p>
    <w:p>
      <w:pPr>
        <w:pStyle w:val="1075"/>
        <w:jc w:val="center"/>
        <w:spacing w:line="360" w:lineRule="auto"/>
        <w:rPr>
          <w:rFonts w:hint="eastAsia" w:ascii="仿宋" w:hAnsi="仿宋" w:eastAsia="仿宋" w:cs="仿宋"/>
          <w:b/>
          <w:color w:val="auto"/>
          <w:sz w:val="32"/>
          <w:szCs w:val="32"/>
          <w:lang w:eastAsia="zh-CN"/>
        </w:rPr>
        <w:sectPr>
          <w:footnotePr/>
          <w:endnotePr/>
          <w:type w:val="nextPage"/>
          <w:pgSz w:w="16838" w:h="11906" w:orient="landscape"/>
          <w:pgMar w:top="850" w:right="1440" w:bottom="850" w:left="1440" w:header="851" w:footer="992" w:gutter="0"/>
          <w:cols w:num="1" w:sep="0" w:space="720" w:equalWidth="1"/>
          <w:docGrid w:linePitch="360"/>
        </w:sectPr>
      </w:pPr>
      <w:r>
        <w:rPr>
          <w:rFonts w:hint="eastAsia" w:ascii="仿宋" w:hAnsi="仿宋" w:eastAsia="仿宋" w:cs="仿宋"/>
          <w:b/>
          <w:color w:val="auto"/>
          <w:sz w:val="32"/>
          <w:szCs w:val="32"/>
          <w:lang w:eastAsia="zh-CN"/>
        </w:rPr>
      </w:r>
      <w:r/>
    </w:p>
    <w:tbl>
      <w:tblPr>
        <w:tblStyle w:val="837"/>
        <w:tblpPr w:horzAnchor="page" w:tblpX="660" w:vertAnchor="text" w:tblpY="412" w:leftFromText="180" w:topFromText="0" w:rightFromText="180" w:bottomFromText="0"/>
        <w:tblW w:w="147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5"/>
        <w:gridCol w:w="5"/>
        <w:gridCol w:w="2875"/>
        <w:gridCol w:w="5"/>
        <w:gridCol w:w="1910"/>
        <w:gridCol w:w="1430"/>
        <w:gridCol w:w="5"/>
        <w:gridCol w:w="1270"/>
        <w:gridCol w:w="5"/>
        <w:gridCol w:w="1270"/>
        <w:gridCol w:w="5"/>
        <w:gridCol w:w="1735"/>
        <w:gridCol w:w="1155"/>
        <w:gridCol w:w="1155"/>
        <w:gridCol w:w="1155"/>
      </w:tblGrid>
      <w:tr>
        <w:trPr>
          <w:gridAfter w:val="3"/>
          <w:trHeight w:val="480"/>
        </w:trPr>
        <w:tc>
          <w:tcPr>
            <w:gridSpan w:val="12"/>
            <w:shd w:val="clear" w:color="auto" w:fill="auto"/>
            <w:tcBorders>
              <w:top w:val="single" w:color="auto" w:sz="4" w:space="0"/>
              <w:left w:val="single" w:color="auto" w:sz="4" w:space="0"/>
              <w:bottom w:val="single" w:color="auto" w:sz="4" w:space="0"/>
              <w:right w:val="single" w:color="auto" w:sz="4" w:space="0"/>
            </w:tcBorders>
            <w:tcW w:w="11260" w:type="dxa"/>
            <w:vAlign w:val="center"/>
            <w:textDirection w:val="lrTb"/>
            <w:noWrap w:val="false"/>
          </w:tcPr>
          <w:p>
            <w:pPr>
              <w:pStyle w:val="1075"/>
              <w:numPr>
                <w:ilvl w:val="0"/>
                <w:numId w:val="10"/>
              </w:numPr>
              <w:ind w:left="0" w:firstLine="0"/>
              <w:jc w:val="center"/>
              <w:spacing w:line="360" w:lineRule="auto"/>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lang w:eastAsia="zh-CN"/>
              </w:rPr>
              <w:t xml:space="preserve">新沂</w:t>
            </w:r>
            <w:r>
              <w:rPr>
                <w:rFonts w:hint="eastAsia" w:ascii="仿宋" w:hAnsi="仿宋" w:eastAsia="仿宋" w:cs="仿宋"/>
                <w:b/>
                <w:color w:val="auto"/>
                <w:sz w:val="32"/>
                <w:szCs w:val="32"/>
                <w:highlight w:val="none"/>
                <w:lang w:eastAsia="zh-CN"/>
              </w:rPr>
              <w:t xml:space="preserve">市村</w:t>
            </w:r>
            <w:r>
              <w:rPr>
                <w:rFonts w:hint="eastAsia" w:ascii="仿宋" w:hAnsi="仿宋" w:eastAsia="仿宋" w:cs="仿宋"/>
                <w:b/>
                <w:color w:val="auto"/>
                <w:sz w:val="32"/>
                <w:szCs w:val="32"/>
                <w:highlight w:val="none"/>
                <w:lang w:val="en-US" w:eastAsia="zh-CN"/>
              </w:rPr>
              <w:t xml:space="preserve">级</w:t>
            </w:r>
            <w:r>
              <w:rPr>
                <w:rFonts w:hint="eastAsia" w:ascii="仿宋" w:hAnsi="仿宋" w:eastAsia="仿宋" w:cs="仿宋"/>
                <w:b/>
                <w:color w:val="auto"/>
                <w:sz w:val="32"/>
                <w:szCs w:val="32"/>
                <w:highlight w:val="none"/>
                <w:lang w:eastAsia="zh-CN"/>
              </w:rPr>
              <w:t xml:space="preserve">污水</w:t>
            </w:r>
            <w:r>
              <w:rPr>
                <w:rFonts w:hint="eastAsia" w:ascii="仿宋" w:hAnsi="仿宋" w:eastAsia="仿宋" w:cs="仿宋"/>
                <w:b/>
                <w:color w:val="auto"/>
                <w:sz w:val="32"/>
                <w:szCs w:val="32"/>
                <w:highlight w:val="none"/>
                <w:lang w:val="en-US" w:eastAsia="zh-CN"/>
              </w:rPr>
              <w:t xml:space="preserve">处理设</w:t>
            </w:r>
            <w:r>
              <w:rPr>
                <w:rFonts w:hint="eastAsia" w:ascii="仿宋" w:hAnsi="仿宋" w:eastAsia="仿宋" w:cs="仿宋"/>
                <w:b/>
                <w:color w:val="auto"/>
                <w:sz w:val="32"/>
                <w:szCs w:val="32"/>
                <w:lang w:val="en-US" w:eastAsia="zh-CN"/>
              </w:rPr>
              <w:t xml:space="preserve">施配套管网每年运维费</w:t>
            </w:r>
            <w:r/>
          </w:p>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仿宋" w:hAnsi="仿宋" w:eastAsia="仿宋" w:cs="仿宋"/>
                <w:b/>
                <w:color w:val="auto"/>
                <w:sz w:val="32"/>
                <w:szCs w:val="32"/>
              </w:rPr>
              <w:t xml:space="preserve">报价清单</w:t>
            </w:r>
            <w:r/>
          </w:p>
        </w:tc>
      </w:tr>
      <w:tr>
        <w:trPr>
          <w:gridAfter w:val="3"/>
          <w:trHeight w:val="480"/>
        </w:trPr>
        <w:tc>
          <w:tcPr>
            <w:gridSpan w:val="5"/>
            <w:shd w:val="clear" w:color="auto" w:fill="auto"/>
            <w:tcBorders>
              <w:top w:val="single" w:color="auto" w:sz="4" w:space="0"/>
              <w:left w:val="single" w:color="auto" w:sz="4" w:space="0"/>
              <w:bottom w:val="single" w:color="auto" w:sz="4" w:space="0"/>
              <w:right w:val="single" w:color="000000" w:sz="4" w:space="0"/>
            </w:tcBorders>
            <w:tcW w:w="5540" w:type="dxa"/>
            <w:vAlign w:val="center"/>
            <w:textDirection w:val="lrTb"/>
            <w:noWrap w:val="false"/>
          </w:tcPr>
          <w:p>
            <w:pPr>
              <w:jc w:val="both"/>
              <w:rPr>
                <w:rFonts w:hint="eastAsia" w:ascii="宋体" w:hAnsi="宋体" w:eastAsia="宋体" w:cs="宋体"/>
                <w:i w:val="0"/>
                <w:iCs w:val="0"/>
                <w:color w:val="000000"/>
                <w:sz w:val="20"/>
                <w:szCs w:val="20"/>
                <w:u w:val="none"/>
                <w:lang w:val="en-US" w:eastAsia="zh-CN" w:bidi="ar"/>
              </w:rPr>
            </w:pPr>
            <w:r>
              <w:rPr>
                <w:rFonts w:hint="eastAsia" w:ascii="仿宋" w:hAnsi="仿宋" w:eastAsia="仿宋" w:cs="仿宋"/>
                <w:b w:val="0"/>
                <w:bCs w:val="0"/>
                <w:sz w:val="18"/>
                <w:szCs w:val="22"/>
                <w:lang w:val="en-US" w:eastAsia="zh-CN"/>
              </w:rPr>
              <w:t xml:space="preserve">项目</w:t>
            </w:r>
            <w:r>
              <w:rPr>
                <w:rFonts w:hint="eastAsia" w:ascii="仿宋" w:hAnsi="仿宋" w:eastAsia="仿宋" w:cs="仿宋"/>
                <w:b w:val="0"/>
                <w:bCs w:val="0"/>
                <w:sz w:val="18"/>
                <w:szCs w:val="22"/>
              </w:rPr>
              <w:t xml:space="preserve">名称：</w:t>
            </w:r>
            <w:r/>
          </w:p>
        </w:tc>
        <w:tc>
          <w:tcPr>
            <w:gridSpan w:val="7"/>
            <w:shd w:val="clear" w:color="auto" w:fill="auto"/>
            <w:tcBorders>
              <w:top w:val="single" w:color="auto" w:sz="4" w:space="0"/>
              <w:left w:val="single" w:color="000000" w:sz="4" w:space="0"/>
              <w:bottom w:val="single" w:color="auto" w:sz="4" w:space="0"/>
              <w:right w:val="single" w:color="auto" w:sz="4" w:space="0"/>
            </w:tcBorders>
            <w:tcW w:w="5720" w:type="dxa"/>
            <w:vAlign w:val="center"/>
            <w:textDirection w:val="lrTb"/>
            <w:noWrap w:val="false"/>
          </w:tcPr>
          <w:p>
            <w:pPr>
              <w:jc w:val="both"/>
              <w:rPr>
                <w:rFonts w:hint="eastAsia" w:ascii="宋体" w:hAnsi="宋体" w:eastAsia="宋体" w:cs="宋体"/>
                <w:i w:val="0"/>
                <w:iCs w:val="0"/>
                <w:color w:val="000000"/>
                <w:sz w:val="20"/>
                <w:szCs w:val="20"/>
                <w:u w:val="none"/>
                <w:lang w:val="en-US" w:eastAsia="zh-CN"/>
              </w:rPr>
            </w:pPr>
            <w:r>
              <w:rPr>
                <w:rFonts w:hint="eastAsia" w:ascii="仿宋" w:hAnsi="仿宋" w:eastAsia="仿宋" w:cs="仿宋"/>
                <w:b w:val="0"/>
                <w:bCs w:val="0"/>
                <w:sz w:val="18"/>
                <w:szCs w:val="22"/>
                <w:lang w:val="en-US" w:eastAsia="zh-CN"/>
              </w:rPr>
              <w:t xml:space="preserve">项目编号：</w:t>
            </w:r>
            <w:r/>
          </w:p>
        </w:tc>
      </w:tr>
      <w:tr>
        <w:trPr>
          <w:gridAfter w:val="3"/>
          <w:trHeight w:val="480"/>
        </w:trPr>
        <w:tc>
          <w:tcPr>
            <w:shd w:val="clear" w:color="auto" w:fill="auto"/>
            <w:tcBorders>
              <w:top w:val="single" w:color="auto" w:sz="4" w:space="0"/>
              <w:left w:val="single" w:color="auto" w:sz="4" w:space="0"/>
              <w:bottom w:val="single" w:color="auto"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auto" w:sz="4" w:space="0"/>
              <w:left w:val="single" w:color="000000" w:sz="4" w:space="0"/>
              <w:bottom w:val="single" w:color="auto"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行政镇（街道）村名称村</w:t>
            </w:r>
            <w:r/>
          </w:p>
        </w:tc>
        <w:tc>
          <w:tcPr>
            <w:gridSpan w:val="2"/>
            <w:shd w:val="clear" w:color="auto" w:fill="auto"/>
            <w:tcBorders>
              <w:top w:val="single" w:color="auto" w:sz="4" w:space="0"/>
              <w:left w:val="single" w:color="000000" w:sz="4" w:space="0"/>
              <w:bottom w:val="single" w:color="auto"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项目所在地</w:t>
            </w:r>
            <w:r/>
          </w:p>
        </w:tc>
        <w:tc>
          <w:tcPr>
            <w:shd w:val="clear" w:color="auto" w:fill="auto"/>
            <w:tcBorders>
              <w:top w:val="single" w:color="auto" w:sz="4" w:space="0"/>
              <w:left w:val="single" w:color="000000" w:sz="4" w:space="0"/>
              <w:bottom w:val="single" w:color="auto"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规模</w:t>
            </w:r>
            <w:r/>
          </w:p>
          <w:p>
            <w:pPr>
              <w:jc w:val="center"/>
              <w:keepLines w:val="0"/>
              <w:keepNext w:val="0"/>
              <w:widowControl/>
              <w:rPr>
                <w:rFonts w:hint="eastAsia"/>
                <w:b/>
                <w:bCs/>
              </w:rPr>
              <w:suppressLineNumbers w:val="0"/>
            </w:pPr>
            <w:r>
              <w:rPr>
                <w:rFonts w:hint="eastAsia" w:cs="宋体"/>
                <w:b/>
                <w:bCs/>
                <w:i w:val="0"/>
                <w:iCs w:val="0"/>
                <w:color w:val="000000"/>
                <w:sz w:val="20"/>
                <w:szCs w:val="20"/>
                <w:u w:val="none"/>
                <w:lang w:val="en-US" w:eastAsia="zh-CN" w:bidi="ar"/>
              </w:rPr>
              <w:t xml:space="preserve">（t/d）</w:t>
            </w:r>
            <w:r/>
          </w:p>
        </w:tc>
        <w:tc>
          <w:tcPr>
            <w:gridSpan w:val="2"/>
            <w:shd w:val="clear" w:color="auto" w:fill="auto"/>
            <w:tcBorders>
              <w:top w:val="single" w:color="auto" w:sz="4" w:space="0"/>
              <w:left w:val="single" w:color="000000" w:sz="4" w:space="0"/>
              <w:bottom w:val="single" w:color="auto" w:sz="4" w:space="0"/>
              <w:right w:val="none" w:color="000000" w:sz="4" w:space="0"/>
            </w:tcBorders>
            <w:tcW w:w="1275" w:type="dxa"/>
            <w:vAlign w:val="center"/>
            <w:textDirection w:val="lrTb"/>
            <w:noWrap/>
          </w:tcPr>
          <w:p>
            <w:pPr>
              <w:jc w:val="center"/>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单价限价</w:t>
            </w:r>
            <w:r/>
          </w:p>
          <w:p>
            <w:pPr>
              <w:jc w:val="center"/>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（元/年）</w:t>
            </w:r>
            <w:r/>
          </w:p>
        </w:tc>
        <w:tc>
          <w:tcPr>
            <w:gridSpan w:val="2"/>
            <w:shd w:val="clear" w:color="auto" w:fill="auto"/>
            <w:tcBorders>
              <w:top w:val="single" w:color="auto" w:sz="4" w:space="0"/>
              <w:left w:val="single" w:color="000000" w:sz="4" w:space="0"/>
              <w:bottom w:val="single" w:color="auto" w:sz="4" w:space="0"/>
              <w:right w:val="none" w:color="000000" w:sz="4" w:space="0"/>
            </w:tcBorders>
            <w:tcW w:w="1275" w:type="dxa"/>
            <w:vAlign w:val="center"/>
            <w:textDirection w:val="lrTb"/>
            <w:noWrap/>
          </w:tcPr>
          <w:p>
            <w:pPr>
              <w:jc w:val="center"/>
              <w:keepLines w:val="0"/>
              <w:keepNext w:val="0"/>
              <w:widowControl/>
              <w:rPr>
                <w:rFonts w:hint="eastAsia"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价格</w:t>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（元/年）</w:t>
            </w:r>
            <w:r/>
          </w:p>
        </w:tc>
        <w:tc>
          <w:tcPr>
            <w:gridSpan w:val="2"/>
            <w:shd w:val="clear" w:color="auto" w:fill="auto"/>
            <w:tcBorders>
              <w:top w:val="single" w:color="auto" w:sz="4" w:space="0"/>
              <w:left w:val="single" w:color="000000" w:sz="4" w:space="0"/>
              <w:bottom w:val="single" w:color="auto" w:sz="4" w:space="0"/>
              <w:right w:val="single" w:color="auto" w:sz="4" w:space="0"/>
            </w:tcBorders>
            <w:tcW w:w="1740" w:type="dxa"/>
            <w:vAlign w:val="center"/>
            <w:textDirection w:val="lrTb"/>
            <w:noWrap/>
          </w:tcPr>
          <w:p>
            <w:pPr>
              <w:jc w:val="center"/>
              <w:keepLines w:val="0"/>
              <w:keepNext w:val="0"/>
              <w:widowControl/>
              <w:rPr>
                <w:rFonts w:hint="default" w:ascii="宋体" w:hAnsi="宋体" w:cs="宋体"/>
                <w:b/>
                <w:bCs/>
                <w:i w:val="0"/>
                <w:iCs w:val="0"/>
                <w:color w:val="000000"/>
                <w:sz w:val="20"/>
                <w:szCs w:val="20"/>
                <w:u w:val="none"/>
                <w:lang w:val="en-US" w:eastAsia="zh-CN" w:bidi="ar"/>
              </w:rPr>
              <w:suppressLineNumbers w:val="0"/>
            </w:pPr>
            <w:r>
              <w:rPr>
                <w:rFonts w:hint="eastAsia" w:ascii="宋体" w:hAnsi="宋体" w:cs="宋体"/>
                <w:b/>
                <w:bCs/>
                <w:i w:val="0"/>
                <w:iCs w:val="0"/>
                <w:color w:val="000000"/>
                <w:sz w:val="20"/>
                <w:szCs w:val="20"/>
                <w:u w:val="none"/>
                <w:lang w:val="en-US" w:eastAsia="zh-CN" w:bidi="ar"/>
              </w:rPr>
              <w:t xml:space="preserve">备注</w:t>
            </w:r>
            <w:r/>
          </w:p>
        </w:tc>
      </w:tr>
      <w:tr>
        <w:trPr>
          <w:gridAfter w:val="3"/>
          <w:trHeight w:val="240"/>
        </w:trPr>
        <w:tc>
          <w:tcPr>
            <w:shd w:val="clear" w:color="auto" w:fill="auto"/>
            <w:tcBorders>
              <w:top w:val="single" w:color="auto"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sz w:val="18"/>
                <w:szCs w:val="18"/>
                <w:u w:val="none"/>
                <w:lang w:val="en-US" w:eastAsia="zh-CN"/>
              </w:rPr>
              <w:t xml:space="preserve">1</w:t>
            </w:r>
            <w:r/>
          </w:p>
        </w:tc>
        <w:tc>
          <w:tcPr>
            <w:gridSpan w:val="2"/>
            <w:shd w:val="clear" w:color="auto" w:fill="e6e6e6"/>
            <w:tcBorders>
              <w:top w:val="single" w:color="auto"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gridSpan w:val="2"/>
            <w:shd w:val="clear" w:color="auto" w:fill="e6e6e6"/>
            <w:tcBorders>
              <w:top w:val="single" w:color="auto"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支庄</w:t>
            </w:r>
            <w:r/>
          </w:p>
        </w:tc>
        <w:tc>
          <w:tcPr>
            <w:shd w:val="clear" w:color="auto" w:fill="e6e6e6"/>
            <w:tcBorders>
              <w:top w:val="single" w:color="auto"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auto"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10000</w:t>
            </w:r>
            <w:r/>
          </w:p>
        </w:tc>
        <w:tc>
          <w:tcPr>
            <w:gridSpan w:val="2"/>
            <w:shd w:val="clear" w:color="auto" w:fill="e6e6e6"/>
            <w:tcBorders>
              <w:top w:val="single" w:color="auto"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top w:val="single" w:color="auto" w:sz="4" w:space="0"/>
              <w:left w:val="single" w:color="000000" w:sz="4" w:space="0"/>
              <w:right w:val="single" w:color="000000" w:sz="4" w:space="0"/>
            </w:tcBorders>
            <w:tcW w:w="174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仿宋" w:hAnsi="仿宋" w:eastAsia="仿宋" w:cs="仿宋"/>
                <w:b w:val="0"/>
                <w:bCs w:val="0"/>
                <w:sz w:val="20"/>
                <w:szCs w:val="20"/>
              </w:rPr>
              <w:t xml:space="preserve">运营期限</w:t>
            </w:r>
            <w:r>
              <w:rPr>
                <w:rFonts w:hint="eastAsia" w:ascii="仿宋" w:hAnsi="仿宋" w:eastAsia="仿宋" w:cs="仿宋"/>
                <w:b w:val="0"/>
                <w:bCs w:val="0"/>
                <w:sz w:val="20"/>
                <w:szCs w:val="20"/>
                <w:lang w:val="en-US" w:eastAsia="zh-CN"/>
              </w:rPr>
              <w:t xml:space="preserve">3</w:t>
            </w:r>
            <w:r>
              <w:rPr>
                <w:rFonts w:hint="eastAsia" w:ascii="仿宋" w:hAnsi="仿宋" w:eastAsia="仿宋" w:cs="仿宋"/>
                <w:b w:val="0"/>
                <w:bCs w:val="0"/>
                <w:sz w:val="20"/>
                <w:szCs w:val="20"/>
              </w:rPr>
              <w:t xml:space="preserve">年</w:t>
            </w:r>
            <w:r>
              <w:rPr>
                <w:rFonts w:hint="eastAsia" w:ascii="仿宋" w:hAnsi="仿宋" w:eastAsia="仿宋" w:cs="仿宋"/>
                <w:b w:val="0"/>
                <w:bCs w:val="0"/>
                <w:sz w:val="20"/>
                <w:szCs w:val="20"/>
                <w:lang w:eastAsia="zh-CN"/>
              </w:rPr>
              <w:t xml:space="preserve">。</w:t>
            </w:r>
            <w:r>
              <w:rPr>
                <w:rFonts w:hint="eastAsia" w:ascii="仿宋" w:hAnsi="仿宋" w:eastAsia="仿宋" w:cs="仿宋"/>
                <w:b w:val="0"/>
                <w:bCs w:val="0"/>
                <w:sz w:val="20"/>
                <w:szCs w:val="20"/>
                <w:lang w:val="en-US" w:eastAsia="zh-CN"/>
              </w:rPr>
              <w:t xml:space="preserve">295座</w:t>
            </w:r>
            <w:r>
              <w:rPr>
                <w:rFonts w:hint="eastAsia" w:ascii="仿宋" w:hAnsi="仿宋" w:eastAsia="仿宋" w:cs="仿宋"/>
                <w:b w:val="0"/>
                <w:bCs w:val="0"/>
                <w:sz w:val="20"/>
                <w:szCs w:val="20"/>
                <w:lang w:eastAsia="zh-CN"/>
              </w:rPr>
              <w:t xml:space="preserve">村级污水处理站根据其处理规模、工艺形式等参数按台套报价，不设置保底水量。</w:t>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35"/>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9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古沟庄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佃户二组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西姜庄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小郑庄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东黄庄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后湾庄</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auto"/>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西闻村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唐店街道八户村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小芦汪</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踢球西街</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墨河街道新戴村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沙圩庄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李庄集中居住区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马陵山镇冲口村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小张庄集中居住区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高程村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李山庄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北沟街道塔山村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山后村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前戴庄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邵店镇沂北村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桥北村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钟吾街道臧圩村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藏圩二组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沙沟庄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阿湖镇古村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阿湖镇阿湖村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河西小新庄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桑庄西</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岳庄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南营子</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东刘</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华丰西</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郑圩子</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佟庄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吴宅</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相庄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后邢组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史庄组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前干口</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时集镇白科村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欢墩组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时集镇陈墩村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刘西</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时集镇蒋刘村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木匠</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时集镇万沟村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东小庄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双塘镇凉泉村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双塘镇沙沟村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邢庄(改陆庄)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大农场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潘徐庄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小张庄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建设</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红武</w:t>
            </w:r>
            <w:r/>
          </w:p>
        </w:tc>
        <w:tc>
          <w:tcPr>
            <w:shd w:val="clear" w:color="auto" w:fill="b5c6ea"/>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b5c6ea"/>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小马庄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15690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阿湖镇练马村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西庄组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阿湖镇黄柏村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阿湖镇林头村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岭东新农社</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鸣九新农社</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阿湖镇双池村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双池</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条河</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北沟街道仲庄村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山水泉</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桑庄东</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高流镇高流村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高流镇高一村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东营子</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auto"/>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沟埃庄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佃户</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郑刘/佃北村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华丰东</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高流镇华丰村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华丰新农社</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小八户</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小何</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高流镇岭西村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南高庄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腰庄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马陵山镇陈楼村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南宋</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马陵山镇大沟村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高原</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马陵山镇高原村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马陵山镇广玉村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牌坊</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马陵山镇湖东村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马庙</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马陵山镇花厅村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石王庄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赵庄新区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三合新农社</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前窑</w:t>
            </w:r>
            <w:r/>
          </w:p>
        </w:tc>
        <w:tc>
          <w:tcPr>
            <w:shd w:val="clear" w:color="auto" w:fill="fadade"/>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non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non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马陵山镇小蒋村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小蒋</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官代</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马陵山镇小周村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小周</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联合</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胜利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臧庄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邵店镇菜园村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老虎流</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邵店镇陈堰村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沟涯头</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邵店镇刘冲村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刘冲</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邵店镇邵西村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官坊庄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种安</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西鲍圩北</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邵店镇叶海村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盐槽</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时集镇陈刘村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锦绣新农村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时集镇郝湖村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郝湖</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大庄组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艾庄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时集镇西洪村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东埠组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双塘镇佃户村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小凉泉</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西钓台</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大尚湖</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后段宅</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双塘镇段宅村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前段宅</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双塘镇古木村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前古木</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小黄墩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九里墩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双塘镇九墩村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竹园</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后井1</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老界沟</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小李庄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双塘镇叶庄村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叶庄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小圩子</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袁湖</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双塘镇袁湖村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大张庄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北岭</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唐店街道杜湖村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杜湖</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东常圩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李刘</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唐店街道双山村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臭桔障</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官东(官路)</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徐湖</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超纲</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沙墩</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阿湖镇下湖村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下湖（新庄）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gridSpan w:val="2"/>
            <w:shd w:val="clear" w:color="auto" w:fill="e6e6e6"/>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安置房</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阿湖镇上旺村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阿湖镇条河村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哈庄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高流镇程徐村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凤凰新农社</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黑墩庄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小毛组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高流镇石涧村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石涧庄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马陵山镇黄甲村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黄北</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马陵山镇陆庄</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马陵山镇三合村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三合（三合集居区）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庄胡</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马陵山镇尚河村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后窑</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马陵山镇太平村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许相</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墨河街道狄湖村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狄湖</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卓庄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邵店镇东鲍村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东鲍圩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邵店镇悦集村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悦集</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时集镇大周村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大周</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时集镇敬元村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祥瑞新农社一期</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时集镇马厂村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马厂</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桃花源新农社2期</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时集镇温墩村</w:t>
            </w:r>
            <w:r/>
          </w:p>
        </w:tc>
        <w:tc>
          <w:tcPr>
            <w:gridSpan w:val="2"/>
            <w:shd w:val="clear" w:color="auto" w:fill="e6e6e6"/>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温墩集居区（温墩新区）</w:t>
            </w:r>
            <w:r/>
          </w:p>
        </w:tc>
        <w:tc>
          <w:tcPr>
            <w:shd w:val="clear" w:color="auto" w:fill="e6e6e6"/>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single" w:color="000000" w:sz="4" w:space="0"/>
              <w:left w:val="single" w:color="000000" w:sz="4" w:space="0"/>
              <w:bottom w:val="non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gridSpan w:val="2"/>
            <w:shd w:val="clear" w:color="auto" w:fill="b5c6ea"/>
            <w:tcBorders>
              <w:top w:val="single" w:color="000000" w:sz="4" w:space="0"/>
              <w:left w:val="single" w:color="000000" w:sz="4" w:space="0"/>
              <w:bottom w:val="non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时集镇新庄村</w:t>
            </w:r>
            <w:r/>
          </w:p>
        </w:tc>
        <w:tc>
          <w:tcPr>
            <w:gridSpan w:val="2"/>
            <w:shd w:val="clear" w:color="auto" w:fill="b5c6ea"/>
            <w:tcBorders>
              <w:top w:val="single" w:color="000000" w:sz="4" w:space="0"/>
              <w:left w:val="single" w:color="000000" w:sz="4" w:space="0"/>
              <w:bottom w:val="non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w:t>
            </w:r>
            <w:r/>
          </w:p>
        </w:tc>
        <w:tc>
          <w:tcPr>
            <w:shd w:val="clear" w:color="auto" w:fill="b5c6ea"/>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b5c6ea"/>
            <w:tcBorders>
              <w:top w:val="single" w:color="000000" w:sz="4" w:space="0"/>
              <w:left w:val="single" w:color="000000" w:sz="4" w:space="0"/>
              <w:bottom w:val="non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b5c6ea"/>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b5c6ea"/>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双塘镇钓台村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蒲沟</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gridSpan w:val="2"/>
            <w:shd w:val="clear" w:color="auto" w:fill="e6e6e6"/>
            <w:tcBorders>
              <w:top w:val="non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gridSpan w:val="2"/>
            <w:shd w:val="clear" w:color="auto" w:fill="e6e6e6"/>
            <w:tcBorders>
              <w:top w:val="non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丁集</w:t>
            </w:r>
            <w:r/>
          </w:p>
        </w:tc>
        <w:tc>
          <w:tcPr>
            <w:shd w:val="clear" w:color="auto" w:fill="e6e6e6"/>
            <w:tcBorders>
              <w:top w:val="non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e6e6e6"/>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e6e6e6"/>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e6e6e6"/>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gridSpan w:val="2"/>
            <w:shd w:val="clear" w:color="auto" w:fill="fadade"/>
            <w:tcBorders>
              <w:top w:val="single" w:color="000000" w:sz="4" w:space="0"/>
              <w:left w:val="single" w:color="000000" w:sz="4" w:space="0"/>
              <w:bottom w:val="non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南岭</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唐店街道东岭村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小乔村</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gridSpan w:val="2"/>
            <w:shd w:val="clear" w:color="auto" w:fill="b5c6ea"/>
            <w:tcBorders>
              <w:top w:val="single" w:color="000000" w:sz="4" w:space="0"/>
              <w:left w:val="single" w:color="000000" w:sz="4" w:space="0"/>
              <w:bottom w:val="single" w:color="000000" w:sz="4" w:space="0"/>
              <w:right w:val="non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西常圩</w:t>
            </w:r>
            <w:r/>
          </w:p>
        </w:tc>
        <w:tc>
          <w:tcPr>
            <w:shd w:val="clear" w:color="auto" w:fill="b5c6ea"/>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b5c6ea"/>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b5c6ea"/>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b5c6ea"/>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唐店街道尚营村</w:t>
            </w:r>
            <w:r/>
          </w:p>
        </w:tc>
        <w:tc>
          <w:tcPr>
            <w:gridSpan w:val="2"/>
            <w:shd w:val="clear" w:color="auto" w:fill="fadade"/>
            <w:tcBorders>
              <w:top w:val="non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尚营</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gridSpan w:val="2"/>
            <w:shd w:val="clear" w:color="auto" w:fill="b5c6ea"/>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唐店街道徐李村</w:t>
            </w:r>
            <w:r/>
          </w:p>
        </w:tc>
        <w:tc>
          <w:tcPr>
            <w:gridSpan w:val="2"/>
            <w:shd w:val="clear" w:color="auto" w:fill="b5c6ea"/>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徐李</w:t>
            </w:r>
            <w:r/>
          </w:p>
        </w:tc>
        <w:tc>
          <w:tcPr>
            <w:shd w:val="clear" w:color="auto" w:fill="b5c6ea"/>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b5c6ea"/>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b5c6ea"/>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b5c6ea"/>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Style w:val="1079"/>
                <w:lang w:val="en-US" w:eastAsia="zh-CN" w:bidi="ar"/>
              </w:rPr>
              <w:t xml:space="preserve">谷庄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东南陈</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钟吾街道南陈村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南陈</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王陈</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20330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阿湖镇桃岭村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桃岭集居区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高流镇沟埃村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w:t>
            </w:r>
            <w:r/>
          </w:p>
        </w:tc>
        <w:tc>
          <w:tcPr>
            <w:shd w:val="clear" w:color="auto" w:fill="fadade"/>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non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non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高流镇官王村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高流镇黑沙墩村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黑沙墩（季圩）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高流镇老范村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老范（范南）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马陵山镇姜庄村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马陵山镇宋山村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宋山集居区（宋山新区）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时集镇凤云村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凤云（夏圩）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钟吾街道嶂仓村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嶂仓</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阿湖镇蒋马村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蒋马（南庄）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阿湖镇鸣九村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鸣九（颜庄）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阿湖镇中沟村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中沟北</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北沟街道南沟村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南沟</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高流镇三岔村</w:t>
            </w:r>
            <w:r/>
          </w:p>
        </w:tc>
        <w:tc>
          <w:tcPr>
            <w:gridSpan w:val="2"/>
            <w:shd w:val="clear" w:color="auto" w:fill="fadade"/>
            <w:tcBorders>
              <w:top w:val="single" w:color="000000" w:sz="4" w:space="0"/>
              <w:left w:val="single" w:color="000000" w:sz="4" w:space="0"/>
              <w:bottom w:val="single" w:color="000000" w:sz="4" w:space="0"/>
              <w:right w:val="non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三岔（吴庄）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盘石</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马陵山镇玄庙村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墨河街道马场村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邵店镇联合村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周新圩</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邵店镇朱圩村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朱圩村</w:t>
            </w:r>
            <w:r/>
          </w:p>
        </w:tc>
        <w:tc>
          <w:tcPr>
            <w:shd w:val="clear" w:color="auto" w:fill="fadade"/>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双塘镇双井村</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前双井</w:t>
            </w:r>
            <w:r/>
          </w:p>
        </w:tc>
        <w:tc>
          <w:tcPr>
            <w:shd w:val="clear" w:color="auto" w:fill="fadade"/>
            <w:tcBorders>
              <w:top w:val="single" w:color="000000" w:sz="4" w:space="0"/>
              <w:left w:val="single" w:color="000000" w:sz="4" w:space="0"/>
              <w:bottom w:val="non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唐店街道山前村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山前</w:t>
            </w:r>
            <w:r/>
          </w:p>
        </w:tc>
        <w:tc>
          <w:tcPr>
            <w:shd w:val="clear" w:color="auto" w:fill="fadade"/>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小窦庄</w:t>
            </w:r>
            <w:r/>
          </w:p>
        </w:tc>
        <w:tc>
          <w:tcPr>
            <w:shd w:val="clear" w:color="auto" w:fill="fadade"/>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gridSpan w:val="2"/>
            <w:shd w:val="clear" w:color="auto" w:fill="fadade"/>
            <w:tcBorders>
              <w:top w:val="single" w:color="000000" w:sz="4" w:space="0"/>
              <w:left w:val="single" w:color="000000" w:sz="4" w:space="0"/>
              <w:bottom w:val="non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沙仲子</w:t>
            </w:r>
            <w:r/>
          </w:p>
        </w:tc>
        <w:tc>
          <w:tcPr>
            <w:shd w:val="clear" w:color="auto" w:fill="fadade"/>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fadade"/>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22013</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邵店镇西鲍村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w:t>
            </w:r>
            <w:r/>
          </w:p>
        </w:tc>
        <w:tc>
          <w:tcPr>
            <w:shd w:val="clear" w:color="auto" w:fill="fadade"/>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桃花居集居区（小魏）</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双塘镇刘庄村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小刘庄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双塘镇孟庄村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22560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邵店镇沭河村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沭河（黄集）</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时集镇白石村</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桃花源（桃花源集居区）</w:t>
            </w:r>
            <w:r/>
          </w:p>
        </w:tc>
        <w:tc>
          <w:tcPr>
            <w:shd w:val="clear" w:color="auto" w:fill="fadad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25710</w:t>
            </w:r>
            <w:r/>
          </w:p>
        </w:tc>
        <w:tc>
          <w:tcPr>
            <w:gridSpan w:val="2"/>
            <w:shd w:val="clear" w:color="auto" w:fill="fadad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adade"/>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阿湖镇墩新村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墩新（东庄）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阿湖镇芦湖村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芦湖</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时集镇蒋沟村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蒋沟组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唐店街道坡桥村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坡桥</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26130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双塘镇丁集村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小尚湖</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唐店街道龙河村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龙河村</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钟吾街道黄墩村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黄墩组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29418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118800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1*7(用户机）</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沂北干渠</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负压站</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阿湖镇岭东村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岭东</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高流镇高二村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高流镇夏塘村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夏塘庄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高流镇耀南村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马陵山镇曹刘村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小官庄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大合庄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马陵山镇新宅村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张网</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马陵山镇钟吾村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司吾庄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邵店镇友谊村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许墩</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时集镇山东村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老宅</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双塘镇</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综合服务中心</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17739</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唐店街道唐店村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四支大沟</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钟吾街道官王村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官王（养牛场）</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孔圩子</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钟吾街道孔圩村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孔圩小区</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w:t>
            </w:r>
            <w:r/>
          </w:p>
        </w:tc>
        <w:tc>
          <w:tcPr>
            <w:shd w:val="clear" w:color="auto" w:fill="ffff00"/>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000000"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gridAfter w:val="3"/>
          <w:trHeight w:val="240"/>
        </w:trPr>
        <w:tc>
          <w:tcPr>
            <w:shd w:val="clear" w:color="auto" w:fill="auto"/>
            <w:tcBorders>
              <w:top w:val="single" w:color="000000" w:sz="4" w:space="0"/>
              <w:left w:val="single" w:color="000000" w:sz="4" w:space="0"/>
              <w:bottom w:val="single" w:color="000000" w:sz="4" w:space="0"/>
              <w:right w:val="single" w:color="auto"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gridSpan w:val="2"/>
            <w:shd w:val="clear" w:color="auto" w:fill="ffff00"/>
            <w:tcBorders>
              <w:top w:val="single" w:color="000000" w:sz="4" w:space="0"/>
              <w:left w:val="single" w:color="auto" w:sz="4" w:space="0"/>
              <w:bottom w:val="single" w:color="000000" w:sz="4" w:space="0"/>
              <w:right w:val="single" w:color="auto" w:sz="4" w:space="0"/>
            </w:tcBorders>
            <w:tcW w:w="288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钟吾街道王陈村</w:t>
            </w:r>
            <w:r/>
          </w:p>
        </w:tc>
        <w:tc>
          <w:tcPr>
            <w:gridSpan w:val="2"/>
            <w:shd w:val="clear" w:color="auto" w:fill="ffff00"/>
            <w:tcBorders>
              <w:top w:val="single" w:color="000000" w:sz="4" w:space="0"/>
              <w:left w:val="single" w:color="auto" w:sz="4" w:space="0"/>
              <w:bottom w:val="single" w:color="000000" w:sz="4" w:space="0"/>
              <w:right w:val="single" w:color="auto" w:sz="4" w:space="0"/>
            </w:tcBorders>
            <w:tcW w:w="191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李庄</w:t>
            </w:r>
            <w:r/>
          </w:p>
        </w:tc>
        <w:tc>
          <w:tcPr>
            <w:shd w:val="clear" w:color="auto" w:fill="ffff00"/>
            <w:tcBorders>
              <w:top w:val="single" w:color="000000" w:sz="4" w:space="0"/>
              <w:left w:val="single" w:color="auto" w:sz="4" w:space="0"/>
              <w:bottom w:val="single" w:color="000000" w:sz="4" w:space="0"/>
              <w:right w:val="single" w:color="auto" w:sz="4" w:space="0"/>
            </w:tcBorders>
            <w:tcW w:w="1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提升泵</w:t>
            </w:r>
            <w:r/>
          </w:p>
        </w:tc>
        <w:tc>
          <w:tcPr>
            <w:gridSpan w:val="2"/>
            <w:shd w:val="clear" w:color="auto" w:fill="ffff00"/>
            <w:tcBorders>
              <w:top w:val="single" w:color="000000" w:sz="4" w:space="0"/>
              <w:left w:val="single" w:color="auto" w:sz="4" w:space="0"/>
              <w:bottom w:val="single" w:color="000000"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gridSpan w:val="2"/>
            <w:shd w:val="clear" w:color="auto" w:fill="ffff00"/>
            <w:tcBorders>
              <w:top w:val="single" w:color="000000" w:sz="4" w:space="0"/>
              <w:left w:val="single" w:color="auto" w:sz="4" w:space="0"/>
              <w:bottom w:val="single" w:color="000000"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rPr>
            </w:r>
            <w:r/>
          </w:p>
        </w:tc>
        <w:tc>
          <w:tcPr>
            <w:gridSpan w:val="2"/>
            <w:shd w:val="clear" w:color="auto" w:fill="ffff00"/>
            <w:tcBorders>
              <w:left w:val="single" w:color="auto" w:sz="4" w:space="0"/>
              <w:right w:val="single" w:color="000000" w:sz="4" w:space="0"/>
            </w:tcBorders>
            <w:tcW w:w="174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bidi="ar"/>
              </w:rPr>
            </w:r>
            <w:r/>
          </w:p>
        </w:tc>
      </w:tr>
      <w:tr>
        <w:trPr>
          <w:trHeight w:val="375"/>
        </w:trPr>
        <w:tc>
          <w:tcPr>
            <w:gridSpan w:val="2"/>
            <w:shd w:val="clear" w:color="auto" w:fill="auto"/>
            <w:tcBorders>
              <w:top w:val="single" w:color="000000" w:sz="4" w:space="0"/>
              <w:left w:val="single" w:color="000000" w:sz="4" w:space="0"/>
              <w:bottom w:val="single" w:color="000000" w:sz="4" w:space="0"/>
              <w:right w:val="single" w:color="auto"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shd w:val="clear" w:color="auto" w:fill="auto"/>
                <w:lang w:val="en-US" w:eastAsia="zh-CN"/>
              </w:rPr>
              <w:suppressLineNumbers w:val="0"/>
            </w:pPr>
            <w:r>
              <w:rPr>
                <w:rFonts w:hint="eastAsia" w:ascii="宋体" w:hAnsi="宋体" w:eastAsia="宋体" w:cs="宋体"/>
                <w:i w:val="0"/>
                <w:iCs w:val="0"/>
                <w:color w:val="000000"/>
                <w:sz w:val="18"/>
                <w:szCs w:val="18"/>
                <w:highlight w:val="none"/>
                <w:u w:val="none"/>
                <w:shd w:val="clear" w:color="auto" w:fill="auto"/>
                <w:lang w:val="en-US" w:eastAsia="zh-CN" w:bidi="ar"/>
              </w:rPr>
              <w:t xml:space="preserve">295</w:t>
            </w:r>
            <w:r/>
          </w:p>
        </w:tc>
        <w:tc>
          <w:tcPr>
            <w:gridSpan w:val="2"/>
            <w:shd w:val="clear" w:color="auto" w:fill="auto"/>
            <w:tcBorders>
              <w:top w:val="single" w:color="000000" w:sz="4" w:space="0"/>
              <w:left w:val="single" w:color="auto" w:sz="4" w:space="0"/>
              <w:bottom w:val="single" w:color="000000" w:sz="4" w:space="0"/>
              <w:right w:val="single" w:color="auto" w:sz="4" w:space="0"/>
            </w:tcBorders>
            <w:tcW w:w="28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shd w:val="clear" w:color="auto" w:fill="auto"/>
                <w:lang w:val="en-US" w:eastAsia="zh-CN"/>
              </w:rPr>
              <w:suppressLineNumbers w:val="0"/>
            </w:pPr>
            <w:r>
              <w:rPr>
                <w:rFonts w:hint="eastAsia" w:ascii="宋体" w:hAnsi="宋体" w:eastAsia="宋体" w:cs="宋体"/>
                <w:i w:val="0"/>
                <w:iCs w:val="0"/>
                <w:color w:val="000000"/>
                <w:sz w:val="18"/>
                <w:szCs w:val="18"/>
                <w:highlight w:val="none"/>
                <w:u w:val="none"/>
                <w:shd w:val="clear" w:color="auto" w:fill="auto"/>
                <w:lang w:val="en-US" w:eastAsia="zh-CN" w:bidi="ar"/>
              </w:rPr>
              <w:t xml:space="preserve">阿湖镇练马村</w:t>
            </w:r>
            <w:r/>
          </w:p>
        </w:tc>
        <w:tc>
          <w:tcPr>
            <w:shd w:val="clear" w:color="auto" w:fill="auto"/>
            <w:tcBorders>
              <w:top w:val="single" w:color="000000" w:sz="4" w:space="0"/>
              <w:left w:val="single" w:color="auto" w:sz="4" w:space="0"/>
              <w:bottom w:val="single" w:color="000000" w:sz="4" w:space="0"/>
              <w:right w:val="single" w:color="auto"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shd w:val="clear" w:color="auto" w:fill="auto"/>
                <w:lang w:val="en-US" w:eastAsia="zh-CN"/>
              </w:rPr>
              <w:suppressLineNumbers w:val="0"/>
            </w:pPr>
            <w:r>
              <w:rPr>
                <w:rFonts w:hint="eastAsia" w:ascii="宋体" w:hAnsi="宋体" w:eastAsia="宋体" w:cs="宋体"/>
                <w:i w:val="0"/>
                <w:iCs w:val="0"/>
                <w:color w:val="000000"/>
                <w:sz w:val="18"/>
                <w:szCs w:val="18"/>
                <w:highlight w:val="none"/>
                <w:u w:val="none"/>
                <w:shd w:val="clear" w:color="auto" w:fill="auto"/>
                <w:lang w:val="en-US" w:eastAsia="zh-CN" w:bidi="ar"/>
              </w:rPr>
              <w:t xml:space="preserve">练马村</w:t>
            </w:r>
            <w:r/>
          </w:p>
        </w:tc>
        <w:tc>
          <w:tcPr>
            <w:gridSpan w:val="2"/>
            <w:shd w:val="clear" w:color="auto" w:fill="auto"/>
            <w:tcBorders>
              <w:top w:val="single" w:color="000000" w:sz="4" w:space="0"/>
              <w:left w:val="single" w:color="auto" w:sz="4" w:space="0"/>
              <w:bottom w:val="single" w:color="000000" w:sz="4" w:space="0"/>
              <w:right w:val="single" w:color="auto" w:sz="4" w:space="0"/>
            </w:tcBorders>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shd w:val="clear" w:color="auto" w:fill="auto"/>
                <w:lang w:val="en-US" w:eastAsia="zh-CN"/>
              </w:rPr>
              <w:suppressLineNumbers w:val="0"/>
            </w:pPr>
            <w:r>
              <w:rPr>
                <w:rFonts w:hint="eastAsia" w:ascii="宋体" w:hAnsi="宋体" w:eastAsia="宋体" w:cs="宋体"/>
                <w:i w:val="0"/>
                <w:iCs w:val="0"/>
                <w:color w:val="000000"/>
                <w:sz w:val="18"/>
                <w:szCs w:val="18"/>
                <w:highlight w:val="none"/>
                <w:u w:val="none"/>
                <w:shd w:val="clear" w:color="auto" w:fill="auto"/>
                <w:lang w:val="en-US" w:eastAsia="zh-CN" w:bidi="ar"/>
              </w:rPr>
              <w:t xml:space="preserve">提升泵（大功率）</w:t>
            </w:r>
            <w:r/>
          </w:p>
        </w:tc>
        <w:tc>
          <w:tcPr>
            <w:gridSpan w:val="2"/>
            <w:shd w:val="clear" w:color="auto" w:fill="auto"/>
            <w:tcBorders>
              <w:top w:val="single" w:color="000000" w:sz="4" w:space="0"/>
              <w:left w:val="single" w:color="auto" w:sz="4" w:space="0"/>
              <w:bottom w:val="single" w:color="000000"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shd w:val="clear" w:color="auto" w:fill="auto"/>
                <w:lang w:val="en-US" w:eastAsia="zh-CN"/>
              </w:rPr>
              <w:suppressLineNumbers w:val="0"/>
            </w:pPr>
            <w:r>
              <w:rPr>
                <w:rFonts w:hint="eastAsia" w:ascii="宋体" w:hAnsi="宋体" w:eastAsia="宋体" w:cs="宋体"/>
                <w:i w:val="0"/>
                <w:iCs w:val="0"/>
                <w:color w:val="000000"/>
                <w:sz w:val="20"/>
                <w:szCs w:val="20"/>
                <w:highlight w:val="none"/>
                <w:u w:val="none"/>
                <w:shd w:val="clear" w:color="auto" w:fill="auto"/>
                <w:lang w:val="en-US" w:eastAsia="zh-CN" w:bidi="ar"/>
              </w:rPr>
              <w:t xml:space="preserve">17739</w:t>
            </w:r>
            <w:r/>
          </w:p>
        </w:tc>
        <w:tc>
          <w:tcPr>
            <w:gridSpan w:val="2"/>
            <w:shd w:val="clear" w:color="auto" w:fill="auto"/>
            <w:tcBorders>
              <w:top w:val="single" w:color="000000" w:sz="4" w:space="0"/>
              <w:left w:val="single" w:color="auto" w:sz="4" w:space="0"/>
              <w:bottom w:val="single" w:color="000000"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shd w:val="clear" w:color="auto" w:fill="auto"/>
                <w:lang w:val="en-US" w:eastAsia="zh-CN" w:bidi="ar"/>
              </w:rPr>
              <w:suppressLineNumbers w:val="0"/>
            </w:pPr>
            <w:r>
              <w:rPr>
                <w:rFonts w:hint="eastAsia" w:ascii="宋体" w:hAnsi="宋体" w:eastAsia="宋体" w:cs="宋体"/>
                <w:i w:val="0"/>
                <w:iCs w:val="0"/>
                <w:color w:val="000000"/>
                <w:sz w:val="18"/>
                <w:szCs w:val="18"/>
                <w:highlight w:val="none"/>
                <w:u w:val="none"/>
                <w:shd w:val="clear" w:color="auto" w:fill="auto"/>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7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375"/>
        </w:trPr>
        <w:tc>
          <w:tcPr>
            <w:gridSpan w:val="12"/>
            <w:shd w:val="clear" w:color="auto" w:fill="auto"/>
            <w:tcBorders>
              <w:top w:val="single" w:color="000000" w:sz="4" w:space="0"/>
              <w:left w:val="single" w:color="000000" w:sz="4" w:space="0"/>
              <w:bottom w:val="single" w:color="000000" w:sz="4" w:space="0"/>
              <w:right w:val="single" w:color="000000" w:sz="4" w:space="0"/>
            </w:tcBorders>
            <w:tcW w:w="112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①、每年价格（元）=</w:t>
            </w:r>
            <w:r>
              <w:rPr>
                <w:rFonts w:hint="eastAsia" w:ascii="宋体" w:hAnsi="宋体" w:eastAsia="宋体" w:cs="宋体"/>
                <w:i w:val="0"/>
                <w:iCs w:val="0"/>
                <w:color w:val="000000"/>
                <w:sz w:val="18"/>
                <w:szCs w:val="18"/>
                <w:u w:val="single"/>
                <w:lang w:val="en-US" w:eastAsia="zh-CN" w:bidi="ar"/>
              </w:rPr>
              <w:t xml:space="preserve">  </w:t>
            </w:r>
            <w:r>
              <w:rPr>
                <w:rFonts w:hint="eastAsia" w:ascii="宋体" w:hAnsi="宋体" w:cs="宋体"/>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17739</w:t>
            </w:r>
            <w:r/>
          </w:p>
        </w:tc>
      </w:tr>
      <w:tr>
        <w:trPr>
          <w:gridAfter w:val="3"/>
          <w:trHeight w:val="384"/>
        </w:trPr>
        <w:tc>
          <w:tcPr>
            <w:gridSpan w:val="12"/>
            <w:shd w:val="clear" w:color="auto" w:fill="auto"/>
            <w:tcBorders>
              <w:top w:val="single" w:color="000000" w:sz="4" w:space="0"/>
              <w:left w:val="single" w:color="000000" w:sz="4" w:space="0"/>
              <w:bottom w:val="single" w:color="000000" w:sz="4" w:space="0"/>
              <w:right w:val="single" w:color="000000" w:sz="4" w:space="0"/>
            </w:tcBorders>
            <w:tcW w:w="112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年运营期限的投标总价=①*</w:t>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年=</w:t>
            </w:r>
            <w:r>
              <w:rPr>
                <w:rFonts w:hint="eastAsia" w:ascii="宋体" w:hAnsi="宋体" w:eastAsia="宋体" w:cs="宋体"/>
                <w:i w:val="0"/>
                <w:iCs w:val="0"/>
                <w:color w:val="000000"/>
                <w:sz w:val="18"/>
                <w:szCs w:val="18"/>
                <w:u w:val="single"/>
                <w:lang w:val="en-US" w:eastAsia="zh-CN" w:bidi="ar"/>
              </w:rPr>
              <w:t xml:space="preserve"> </w:t>
            </w:r>
            <w:r>
              <w:rPr>
                <w:rFonts w:hint="eastAsia" w:ascii="宋体" w:hAnsi="宋体" w:cs="宋体"/>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元</w:t>
            </w:r>
            <w:r/>
          </w:p>
        </w:tc>
      </w:tr>
    </w:tbl>
    <w:p>
      <w:pPr>
        <w:pStyle w:val="839"/>
        <w:ind w:left="0"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839"/>
        <w:ind w:firstLine="0"/>
        <w:spacing w:line="360" w:lineRule="auto"/>
        <w:rPr>
          <w:rFonts w:hint="eastAsia" w:ascii="仿宋" w:hAnsi="仿宋" w:eastAsia="仿宋" w:cs="仿宋"/>
          <w:b/>
          <w:bCs/>
          <w:color w:val="auto"/>
          <w:sz w:val="18"/>
          <w:szCs w:val="22"/>
        </w:rPr>
      </w:pPr>
      <w:r>
        <w:rPr>
          <w:rFonts w:hint="eastAsia" w:ascii="仿宋" w:hAnsi="仿宋" w:eastAsia="仿宋" w:cs="仿宋"/>
          <w:b/>
          <w:bCs/>
          <w:color w:val="auto"/>
          <w:sz w:val="18"/>
          <w:szCs w:val="22"/>
        </w:rPr>
        <w:t xml:space="preserve">注：1、上述价格均为含税价格，且总价须与开标一览表中的投标报价一致。</w:t>
      </w:r>
      <w:r/>
    </w:p>
    <w:p>
      <w:pPr>
        <w:pStyle w:val="839"/>
        <w:ind w:firstLine="723"/>
        <w:spacing w:line="360" w:lineRule="auto"/>
        <w:rPr>
          <w:rFonts w:hint="default" w:ascii="仿宋" w:hAnsi="仿宋" w:eastAsia="仿宋" w:cs="仿宋"/>
          <w:b/>
          <w:bCs/>
          <w:color w:val="auto"/>
          <w:sz w:val="18"/>
          <w:szCs w:val="22"/>
          <w:lang w:val="en-US" w:eastAsia="zh-CN"/>
        </w:rPr>
      </w:pPr>
      <w:r>
        <w:rPr>
          <w:rFonts w:hint="eastAsia" w:ascii="仿宋" w:hAnsi="仿宋" w:eastAsia="仿宋" w:cs="仿宋"/>
          <w:b/>
          <w:bCs/>
          <w:color w:val="auto"/>
          <w:sz w:val="18"/>
          <w:szCs w:val="22"/>
          <w:lang w:val="en-US" w:eastAsia="zh-CN"/>
        </w:rPr>
        <w:t xml:space="preserve">2、超过单价限价做废标处理。</w:t>
      </w:r>
      <w:r/>
    </w:p>
    <w:p>
      <w:pPr>
        <w:pStyle w:val="839"/>
        <w:ind w:firstLine="723"/>
        <w:spacing w:line="360" w:lineRule="auto"/>
        <w:rPr>
          <w:rFonts w:hint="eastAsia" w:ascii="仿宋" w:hAnsi="仿宋" w:eastAsia="仿宋" w:cs="仿宋"/>
          <w:b/>
          <w:bCs/>
          <w:color w:val="auto"/>
          <w:sz w:val="18"/>
          <w:szCs w:val="22"/>
        </w:rPr>
      </w:pPr>
      <w:r>
        <w:rPr>
          <w:rFonts w:hint="eastAsia" w:ascii="仿宋" w:hAnsi="仿宋" w:eastAsia="仿宋" w:cs="仿宋"/>
          <w:b/>
          <w:bCs/>
          <w:color w:val="auto"/>
          <w:sz w:val="18"/>
          <w:szCs w:val="22"/>
          <w:lang w:val="en-US" w:eastAsia="zh-CN"/>
        </w:rPr>
        <w:t xml:space="preserve">3、</w:t>
      </w:r>
      <w:r>
        <w:rPr>
          <w:rFonts w:hint="eastAsia" w:ascii="仿宋" w:hAnsi="仿宋" w:eastAsia="仿宋" w:cs="仿宋"/>
          <w:b/>
          <w:bCs/>
          <w:color w:val="auto"/>
          <w:sz w:val="18"/>
          <w:szCs w:val="22"/>
        </w:rPr>
        <w:t xml:space="preserve">本表可拓展，但应至少包含上述表格内条目。</w:t>
      </w:r>
      <w:r/>
    </w:p>
    <w:p>
      <w:pPr>
        <w:pStyle w:val="840"/>
        <w:numPr>
          <w:ilvl w:val="0"/>
          <w:numId w:val="0"/>
        </w:numPr>
        <w:spacing w:after="120" w:line="360" w:lineRule="auto"/>
        <w:rPr>
          <w:rFonts w:hint="eastAsia"/>
        </w:rPr>
      </w:pPr>
      <w:r>
        <w:rPr>
          <w:rFonts w:hint="eastAsia"/>
        </w:rPr>
      </w:r>
      <w:r/>
    </w:p>
    <w:p>
      <w:pPr>
        <w:pStyle w:val="840"/>
        <w:numPr>
          <w:ilvl w:val="0"/>
          <w:numId w:val="0"/>
        </w:numPr>
        <w:spacing w:after="120" w:line="360" w:lineRule="auto"/>
        <w:rPr>
          <w:rFonts w:hint="eastAsia"/>
        </w:rPr>
      </w:pPr>
      <w:r>
        <w:rPr>
          <w:rFonts w:hint="eastAsia"/>
        </w:rPr>
      </w:r>
      <w:r/>
    </w:p>
    <w:p>
      <w:pPr>
        <w:pStyle w:val="1075"/>
        <w:ind w:left="3400" w:firstLine="4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t xml:space="preserve">投标人：（单位盖章）</w:t>
      </w:r>
      <w:r/>
    </w:p>
    <w:p>
      <w:pPr>
        <w:pStyle w:val="1075"/>
        <w:ind w:left="38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r>
      <w:r/>
    </w:p>
    <w:p>
      <w:pPr>
        <w:pStyle w:val="1075"/>
        <w:ind w:left="3825"/>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t xml:space="preserve">法定代表人或代理人：（签字或盖章）</w:t>
      </w:r>
      <w:r/>
    </w:p>
    <w:p>
      <w:pPr>
        <w:pStyle w:val="1075"/>
        <w:ind w:left="3825" w:firstLine="1988"/>
        <w:jc w:val="both"/>
        <w:spacing w:line="360" w:lineRule="exact"/>
        <w:rPr>
          <w:rFonts w:hint="eastAsia" w:ascii="仿宋" w:hAnsi="仿宋" w:eastAsia="仿宋" w:cs="仿宋"/>
          <w:b/>
          <w:bCs/>
          <w:color w:val="auto"/>
          <w:sz w:val="22"/>
          <w:szCs w:val="22"/>
        </w:rPr>
      </w:pPr>
      <w:r>
        <w:rPr>
          <w:rFonts w:hint="eastAsia" w:ascii="仿宋" w:hAnsi="仿宋" w:eastAsia="仿宋" w:cs="仿宋"/>
          <w:b/>
          <w:bCs/>
          <w:color w:val="auto"/>
          <w:sz w:val="22"/>
          <w:szCs w:val="22"/>
        </w:rPr>
      </w:r>
      <w:r/>
    </w:p>
    <w:p>
      <w:pPr>
        <w:pStyle w:val="848"/>
        <w:jc w:val="right"/>
        <w:spacing w:before="240" w:after="240" w:line="340" w:lineRule="exact"/>
        <w:rPr>
          <w:rFonts w:hint="eastAsia" w:ascii="仿宋" w:hAnsi="仿宋" w:eastAsia="仿宋" w:cs="仿宋"/>
          <w:b/>
          <w:bCs/>
          <w:color w:val="auto"/>
          <w:sz w:val="18"/>
          <w:szCs w:val="22"/>
        </w:rPr>
      </w:pPr>
      <w:r>
        <w:rPr>
          <w:rFonts w:hint="eastAsia" w:ascii="仿宋" w:hAnsi="仿宋" w:eastAsia="仿宋" w:cs="仿宋"/>
          <w:b/>
          <w:bCs/>
          <w:color w:val="auto"/>
          <w:sz w:val="18"/>
          <w:szCs w:val="22"/>
        </w:rPr>
        <w:t xml:space="preserve">年     月     日</w:t>
      </w:r>
      <w:r/>
    </w:p>
    <w:p>
      <w:pPr>
        <w:pStyle w:val="839"/>
        <w:numPr>
          <w:ilvl w:val="0"/>
          <w:numId w:val="0"/>
        </w:num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p>
    <w:tbl>
      <w:tblPr>
        <w:tblStyle w:val="837"/>
        <w:tblW w:w="10111" w:type="dxa"/>
        <w:tblInd w:w="108" w:type="dxa"/>
        <w:tblLayout w:type="fixed"/>
        <w:tblCellMar>
          <w:left w:w="108" w:type="dxa"/>
          <w:top w:w="0" w:type="dxa"/>
          <w:right w:w="108" w:type="dxa"/>
          <w:bottom w:w="0" w:type="dxa"/>
        </w:tblCellMar>
        <w:tblLook w:val="04A0" w:firstRow="1" w:lastRow="0" w:firstColumn="1" w:lastColumn="0" w:noHBand="0" w:noVBand="1"/>
      </w:tblPr>
      <w:tblGrid>
        <w:gridCol w:w="473"/>
        <w:gridCol w:w="2229"/>
        <w:gridCol w:w="1904"/>
        <w:gridCol w:w="772"/>
        <w:gridCol w:w="1565"/>
        <w:gridCol w:w="1080"/>
        <w:gridCol w:w="2088"/>
      </w:tblGrid>
      <w:tr>
        <w:trPr>
          <w:trHeight w:val="574"/>
        </w:trPr>
        <w:tc>
          <w:tcPr>
            <w:gridSpan w:val="7"/>
            <w:tcBorders>
              <w:top w:val="single" w:color="auto" w:sz="4" w:space="0"/>
              <w:left w:val="single" w:color="auto" w:sz="4" w:space="0"/>
              <w:bottom w:val="single" w:color="auto" w:sz="4" w:space="0"/>
              <w:right w:val="single" w:color="auto" w:sz="4" w:space="0"/>
            </w:tcBorders>
            <w:tcW w:w="10111" w:type="dxa"/>
            <w:vAlign w:val="center"/>
            <w:textDirection w:val="lrTb"/>
            <w:noWrap w:val="false"/>
          </w:tcPr>
          <w:p>
            <w:pPr>
              <w:pStyle w:val="839"/>
              <w:numPr>
                <w:ilvl w:val="0"/>
                <w:numId w:val="0"/>
              </w:numPr>
              <w:jc w:val="center"/>
              <w:rPr>
                <w:rFonts w:hint="default" w:ascii="仿宋" w:hAnsi="仿宋" w:eastAsia="仿宋" w:cs="仿宋"/>
                <w:b/>
                <w:color w:val="auto"/>
                <w:sz w:val="32"/>
                <w:szCs w:val="32"/>
                <w:lang w:val="en-US" w:eastAsia="zh-CN" w:bidi="ar-SA"/>
              </w:rPr>
            </w:pPr>
            <w:r>
              <w:rPr>
                <w:rFonts w:hint="eastAsia" w:ascii="仿宋" w:hAnsi="仿宋" w:eastAsia="仿宋" w:cs="仿宋"/>
                <w:b/>
                <w:color w:val="auto"/>
                <w:sz w:val="32"/>
                <w:szCs w:val="32"/>
                <w:lang w:val="en-US" w:eastAsia="zh-CN" w:bidi="ar-SA"/>
              </w:rPr>
              <w:t xml:space="preserve">（3）新沂市镇、村污水处理设施配套管网每年运维费</w:t>
            </w:r>
            <w:r/>
          </w:p>
          <w:p>
            <w:pPr>
              <w:pStyle w:val="839"/>
              <w:numPr>
                <w:ilvl w:val="0"/>
                <w:numId w:val="0"/>
              </w:numPr>
              <w:jc w:val="center"/>
              <w:rPr>
                <w:rFonts w:hint="eastAsia" w:ascii="仿宋" w:hAnsi="仿宋" w:eastAsia="仿宋" w:cs="仿宋"/>
                <w:b/>
                <w:bCs/>
                <w:sz w:val="32"/>
                <w:szCs w:val="32"/>
              </w:rPr>
            </w:pPr>
            <w:r>
              <w:rPr>
                <w:rFonts w:hint="eastAsia" w:ascii="仿宋" w:hAnsi="仿宋" w:eastAsia="仿宋" w:cs="仿宋"/>
                <w:b/>
                <w:color w:val="auto"/>
                <w:sz w:val="32"/>
                <w:szCs w:val="32"/>
              </w:rPr>
              <w:t xml:space="preserve">报价清单</w:t>
            </w:r>
            <w:r/>
          </w:p>
        </w:tc>
      </w:tr>
      <w:tr>
        <w:trPr>
          <w:trHeight w:val="675"/>
        </w:trPr>
        <w:tc>
          <w:tcPr>
            <w:gridSpan w:val="3"/>
            <w:tcBorders>
              <w:top w:val="single" w:color="auto" w:sz="4" w:space="0"/>
              <w:left w:val="single" w:color="auto" w:sz="4" w:space="0"/>
              <w:bottom w:val="single" w:color="auto" w:sz="4" w:space="0"/>
              <w:right w:val="single" w:color="auto" w:sz="4" w:space="0"/>
            </w:tcBorders>
            <w:tcW w:w="4606" w:type="dxa"/>
            <w:vAlign w:val="center"/>
            <w:textDirection w:val="lrTb"/>
            <w:noWrap w:val="false"/>
          </w:tcPr>
          <w:p>
            <w:pPr>
              <w:jc w:val="both"/>
              <w:rPr>
                <w:rFonts w:hint="eastAsia" w:ascii="仿宋" w:hAnsi="仿宋" w:eastAsia="仿宋" w:cs="仿宋"/>
                <w:b w:val="0"/>
                <w:bCs w:val="0"/>
                <w:sz w:val="18"/>
                <w:szCs w:val="22"/>
              </w:rPr>
            </w:pPr>
            <w:r>
              <w:rPr>
                <w:rFonts w:hint="eastAsia" w:ascii="仿宋" w:hAnsi="仿宋" w:eastAsia="仿宋" w:cs="仿宋"/>
                <w:b w:val="0"/>
                <w:bCs w:val="0"/>
                <w:sz w:val="18"/>
                <w:szCs w:val="22"/>
                <w:lang w:val="en-US" w:eastAsia="zh-CN"/>
              </w:rPr>
              <w:t xml:space="preserve">项目</w:t>
            </w:r>
            <w:r>
              <w:rPr>
                <w:rFonts w:hint="eastAsia" w:ascii="仿宋" w:hAnsi="仿宋" w:eastAsia="仿宋" w:cs="仿宋"/>
                <w:b w:val="0"/>
                <w:bCs w:val="0"/>
                <w:sz w:val="18"/>
                <w:szCs w:val="22"/>
              </w:rPr>
              <w:t xml:space="preserve">名称：</w:t>
            </w:r>
            <w:r/>
          </w:p>
        </w:tc>
        <w:tc>
          <w:tcPr>
            <w:gridSpan w:val="4"/>
            <w:tcBorders>
              <w:top w:val="single" w:color="auto" w:sz="4" w:space="0"/>
              <w:left w:val="single" w:color="auto" w:sz="4" w:space="0"/>
              <w:bottom w:val="single" w:color="auto" w:sz="4" w:space="0"/>
              <w:right w:val="single" w:color="auto" w:sz="4" w:space="0"/>
            </w:tcBorders>
            <w:tcW w:w="5505" w:type="dxa"/>
            <w:vAlign w:val="center"/>
            <w:textDirection w:val="lrTb"/>
            <w:noWrap w:val="false"/>
          </w:tcPr>
          <w:p>
            <w:pPr>
              <w:jc w:val="both"/>
              <w:rPr>
                <w:rFonts w:hint="eastAsia" w:ascii="仿宋" w:hAnsi="仿宋" w:eastAsia="仿宋" w:cs="仿宋"/>
                <w:b/>
                <w:bCs/>
                <w:sz w:val="18"/>
                <w:szCs w:val="22"/>
              </w:rPr>
            </w:pPr>
            <w:r>
              <w:rPr>
                <w:rFonts w:hint="eastAsia" w:ascii="仿宋" w:hAnsi="仿宋" w:eastAsia="仿宋" w:cs="仿宋"/>
                <w:b w:val="0"/>
                <w:bCs w:val="0"/>
                <w:sz w:val="18"/>
                <w:szCs w:val="22"/>
                <w:lang w:val="en-US" w:eastAsia="zh-CN"/>
              </w:rPr>
              <w:t xml:space="preserve">项目编号：</w:t>
            </w:r>
            <w:r/>
          </w:p>
        </w:tc>
      </w:tr>
      <w:tr>
        <w:trPr>
          <w:trHeight w:val="679"/>
        </w:trPr>
        <w:tc>
          <w:tcPr>
            <w:tcBorders>
              <w:top w:val="single" w:color="auto" w:sz="4" w:space="0"/>
              <w:left w:val="single" w:color="000000" w:sz="8" w:space="0"/>
              <w:bottom w:val="single" w:color="000000" w:sz="4" w:space="0"/>
              <w:right w:val="single" w:color="000000" w:sz="4" w:space="0"/>
            </w:tcBorders>
            <w:tcW w:w="473"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序号</w:t>
            </w:r>
            <w:r/>
          </w:p>
        </w:tc>
        <w:tc>
          <w:tcPr>
            <w:tcBorders>
              <w:top w:val="single" w:color="auto" w:sz="4" w:space="0"/>
              <w:left w:val="single" w:color="000000" w:sz="4" w:space="0"/>
              <w:bottom w:val="single" w:color="000000" w:sz="4" w:space="0"/>
              <w:right w:val="single" w:color="000000" w:sz="4" w:space="0"/>
            </w:tcBorders>
            <w:tcW w:w="2229"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项目名称</w:t>
            </w:r>
            <w:r/>
          </w:p>
        </w:tc>
        <w:tc>
          <w:tcPr>
            <w:gridSpan w:val="2"/>
            <w:tcBorders>
              <w:top w:val="single" w:color="auto" w:sz="4" w:space="0"/>
              <w:left w:val="single" w:color="000000" w:sz="4" w:space="0"/>
              <w:bottom w:val="single" w:color="000000" w:sz="4" w:space="0"/>
              <w:right w:val="single" w:color="000000" w:sz="4" w:space="0"/>
            </w:tcBorders>
            <w:tcW w:w="2676"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项目特征</w:t>
            </w:r>
            <w:r/>
          </w:p>
        </w:tc>
        <w:tc>
          <w:tcPr>
            <w:tcBorders>
              <w:top w:val="single" w:color="auto"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单位</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 xml:space="preserve">下浮率（%）</w:t>
            </w:r>
            <w:r/>
          </w:p>
        </w:tc>
        <w:tc>
          <w:tcPr>
            <w:tcBorders>
              <w:top w:val="single" w:color="auto" w:sz="4" w:space="0"/>
              <w:left w:val="single" w:color="000000" w:sz="4" w:space="0"/>
              <w:bottom w:val="single" w:color="000000" w:sz="4" w:space="0"/>
              <w:right w:val="single" w:color="000000" w:sz="4" w:space="0"/>
            </w:tcBorders>
            <w:tcW w:w="2088" w:type="dxa"/>
            <w:vAlign w:val="center"/>
            <w:textDirection w:val="lrTb"/>
            <w:noWrap w:val="false"/>
          </w:tcPr>
          <w:p>
            <w:pPr>
              <w:jc w:val="center"/>
              <w:rPr>
                <w:rFonts w:hint="eastAsia" w:ascii="仿宋" w:hAnsi="仿宋" w:eastAsia="仿宋" w:cs="仿宋"/>
                <w:b w:val="0"/>
                <w:bCs w:val="0"/>
                <w:sz w:val="18"/>
                <w:szCs w:val="18"/>
              </w:rPr>
            </w:pPr>
            <w:r>
              <w:rPr>
                <w:rFonts w:hint="eastAsia" w:ascii="仿宋" w:hAnsi="仿宋" w:eastAsia="仿宋" w:cs="仿宋"/>
                <w:b w:val="0"/>
                <w:bCs w:val="0"/>
                <w:sz w:val="18"/>
                <w:szCs w:val="18"/>
              </w:rPr>
              <w:t xml:space="preserve">备注</w:t>
            </w:r>
            <w:r/>
          </w:p>
        </w:tc>
      </w:tr>
      <w:tr>
        <w:trPr>
          <w:trHeight w:val="926"/>
        </w:trPr>
        <w:tc>
          <w:tcPr>
            <w:tcBorders>
              <w:top w:val="none" w:color="000000" w:sz="4" w:space="0"/>
              <w:left w:val="single" w:color="000000" w:sz="8" w:space="0"/>
              <w:bottom w:val="single" w:color="auto" w:sz="4" w:space="0"/>
              <w:right w:val="single" w:color="000000" w:sz="4" w:space="0"/>
            </w:tcBorders>
            <w:tcW w:w="473" w:type="dxa"/>
            <w:vAlign w:val="center"/>
            <w:textDirection w:val="lrTb"/>
            <w:noWrap w:val="false"/>
          </w:tcPr>
          <w:p>
            <w:pPr>
              <w:jc w:val="center"/>
              <w:rPr>
                <w:rFonts w:hint="eastAsia" w:ascii="仿宋" w:hAnsi="仿宋" w:eastAsia="仿宋" w:cs="仿宋"/>
                <w:sz w:val="20"/>
                <w:szCs w:val="20"/>
                <w:lang w:val="en-US"/>
              </w:rPr>
            </w:pPr>
            <w:r>
              <w:rPr>
                <w:rFonts w:hint="eastAsia" w:ascii="仿宋" w:hAnsi="仿宋" w:eastAsia="仿宋" w:cs="仿宋"/>
                <w:sz w:val="20"/>
                <w:szCs w:val="20"/>
                <w:lang w:val="en-US" w:eastAsia="zh-CN"/>
              </w:rPr>
              <w:t xml:space="preserve">1</w:t>
            </w:r>
            <w:r/>
          </w:p>
        </w:tc>
        <w:tc>
          <w:tcPr>
            <w:tcBorders>
              <w:top w:val="none" w:color="000000" w:sz="4" w:space="0"/>
              <w:left w:val="none" w:color="000000" w:sz="4" w:space="0"/>
              <w:bottom w:val="single" w:color="auto" w:sz="4" w:space="0"/>
              <w:right w:val="single" w:color="000000" w:sz="4" w:space="0"/>
            </w:tcBorders>
            <w:tcW w:w="2229" w:type="dxa"/>
            <w:vAlign w:val="center"/>
            <w:textDirection w:val="lrTb"/>
            <w:noWrap w:val="false"/>
          </w:tcPr>
          <w:p>
            <w:pPr>
              <w:rPr>
                <w:rFonts w:hint="eastAsia" w:ascii="仿宋" w:hAnsi="仿宋" w:eastAsia="仿宋" w:cs="仿宋"/>
                <w:sz w:val="20"/>
                <w:szCs w:val="20"/>
              </w:rPr>
            </w:pPr>
            <w:r>
              <w:rPr>
                <w:rFonts w:hint="eastAsia" w:ascii="仿宋" w:hAnsi="仿宋" w:eastAsia="仿宋" w:cs="仿宋"/>
                <w:sz w:val="20"/>
                <w:szCs w:val="20"/>
                <w:lang w:val="en-US" w:eastAsia="zh-CN"/>
              </w:rPr>
              <w:t xml:space="preserve">新沂市镇、村污水处理设施配套管网每年运维费</w:t>
            </w:r>
            <w:r/>
          </w:p>
        </w:tc>
        <w:tc>
          <w:tcPr>
            <w:gridSpan w:val="2"/>
            <w:tcBorders>
              <w:top w:val="none" w:color="000000" w:sz="4" w:space="0"/>
              <w:left w:val="none" w:color="000000" w:sz="4" w:space="0"/>
              <w:bottom w:val="single" w:color="auto" w:sz="4" w:space="0"/>
              <w:right w:val="single" w:color="000000" w:sz="4" w:space="0"/>
            </w:tcBorders>
            <w:tcW w:w="2676" w:type="dxa"/>
            <w:vAlign w:val="center"/>
            <w:textDirection w:val="lrTb"/>
            <w:noWrap w:val="false"/>
          </w:tcPr>
          <w:p>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 xml:space="preserve">以新沂市财政主管部门财评确认后的价格进行下浮，报下浮率</w:t>
            </w:r>
            <w:r/>
          </w:p>
        </w:tc>
        <w:tc>
          <w:tcPr>
            <w:tcBorders>
              <w:top w:val="none" w:color="000000" w:sz="4" w:space="0"/>
              <w:left w:val="none" w:color="000000" w:sz="4" w:space="0"/>
              <w:bottom w:val="single" w:color="auto" w:sz="4" w:space="0"/>
              <w:right w:val="single" w:color="000000" w:sz="4" w:space="0"/>
            </w:tcBorders>
            <w:tcW w:w="1565" w:type="dxa"/>
            <w:vAlign w:val="center"/>
            <w:textDirection w:val="lrTb"/>
            <w:noWrap w:val="false"/>
          </w:tcPr>
          <w:p>
            <w:pPr>
              <w:jc w:val="center"/>
              <w:rPr>
                <w:rFonts w:hint="eastAsia" w:ascii="仿宋" w:hAnsi="仿宋" w:eastAsia="仿宋" w:cs="仿宋"/>
                <w:sz w:val="20"/>
                <w:szCs w:val="20"/>
              </w:rPr>
            </w:pPr>
            <w:r>
              <w:rPr>
                <w:rFonts w:hint="eastAsia" w:ascii="仿宋" w:hAnsi="仿宋" w:eastAsia="仿宋" w:cs="仿宋"/>
                <w:sz w:val="20"/>
                <w:szCs w:val="20"/>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hint="eastAsia" w:ascii="仿宋" w:hAnsi="仿宋" w:eastAsia="仿宋" w:cs="仿宋"/>
                <w:sz w:val="20"/>
                <w:szCs w:val="20"/>
                <w:lang w:val="en-US"/>
              </w:rPr>
            </w:pPr>
            <w:r>
              <w:rPr>
                <w:rFonts w:hint="eastAsia" w:ascii="仿宋" w:hAnsi="仿宋" w:eastAsia="仿宋" w:cs="仿宋"/>
                <w:sz w:val="20"/>
                <w:szCs w:val="20"/>
                <w:lang w:val="en-US"/>
              </w:rPr>
            </w:r>
            <w:r/>
          </w:p>
        </w:tc>
        <w:tc>
          <w:tcPr>
            <w:tcBorders>
              <w:top w:val="none" w:color="000000" w:sz="4" w:space="0"/>
              <w:left w:val="single" w:color="auto" w:sz="4" w:space="0"/>
              <w:bottom w:val="single" w:color="auto" w:sz="4" w:space="0"/>
              <w:right w:val="single" w:color="000000" w:sz="4" w:space="0"/>
            </w:tcBorders>
            <w:tcW w:w="2088" w:type="dxa"/>
            <w:vAlign w:val="center"/>
            <w:textDirection w:val="lrTb"/>
            <w:noWrap w:val="false"/>
          </w:tcPr>
          <w:p>
            <w:pPr>
              <w:jc w:val="both"/>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 xml:space="preserve">年预算约200万元</w:t>
            </w:r>
            <w:r/>
          </w:p>
        </w:tc>
      </w:tr>
    </w:tbl>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注：1、上述价格均为含税价格，且</w:t>
      </w:r>
      <w:r>
        <w:rPr>
          <w:rFonts w:hint="eastAsia" w:ascii="仿宋" w:hAnsi="仿宋" w:eastAsia="仿宋" w:cs="仿宋"/>
          <w:color w:val="auto"/>
          <w:sz w:val="18"/>
          <w:szCs w:val="22"/>
          <w:lang w:val="en-US" w:eastAsia="zh-CN"/>
        </w:rPr>
        <w:t xml:space="preserve">报价</w:t>
      </w:r>
      <w:r>
        <w:rPr>
          <w:rFonts w:hint="eastAsia" w:ascii="仿宋" w:hAnsi="仿宋" w:eastAsia="仿宋" w:cs="仿宋"/>
          <w:color w:val="auto"/>
          <w:sz w:val="18"/>
          <w:szCs w:val="22"/>
        </w:rPr>
        <w:t xml:space="preserve">须与开标一览表中的投标报价一致。</w:t>
      </w:r>
      <w:r/>
    </w:p>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2、本表可拓展，但应至少包含上述表格内条目。</w:t>
      </w:r>
      <w:r/>
    </w:p>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t xml:space="preserve">    </w:t>
      </w:r>
      <w:r/>
    </w:p>
    <w:p>
      <w:pPr>
        <w:pStyle w:val="839"/>
        <w:ind w:firstLine="0"/>
        <w:spacing w:line="400" w:lineRule="exact"/>
        <w:rPr>
          <w:rFonts w:hint="eastAsia" w:ascii="仿宋" w:hAnsi="仿宋" w:eastAsia="仿宋" w:cs="仿宋"/>
          <w:color w:val="auto"/>
          <w:sz w:val="18"/>
          <w:szCs w:val="22"/>
        </w:rPr>
      </w:pPr>
      <w:r>
        <w:rPr>
          <w:rFonts w:hint="eastAsia" w:ascii="仿宋" w:hAnsi="仿宋" w:eastAsia="仿宋" w:cs="仿宋"/>
          <w:color w:val="auto"/>
          <w:sz w:val="18"/>
          <w:szCs w:val="22"/>
        </w:rPr>
      </w:r>
      <w:r/>
    </w:p>
    <w:p>
      <w:pPr>
        <w:pStyle w:val="1075"/>
        <w:ind w:left="3400" w:firstLine="4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投标人：（单位盖章）</w:t>
      </w:r>
      <w:r/>
    </w:p>
    <w:p>
      <w:pPr>
        <w:pStyle w:val="1075"/>
        <w:ind w:left="38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p>
      <w:pPr>
        <w:pStyle w:val="1075"/>
        <w:ind w:left="3825"/>
        <w:jc w:val="both"/>
        <w:spacing w:line="36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法定代表人或代理人：（签字或盖章）</w:t>
      </w:r>
      <w:r/>
    </w:p>
    <w:p>
      <w:pPr>
        <w:pStyle w:val="1041"/>
        <w:jc w:val="both"/>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pStyle w:val="102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3"/>
        <w:ind w:firstLine="384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1"/>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2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p>
    <w:p>
      <w:pPr>
        <w:pStyle w:val="1029"/>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1．如果不提供详细分项报价将视为没有实质性响应招标文件。</w:t>
      </w:r>
      <w:r/>
    </w:p>
    <w:p>
      <w:pPr>
        <w:pStyle w:val="1029"/>
        <w:ind w:firstLine="48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2．投标人对以上数据的真实性负责。</w:t>
      </w:r>
      <w:r/>
    </w:p>
    <w:p>
      <w:pPr>
        <w:pStyle w:val="1029"/>
        <w:ind w:firstLine="480"/>
        <w:spacing w:line="360" w:lineRule="auto"/>
        <w:rPr>
          <w:rFonts w:hint="eastAsia" w:ascii="仿宋" w:hAnsi="仿宋" w:eastAsia="仿宋" w:cs="仿宋"/>
          <w:sz w:val="28"/>
          <w:szCs w:val="28"/>
          <w:lang w:val="en-US" w:eastAsia="zh-CN"/>
        </w:rPr>
        <w:sectPr>
          <w:footerReference w:type="default" r:id="rId16"/>
          <w:footnotePr/>
          <w:endnotePr/>
          <w:type w:val="nextPage"/>
          <w:pgSz w:w="11906" w:h="16838" w:orient="portrait"/>
          <w:pgMar w:top="840" w:right="1134" w:bottom="598" w:left="1134" w:header="851" w:footer="992" w:gutter="0"/>
          <w:pgNumType w:start="1"/>
          <w:cols w:num="1" w:sep="0" w:space="1701" w:equalWidth="1"/>
          <w:docGrid w:linePitch="360"/>
        </w:sectPr>
      </w:pPr>
      <w:r>
        <w:rPr>
          <w:rFonts w:hint="eastAsia" w:ascii="仿宋" w:hAnsi="仿宋" w:eastAsia="仿宋" w:cs="仿宋"/>
          <w:color w:val="000000"/>
          <w:sz w:val="24"/>
          <w:szCs w:val="24"/>
          <w:lang w:val="en-US" w:eastAsia="zh-CN" w:bidi="ar-SA"/>
        </w:rPr>
        <w:t xml:space="preserve">3. 采购代理机构有权将以上内容进行公示   </w:t>
      </w:r>
      <w:r>
        <w:rPr>
          <w:rFonts w:hint="eastAsia" w:ascii="仿宋" w:hAnsi="仿宋" w:eastAsia="仿宋" w:cs="仿宋"/>
          <w:sz w:val="28"/>
          <w:szCs w:val="28"/>
          <w:lang w:val="en-US" w:eastAsia="zh-CN"/>
        </w:rPr>
        <w:t xml:space="preserve">    </w:t>
      </w:r>
      <w:r/>
    </w:p>
    <w:p>
      <w:pPr>
        <w:pStyle w:val="1029"/>
        <w:jc w:val="center"/>
        <w:spacing w:line="360" w:lineRule="auto"/>
        <w:rPr>
          <w:rFonts w:hint="eastAsia" w:ascii="仿宋" w:hAnsi="仿宋" w:eastAsia="仿宋" w:cs="仿宋"/>
          <w:sz w:val="24"/>
          <w:szCs w:val="24"/>
        </w:rPr>
      </w:pPr>
      <w:r>
        <w:rPr>
          <w:rFonts w:hint="eastAsia" w:ascii="仿宋" w:hAnsi="仿宋" w:eastAsia="仿宋" w:cs="仿宋"/>
          <w:sz w:val="28"/>
          <w:szCs w:val="28"/>
        </w:rPr>
        <w:t xml:space="preserve">四、偏离表格式</w:t>
      </w:r>
      <w:r/>
    </w:p>
    <w:p>
      <w:pPr>
        <w:pStyle w:val="1029"/>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9"/>
        <w:ind w:firstLine="480"/>
        <w:spacing w:line="360" w:lineRule="auto"/>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 xml:space="preserve">项目名称：</w:t>
      </w:r>
      <w:r/>
    </w:p>
    <w:p>
      <w:pPr>
        <w:pStyle w:val="1029"/>
        <w:ind w:firstLine="480"/>
        <w:spacing w:line="360" w:lineRule="auto"/>
        <w:rPr>
          <w:rFonts w:hint="eastAsia" w:ascii="仿宋" w:hAnsi="仿宋" w:eastAsia="仿宋" w:cs="仿宋"/>
          <w:color w:val="000000"/>
          <w:sz w:val="21"/>
          <w:szCs w:val="24"/>
          <w:lang w:val="en-US" w:eastAsia="zh-CN"/>
        </w:rPr>
      </w:pPr>
      <w:r>
        <w:rPr>
          <w:rFonts w:hint="eastAsia" w:ascii="仿宋" w:hAnsi="仿宋" w:eastAsia="仿宋" w:cs="仿宋"/>
          <w:color w:val="000000"/>
          <w:sz w:val="24"/>
          <w:szCs w:val="24"/>
        </w:rPr>
        <w:t xml:space="preserve">项目编号：</w:t>
      </w:r>
      <w:r/>
    </w:p>
    <w:p>
      <w:pPr>
        <w:pStyle w:val="1029"/>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tbl>
      <w:tblPr>
        <w:tblStyle w:val="837"/>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序号</w:t>
            </w:r>
            <w:r/>
          </w:p>
        </w:tc>
        <w:tc>
          <w:tcPr>
            <w:tcW w:w="1404"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偏离内容</w:t>
            </w:r>
            <w:r/>
          </w:p>
        </w:tc>
        <w:tc>
          <w:tcPr>
            <w:tcW w:w="1476"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olor w:val="000000"/>
                <w:sz w:val="24"/>
                <w:szCs w:val="24"/>
              </w:rPr>
              <w:t xml:space="preserve">招标文件的要求</w:t>
            </w:r>
            <w:r/>
          </w:p>
        </w:tc>
        <w:tc>
          <w:tcPr>
            <w:tcW w:w="1620"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olor w:val="000000"/>
                <w:sz w:val="24"/>
                <w:szCs w:val="24"/>
              </w:rPr>
              <w:t xml:space="preserve">投标文件中的内容</w:t>
            </w:r>
            <w:r/>
          </w:p>
        </w:tc>
        <w:tc>
          <w:tcPr>
            <w:tcW w:w="1260"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（正/负/无）偏离</w:t>
            </w:r>
            <w:r/>
          </w:p>
        </w:tc>
        <w:tc>
          <w:tcPr>
            <w:tcW w:w="2520" w:type="dxa"/>
            <w:vAlign w:val="center"/>
            <w:textDirection w:val="lrTb"/>
            <w:noWrap w:val="false"/>
          </w:tcPr>
          <w:p>
            <w:pPr>
              <w:pStyle w:val="1029"/>
              <w:jc w:val="center"/>
              <w:spacing w:line="360" w:lineRule="auto"/>
              <w:rPr>
                <w:rFonts w:hint="eastAsia" w:ascii="仿宋" w:hAnsi="仿宋" w:eastAsia="仿宋" w:cs="仿宋"/>
                <w:caps/>
                <w:color w:val="000000"/>
                <w:sz w:val="24"/>
                <w:szCs w:val="24"/>
              </w:rPr>
            </w:pPr>
            <w:r>
              <w:rPr>
                <w:rFonts w:hint="eastAsia" w:ascii="仿宋" w:hAnsi="仿宋" w:eastAsia="仿宋" w:cs="仿宋"/>
                <w:caps/>
                <w:color w:val="000000"/>
                <w:sz w:val="24"/>
                <w:szCs w:val="24"/>
              </w:rPr>
              <w:t xml:space="preserve">说明</w:t>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7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04"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476"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20" w:type="dxa"/>
            <w:vAlign w:val="top"/>
            <w:textDirection w:val="lrTb"/>
            <w:noWrap w:val="false"/>
          </w:tcPr>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pStyle w:val="1029"/>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1029"/>
        <w:ind w:firstLine="56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注</w:t>
      </w:r>
      <w:r>
        <w:rPr>
          <w:rFonts w:hint="eastAsia" w:ascii="仿宋" w:hAnsi="仿宋" w:eastAsia="仿宋" w:cs="仿宋"/>
          <w:sz w:val="24"/>
          <w:szCs w:val="24"/>
        </w:rPr>
        <w:t xml:space="preserve">：投标人的投标文件中的内容与招标文件（含招标文件的澄清或者修改的内容）的要求不同时，逐条列在偏离表中，否则将认为投标人接受招标文件的要求。</w:t>
      </w:r>
      <w:r/>
    </w:p>
    <w:p>
      <w:pPr>
        <w:pStyle w:val="102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9"/>
        <w:ind w:firstLine="285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（盖单位电子签章）</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29"/>
        <w:ind w:firstLine="39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9"/>
        <w:ind w:firstLine="39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29"/>
        <w:ind w:firstLine="60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1029"/>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1029"/>
        <w:ind w:firstLine="600"/>
        <w:jc w:val="center"/>
        <w:spacing w:line="360" w:lineRule="auto"/>
        <w:rPr>
          <w:rFonts w:hint="eastAsia" w:ascii="仿宋" w:hAnsi="仿宋" w:eastAsia="仿宋" w:cs="仿宋"/>
          <w:sz w:val="28"/>
          <w:szCs w:val="28"/>
        </w:rPr>
      </w:pPr>
      <w:r>
        <w:rPr>
          <w:rFonts w:hint="eastAsia" w:ascii="仿宋" w:hAnsi="仿宋" w:eastAsia="仿宋" w:cs="仿宋"/>
          <w:bCs/>
          <w:sz w:val="28"/>
          <w:szCs w:val="28"/>
        </w:rPr>
        <w:br w:type="page" w:clear="all"/>
      </w:r>
      <w:r>
        <w:rPr>
          <w:rFonts w:hint="eastAsia" w:ascii="仿宋" w:hAnsi="仿宋" w:eastAsia="仿宋" w:cs="仿宋"/>
          <w:bCs/>
          <w:sz w:val="28"/>
          <w:szCs w:val="28"/>
        </w:rPr>
        <w:t xml:space="preserve">五、法定代表人授权</w:t>
      </w:r>
      <w:r>
        <w:rPr>
          <w:rFonts w:hint="eastAsia" w:ascii="仿宋" w:hAnsi="仿宋" w:eastAsia="仿宋" w:cs="仿宋"/>
          <w:bCs/>
          <w:sz w:val="28"/>
          <w:szCs w:val="28"/>
          <w:lang w:eastAsia="zh-CN"/>
        </w:rPr>
        <w:t xml:space="preserve">委托</w:t>
      </w:r>
      <w:r>
        <w:rPr>
          <w:rFonts w:hint="eastAsia" w:ascii="仿宋" w:hAnsi="仿宋" w:eastAsia="仿宋" w:cs="仿宋"/>
          <w:bCs/>
          <w:sz w:val="28"/>
          <w:szCs w:val="28"/>
        </w:rPr>
        <w:t xml:space="preserve">书格式</w:t>
      </w:r>
      <w:r/>
    </w:p>
    <w:p>
      <w:pPr>
        <w:pStyle w:val="102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法定代表人（负责人）：               职务：</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                   性别：男（女）  </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岁                 民族：   族</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p>
    <w:p>
      <w:pPr>
        <w:pStyle w:val="1029"/>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受托人联系电话：</w:t>
      </w:r>
      <w:r/>
    </w:p>
    <w:p>
      <w:pPr>
        <w:pStyle w:val="1029"/>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兹委托（  </w:t>
      </w:r>
      <w:r>
        <w:rPr>
          <w:rFonts w:hint="eastAsia" w:ascii="仿宋" w:hAnsi="仿宋" w:eastAsia="仿宋" w:cs="仿宋"/>
          <w:color w:val="000000"/>
          <w:sz w:val="24"/>
          <w:szCs w:val="24"/>
        </w:rPr>
        <w:t xml:space="preserve">    ）全权代表我企业（公司）参与（</w:t>
      </w:r>
      <w:r>
        <w:rPr>
          <w:rFonts w:hint="eastAsia" w:ascii="仿宋" w:hAnsi="仿宋" w:eastAsia="仿宋" w:cs="仿宋"/>
          <w:color w:val="000000"/>
          <w:sz w:val="24"/>
          <w:szCs w:val="24"/>
          <w:lang w:eastAsia="zh-CN"/>
        </w:rPr>
        <w:t xml:space="preserve">新沂市镇村污水处理设施运营及管网维护</w:t>
      </w:r>
      <w:r>
        <w:rPr>
          <w:rFonts w:hint="eastAsia" w:ascii="仿宋" w:hAnsi="仿宋" w:eastAsia="仿宋" w:cs="仿宋"/>
          <w:color w:val="000000"/>
          <w:sz w:val="24"/>
          <w:szCs w:val="24"/>
        </w:rPr>
        <w:t xml:space="preserve">）项目（项目编号：</w:t>
      </w:r>
      <w:r>
        <w:rPr>
          <w:rFonts w:hint="eastAsia" w:ascii="仿宋" w:hAnsi="仿宋" w:eastAsia="仿宋" w:cs="仿宋"/>
          <w:color w:val="000000"/>
          <w:sz w:val="24"/>
          <w:szCs w:val="24"/>
          <w:lang w:eastAsia="zh-CN"/>
        </w:rPr>
        <w:t xml:space="preserve">JSZC-320381-XZGB-G2024-0015</w:t>
      </w:r>
      <w:r>
        <w:rPr>
          <w:rFonts w:hint="eastAsia" w:ascii="仿宋" w:hAnsi="仿宋" w:eastAsia="仿宋" w:cs="仿宋"/>
          <w:color w:val="000000"/>
          <w:sz w:val="24"/>
          <w:szCs w:val="24"/>
        </w:rPr>
        <w:t xml:space="preserve">）的招、投标活动及签订合同。（         ）以我企业（公司）名义所为的法律行为及签署的文件，我企业（</w:t>
      </w:r>
      <w:r>
        <w:rPr>
          <w:rFonts w:hint="eastAsia" w:ascii="仿宋" w:hAnsi="仿宋" w:eastAsia="仿宋" w:cs="仿宋"/>
          <w:sz w:val="24"/>
          <w:szCs w:val="24"/>
        </w:rPr>
        <w:t xml:space="preserve">公司）均予以认可。有关法律责任均由我企业（公司）承担。（         ）无转委托权。委托期限自   年  月  日起至  年  月    日止。</w:t>
      </w:r>
      <w:r/>
    </w:p>
    <w:p>
      <w:pPr>
        <w:pStyle w:val="1029"/>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特此授权委托。</w:t>
      </w:r>
      <w:r/>
    </w:p>
    <w:p>
      <w:pPr>
        <w:pStyle w:val="1020"/>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20"/>
        <w:spacing w:line="360" w:lineRule="auto"/>
        <w:rPr>
          <w:rFonts w:hint="eastAsia" w:ascii="仿宋" w:hAnsi="仿宋" w:eastAsia="仿宋" w:cs="仿宋"/>
          <w:sz w:val="21"/>
          <w:szCs w:val="24"/>
        </w:rPr>
      </w:pPr>
      <w:r>
        <w:rPr>
          <w:rFonts w:hint="eastAsia" w:ascii="仿宋" w:hAnsi="仿宋" w:eastAsia="仿宋" w:cs="仿宋"/>
          <w:sz w:val="21"/>
          <w:szCs w:val="24"/>
        </w:rPr>
      </w:r>
      <w:r/>
    </w:p>
    <w:p>
      <w:pPr>
        <w:ind w:firstLine="7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委托人</w:t>
      </w:r>
      <w:r>
        <w:rPr>
          <w:rStyle w:val="1062"/>
          <w:rFonts w:hint="eastAsia" w:ascii="仿宋" w:hAnsi="仿宋" w:eastAsia="仿宋" w:cs="仿宋"/>
          <w:color w:val="000000"/>
          <w:sz w:val="24"/>
          <w:szCs w:val="24"/>
          <w:highlight w:val="none"/>
        </w:rPr>
        <w:t xml:space="preserve">（电子签章）</w:t>
      </w:r>
      <w:r>
        <w:rPr>
          <w:rFonts w:hint="eastAsia" w:ascii="仿宋" w:hAnsi="仿宋" w:eastAsia="仿宋" w:cs="仿宋"/>
          <w:sz w:val="24"/>
          <w:szCs w:val="24"/>
        </w:rPr>
        <w:t xml:space="preserve">：               </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w:t>
      </w:r>
      <w:r>
        <w:rPr>
          <w:rFonts w:hint="eastAsia" w:ascii="仿宋" w:hAnsi="仿宋" w:eastAsia="仿宋" w:cs="仿宋"/>
          <w:sz w:val="24"/>
          <w:szCs w:val="24"/>
          <w:lang w:val="en-US" w:eastAsia="zh-CN"/>
        </w:rPr>
        <w:t xml:space="preserve">或盖章</w:t>
      </w:r>
      <w:r>
        <w:rPr>
          <w:rFonts w:hint="eastAsia" w:ascii="仿宋" w:hAnsi="仿宋" w:eastAsia="仿宋" w:cs="仿宋"/>
          <w:sz w:val="24"/>
          <w:szCs w:val="24"/>
        </w:rPr>
        <w:t xml:space="preserve">）： </w:t>
      </w:r>
      <w:r/>
    </w:p>
    <w:p>
      <w:pPr>
        <w:pStyle w:val="1029"/>
        <w:ind w:right="600" w:firstLine="615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   月   日 </w:t>
      </w:r>
      <w:r/>
    </w:p>
    <w:p>
      <w:pPr>
        <w:pStyle w:val="1020"/>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2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(受托人身份证复印件附后)</w:t>
      </w:r>
      <w:r/>
    </w:p>
    <w:p>
      <w:pPr>
        <w:pStyle w:val="1029"/>
        <w:ind w:firstLine="447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29"/>
        <w:ind w:firstLine="447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9"/>
        <w:ind w:firstLine="447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ind w:firstLine="447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shd w:val="clear" w:color="auto" w:fill="auto"/>
        <w:rPr>
          <w:rFonts w:hint="eastAsia" w:ascii="仿宋" w:hAnsi="仿宋" w:eastAsia="仿宋" w:cs="仿宋"/>
          <w:sz w:val="28"/>
          <w:szCs w:val="28"/>
          <w:highlight w:val="none"/>
        </w:rPr>
      </w:pPr>
      <w:r>
        <w:rPr>
          <w:rFonts w:hint="eastAsia" w:ascii="仿宋" w:hAnsi="仿宋" w:eastAsia="仿宋" w:cs="仿宋"/>
          <w:sz w:val="28"/>
          <w:szCs w:val="28"/>
        </w:rPr>
        <w:t xml:space="preserve">六、中小企业声明函格式</w:t>
      </w:r>
      <w:r/>
    </w:p>
    <w:p>
      <w:pPr>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 xml:space="preserve">项目名称：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pStyle w:val="1061"/>
        <w:spacing w:line="360" w:lineRule="auto"/>
        <w:rPr>
          <w:rFonts w:hint="eastAsia" w:ascii="仿宋" w:hAnsi="仿宋" w:eastAsia="仿宋" w:cs="仿宋"/>
          <w:sz w:val="24"/>
          <w:szCs w:val="20"/>
        </w:rPr>
      </w:pPr>
      <w:r>
        <w:rPr>
          <w:rFonts w:hint="eastAsia" w:ascii="仿宋" w:hAnsi="仿宋" w:eastAsia="仿宋" w:cs="仿宋"/>
          <w:sz w:val="24"/>
          <w:szCs w:val="20"/>
        </w:rPr>
      </w:r>
      <w:r/>
    </w:p>
    <w:p>
      <w:pPr>
        <w:pStyle w:val="1029"/>
        <w:ind w:firstLine="720"/>
        <w:jc w:val="both"/>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color w:val="000000"/>
          <w:sz w:val="24"/>
          <w:szCs w:val="24"/>
          <w:highlight w:val="none"/>
        </w:rPr>
        <w:t xml:space="preserve">本公司郑重声明，根据《政府采购促进中小企业发展暂行办法》（财库﹝2020﹞46 号）的规定，本公司参加</w:t>
      </w:r>
      <w:r>
        <w:rPr>
          <w:rFonts w:hint="eastAsia" w:ascii="仿宋" w:hAnsi="仿宋" w:eastAsia="仿宋" w:cs="仿宋"/>
          <w:sz w:val="24"/>
          <w:szCs w:val="24"/>
          <w:u w:val="single"/>
          <w:lang w:eastAsia="zh-CN"/>
        </w:rPr>
        <w:t xml:space="preserve">新沂市住房和城乡建设局</w:t>
      </w:r>
      <w:r>
        <w:rPr>
          <w:rStyle w:val="1062"/>
          <w:rFonts w:hint="eastAsia" w:ascii="仿宋" w:hAnsi="仿宋" w:eastAsia="仿宋" w:cs="仿宋"/>
          <w:color w:val="000000"/>
          <w:sz w:val="24"/>
          <w:szCs w:val="24"/>
          <w:highlight w:val="none"/>
        </w:rPr>
        <w:t xml:space="preserve">的</w:t>
      </w:r>
      <w:r>
        <w:rPr>
          <w:rFonts w:hint="eastAsia" w:ascii="仿宋" w:hAnsi="仿宋" w:eastAsia="仿宋" w:cs="仿宋"/>
          <w:sz w:val="24"/>
          <w:szCs w:val="24"/>
          <w:u w:val="single"/>
          <w:lang w:eastAsia="zh-CN"/>
        </w:rPr>
        <w:t xml:space="preserve">新沂市镇村污水处理设施运营及管网维护</w:t>
      </w:r>
      <w:r>
        <w:rPr>
          <w:rStyle w:val="1062"/>
          <w:rFonts w:hint="eastAsia" w:ascii="仿宋" w:hAnsi="仿宋" w:eastAsia="仿宋" w:cs="仿宋"/>
          <w:color w:val="000000"/>
          <w:sz w:val="24"/>
          <w:szCs w:val="24"/>
          <w:highlight w:val="none"/>
        </w:rPr>
        <w:t xml:space="preserve">采购活动，服务全部由符合政策要求的中小企业承接。相关企业的具体情况如下：</w:t>
      </w:r>
      <w:r/>
    </w:p>
    <w:p>
      <w:pPr>
        <w:ind w:firstLine="480"/>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color w:val="000000"/>
          <w:sz w:val="24"/>
          <w:szCs w:val="24"/>
          <w:highlight w:val="none"/>
          <w:lang w:val="en-US"/>
        </w:rPr>
        <w:t xml:space="preserve"> </w:t>
      </w:r>
      <w:r>
        <w:rPr>
          <w:rFonts w:hint="eastAsia" w:ascii="仿宋" w:hAnsi="仿宋" w:eastAsia="仿宋" w:cs="仿宋"/>
          <w:sz w:val="24"/>
          <w:szCs w:val="24"/>
          <w:u w:val="single"/>
          <w:lang w:eastAsia="zh-CN"/>
        </w:rPr>
        <w:t xml:space="preserve">新沂市镇村污水处理设施运营及管网维护</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lang w:val="en-US" w:eastAsia="zh-CN"/>
        </w:rPr>
        <w:t xml:space="preserve">其他未列明</w:t>
      </w:r>
      <w:r>
        <w:rPr>
          <w:rFonts w:hint="eastAsia" w:ascii="仿宋" w:hAnsi="仿宋" w:eastAsia="仿宋" w:cs="仿宋"/>
          <w:color w:val="000000"/>
          <w:sz w:val="24"/>
          <w:szCs w:val="24"/>
          <w:highlight w:val="none"/>
          <w:u w:val="single"/>
          <w:lang w:eastAsia="zh-CN"/>
        </w:rPr>
        <w:t xml:space="preserve">行业</w:t>
      </w:r>
      <w:r>
        <w:rPr>
          <w:rFonts w:hint="eastAsia" w:ascii="仿宋" w:hAnsi="仿宋" w:eastAsia="仿宋" w:cs="仿宋"/>
          <w:color w:val="000000"/>
          <w:sz w:val="24"/>
          <w:szCs w:val="24"/>
          <w:highlight w:val="none"/>
        </w:rPr>
        <w:t xml:space="preserve">； 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 </w:t>
      </w:r>
      <w:r>
        <w:rPr>
          <w:rFonts w:hint="eastAsia" w:ascii="仿宋" w:hAnsi="仿宋" w:eastAsia="仿宋" w:cs="仿宋"/>
          <w:color w:val="000000"/>
          <w:sz w:val="24"/>
          <w:szCs w:val="24"/>
          <w:highlight w:val="none"/>
        </w:rPr>
        <w:t xml:space="preserve">（中型企业、小型企业、微型企业</w:t>
      </w:r>
      <w:r>
        <w:rPr>
          <w:rFonts w:hint="eastAsia" w:ascii="仿宋" w:hAnsi="仿宋" w:eastAsia="仿宋" w:cs="仿宋"/>
          <w:b/>
          <w:color w:val="000000"/>
          <w:sz w:val="24"/>
          <w:szCs w:val="24"/>
          <w:highlight w:val="none"/>
          <w:u w:val="single"/>
        </w:rPr>
        <w:t xml:space="preserve">请</w:t>
      </w:r>
      <w:r>
        <w:rPr>
          <w:rFonts w:hint="eastAsia" w:ascii="仿宋" w:hAnsi="仿宋" w:eastAsia="仿宋" w:cs="仿宋"/>
          <w:b/>
          <w:color w:val="000000"/>
          <w:sz w:val="24"/>
          <w:szCs w:val="24"/>
          <w:highlight w:val="none"/>
          <w:u w:val="single"/>
          <w:lang w:eastAsia="zh-CN"/>
        </w:rPr>
        <w:t xml:space="preserve">选</w:t>
      </w:r>
      <w:r>
        <w:rPr>
          <w:rFonts w:hint="eastAsia" w:ascii="仿宋" w:hAnsi="仿宋" w:eastAsia="仿宋" w:cs="仿宋"/>
          <w:b/>
          <w:color w:val="000000"/>
          <w:sz w:val="24"/>
          <w:szCs w:val="24"/>
          <w:highlight w:val="none"/>
          <w:u w:val="single"/>
        </w:rPr>
        <w:t xml:space="preserve">填！</w:t>
      </w:r>
      <w:r>
        <w:rPr>
          <w:rFonts w:hint="eastAsia" w:ascii="仿宋" w:hAnsi="仿宋" w:eastAsia="仿宋" w:cs="仿宋"/>
          <w:color w:val="000000"/>
          <w:sz w:val="24"/>
          <w:szCs w:val="24"/>
          <w:highlight w:val="none"/>
        </w:rPr>
        <w:t xml:space="preserve">）；</w:t>
      </w:r>
      <w:r/>
    </w:p>
    <w:p>
      <w:pPr>
        <w:ind w:firstLine="482"/>
        <w:spacing w:line="360" w:lineRule="auto"/>
        <w:rPr>
          <w:rStyle w:val="1062"/>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b/>
          <w:bCs/>
          <w:color w:val="000000"/>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color w:val="000000"/>
          <w:sz w:val="24"/>
          <w:szCs w:val="24"/>
          <w:highlight w:val="none"/>
        </w:rPr>
        <w:t xml:space="preserve">　　本企业对上述声明内容的真实性负责。如有虚假，将依法承担相应责任。</w:t>
      </w:r>
      <w:r/>
    </w:p>
    <w:p>
      <w:pPr>
        <w:ind w:firstLine="480"/>
        <w:jc w:val="left"/>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color w:val="000000"/>
          <w:sz w:val="24"/>
          <w:szCs w:val="24"/>
          <w:highlight w:val="none"/>
        </w:rPr>
        <w:t xml:space="preserve">备注：从业人员、营业收入、资产总额填报上一年度数据，无上一年度数据的新成立企业可不填报。</w:t>
      </w:r>
      <w:r/>
    </w:p>
    <w:p>
      <w:pPr>
        <w:ind w:left="2520" w:firstLine="420"/>
        <w:jc w:val="left"/>
        <w:spacing w:line="360" w:lineRule="auto"/>
        <w:rPr>
          <w:rStyle w:val="1062"/>
          <w:rFonts w:hint="eastAsia" w:ascii="仿宋" w:hAnsi="仿宋" w:eastAsia="仿宋" w:cs="仿宋"/>
          <w:color w:val="000000"/>
          <w:sz w:val="24"/>
          <w:szCs w:val="24"/>
          <w:highlight w:val="none"/>
        </w:rPr>
      </w:pPr>
      <w:r>
        <w:rPr>
          <w:rStyle w:val="1062"/>
          <w:rFonts w:hint="eastAsia" w:ascii="仿宋" w:hAnsi="仿宋" w:eastAsia="仿宋" w:cs="仿宋"/>
          <w:color w:val="000000"/>
          <w:sz w:val="24"/>
          <w:szCs w:val="24"/>
          <w:highlight w:val="none"/>
        </w:rPr>
        <w:t xml:space="preserve">投标人：（电子签章）</w:t>
      </w:r>
      <w:r/>
    </w:p>
    <w:p>
      <w:pPr>
        <w:ind w:left="2520"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pStyle w:val="1041"/>
        <w:spacing w:line="360" w:lineRule="auto"/>
        <w:rPr>
          <w:rFonts w:hint="eastAsia" w:ascii="仿宋" w:hAnsi="仿宋" w:eastAsia="仿宋" w:cs="仿宋"/>
          <w:sz w:val="28"/>
          <w:szCs w:val="44"/>
        </w:rPr>
      </w:pPr>
      <w:r>
        <w:rPr>
          <w:rFonts w:hint="eastAsia" w:ascii="仿宋" w:hAnsi="仿宋" w:eastAsia="仿宋" w:cs="仿宋"/>
          <w:sz w:val="28"/>
          <w:szCs w:val="44"/>
        </w:rPr>
      </w:r>
      <w:r/>
    </w:p>
    <w:p>
      <w:pPr>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6"/>
        <w:ind w:left="0"/>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供应商提供的《中小企业声明函》与事实不符的，依照《政府采购法》第七十七条第一款的规定追究法律责任。</w:t>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36"/>
        <w:ind w:left="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1992630</wp:posOffset>
                </wp:positionH>
                <wp:positionV relativeFrom="paragraph">
                  <wp:posOffset>1843405</wp:posOffset>
                </wp:positionV>
                <wp:extent cx="2163445" cy="4689475"/>
                <wp:effectExtent l="0" t="0" r="8255" b="15875"/>
                <wp:wrapNone/>
                <wp:docPr id="4" name="图片 2"/>
                <wp:cNvGraphicFramePr/>
                <a:graphic xmlns:a="http://schemas.openxmlformats.org/drawingml/2006/main">
                  <a:graphicData uri="http://schemas.openxmlformats.org/drawingml/2006/picture">
                    <pic:pic xmlns:pic="http://schemas.openxmlformats.org/drawingml/2006/picture">
                      <pic:nvPicPr>
                        <pic:cNvPr id="12" name="图片 2"/>
                        <pic:cNvPicPr/>
                        <pic:nvPr/>
                      </pic:nvPicPr>
                      <pic:blipFill>
                        <a:blip r:embed="rId18"/>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56.9pt;mso-position-horizontal:absolute;mso-position-vertical-relative:text;margin-top:145.2pt;mso-position-vertical:absolute;width:170.3pt;height:369.2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63"/>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9"/>
        <w:jc w:val="center"/>
        <w:spacing w:line="360" w:lineRule="auto"/>
        <w:rPr>
          <w:rFonts w:hint="eastAsia" w:ascii="仿宋" w:hAnsi="仿宋" w:eastAsia="仿宋" w:cs="仿宋"/>
          <w:b/>
          <w:spacing w:val="6"/>
          <w:sz w:val="28"/>
          <w:szCs w:val="28"/>
        </w:rPr>
      </w:pPr>
      <w:r>
        <w:rPr>
          <w:rFonts w:hint="eastAsia" w:ascii="仿宋" w:hAnsi="仿宋" w:eastAsia="仿宋" w:cs="仿宋"/>
          <w:color w:val="000000"/>
          <w:sz w:val="21"/>
          <w:szCs w:val="24"/>
        </w:rPr>
        <w:br w:type="page" w:clear="all"/>
      </w:r>
      <w:r>
        <w:rPr>
          <w:rFonts w:hint="eastAsia" w:ascii="仿宋" w:hAnsi="仿宋" w:eastAsia="仿宋" w:cs="仿宋"/>
          <w:sz w:val="28"/>
          <w:szCs w:val="28"/>
        </w:rPr>
        <w:t xml:space="preserve">七、残疾人福利性单位声明函格式</w:t>
      </w:r>
      <w:r/>
    </w:p>
    <w:p>
      <w:pPr>
        <w:pStyle w:val="1029"/>
        <w:ind w:firstLine="624"/>
        <w:spacing w:line="360" w:lineRule="auto"/>
        <w:rPr>
          <w:rFonts w:hint="eastAsia" w:ascii="仿宋" w:hAnsi="仿宋" w:eastAsia="仿宋" w:cs="仿宋"/>
          <w:spacing w:val="6"/>
          <w:sz w:val="24"/>
          <w:szCs w:val="24"/>
          <w:lang w:val="en-US" w:eastAsia="zh-CN"/>
        </w:rPr>
      </w:pPr>
      <w:r>
        <w:rPr>
          <w:rFonts w:hint="eastAsia" w:ascii="仿宋" w:hAnsi="仿宋" w:eastAsia="仿宋" w:cs="仿宋"/>
          <w:spacing w:val="6"/>
          <w:sz w:val="24"/>
          <w:szCs w:val="24"/>
          <w:lang w:eastAsia="zh-CN"/>
        </w:rPr>
        <w:t xml:space="preserve">（如不属于则不需要提供）</w:t>
      </w:r>
      <w:r/>
    </w:p>
    <w:p>
      <w:pPr>
        <w:pStyle w:val="1029"/>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项目名称： </w:t>
      </w:r>
      <w:r/>
    </w:p>
    <w:p>
      <w:pPr>
        <w:pStyle w:val="1029"/>
        <w:ind w:firstLine="504"/>
        <w:spacing w:line="360" w:lineRule="auto"/>
        <w:rPr>
          <w:rFonts w:hint="eastAsia" w:ascii="仿宋" w:hAnsi="仿宋" w:eastAsia="仿宋" w:cs="仿宋"/>
          <w:spacing w:val="6"/>
          <w:sz w:val="24"/>
          <w:szCs w:val="24"/>
          <w:lang w:val="en-US" w:eastAsia="zh-CN"/>
        </w:rPr>
      </w:pPr>
      <w:r>
        <w:rPr>
          <w:rFonts w:hint="eastAsia" w:ascii="仿宋" w:hAnsi="仿宋" w:eastAsia="仿宋" w:cs="仿宋"/>
          <w:spacing w:val="6"/>
          <w:sz w:val="24"/>
          <w:szCs w:val="24"/>
        </w:rPr>
        <w:t xml:space="preserve">项目编号：</w:t>
      </w:r>
      <w:r/>
    </w:p>
    <w:p>
      <w:pPr>
        <w:pStyle w:val="1029"/>
        <w:ind w:firstLine="624"/>
        <w:spacing w:line="360" w:lineRule="auto"/>
        <w:rPr>
          <w:rFonts w:hint="eastAsia" w:ascii="仿宋" w:hAnsi="仿宋" w:eastAsia="仿宋" w:cs="仿宋"/>
          <w:spacing w:val="6"/>
          <w:sz w:val="24"/>
          <w:szCs w:val="24"/>
          <w:lang w:eastAsia="zh-CN"/>
        </w:rPr>
      </w:pPr>
      <w:r>
        <w:rPr>
          <w:rFonts w:hint="eastAsia" w:ascii="仿宋" w:hAnsi="仿宋" w:eastAsia="仿宋" w:cs="仿宋"/>
          <w:spacing w:val="6"/>
          <w:sz w:val="24"/>
          <w:szCs w:val="24"/>
          <w:lang w:eastAsia="zh-CN"/>
        </w:rPr>
      </w:r>
      <w:r/>
    </w:p>
    <w:p>
      <w:pPr>
        <w:pStyle w:val="102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cs="仿宋"/>
          <w:sz w:val="24"/>
          <w:szCs w:val="24"/>
        </w:rPr>
        <w:t xml:space="preserve">〔2017〕 141</w:t>
      </w:r>
      <w:r>
        <w:rPr>
          <w:rFonts w:hint="eastAsia" w:ascii="仿宋" w:hAnsi="仿宋" w:eastAsia="仿宋" w:cs="仿宋"/>
          <w:spacing w:val="6"/>
          <w:sz w:val="24"/>
          <w:szCs w:val="24"/>
        </w:rPr>
        <w:t xml:space="preserve">号）的规定，本单位为符合条件的残疾人福利性单位，且本单位参加</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单位的</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02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本单位对上述声明的真实性负责。如有虚假，将依法承担相应责任。</w:t>
      </w:r>
      <w:r/>
    </w:p>
    <w:p>
      <w:pPr>
        <w:pStyle w:val="102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29"/>
        <w:ind w:firstLine="62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29"/>
        <w:ind w:firstLine="255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（盖单位电子签章）</w:t>
      </w:r>
      <w:r/>
    </w:p>
    <w:p>
      <w:pPr>
        <w:pStyle w:val="1029"/>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1029"/>
        <w:ind w:firstLine="45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29"/>
        <w:ind w:firstLine="45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029"/>
        <w:ind w:firstLine="45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29"/>
        <w:ind w:firstLine="600"/>
        <w:spacing w:line="360" w:lineRule="auto"/>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八、投标人参加政府采购活动前3年内在经营活动中没有重大违法记录的书面声明格式</w:t>
      </w:r>
      <w:r/>
    </w:p>
    <w:p>
      <w:pPr>
        <w:pStyle w:val="1029"/>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9"/>
        <w:ind w:firstLine="72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我单位在参加</w:t>
      </w:r>
      <w:r>
        <w:rPr>
          <w:rFonts w:hint="eastAsia" w:ascii="仿宋" w:hAnsi="仿宋" w:eastAsia="仿宋" w:cs="仿宋"/>
          <w:color w:val="000000"/>
          <w:sz w:val="24"/>
          <w:szCs w:val="24"/>
          <w:lang w:eastAsia="zh-CN"/>
        </w:rPr>
        <w:t xml:space="preserve">新沂市镇村污水处理设施运营及管网维护</w:t>
      </w:r>
      <w:r>
        <w:rPr>
          <w:rFonts w:hint="eastAsia" w:ascii="仿宋" w:hAnsi="仿宋" w:eastAsia="仿宋" w:cs="仿宋"/>
          <w:color w:val="000000"/>
          <w:sz w:val="24"/>
          <w:szCs w:val="24"/>
        </w:rPr>
        <w:t xml:space="preserve">（项目编</w:t>
      </w:r>
      <w:r>
        <w:rPr>
          <w:rFonts w:hint="eastAsia" w:ascii="仿宋" w:hAnsi="仿宋" w:eastAsia="仿宋" w:cs="仿宋"/>
          <w:color w:val="000000"/>
          <w:sz w:val="24"/>
          <w:szCs w:val="24"/>
          <w:lang w:eastAsia="zh-CN"/>
        </w:rPr>
        <w:t xml:space="preserve">号：JSZC-320381-XZGB-G2024-0015</w:t>
      </w:r>
      <w:r>
        <w:rPr>
          <w:rFonts w:hint="eastAsia" w:ascii="仿宋" w:hAnsi="仿宋" w:eastAsia="仿宋" w:cs="仿宋"/>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64"/>
        <w:ind w:firstLine="600"/>
        <w:keepLines w:val="0"/>
        <w:keepNext w:val="0"/>
        <w:pageBreakBefore w:val="0"/>
        <w:spacing w:before="0" w:beforeAutospacing="0" w:after="0" w:afterAutospacing="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我单位对上述声明的真实性负责。如有虚假，将依法承担相应责任。</w:t>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9"/>
        <w:ind w:firstLine="28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（盖单位电子签章）</w:t>
      </w:r>
      <w:r/>
    </w:p>
    <w:p>
      <w:pPr>
        <w:pStyle w:val="1029"/>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pStyle w:val="1029"/>
        <w:ind w:firstLine="49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pStyle w:val="102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2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2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2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29"/>
        <w:ind w:firstLine="60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29"/>
        <w:numPr>
          <w:ilvl w:val="0"/>
          <w:numId w:val="11"/>
        </w:numPr>
        <w:ind w:firstLine="562"/>
        <w:jc w:val="center"/>
        <w:spacing w:line="36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color w:val="000000"/>
          <w:sz w:val="28"/>
          <w:szCs w:val="28"/>
        </w:rPr>
        <w:t xml:space="preserve">预付款保函支付条款模板</w:t>
      </w:r>
      <w:r/>
    </w:p>
    <w:p>
      <w:pPr>
        <w:pStyle w:val="1020"/>
        <w:numPr>
          <w:ilvl w:val="0"/>
          <w:numId w:val="0"/>
        </w:numPr>
        <w:spacing w:line="360" w:lineRule="auto"/>
        <w:rPr>
          <w:rFonts w:hint="eastAsia" w:ascii="仿宋" w:hAnsi="仿宋" w:eastAsia="仿宋" w:cs="仿宋"/>
          <w:sz w:val="21"/>
          <w:szCs w:val="24"/>
        </w:rPr>
      </w:pPr>
      <w:r>
        <w:rPr>
          <w:rFonts w:hint="eastAsia" w:ascii="仿宋" w:hAnsi="仿宋" w:eastAsia="仿宋" w:cs="仿宋"/>
          <w:sz w:val="21"/>
          <w:szCs w:val="24"/>
        </w:rPr>
      </w:r>
      <w:r/>
    </w:p>
    <w:p>
      <w:pPr>
        <w:pStyle w:val="102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符合条件一：提交预付款保函的</w:t>
      </w:r>
      <w:r/>
    </w:p>
    <w:p>
      <w:pPr>
        <w:pStyle w:val="1029"/>
        <w:ind w:firstLine="60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（1）合同签订且乙方向甲方出具预付款保函后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        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29"/>
        <w:ind w:left="140" w:firstLine="60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乙方需提交的支付文件：乙方出具的全额正式发票。</w:t>
      </w:r>
      <w:r/>
    </w:p>
    <w:p>
      <w:pPr>
        <w:pStyle w:val="102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（2）验收合格后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2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p>
    <w:p>
      <w:pPr>
        <w:pStyle w:val="102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符合条件二：不提交预付款保函的</w:t>
      </w:r>
      <w:r/>
    </w:p>
    <w:p>
      <w:pPr>
        <w:pStyle w:val="1029"/>
        <w:ind w:firstLine="60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2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乙方需提交的支付文件：乙方出具的全额正式发票。</w:t>
      </w:r>
      <w:r/>
    </w:p>
    <w:p>
      <w:pPr>
        <w:pStyle w:val="102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（2）验收合格后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个工作日内，甲方应支付合同价款的百分之</w:t>
      </w:r>
      <w:r>
        <w:rPr>
          <w:rFonts w:hint="eastAsia" w:ascii="仿宋" w:hAnsi="仿宋" w:eastAsia="仿宋" w:cs="仿宋"/>
          <w:color w:val="000000"/>
          <w:sz w:val="24"/>
          <w:szCs w:val="24"/>
          <w:u w:val="single"/>
        </w:rPr>
        <w:t xml:space="preserve">XX（    XX%），</w:t>
      </w: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pStyle w:val="1029"/>
        <w:ind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p>
    <w:p>
      <w:pPr>
        <w:pStyle w:val="1029"/>
        <w:ind w:left="140" w:firstLine="605"/>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注:</w:t>
      </w:r>
      <w:r/>
    </w:p>
    <w:p>
      <w:pPr>
        <w:pStyle w:val="102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1、付款条件一中，出具预付款保函后支付的合同款应当与保函金额一致。</w:t>
      </w:r>
      <w:r/>
    </w:p>
    <w:p>
      <w:pPr>
        <w:pStyle w:val="1029"/>
        <w:ind w:left="140" w:firstLine="60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2、付款条件二中，预付款比例设定应符合《关于做好政府采购支持企业发展有关事项的通知》(苏财购〔2020〕52号)要求。</w:t>
      </w:r>
      <w:r/>
    </w:p>
    <w:p>
      <w:pPr>
        <w:pStyle w:val="10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21"/>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1026"/>
        <w:rPr>
          <w:rFonts w:hint="eastAsia"/>
          <w:lang w:val="en-US" w:eastAsia="zh-CN"/>
        </w:rPr>
      </w:pPr>
      <w:r>
        <w:rPr>
          <w:rFonts w:hint="eastAsia"/>
          <w:lang w:val="en-US" w:eastAsia="zh-CN"/>
        </w:rPr>
      </w:r>
      <w:r/>
    </w:p>
    <w:p>
      <w:pPr>
        <w:numPr>
          <w:ilvl w:val="0"/>
          <w:numId w:val="12"/>
        </w:numPr>
        <w:jc w:val="cente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具备履行合同所必需的设备和专业技术能力的书面声明</w:t>
      </w:r>
      <w:r/>
    </w:p>
    <w:p>
      <w:pPr>
        <w:numPr>
          <w:ilvl w:val="0"/>
          <w:numId w:val="0"/>
        </w:numPr>
        <w:jc w:val="cente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（附证明材料复印件）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本单位郑重声明：本单位具备履行合同所必需的设备和专业技术能力。</w:t>
      </w:r>
      <w:r/>
    </w:p>
    <w:p>
      <w:p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具体为：</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设备：</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专业技术能力：</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（证明材料复印件附后）</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特此声明。</w:t>
      </w:r>
      <w:r/>
    </w:p>
    <w:p>
      <w:pPr>
        <w:ind w:firstLine="24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供应商对上述声明的真实性负责。如有虚假，将依法承担相应责任。</w:t>
      </w:r>
      <w:r/>
    </w:p>
    <w:p>
      <w:pPr>
        <w:pStyle w:val="1029"/>
        <w:ind w:firstLine="285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1029"/>
        <w:ind w:firstLine="6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3762" w:right="2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p>
    <w:p>
      <w:pPr>
        <w:pStyle w:val="1061"/>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61"/>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61"/>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61"/>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9"/>
        <w:spacing w:line="360" w:lineRule="auto"/>
        <w:rPr>
          <w:rFonts w:hint="eastAsia" w:ascii="仿宋" w:hAnsi="仿宋" w:eastAsia="仿宋" w:cs="仿宋"/>
          <w:sz w:val="21"/>
          <w:szCs w:val="21"/>
        </w:rPr>
      </w:pPr>
      <w:r>
        <w:rPr>
          <w:rFonts w:hint="eastAsia" w:ascii="仿宋" w:hAnsi="仿宋" w:eastAsia="仿宋" w:cs="仿宋"/>
          <w:sz w:val="21"/>
          <w:szCs w:val="21"/>
        </w:rPr>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Wingdings">
    <w:panose1 w:val="05000000000000000000"/>
  </w:font>
  <w:font w:name="楷体_GB2312">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67"/>
      </w:rPr>
      <w:framePr w:wrap="around" w:vAnchor="text" w:hAnchor="margin" w:xAlign="center" w:y="1"/>
    </w:pPr>
    <w:r>
      <w:fldChar w:fldCharType="begin"/>
    </w:r>
    <w:r>
      <w:rPr>
        <w:rStyle w:val="1067"/>
      </w:rPr>
      <w:instrText xml:space="preserve">PAGE  </w:instrText>
    </w:r>
    <w:r>
      <w:fldChar w:fldCharType="end"/>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744"/>
      <w:spacing w:line="143"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744"/>
      <w:spacing w:line="143"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6"/>
                            <w:tabs>
                              <w:tab w:val="clear" w:pos="4153" w:leader="none"/>
                              <w:tab w:val="clear" w:pos="8306" w:leader="none"/>
                            </w:tabs>
                            <w:rPr>
                              <w:rStyle w:val="1067"/>
                            </w:rPr>
                          </w:pPr>
                          <w:r>
                            <w:fldChar w:fldCharType="begin"/>
                          </w:r>
                          <w:r>
                            <w:rPr>
                              <w:rStyle w:val="1067"/>
                            </w:rPr>
                            <w:instrText xml:space="preserve">PAGE  </w:instrText>
                          </w:r>
                          <w:r>
                            <w:fldChar w:fldCharType="separate"/>
                          </w:r>
                          <w:r>
                            <w:rPr>
                              <w:rStyle w:val="1067"/>
                            </w:rPr>
                            <w:t xml:space="preserve">44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tabs>
                        <w:tab w:val="clear" w:pos="4153" w:leader="none"/>
                        <w:tab w:val="clear" w:pos="8306" w:leader="none"/>
                      </w:tabs>
                      <w:rPr>
                        <w:rStyle w:val="1067"/>
                      </w:rPr>
                    </w:pPr>
                    <w:r>
                      <w:fldChar w:fldCharType="begin"/>
                    </w:r>
                    <w:r>
                      <w:rPr>
                        <w:rStyle w:val="1067"/>
                      </w:rPr>
                      <w:instrText xml:space="preserve">PAGE  </w:instrText>
                    </w:r>
                    <w:r>
                      <w:fldChar w:fldCharType="separate"/>
                    </w:r>
                    <w:r>
                      <w:rPr>
                        <w:rStyle w:val="1067"/>
                      </w:rP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right"/>
      <w:rPr>
        <w:rFonts w:hint="default" w:eastAsia="宋体"/>
        <w:sz w:val="20"/>
        <w:szCs w:val="20"/>
        <w:lang w:val="en-US" w:eastAsia="zh-CN"/>
      </w:rPr>
      <w:pBdr>
        <w:bottom w:val="none" w:color="000000" w:sz="0" w:space="0"/>
      </w:pBdr>
    </w:pPr>
    <w:r>
      <w:rPr>
        <w:rFonts w:hint="eastAsia"/>
        <w:sz w:val="20"/>
        <w:szCs w:val="20"/>
        <w:lang w:val="en-US" w:eastAsia="zh-CN"/>
      </w:rPr>
      <w:t xml:space="preserve">徐州国邦工程咨询管理有限公司编制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22"/>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2"/>
  </w:num>
  <w:num w:numId="5">
    <w:abstractNumId w:val="0"/>
  </w:num>
  <w:num w:numId="6">
    <w:abstractNumId w:val="11"/>
  </w:num>
  <w:num w:numId="7">
    <w:abstractNumId w:val="9"/>
  </w:num>
  <w:num w:numId="8">
    <w:abstractNumId w:val="5"/>
  </w:num>
  <w:num w:numId="9">
    <w:abstractNumId w:val="4"/>
  </w:num>
  <w:num w:numId="10">
    <w:abstractNumId w:val="7"/>
  </w:num>
  <w:num w:numId="11">
    <w:abstractNumId w:val="10"/>
  </w:num>
  <w:num w:numId="12">
    <w:abstractNumId w:val="6"/>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uiPriority w:val="0"/>
    <w:qFormat/>
    <w:rPr>
      <w:rFonts w:hint="default" w:ascii="Times New Roman" w:hAnsi="Times New Roman" w:eastAsia="宋体" w:cs="Times New Roman"/>
    </w:rPr>
  </w:style>
  <w:style w:type="paragraph" w:styleId="827">
    <w:name w:val="Heading 1"/>
    <w:basedOn w:val="826"/>
    <w:next w:val="826"/>
    <w:link w:val="872"/>
    <w:uiPriority w:val="9"/>
    <w:qFormat/>
    <w:pPr>
      <w:keepLines/>
      <w:keepNext/>
      <w:spacing w:before="480" w:after="200"/>
      <w:outlineLvl w:val="0"/>
    </w:pPr>
    <w:rPr>
      <w:rFonts w:ascii="Arial" w:hAnsi="Arial" w:eastAsia="Arial" w:cs="Arial"/>
      <w:sz w:val="40"/>
      <w:szCs w:val="40"/>
    </w:rPr>
  </w:style>
  <w:style w:type="paragraph" w:styleId="828">
    <w:name w:val="Heading 2"/>
    <w:basedOn w:val="826"/>
    <w:uiPriority w:val="1"/>
    <w:qFormat/>
    <w:pPr>
      <w:jc w:val="left"/>
      <w:spacing w:before="7"/>
      <w:outlineLvl w:val="1"/>
    </w:pPr>
    <w:rPr>
      <w:rFonts w:ascii="宋体" w:cs="宋体"/>
      <w:sz w:val="30"/>
      <w:szCs w:val="30"/>
    </w:rPr>
  </w:style>
  <w:style w:type="paragraph" w:styleId="829">
    <w:name w:val="Heading 3"/>
    <w:basedOn w:val="826"/>
    <w:next w:val="826"/>
    <w:link w:val="874"/>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75"/>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76"/>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7"/>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9"/>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80"/>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0"/>
    <w:semiHidden/>
    <w:qFormat/>
  </w:style>
  <w:style w:type="table" w:styleId="837" w:default="1">
    <w:name w:val="Normal Table"/>
    <w:uiPriority w:val="0"/>
    <w:semiHidden/>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Normal Indent"/>
    <w:basedOn w:val="826"/>
    <w:next w:val="840"/>
    <w:uiPriority w:val="0"/>
    <w:qFormat/>
    <w:pPr>
      <w:ind w:firstLine="200"/>
    </w:pPr>
    <w:rPr>
      <w:rFonts w:ascii="Calibri" w:hAnsi="Calibri" w:cs="宋体"/>
    </w:rPr>
  </w:style>
  <w:style w:type="paragraph" w:styleId="840">
    <w:name w:val="Body Text Indent"/>
    <w:basedOn w:val="826"/>
    <w:uiPriority w:val="99"/>
    <w:qFormat/>
    <w:pPr>
      <w:ind w:left="420" w:firstLine="200"/>
      <w:spacing w:after="120" w:line="360" w:lineRule="auto"/>
    </w:pPr>
    <w:rPr>
      <w:rFonts w:ascii="Verdana" w:hAnsi="Verdana"/>
      <w:sz w:val="24"/>
      <w:szCs w:val="28"/>
    </w:rPr>
  </w:style>
  <w:style w:type="paragraph" w:styleId="841">
    <w:name w:val="Caption"/>
    <w:basedOn w:val="826"/>
    <w:next w:val="8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42">
    <w:name w:val="Document Map"/>
    <w:basedOn w:val="826"/>
    <w:uiPriority w:val="0"/>
    <w:qFormat/>
    <w:rPr>
      <w:rFonts w:ascii="宋体" w:hAnsi="Calibri"/>
      <w:sz w:val="18"/>
      <w:szCs w:val="18"/>
    </w:rPr>
  </w:style>
  <w:style w:type="paragraph" w:styleId="843">
    <w:name w:val="Body Text"/>
    <w:basedOn w:val="826"/>
    <w:next w:val="826"/>
    <w:uiPriority w:val="0"/>
    <w:qFormat/>
    <w:pPr>
      <w:spacing w:after="120"/>
    </w:pPr>
  </w:style>
  <w:style w:type="paragraph" w:styleId="844">
    <w:name w:val="Block Text"/>
    <w:basedOn w:val="826"/>
    <w:uiPriority w:val="6"/>
    <w:qFormat/>
    <w:pPr>
      <w:ind w:left="630" w:right="-609" w:firstLine="420"/>
      <w:spacing w:line="360" w:lineRule="auto"/>
    </w:pPr>
    <w:rPr>
      <w:rFonts w:ascii="仿宋_GB2312" w:hAnsi="仿宋_GB2312" w:eastAsia="仿宋_GB2312"/>
    </w:rPr>
  </w:style>
  <w:style w:type="paragraph" w:styleId="845">
    <w:name w:val="index 4"/>
    <w:basedOn w:val="826"/>
    <w:next w:val="826"/>
    <w:uiPriority w:val="0"/>
    <w:qFormat/>
    <w:pPr>
      <w:ind w:left="1260"/>
      <w:jc w:val="both"/>
    </w:pPr>
    <w:rPr>
      <w:lang w:val="en-US" w:eastAsia="zh-CN"/>
    </w:rPr>
  </w:style>
  <w:style w:type="paragraph" w:styleId="846">
    <w:name w:val="toc 5"/>
    <w:basedOn w:val="826"/>
    <w:next w:val="826"/>
    <w:uiPriority w:val="39"/>
    <w:unhideWhenUsed/>
    <w:qFormat/>
    <w:pPr>
      <w:ind w:left="1134" w:right="0" w:firstLine="0"/>
      <w:spacing w:after="57"/>
    </w:pPr>
  </w:style>
  <w:style w:type="paragraph" w:styleId="847">
    <w:name w:val="toc 3"/>
    <w:basedOn w:val="826"/>
    <w:next w:val="826"/>
    <w:uiPriority w:val="39"/>
    <w:unhideWhenUsed/>
    <w:qFormat/>
    <w:pPr>
      <w:ind w:left="567" w:right="0" w:firstLine="0"/>
      <w:spacing w:after="57"/>
    </w:pPr>
  </w:style>
  <w:style w:type="paragraph" w:styleId="848">
    <w:name w:val="Plain Text"/>
    <w:basedOn w:val="826"/>
    <w:uiPriority w:val="0"/>
    <w:qFormat/>
    <w:rPr>
      <w:rFonts w:ascii="宋体" w:hAnsi="Courier New"/>
      <w:sz w:val="20"/>
      <w:szCs w:val="20"/>
    </w:rPr>
  </w:style>
  <w:style w:type="paragraph" w:styleId="849">
    <w:name w:val="toc 8"/>
    <w:basedOn w:val="826"/>
    <w:next w:val="826"/>
    <w:uiPriority w:val="39"/>
    <w:unhideWhenUsed/>
    <w:qFormat/>
    <w:pPr>
      <w:ind w:left="1984" w:right="0" w:firstLine="0"/>
      <w:spacing w:after="57"/>
    </w:pPr>
  </w:style>
  <w:style w:type="paragraph" w:styleId="850">
    <w:name w:val="endnote text"/>
    <w:basedOn w:val="826"/>
    <w:link w:val="1018"/>
    <w:uiPriority w:val="99"/>
    <w:semiHidden/>
    <w:unhideWhenUsed/>
    <w:qFormat/>
    <w:pPr>
      <w:spacing w:after="0" w:line="240" w:lineRule="auto"/>
    </w:pPr>
    <w:rPr>
      <w:sz w:val="20"/>
    </w:rPr>
  </w:style>
  <w:style w:type="paragraph" w:styleId="851">
    <w:name w:val="Footer"/>
    <w:basedOn w:val="826"/>
    <w:link w:val="891"/>
    <w:uiPriority w:val="99"/>
    <w:unhideWhenUsed/>
    <w:qFormat/>
    <w:pPr>
      <w:spacing w:after="0" w:line="240" w:lineRule="auto"/>
      <w:tabs>
        <w:tab w:val="center" w:pos="7143" w:leader="none"/>
        <w:tab w:val="right" w:pos="14287" w:leader="none"/>
      </w:tabs>
    </w:pPr>
  </w:style>
  <w:style w:type="paragraph" w:styleId="852">
    <w:name w:val="envelope return"/>
    <w:basedOn w:val="826"/>
    <w:uiPriority w:val="0"/>
    <w:qFormat/>
    <w:pPr>
      <w:jc w:val="both"/>
    </w:pPr>
    <w:rPr>
      <w:rFonts w:ascii="Arial" w:hAnsi="Arial"/>
      <w:lang w:val="en-US" w:eastAsia="zh-CN"/>
    </w:rPr>
  </w:style>
  <w:style w:type="paragraph" w:styleId="853">
    <w:name w:val="Header"/>
    <w:basedOn w:val="826"/>
    <w:link w:val="889"/>
    <w:uiPriority w:val="99"/>
    <w:unhideWhenUsed/>
    <w:qFormat/>
    <w:pPr>
      <w:spacing w:after="0" w:line="240" w:lineRule="auto"/>
      <w:tabs>
        <w:tab w:val="center" w:pos="7143" w:leader="none"/>
        <w:tab w:val="right" w:pos="14287" w:leader="none"/>
      </w:tabs>
    </w:pPr>
  </w:style>
  <w:style w:type="paragraph" w:styleId="854">
    <w:name w:val="toc 1"/>
    <w:basedOn w:val="826"/>
    <w:next w:val="826"/>
    <w:uiPriority w:val="39"/>
    <w:unhideWhenUsed/>
    <w:qFormat/>
    <w:pPr>
      <w:ind w:left="0" w:right="0" w:firstLine="0"/>
      <w:spacing w:after="57"/>
    </w:pPr>
  </w:style>
  <w:style w:type="paragraph" w:styleId="855">
    <w:name w:val="toc 4"/>
    <w:basedOn w:val="826"/>
    <w:next w:val="826"/>
    <w:uiPriority w:val="39"/>
    <w:unhideWhenUsed/>
    <w:qFormat/>
    <w:pPr>
      <w:ind w:left="850" w:right="0" w:firstLine="0"/>
      <w:spacing w:after="57"/>
    </w:pPr>
  </w:style>
  <w:style w:type="paragraph" w:styleId="856">
    <w:name w:val="Subtitle"/>
    <w:basedOn w:val="826"/>
    <w:next w:val="826"/>
    <w:link w:val="884"/>
    <w:uiPriority w:val="11"/>
    <w:qFormat/>
    <w:pPr>
      <w:spacing w:before="200" w:after="200"/>
    </w:pPr>
    <w:rPr>
      <w:sz w:val="24"/>
      <w:szCs w:val="24"/>
    </w:rPr>
  </w:style>
  <w:style w:type="paragraph" w:styleId="857">
    <w:name w:val="footnote text"/>
    <w:basedOn w:val="826"/>
    <w:link w:val="1017"/>
    <w:uiPriority w:val="99"/>
    <w:semiHidden/>
    <w:unhideWhenUsed/>
    <w:qFormat/>
    <w:pPr>
      <w:spacing w:after="40" w:line="240" w:lineRule="auto"/>
    </w:pPr>
    <w:rPr>
      <w:sz w:val="18"/>
    </w:rPr>
  </w:style>
  <w:style w:type="paragraph" w:styleId="858">
    <w:name w:val="toc 6"/>
    <w:basedOn w:val="826"/>
    <w:next w:val="826"/>
    <w:uiPriority w:val="39"/>
    <w:unhideWhenUsed/>
    <w:qFormat/>
    <w:pPr>
      <w:ind w:left="1417" w:right="0" w:firstLine="0"/>
      <w:spacing w:after="57"/>
    </w:pPr>
  </w:style>
  <w:style w:type="paragraph" w:styleId="859">
    <w:name w:val="table of figures"/>
    <w:basedOn w:val="826"/>
    <w:next w:val="826"/>
    <w:uiPriority w:val="99"/>
    <w:unhideWhenUsed/>
    <w:qFormat/>
    <w:pPr>
      <w:spacing w:after="0" w:afterAutospacing="0"/>
    </w:pPr>
  </w:style>
  <w:style w:type="paragraph" w:styleId="860">
    <w:name w:val="toc 2"/>
    <w:basedOn w:val="826"/>
    <w:next w:val="826"/>
    <w:uiPriority w:val="39"/>
    <w:unhideWhenUsed/>
    <w:qFormat/>
    <w:pPr>
      <w:ind w:left="283" w:right="0" w:firstLine="0"/>
      <w:spacing w:after="57"/>
    </w:pPr>
  </w:style>
  <w:style w:type="paragraph" w:styleId="861">
    <w:name w:val="toc 9"/>
    <w:basedOn w:val="826"/>
    <w:next w:val="826"/>
    <w:uiPriority w:val="39"/>
    <w:unhideWhenUsed/>
    <w:qFormat/>
    <w:pPr>
      <w:ind w:left="2268" w:right="0" w:firstLine="0"/>
      <w:spacing w:after="57"/>
    </w:pPr>
  </w:style>
  <w:style w:type="paragraph" w:styleId="862">
    <w:name w:val="Normal (Web)"/>
    <w:basedOn w:val="826"/>
    <w:uiPriority w:val="0"/>
    <w:qFormat/>
    <w:pPr>
      <w:jc w:val="left"/>
      <w:widowControl/>
    </w:pPr>
    <w:rPr>
      <w:rFonts w:ascii="宋体" w:hAnsi="宋体" w:cs="宋体"/>
      <w:sz w:val="24"/>
      <w:szCs w:val="24"/>
    </w:rPr>
  </w:style>
  <w:style w:type="paragraph" w:styleId="863">
    <w:name w:val="Title"/>
    <w:basedOn w:val="826"/>
    <w:next w:val="826"/>
    <w:link w:val="883"/>
    <w:uiPriority w:val="10"/>
    <w:qFormat/>
    <w:pPr>
      <w:contextualSpacing/>
      <w:spacing w:before="300" w:after="200"/>
    </w:pPr>
    <w:rPr>
      <w:sz w:val="48"/>
      <w:szCs w:val="48"/>
    </w:rPr>
  </w:style>
  <w:style w:type="paragraph" w:styleId="864">
    <w:name w:val="Body Text First Indent"/>
    <w:basedOn w:val="843"/>
    <w:next w:val="865"/>
    <w:uiPriority w:val="0"/>
    <w:qFormat/>
    <w:pPr>
      <w:ind w:firstLine="420"/>
      <w:spacing w:after="120" w:line="440" w:lineRule="exact"/>
    </w:pPr>
    <w:rPr>
      <w:rFonts w:ascii="宋体" w:hAnsi="宋体"/>
      <w:sz w:val="24"/>
    </w:rPr>
  </w:style>
  <w:style w:type="paragraph" w:styleId="865">
    <w:name w:val="Body Text First Indent 2"/>
    <w:basedOn w:val="840"/>
    <w:uiPriority w:val="0"/>
    <w:qFormat/>
    <w:pPr>
      <w:ind w:firstLine="420"/>
    </w:pPr>
    <w:rPr>
      <w:szCs w:val="20"/>
    </w:rPr>
  </w:style>
  <w:style w:type="table" w:styleId="866">
    <w:name w:val="Table Grid"/>
    <w:basedOn w:val="837"/>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basedOn w:val="836"/>
    <w:uiPriority w:val="99"/>
    <w:semiHidden/>
    <w:unhideWhenUsed/>
    <w:qFormat/>
    <w:rPr>
      <w:vertAlign w:val="superscript"/>
    </w:rPr>
  </w:style>
  <w:style w:type="character" w:styleId="868">
    <w:name w:val="Hyperlink"/>
    <w:uiPriority w:val="99"/>
    <w:unhideWhenUsed/>
    <w:qFormat/>
    <w:rPr>
      <w:color w:val="0026e5" w:themeColor="hyperlink"/>
      <w:u w:val="single"/>
      <w14:textFill>
        <w14:solidFill>
          <w14:schemeClr w14:val="hlink"/>
        </w14:solidFill>
      </w14:textFill>
    </w:rPr>
  </w:style>
  <w:style w:type="character" w:styleId="869">
    <w:name w:val="footnote reference"/>
    <w:basedOn w:val="836"/>
    <w:uiPriority w:val="99"/>
    <w:unhideWhenUsed/>
    <w:qFormat/>
    <w:rPr>
      <w:vertAlign w:val="superscript"/>
    </w:rPr>
  </w:style>
  <w:style w:type="paragraph" w:styleId="87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71" w:customStyle="1">
    <w:name w:val="xl53"/>
    <w:next w:val="82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cs="Times New Roman" w:asciiTheme="minorHAnsi" w:hAnsiTheme="minorHAnsi" w:eastAsiaTheme="minorEastAsia"/>
      <w:b/>
      <w:bCs/>
      <w:sz w:val="20"/>
      <w:szCs w:val="20"/>
      <w:lang w:val="en-US" w:eastAsia="zh-CN" w:bidi="ar-SA"/>
    </w:rPr>
  </w:style>
  <w:style w:type="character" w:styleId="872" w:customStyle="1">
    <w:name w:val="Heading 1 Char"/>
    <w:basedOn w:val="836"/>
    <w:link w:val="827"/>
    <w:uiPriority w:val="9"/>
    <w:qFormat/>
    <w:rPr>
      <w:rFonts w:ascii="Arial" w:hAnsi="Arial" w:eastAsia="Arial" w:cs="Arial"/>
      <w:sz w:val="40"/>
      <w:szCs w:val="40"/>
    </w:rPr>
  </w:style>
  <w:style w:type="character" w:styleId="873" w:customStyle="1">
    <w:name w:val="Heading 2 Char"/>
    <w:basedOn w:val="836"/>
    <w:uiPriority w:val="9"/>
    <w:qFormat/>
    <w:rPr>
      <w:rFonts w:ascii="Arial" w:hAnsi="Arial" w:eastAsia="Arial" w:cs="Arial"/>
      <w:sz w:val="34"/>
    </w:rPr>
  </w:style>
  <w:style w:type="character" w:styleId="874" w:customStyle="1">
    <w:name w:val="Heading 3 Char"/>
    <w:basedOn w:val="836"/>
    <w:link w:val="829"/>
    <w:uiPriority w:val="9"/>
    <w:qFormat/>
    <w:rPr>
      <w:rFonts w:ascii="Arial" w:hAnsi="Arial" w:eastAsia="Arial" w:cs="Arial"/>
      <w:sz w:val="30"/>
      <w:szCs w:val="30"/>
    </w:rPr>
  </w:style>
  <w:style w:type="character" w:styleId="875" w:customStyle="1">
    <w:name w:val="Heading 4 Char"/>
    <w:basedOn w:val="836"/>
    <w:link w:val="830"/>
    <w:uiPriority w:val="9"/>
    <w:qFormat/>
    <w:rPr>
      <w:rFonts w:ascii="Arial" w:hAnsi="Arial" w:eastAsia="Arial" w:cs="Arial"/>
      <w:b/>
      <w:bCs/>
      <w:sz w:val="26"/>
      <w:szCs w:val="26"/>
    </w:rPr>
  </w:style>
  <w:style w:type="character" w:styleId="876" w:customStyle="1">
    <w:name w:val="Heading 5 Char"/>
    <w:basedOn w:val="836"/>
    <w:link w:val="831"/>
    <w:uiPriority w:val="9"/>
    <w:qFormat/>
    <w:rPr>
      <w:rFonts w:ascii="Arial" w:hAnsi="Arial" w:eastAsia="Arial" w:cs="Arial"/>
      <w:b/>
      <w:bCs/>
      <w:sz w:val="24"/>
      <w:szCs w:val="24"/>
    </w:rPr>
  </w:style>
  <w:style w:type="character" w:styleId="877" w:customStyle="1">
    <w:name w:val="Heading 6 Char"/>
    <w:basedOn w:val="836"/>
    <w:link w:val="832"/>
    <w:uiPriority w:val="9"/>
    <w:qFormat/>
    <w:rPr>
      <w:rFonts w:ascii="Arial" w:hAnsi="Arial" w:eastAsia="Arial" w:cs="Arial"/>
      <w:b/>
      <w:bCs/>
      <w:sz w:val="22"/>
      <w:szCs w:val="22"/>
    </w:rPr>
  </w:style>
  <w:style w:type="character" w:styleId="878" w:customStyle="1">
    <w:name w:val="Heading 7 Char"/>
    <w:basedOn w:val="836"/>
    <w:link w:val="833"/>
    <w:uiPriority w:val="9"/>
    <w:qFormat/>
    <w:rPr>
      <w:rFonts w:ascii="Arial" w:hAnsi="Arial" w:eastAsia="Arial" w:cs="Arial"/>
      <w:b/>
      <w:bCs/>
      <w:i/>
      <w:iCs/>
      <w:sz w:val="22"/>
      <w:szCs w:val="22"/>
    </w:rPr>
  </w:style>
  <w:style w:type="character" w:styleId="879" w:customStyle="1">
    <w:name w:val="Heading 8 Char"/>
    <w:basedOn w:val="836"/>
    <w:link w:val="834"/>
    <w:uiPriority w:val="9"/>
    <w:qFormat/>
    <w:rPr>
      <w:rFonts w:ascii="Arial" w:hAnsi="Arial" w:eastAsia="Arial" w:cs="Arial"/>
      <w:i/>
      <w:iCs/>
      <w:sz w:val="22"/>
      <w:szCs w:val="22"/>
    </w:rPr>
  </w:style>
  <w:style w:type="character" w:styleId="880" w:customStyle="1">
    <w:name w:val="Heading 9 Char"/>
    <w:basedOn w:val="836"/>
    <w:link w:val="835"/>
    <w:uiPriority w:val="9"/>
    <w:qFormat/>
    <w:rPr>
      <w:rFonts w:ascii="Arial" w:hAnsi="Arial" w:eastAsia="Arial" w:cs="Arial"/>
      <w:i/>
      <w:iCs/>
      <w:sz w:val="21"/>
      <w:szCs w:val="21"/>
    </w:rPr>
  </w:style>
  <w:style w:type="paragraph" w:styleId="881">
    <w:name w:val="List Paragraph"/>
    <w:basedOn w:val="826"/>
    <w:uiPriority w:val="34"/>
    <w:qFormat/>
    <w:pPr>
      <w:contextualSpacing/>
      <w:ind w:left="720"/>
    </w:pPr>
  </w:style>
  <w:style w:type="paragraph" w:styleId="882">
    <w:name w:val="No Spacing"/>
    <w:uiPriority w:val="1"/>
    <w:qFormat/>
    <w:pPr>
      <w:spacing w:before="0" w:after="0" w:line="240" w:lineRule="auto"/>
    </w:pPr>
    <w:rPr>
      <w:rFonts w:hint="default" w:asciiTheme="minorHAnsi" w:hAnsiTheme="minorHAnsi" w:eastAsiaTheme="minorEastAsia" w:cstheme="minorBidi"/>
    </w:rPr>
  </w:style>
  <w:style w:type="character" w:styleId="883" w:customStyle="1">
    <w:name w:val="Title Char"/>
    <w:basedOn w:val="836"/>
    <w:link w:val="863"/>
    <w:uiPriority w:val="10"/>
    <w:qFormat/>
    <w:rPr>
      <w:sz w:val="48"/>
      <w:szCs w:val="48"/>
    </w:rPr>
  </w:style>
  <w:style w:type="character" w:styleId="884" w:customStyle="1">
    <w:name w:val="Subtitle Char"/>
    <w:basedOn w:val="836"/>
    <w:link w:val="856"/>
    <w:uiPriority w:val="11"/>
    <w:qFormat/>
    <w:rPr>
      <w:sz w:val="24"/>
      <w:szCs w:val="24"/>
    </w:rPr>
  </w:style>
  <w:style w:type="paragraph" w:styleId="885">
    <w:name w:val="Quote"/>
    <w:basedOn w:val="826"/>
    <w:next w:val="826"/>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26"/>
    <w:next w:val="826"/>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basedOn w:val="836"/>
    <w:link w:val="853"/>
    <w:uiPriority w:val="99"/>
    <w:qFormat/>
  </w:style>
  <w:style w:type="character" w:styleId="890" w:customStyle="1">
    <w:name w:val="Footer Char"/>
    <w:basedOn w:val="836"/>
    <w:link w:val="851"/>
    <w:uiPriority w:val="99"/>
    <w:qFormat/>
  </w:style>
  <w:style w:type="character" w:styleId="891" w:customStyle="1">
    <w:name w:val="Caption Char"/>
    <w:link w:val="851"/>
    <w:uiPriority w:val="99"/>
    <w:qFormat/>
  </w:style>
  <w:style w:type="table" w:styleId="892" w:customStyle="1">
    <w:name w:val="Table Grid Light"/>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2"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1" w:customStyle="1">
    <w:name w:val="Grid Table 4 - Accent 2"/>
    <w:basedOn w:val="8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2" w:customStyle="1">
    <w:name w:val="Grid Table 4 - Accent 3"/>
    <w:basedOn w:val="8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3" w:customStyle="1">
    <w:name w:val="Grid Table 4 - Accent 4"/>
    <w:basedOn w:val="8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4" w:customStyle="1">
    <w:name w:val="Grid Table 4 - Accent 5"/>
    <w:basedOn w:val="8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5" w:customStyle="1">
    <w:name w:val="Grid Table 4 - Accent 6"/>
    <w:basedOn w:val="8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6"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8" w:customStyle="1">
    <w:name w:val="Grid Table 5 Dark - Accent 2"/>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9" w:customStyle="1">
    <w:name w:val="Grid Table 5 Dark - Accent 3"/>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0" w:customStyle="1">
    <w:name w:val="Grid Table 5 Dark- Accent 4"/>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1" w:customStyle="1">
    <w:name w:val="Grid Table 5 Dark - Accent 5"/>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2" w:customStyle="1">
    <w:name w:val="Grid Table 5 Dark - Accent 6"/>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3"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9" w:customStyle="1">
    <w:name w:val="Grid Table 6 Colorful - Accent 6"/>
    <w:basedOn w:val="8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4"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6" w:customStyle="1">
    <w:name w:val="List Table 2 - Accent 2"/>
    <w:basedOn w:val="8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7" w:customStyle="1">
    <w:name w:val="List Table 2 - Accent 3"/>
    <w:basedOn w:val="8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8" w:customStyle="1">
    <w:name w:val="List Table 2 - Accent 4"/>
    <w:basedOn w:val="8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9" w:customStyle="1">
    <w:name w:val="List Table 2 - Accent 5"/>
    <w:basedOn w:val="8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0" w:customStyle="1">
    <w:name w:val="List Table 2 - Accent 6"/>
    <w:basedOn w:val="8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1"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3" w:customStyle="1">
    <w:name w:val="List Table 3 - Accent 2"/>
    <w:basedOn w:val="8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8"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0" w:customStyle="1">
    <w:name w:val="List Table 4 - Accent 2"/>
    <w:basedOn w:val="8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1" w:customStyle="1">
    <w:name w:val="List Table 4 - Accent 3"/>
    <w:basedOn w:val="8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2" w:customStyle="1">
    <w:name w:val="List Table 4 - Accent 4"/>
    <w:basedOn w:val="8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3" w:customStyle="1">
    <w:name w:val="List Table 4 - Accent 5"/>
    <w:basedOn w:val="8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4" w:customStyle="1">
    <w:name w:val="List Table 4 - Accent 6"/>
    <w:basedOn w:val="8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5"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4" w:customStyle="1">
    <w:name w:val="List Table 6 Colorful - Accent 2"/>
    <w:basedOn w:val="8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5" w:customStyle="1">
    <w:name w:val="List Table 6 Colorful - Accent 3"/>
    <w:basedOn w:val="8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6" w:customStyle="1">
    <w:name w:val="List Table 6 Colorful - Accent 4"/>
    <w:basedOn w:val="8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7" w:customStyle="1">
    <w:name w:val="List Table 6 Colorful - Accent 5"/>
    <w:basedOn w:val="8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8" w:customStyle="1">
    <w:name w:val="List Table 6 Colorful - Accent 6"/>
    <w:basedOn w:val="8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9"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8" w:customStyle="1">
    <w:name w:val="Lined - Accent 2"/>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9" w:customStyle="1">
    <w:name w:val="Lined - Accent 3"/>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0" w:customStyle="1">
    <w:name w:val="Lined - Accent 4"/>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1" w:customStyle="1">
    <w:name w:val="Lined - Accent 5"/>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2" w:customStyle="1">
    <w:name w:val="Lined - Accent 6"/>
    <w:basedOn w:val="8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3" w:customStyle="1">
    <w:name w:val="Bordered &amp; Lined - Accent"/>
    <w:basedOn w:val="8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5" w:customStyle="1">
    <w:name w:val="Bordered &amp; Lined - Accent 2"/>
    <w:basedOn w:val="8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6" w:customStyle="1">
    <w:name w:val="Bordered &amp; Lined - Accent 3"/>
    <w:basedOn w:val="8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7" w:customStyle="1">
    <w:name w:val="Bordered &amp; Lined - Accent 4"/>
    <w:basedOn w:val="8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8" w:customStyle="1">
    <w:name w:val="Bordered &amp; Lined - Accent 5"/>
    <w:basedOn w:val="8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9" w:customStyle="1">
    <w:name w:val="Bordered &amp; Lined - Accent 6"/>
    <w:basedOn w:val="8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0" w:customStyle="1">
    <w:name w:val="Bordered"/>
    <w:basedOn w:val="8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2" w:customStyle="1">
    <w:name w:val="Bordered - Accent 2"/>
    <w:basedOn w:val="8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3" w:customStyle="1">
    <w:name w:val="Bordered - Accent 3"/>
    <w:basedOn w:val="8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4" w:customStyle="1">
    <w:name w:val="Bordered - Accent 4"/>
    <w:basedOn w:val="8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5" w:customStyle="1">
    <w:name w:val="Bordered - Accent 5"/>
    <w:basedOn w:val="8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6" w:customStyle="1">
    <w:name w:val="Bordered - Accent 6"/>
    <w:basedOn w:val="8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7" w:customStyle="1">
    <w:name w:val="Footnote Text Char"/>
    <w:link w:val="857"/>
    <w:uiPriority w:val="99"/>
    <w:qFormat/>
    <w:rPr>
      <w:sz w:val="18"/>
    </w:rPr>
  </w:style>
  <w:style w:type="character" w:styleId="1018" w:customStyle="1">
    <w:name w:val="Endnote Text Char"/>
    <w:link w:val="850"/>
    <w:uiPriority w:val="99"/>
    <w:qFormat/>
    <w:rPr>
      <w:sz w:val="20"/>
    </w:rPr>
  </w:style>
  <w:style w:type="paragraph" w:styleId="1019" w:customStyle="1">
    <w:name w:val="TOC Heading"/>
    <w:uiPriority w:val="39"/>
    <w:unhideWhenUsed/>
    <w:qFormat/>
    <w:rPr>
      <w:rFonts w:hint="default" w:asciiTheme="minorHAnsi" w:hAnsiTheme="minorHAnsi" w:eastAsiaTheme="minorEastAsia" w:cstheme="minorBidi"/>
    </w:rPr>
  </w:style>
  <w:style w:type="paragraph" w:styleId="1020" w:customStyle="1">
    <w:name w:val="正文文本1"/>
    <w:basedOn w:val="1021"/>
    <w:next w:val="1024"/>
    <w:uiPriority w:val="0"/>
    <w:qFormat/>
    <w:pPr>
      <w:spacing w:after="120"/>
    </w:pPr>
    <w:rPr>
      <w:rFonts w:ascii="Calibri" w:hAnsi="Calibri"/>
    </w:rPr>
  </w:style>
  <w:style w:type="paragraph" w:styleId="1021" w:customStyle="1">
    <w:name w:val="正文11"/>
    <w:next w:val="1022"/>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标题 211"/>
    <w:basedOn w:val="1023"/>
    <w:next w:val="102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23" w:customStyle="1">
    <w:name w:val="正文11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文本 21"/>
    <w:basedOn w:val="826"/>
    <w:uiPriority w:val="0"/>
    <w:qFormat/>
    <w:pPr>
      <w:spacing w:after="120" w:line="480" w:lineRule="auto"/>
    </w:pPr>
    <w:rPr>
      <w:rFonts w:ascii="Calibri" w:hAnsi="Calibri" w:eastAsia="宋体"/>
      <w:szCs w:val="22"/>
    </w:rPr>
  </w:style>
  <w:style w:type="paragraph" w:styleId="1025" w:customStyle="1">
    <w:name w:val="标题 111"/>
    <w:basedOn w:val="1021"/>
    <w:next w:val="1021"/>
    <w:uiPriority w:val="0"/>
    <w:qFormat/>
    <w:pPr>
      <w:jc w:val="center"/>
      <w:keepLines/>
      <w:keepNext/>
      <w:spacing w:line="578" w:lineRule="auto"/>
      <w:outlineLvl w:val="0"/>
    </w:pPr>
    <w:rPr>
      <w:rFonts w:eastAsia="新宋体"/>
      <w:b/>
      <w:bCs/>
      <w:sz w:val="30"/>
      <w:szCs w:val="44"/>
    </w:rPr>
  </w:style>
  <w:style w:type="paragraph" w:styleId="1026" w:customStyle="1">
    <w:name w:val="正文文本11"/>
    <w:basedOn w:val="826"/>
    <w:next w:val="1027"/>
    <w:uiPriority w:val="0"/>
    <w:qFormat/>
    <w:pPr>
      <w:spacing w:after="120"/>
    </w:pPr>
  </w:style>
  <w:style w:type="paragraph" w:styleId="1027" w:customStyle="1">
    <w:name w:val="一级条标题"/>
    <w:basedOn w:val="1028"/>
    <w:next w:val="10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basedOn w:val="826"/>
    <w:next w:val="102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29" w:customStyle="1">
    <w:name w:val="正文1"/>
    <w:basedOn w:val="1021"/>
    <w:next w:val="1030"/>
    <w:link w:val="1073"/>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脚注文本1"/>
    <w:basedOn w:val="1029"/>
    <w:next w:val="1031"/>
    <w:uiPriority w:val="0"/>
    <w:qFormat/>
    <w:pPr>
      <w:jc w:val="left"/>
    </w:pPr>
    <w:rPr>
      <w:rFonts w:ascii="宋体" w:eastAsia="Times New Roman"/>
      <w:sz w:val="18"/>
      <w:szCs w:val="18"/>
    </w:rPr>
  </w:style>
  <w:style w:type="paragraph" w:styleId="1031" w:customStyle="1">
    <w:name w:val="索引 51"/>
    <w:basedOn w:val="1029"/>
    <w:next w:val="1029"/>
    <w:uiPriority w:val="0"/>
    <w:qFormat/>
    <w:pPr>
      <w:ind w:left="798"/>
      <w:jc w:val="left"/>
    </w:pPr>
    <w:rPr>
      <w:rFonts w:ascii="Calibri" w:hAnsi="Calibri"/>
    </w:rPr>
  </w:style>
  <w:style w:type="paragraph" w:styleId="1032" w:customStyle="1">
    <w:name w:val="段"/>
    <w:basedOn w:val="1029"/>
    <w:next w:val="1029"/>
    <w:uiPriority w:val="0"/>
    <w:qFormat/>
    <w:pPr>
      <w:ind w:firstLine="200"/>
      <w:widowControl/>
    </w:pPr>
    <w:rPr>
      <w:rFonts w:ascii="宋体"/>
      <w:sz w:val="20"/>
      <w:szCs w:val="20"/>
    </w:rPr>
  </w:style>
  <w:style w:type="paragraph" w:styleId="1033" w:customStyle="1">
    <w:name w:val="正文111"/>
    <w:next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文本缩进1"/>
    <w:basedOn w:val="1021"/>
    <w:next w:val="1035"/>
    <w:uiPriority w:val="0"/>
    <w:qFormat/>
    <w:pPr>
      <w:ind w:left="420"/>
      <w:spacing w:after="120"/>
    </w:pPr>
    <w:rPr>
      <w:rFonts w:ascii="Calibri" w:hAnsi="Calibri"/>
    </w:rPr>
  </w:style>
  <w:style w:type="paragraph" w:styleId="1035" w:customStyle="1">
    <w:name w:val="寄信人地址1"/>
    <w:basedOn w:val="1029"/>
    <w:uiPriority w:val="0"/>
    <w:qFormat/>
    <w:rPr>
      <w:rFonts w:ascii="Arial" w:hAnsi="Arial"/>
    </w:rPr>
  </w:style>
  <w:style w:type="paragraph" w:styleId="1036" w:customStyle="1">
    <w:name w:val="正文文本缩进11"/>
    <w:basedOn w:val="1033"/>
    <w:next w:val="1035"/>
    <w:uiPriority w:val="0"/>
    <w:qFormat/>
    <w:pPr>
      <w:ind w:firstLine="425"/>
      <w:spacing w:line="360" w:lineRule="auto"/>
    </w:pPr>
  </w:style>
  <w:style w:type="paragraph" w:styleId="1037" w:customStyle="1">
    <w:name w:val="文本块1"/>
    <w:basedOn w:val="1033"/>
    <w:uiPriority w:val="0"/>
    <w:qFormat/>
    <w:pPr>
      <w:ind w:left="420" w:right="33"/>
      <w:jc w:val="left"/>
    </w:pPr>
    <w:rPr>
      <w:sz w:val="24"/>
      <w:szCs w:val="20"/>
    </w:rPr>
  </w:style>
  <w:style w:type="paragraph" w:styleId="1038" w:customStyle="1">
    <w:name w:val="目录 11"/>
    <w:basedOn w:val="1021"/>
    <w:next w:val="826"/>
    <w:uiPriority w:val="0"/>
    <w:qFormat/>
  </w:style>
  <w:style w:type="paragraph" w:styleId="1039" w:customStyle="1">
    <w:name w:val="正文缩进1"/>
    <w:basedOn w:val="1029"/>
    <w:uiPriority w:val="0"/>
    <w:qFormat/>
    <w:pPr>
      <w:ind w:firstLine="420"/>
    </w:pPr>
  </w:style>
  <w:style w:type="character" w:styleId="1040" w:customStyle="1">
    <w:name w:val="超链接1"/>
    <w:link w:val="1029"/>
    <w:uiPriority w:val="0"/>
    <w:qFormat/>
    <w:rPr>
      <w:rFonts w:ascii="Times New Roman" w:hAnsi="Times New Roman" w:eastAsia="宋体" w:cs="Times New Roman"/>
      <w:sz w:val="21"/>
      <w:szCs w:val="24"/>
      <w:lang w:val="en-US" w:eastAsia="zh-CN" w:bidi="ar-SA"/>
    </w:rPr>
  </w:style>
  <w:style w:type="paragraph" w:styleId="1041" w:customStyle="1">
    <w:name w:val="标题 11"/>
    <w:basedOn w:val="1029"/>
    <w:next w:val="826"/>
    <w:uiPriority w:val="0"/>
    <w:qFormat/>
    <w:pPr>
      <w:jc w:val="center"/>
      <w:keepLines/>
      <w:keepNext/>
      <w:spacing w:line="578" w:lineRule="auto"/>
      <w:outlineLvl w:val="0"/>
    </w:pPr>
    <w:rPr>
      <w:rFonts w:eastAsia="新宋体"/>
      <w:b/>
      <w:bCs/>
      <w:sz w:val="30"/>
      <w:szCs w:val="44"/>
    </w:rPr>
  </w:style>
  <w:style w:type="paragraph" w:styleId="1042" w:customStyle="1">
    <w:name w:val="日期1"/>
    <w:basedOn w:val="1029"/>
    <w:next w:val="1029"/>
    <w:uiPriority w:val="0"/>
    <w:qFormat/>
    <w:rPr>
      <w:rFonts w:eastAsia="仿宋_GB2312"/>
      <w:sz w:val="28"/>
      <w:szCs w:val="20"/>
    </w:rPr>
  </w:style>
  <w:style w:type="paragraph" w:styleId="1043"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44" w:customStyle="1">
    <w:name w:val="正文112"/>
    <w:next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文本111"/>
    <w:basedOn w:val="1044"/>
    <w:next w:val="1046"/>
    <w:uiPriority w:val="0"/>
    <w:qFormat/>
    <w:pPr>
      <w:spacing w:after="120"/>
    </w:pPr>
    <w:rPr>
      <w:rFonts w:ascii="Calibri" w:hAnsi="Calibri"/>
    </w:rPr>
  </w:style>
  <w:style w:type="paragraph" w:styleId="1046" w:customStyle="1">
    <w:name w:val="正文首行缩进11"/>
    <w:basedOn w:val="1045"/>
    <w:next w:val="1047"/>
    <w:uiPriority w:val="0"/>
    <w:qFormat/>
    <w:pPr>
      <w:ind w:firstLine="420"/>
    </w:pPr>
  </w:style>
  <w:style w:type="paragraph" w:styleId="1047" w:customStyle="1">
    <w:name w:val="正文首行缩进 211"/>
    <w:basedOn w:val="1036"/>
    <w:uiPriority w:val="0"/>
    <w:qFormat/>
    <w:pPr>
      <w:ind w:firstLine="420"/>
      <w:spacing w:line="360" w:lineRule="auto"/>
    </w:pPr>
    <w:rPr>
      <w:color w:val="000000"/>
      <w:sz w:val="20"/>
    </w:rPr>
  </w:style>
  <w:style w:type="paragraph" w:styleId="1048" w:customStyle="1">
    <w:name w:val="索引 511"/>
    <w:basedOn w:val="826"/>
    <w:next w:val="826"/>
    <w:uiPriority w:val="0"/>
    <w:qFormat/>
    <w:pPr>
      <w:ind w:left="798"/>
      <w:jc w:val="left"/>
    </w:pPr>
    <w:rPr>
      <w:rFonts w:ascii="Calibri" w:hAnsi="Calibri"/>
    </w:rPr>
  </w:style>
  <w:style w:type="paragraph" w:styleId="104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0" w:customStyle="1">
    <w:name w:val="Table Paragraph"/>
    <w:basedOn w:val="826"/>
    <w:uiPriority w:val="1"/>
    <w:qFormat/>
    <w:pPr>
      <w:jc w:val="left"/>
    </w:pPr>
    <w:rPr>
      <w:rFonts w:eastAsia="宋体"/>
      <w:sz w:val="24"/>
    </w:rPr>
  </w:style>
  <w:style w:type="paragraph" w:styleId="1051" w:customStyle="1">
    <w:name w:val="脚注文本11"/>
    <w:basedOn w:val="826"/>
    <w:next w:val="1048"/>
    <w:uiPriority w:val="99"/>
    <w:unhideWhenUsed/>
    <w:qFormat/>
    <w:pPr>
      <w:spacing w:after="40" w:line="240" w:lineRule="auto"/>
    </w:pPr>
    <w:rPr>
      <w:rFonts w:ascii="Times New Roman" w:hAnsi="Times New Roman" w:eastAsia="宋体" w:cs="Times New Roman"/>
      <w:sz w:val="18"/>
    </w:rPr>
  </w:style>
  <w:style w:type="paragraph" w:styleId="1052" w:customStyle="1">
    <w:name w:val="正文113"/>
    <w:next w:val="10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BodyText1I21"/>
    <w:basedOn w:val="1054"/>
    <w:uiPriority w:val="0"/>
    <w:qFormat/>
    <w:pPr>
      <w:ind w:firstLine="420"/>
      <w:spacing w:line="360" w:lineRule="auto"/>
      <w:widowControl/>
    </w:pPr>
    <w:rPr>
      <w:rFonts w:ascii="宋体" w:hAnsi="宋体" w:cs="Times New Roman"/>
      <w:sz w:val="20"/>
      <w:szCs w:val="20"/>
    </w:rPr>
  </w:style>
  <w:style w:type="paragraph" w:styleId="1054" w:customStyle="1">
    <w:name w:val="BodyTextIndent1"/>
    <w:basedOn w:val="1029"/>
    <w:next w:val="1055"/>
    <w:uiPriority w:val="0"/>
    <w:qFormat/>
    <w:pPr>
      <w:ind w:left="420"/>
      <w:spacing w:after="120"/>
    </w:pPr>
    <w:rPr>
      <w:sz w:val="28"/>
      <w:szCs w:val="20"/>
    </w:rPr>
  </w:style>
  <w:style w:type="paragraph" w:styleId="1055" w:customStyle="1">
    <w:name w:val="EnvelopeReturn1"/>
    <w:basedOn w:val="826"/>
    <w:uiPriority w:val="0"/>
    <w:qFormat/>
    <w:pPr>
      <w:jc w:val="both"/>
    </w:pPr>
    <w:rPr>
      <w:rFonts w:ascii="Arial" w:hAnsi="Arial"/>
      <w:sz w:val="21"/>
      <w:szCs w:val="24"/>
      <w:lang w:val="en-US" w:eastAsia="zh-CN" w:bidi="ar-SA"/>
    </w:rPr>
  </w:style>
  <w:style w:type="paragraph" w:styleId="1056" w:customStyle="1">
    <w:name w:val="正文首行缩进 2111"/>
    <w:basedOn w:val="1057"/>
    <w:next w:val="826"/>
    <w:uiPriority w:val="0"/>
    <w:qFormat/>
    <w:pPr>
      <w:ind w:left="420" w:firstLine="420"/>
      <w:spacing w:after="120" w:line="240" w:lineRule="auto"/>
    </w:pPr>
    <w:rPr>
      <w:rFonts w:ascii="Times New Roman" w:eastAsia="宋体"/>
      <w:sz w:val="21"/>
      <w:szCs w:val="24"/>
    </w:rPr>
  </w:style>
  <w:style w:type="paragraph" w:styleId="1057" w:customStyle="1">
    <w:name w:val="正文文本缩进2"/>
    <w:basedOn w:val="826"/>
    <w:next w:val="1058"/>
    <w:uiPriority w:val="99"/>
    <w:qFormat/>
    <w:pPr>
      <w:ind w:left="420" w:firstLine="200"/>
      <w:spacing w:after="120" w:line="360" w:lineRule="auto"/>
    </w:pPr>
    <w:rPr>
      <w:rFonts w:ascii="Verdana" w:hAnsi="Verdana"/>
      <w:sz w:val="24"/>
      <w:szCs w:val="28"/>
    </w:rPr>
  </w:style>
  <w:style w:type="paragraph" w:styleId="1058" w:customStyle="1">
    <w:name w:val="寄信人地址2"/>
    <w:basedOn w:val="826"/>
    <w:uiPriority w:val="0"/>
    <w:qFormat/>
    <w:rPr>
      <w:rFonts w:ascii="Arial" w:hAnsi="Arial"/>
    </w:rPr>
  </w:style>
  <w:style w:type="paragraph" w:styleId="1059" w:customStyle="1">
    <w:name w:val="Body text|1"/>
    <w:basedOn w:val="826"/>
    <w:uiPriority w:val="0"/>
    <w:qFormat/>
    <w:pPr>
      <w:ind w:firstLine="400"/>
      <w:spacing w:line="312" w:lineRule="auto"/>
    </w:pPr>
    <w:rPr>
      <w:rFonts w:ascii="宋体" w:hAnsi="宋体" w:eastAsia="宋体" w:cs="宋体"/>
      <w:lang w:val="zh-TW" w:eastAsia="zh-TW" w:bidi="zh-TW"/>
    </w:rPr>
  </w:style>
  <w:style w:type="table" w:styleId="1060" w:customStyle="1">
    <w:name w:val="网格型12"/>
    <w:uiPriority w:val="59"/>
    <w:qFormat/>
    <w:pPr>
      <w:spacing w:after="0" w:line="240" w:lineRule="auto"/>
    </w:pPr>
    <w:tblPr/>
  </w:style>
  <w:style w:type="paragraph" w:styleId="1061" w:customStyle="1">
    <w:name w:val="文本块2"/>
    <w:basedOn w:val="826"/>
    <w:next w:val="826"/>
    <w:uiPriority w:val="6"/>
    <w:qFormat/>
    <w:pPr>
      <w:ind w:left="420" w:right="33"/>
    </w:pPr>
    <w:rPr>
      <w:sz w:val="24"/>
    </w:rPr>
  </w:style>
  <w:style w:type="character" w:styleId="1062" w:customStyle="1">
    <w:name w:val="NormalCharacter1"/>
    <w:link w:val="1021"/>
    <w:uiPriority w:val="0"/>
    <w:qFormat/>
    <w:rPr>
      <w:rFonts w:hint="default" w:ascii="Times New Roman" w:hAnsi="Times New Roman" w:eastAsia="宋体" w:cs="Times New Roman"/>
      <w:sz w:val="21"/>
      <w:szCs w:val="24"/>
      <w:lang w:val="en-US" w:eastAsia="zh-CN" w:bidi="ar-SA"/>
    </w:rPr>
  </w:style>
  <w:style w:type="paragraph" w:styleId="1063" w:customStyle="1">
    <w:name w:val="文本块111"/>
    <w:basedOn w:val="1023"/>
    <w:uiPriority w:val="0"/>
    <w:qFormat/>
    <w:pPr>
      <w:ind w:left="1440" w:right="1440"/>
      <w:spacing w:after="120"/>
    </w:pPr>
  </w:style>
  <w:style w:type="paragraph" w:styleId="1064" w:customStyle="1">
    <w:name w:val="普通(网站)1"/>
    <w:basedOn w:val="1029"/>
    <w:uiPriority w:val="0"/>
    <w:qFormat/>
    <w:pPr>
      <w:jc w:val="left"/>
      <w:spacing w:before="100" w:beforeAutospacing="1" w:after="100" w:afterAutospacing="1"/>
      <w:widowControl/>
    </w:pPr>
    <w:rPr>
      <w:rFonts w:ascii="宋体" w:hAnsi="宋体"/>
      <w:sz w:val="24"/>
    </w:rPr>
  </w:style>
  <w:style w:type="paragraph" w:styleId="1065" w:customStyle="1">
    <w:name w:val="页眉1"/>
    <w:basedOn w:val="1029"/>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
    <w:basedOn w:val="1033"/>
    <w:uiPriority w:val="0"/>
    <w:qFormat/>
    <w:pPr>
      <w:jc w:val="left"/>
      <w:tabs>
        <w:tab w:val="center" w:pos="4153" w:leader="none"/>
        <w:tab w:val="right" w:pos="8306" w:leader="none"/>
      </w:tabs>
    </w:pPr>
    <w:rPr>
      <w:sz w:val="18"/>
      <w:szCs w:val="18"/>
    </w:rPr>
  </w:style>
  <w:style w:type="character" w:styleId="1067" w:customStyle="1">
    <w:name w:val="页码1"/>
    <w:link w:val="1029"/>
    <w:uiPriority w:val="0"/>
    <w:qFormat/>
  </w:style>
  <w:style w:type="paragraph" w:styleId="1068" w:customStyle="1">
    <w:name w:val="无间隔1"/>
    <w:uiPriority w:val="0"/>
    <w:qFormat/>
    <w:rPr>
      <w:rFonts w:hint="default" w:ascii="Calibri" w:hAnsi="Calibri" w:eastAsia="宋体" w:cs="Times New Roman"/>
      <w:sz w:val="22"/>
      <w:lang w:val="en-US" w:eastAsia="zh-CN" w:bidi="ar-SA"/>
    </w:rPr>
  </w:style>
  <w:style w:type="paragraph" w:styleId="1069" w:customStyle="1">
    <w:name w:val="正文缩进11"/>
    <w:basedOn w:val="1033"/>
    <w:uiPriority w:val="0"/>
    <w:qFormat/>
    <w:pPr>
      <w:ind w:firstLine="420"/>
    </w:pPr>
  </w:style>
  <w:style w:type="paragraph" w:styleId="1070" w:customStyle="1">
    <w:name w:val="正文12"/>
    <w:next w:val="107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071" w:customStyle="1">
    <w:name w:val="标题 41"/>
    <w:basedOn w:val="1021"/>
    <w:next w:val="1070"/>
    <w:uiPriority w:val="0"/>
    <w:qFormat/>
    <w:pPr>
      <w:keepLines/>
      <w:keepNext/>
      <w:spacing w:before="280" w:after="290" w:line="377" w:lineRule="auto"/>
      <w:outlineLvl w:val="3"/>
    </w:pPr>
    <w:rPr>
      <w:rFonts w:ascii="Cambria" w:hAnsi="Cambria"/>
      <w:b/>
      <w:bCs/>
      <w:sz w:val="28"/>
      <w:szCs w:val="28"/>
    </w:rPr>
  </w:style>
  <w:style w:type="paragraph" w:styleId="1072" w:customStyle="1">
    <w:name w:val="文本块11"/>
    <w:basedOn w:val="826"/>
    <w:uiPriority w:val="0"/>
    <w:unhideWhenUsed/>
    <w:qFormat/>
    <w:pPr>
      <w:ind w:left="1440" w:right="1440"/>
      <w:spacing w:after="120"/>
    </w:pPr>
    <w:rPr>
      <w:rFonts w:ascii="Calibri" w:hAnsi="Calibri"/>
    </w:rPr>
  </w:style>
  <w:style w:type="character" w:styleId="1073" w:customStyle="1">
    <w:name w:val="NormalCharacter"/>
    <w:link w:val="1029"/>
    <w:uiPriority w:val="0"/>
    <w:semiHidden/>
    <w:qFormat/>
    <w:rPr>
      <w:sz w:val="28"/>
      <w:lang w:val="en-US" w:eastAsia="zh-CN" w:bidi="ar-SA"/>
    </w:rPr>
  </w:style>
  <w:style w:type="character" w:styleId="1074" w:customStyle="1">
    <w:name w:val="font41"/>
    <w:basedOn w:val="836"/>
    <w:uiPriority w:val="0"/>
    <w:qFormat/>
    <w:rPr>
      <w:rFonts w:ascii="Calibri" w:hAnsi="Calibri" w:cs="Calibri"/>
      <w:color w:val="000000"/>
      <w:sz w:val="20"/>
      <w:szCs w:val="20"/>
      <w:u w:val="none"/>
    </w:rPr>
  </w:style>
  <w:style w:type="paragraph" w:styleId="1075" w:customStyle="1">
    <w:name w:val="Plain Text*"/>
    <w:basedOn w:val="826"/>
    <w:uiPriority w:val="6"/>
    <w:qFormat/>
    <w:rPr>
      <w:rFonts w:ascii="宋体" w:hAnsi="宋体" w:eastAsia="楷体_GB2312" w:cs="Courier New"/>
      <w:sz w:val="26"/>
    </w:rPr>
  </w:style>
  <w:style w:type="paragraph" w:styleId="1076" w:customStyle="1">
    <w:name w:val="BodyTextIndent"/>
    <w:basedOn w:val="826"/>
    <w:uiPriority w:val="0"/>
    <w:qFormat/>
    <w:pPr>
      <w:ind w:left="420"/>
      <w:spacing w:after="120"/>
    </w:pPr>
    <w:rPr>
      <w:sz w:val="28"/>
    </w:rPr>
  </w:style>
  <w:style w:type="character" w:styleId="1077" w:customStyle="1">
    <w:name w:val="font01"/>
    <w:basedOn w:val="836"/>
    <w:uiPriority w:val="0"/>
    <w:qFormat/>
    <w:rPr>
      <w:rFonts w:hint="eastAsia" w:ascii="宋体" w:hAnsi="宋体" w:eastAsia="宋体" w:cs="宋体"/>
      <w:color w:val="000000"/>
      <w:sz w:val="22"/>
      <w:szCs w:val="22"/>
      <w:u w:val="none"/>
    </w:rPr>
  </w:style>
  <w:style w:type="character" w:styleId="1078" w:customStyle="1">
    <w:name w:val="font11"/>
    <w:basedOn w:val="836"/>
    <w:uiPriority w:val="0"/>
    <w:qFormat/>
    <w:rPr>
      <w:rFonts w:hint="eastAsia" w:ascii="宋体" w:hAnsi="宋体" w:eastAsia="宋体" w:cs="宋体"/>
      <w:color w:val="000000"/>
      <w:sz w:val="18"/>
      <w:szCs w:val="18"/>
      <w:u w:val="none"/>
    </w:rPr>
  </w:style>
  <w:style w:type="character" w:styleId="1079" w:customStyle="1">
    <w:name w:val="font31"/>
    <w:basedOn w:val="836"/>
    <w:uiPriority w:val="0"/>
    <w:qFormat/>
    <w:rPr>
      <w:rFonts w:hint="eastAsia" w:ascii="宋体" w:hAnsi="宋体" w:eastAsia="宋体" w:cs="宋体"/>
      <w:color w:val="000000"/>
      <w:sz w:val="18"/>
      <w:szCs w:val="18"/>
      <w:u w:val="none"/>
    </w:rPr>
  </w:style>
  <w:style w:type="paragraph" w:styleId="1080" w:customStyle="1">
    <w:name w:val="正文首行缩进 21"/>
    <w:basedOn w:val="1034"/>
    <w:next w:val="1081"/>
    <w:uiPriority w:val="0"/>
    <w:qFormat/>
    <w:pPr>
      <w:ind w:firstLine="420"/>
    </w:pPr>
    <w:rPr>
      <w:sz w:val="20"/>
      <w:szCs w:val="20"/>
    </w:rPr>
  </w:style>
  <w:style w:type="paragraph" w:styleId="1081" w:customStyle="1">
    <w:name w:val="目录 21"/>
    <w:basedOn w:val="1021"/>
    <w:next w:val="1021"/>
    <w:uiPriority w:val="0"/>
    <w:qFormat/>
    <w:pPr>
      <w:ind w:left="200"/>
      <w:spacing w:line="360" w:lineRule="auto"/>
    </w:pPr>
    <w:rPr>
      <w:sz w:val="30"/>
      <w:szCs w:val="20"/>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蔡伦</cp:lastModifiedBy>
  <cp:revision>12</cp:revision>
  <dcterms:created xsi:type="dcterms:W3CDTF">2024-03-08T04:13:00Z</dcterms:created>
  <dcterms:modified xsi:type="dcterms:W3CDTF">2024-05-31T09:30:40Z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070AA22D9337489FB74B30171B446D84_13</vt:lpwstr>
  </property>
</Properties>
</file>