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2.xml" ContentType="application/vnd.openxmlformats-officedocument.wordprocessingml.header+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86"/>
        <w:ind w:left="-210" w:right="-210"/>
        <w:jc w:val="left"/>
        <w:spacing w:line="360" w:lineRule="auto"/>
        <w:tabs>
          <w:tab w:val="left" w:pos="7380" w:leader="none"/>
        </w:tabs>
        <w:rPr>
          <w:rFonts w:hint="eastAsia" w:ascii="宋体" w:hAnsi="宋体"/>
          <w:sz w:val="24"/>
        </w:rPr>
      </w:pPr>
      <w:r>
        <w:rPr>
          <w:rFonts w:ascii="宋体" w:hAnsi="宋体"/>
          <w:sz w:val="24"/>
        </w:rPr>
        <w:tab/>
      </w:r>
      <w:r>
        <w:rPr>
          <w:rFonts w:hint="eastAsia" w:ascii="宋体" w:hAnsi="宋体"/>
          <w:sz w:val="24"/>
        </w:rPr>
      </w:r>
      <w:r/>
    </w:p>
    <w:p>
      <w:pPr>
        <w:pStyle w:val="886"/>
        <w:ind w:left="-210" w:right="-210"/>
        <w:jc w:val="center"/>
        <w:spacing w:line="360" w:lineRule="auto"/>
        <w:rPr>
          <w:rFonts w:ascii="宋体" w:hAnsi="宋体"/>
          <w:sz w:val="24"/>
        </w:rPr>
      </w:pPr>
      <w:r>
        <w:rPr>
          <w:rFonts w:ascii="宋体" w:hAnsi="宋体"/>
          <w:sz w:val="24"/>
        </w:rPr>
      </w:r>
      <w:r/>
    </w:p>
    <w:p>
      <w:pPr>
        <w:pStyle w:val="886"/>
        <w:ind w:left="-210" w:right="-210"/>
        <w:jc w:val="center"/>
        <w:spacing w:line="360" w:lineRule="auto"/>
        <w:rPr>
          <w:rFonts w:hint="eastAsia" w:ascii="宋体" w:hAnsi="宋体"/>
          <w:b/>
          <w:sz w:val="24"/>
        </w:rPr>
      </w:pPr>
      <w:r>
        <w:rPr>
          <w:rFonts w:hint="eastAsia" w:ascii="宋体" w:hAnsi="宋体"/>
          <w:b/>
          <w:sz w:val="24"/>
        </w:rPr>
      </w:r>
      <w:r/>
    </w:p>
    <w:p>
      <w:pPr>
        <w:pStyle w:val="886"/>
        <w:ind w:left="-210" w:right="-210"/>
        <w:jc w:val="center"/>
        <w:spacing w:line="360" w:lineRule="auto"/>
        <w:rPr>
          <w:rFonts w:ascii="宋体" w:hAnsi="宋体"/>
          <w:b/>
          <w:sz w:val="24"/>
        </w:rPr>
      </w:pPr>
      <w:r>
        <w:rPr>
          <w:rFonts w:ascii="宋体" w:hAnsi="宋体"/>
          <w:b/>
          <w:sz w:val="24"/>
        </w:rPr>
      </w:r>
      <w:r/>
    </w:p>
    <w:p>
      <w:pPr>
        <w:pStyle w:val="886"/>
        <w:ind w:left="-210" w:right="-210"/>
        <w:jc w:val="center"/>
        <w:spacing w:line="360" w:lineRule="auto"/>
        <w:rPr>
          <w:rFonts w:hint="eastAsia" w:ascii="宋体" w:hAnsi="宋体"/>
        </w:rPr>
      </w:pPr>
      <w:r>
        <w:rPr>
          <w:rFonts w:ascii="宋体" w:hAnsi="宋体"/>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2200910</wp:posOffset>
                </wp:positionH>
                <wp:positionV relativeFrom="paragraph">
                  <wp:posOffset>1905</wp:posOffset>
                </wp:positionV>
                <wp:extent cx="1318260" cy="1212215"/>
                <wp:effectExtent l="0" t="0" r="0" b="0"/>
                <wp:wrapSquare wrapText="bothSides"/>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3"/>
                        <a:stretch/>
                      </pic:blipFill>
                      <pic:spPr bwMode="auto">
                        <a:xfrm>
                          <a:off x="0" y="0"/>
                          <a:ext cx="1318260" cy="121221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524288;o:allowoverlap:true;o:allowincell:true;mso-position-horizontal-relative:text;margin-left:173.3pt;mso-position-horizontal:absolute;mso-position-vertical-relative:text;margin-top:0.1pt;mso-position-vertical:absolute;width:103.8pt;height:95.4pt;mso-wrap-distance-left:9.0pt;mso-wrap-distance-top:0.0pt;mso-wrap-distance-right:9.0pt;mso-wrap-distance-bottom:0.0pt;" stroked="f">
                <v:path textboxrect="0,0,0,0"/>
                <w10:wrap type="square"/>
                <v:imagedata r:id="rId13" o:title=""/>
              </v:shape>
            </w:pict>
          </mc:Fallback>
        </mc:AlternateContent>
      </w:r>
      <w:r>
        <w:rPr>
          <w:rFonts w:hint="eastAsia" w:ascii="宋体" w:hAnsi="宋体"/>
        </w:rPr>
      </w:r>
      <w:r/>
    </w:p>
    <w:p>
      <w:pPr>
        <w:pStyle w:val="906"/>
        <w:rPr>
          <w:rFonts w:hint="eastAsia"/>
        </w:rPr>
      </w:pPr>
      <w:r>
        <w:rPr>
          <w:rFonts w:hint="eastAsia"/>
        </w:rPr>
      </w:r>
      <w:r/>
    </w:p>
    <w:p>
      <w:pPr>
        <w:pStyle w:val="886"/>
        <w:ind w:right="-210"/>
        <w:spacing w:line="360" w:lineRule="auto"/>
        <w:rPr>
          <w:rFonts w:hint="eastAsia" w:ascii="宋体" w:hAnsi="宋体"/>
          <w:sz w:val="24"/>
        </w:rPr>
      </w:pPr>
      <w:r>
        <w:rPr>
          <w:rFonts w:hint="eastAsia" w:ascii="宋体" w:hAnsi="宋体"/>
          <w:sz w:val="24"/>
        </w:rPr>
      </w:r>
      <w:r/>
    </w:p>
    <w:p>
      <w:pPr>
        <w:pStyle w:val="886"/>
        <w:ind w:left="-210" w:right="-210"/>
        <w:jc w:val="center"/>
        <w:spacing w:line="360" w:lineRule="auto"/>
        <w:rPr>
          <w:rFonts w:ascii="宋体" w:hAnsi="宋体"/>
          <w:sz w:val="24"/>
        </w:rPr>
      </w:pPr>
      <w:r>
        <w:rPr>
          <w:rFonts w:ascii="宋体" w:hAnsi="宋体"/>
          <w:sz w:val="24"/>
        </w:rPr>
      </w:r>
      <w:r/>
    </w:p>
    <w:p>
      <w:pPr>
        <w:pStyle w:val="886"/>
        <w:jc w:val="center"/>
        <w:spacing w:line="480" w:lineRule="auto"/>
        <w:rPr>
          <w:rFonts w:hint="eastAsia" w:ascii="宋体" w:hAnsi="宋体" w:cs="Arial"/>
          <w:bCs/>
          <w:sz w:val="52"/>
          <w:szCs w:val="52"/>
        </w:rPr>
      </w:pPr>
      <w:r>
        <w:rPr>
          <w:rFonts w:hint="eastAsia" w:ascii="宋体" w:hAnsi="宋体" w:cs="Arial"/>
          <w:bCs/>
          <w:sz w:val="52"/>
          <w:szCs w:val="52"/>
        </w:rPr>
      </w:r>
      <w:r/>
    </w:p>
    <w:p>
      <w:pPr>
        <w:pStyle w:val="886"/>
        <w:jc w:val="center"/>
        <w:spacing w:line="480" w:lineRule="auto"/>
        <w:rPr>
          <w:rFonts w:ascii="宋体" w:hAnsi="宋体" w:cs="Arial"/>
          <w:bCs/>
          <w:sz w:val="52"/>
          <w:szCs w:val="52"/>
        </w:rPr>
      </w:pPr>
      <w:r>
        <w:rPr>
          <w:rFonts w:hint="eastAsia" w:ascii="宋体" w:hAnsi="宋体" w:cs="Arial"/>
          <w:bCs/>
          <w:sz w:val="52"/>
          <w:szCs w:val="52"/>
        </w:rPr>
        <w:t xml:space="preserve">昆 山 市 政 府 采 购</w:t>
      </w:r>
      <w:r>
        <w:rPr>
          <w:rFonts w:ascii="宋体" w:hAnsi="宋体" w:cs="Arial"/>
          <w:bCs/>
          <w:sz w:val="52"/>
          <w:szCs w:val="52"/>
        </w:rPr>
      </w:r>
      <w:r/>
    </w:p>
    <w:p>
      <w:pPr>
        <w:pStyle w:val="886"/>
        <w:jc w:val="center"/>
        <w:spacing w:line="480" w:lineRule="auto"/>
        <w:rPr>
          <w:rFonts w:ascii="宋体" w:hAnsi="宋体" w:cs="Arial"/>
          <w:bCs/>
          <w:sz w:val="52"/>
          <w:szCs w:val="52"/>
        </w:rPr>
      </w:pPr>
      <w:r>
        <w:rPr>
          <w:rFonts w:hint="eastAsia" w:ascii="宋体" w:hAnsi="宋体" w:cs="Arial"/>
          <w:bCs/>
          <w:sz w:val="52"/>
          <w:szCs w:val="52"/>
        </w:rPr>
        <w:t xml:space="preserve">公 开 招 标 文 件</w:t>
      </w:r>
      <w:r>
        <w:rPr>
          <w:rFonts w:ascii="宋体" w:hAnsi="宋体" w:cs="Arial"/>
          <w:bCs/>
          <w:sz w:val="52"/>
          <w:szCs w:val="52"/>
        </w:rPr>
      </w:r>
      <w:r/>
    </w:p>
    <w:p>
      <w:pPr>
        <w:pStyle w:val="886"/>
        <w:ind w:left="-210" w:right="-210"/>
        <w:jc w:val="center"/>
        <w:spacing w:line="360" w:lineRule="auto"/>
        <w:rPr>
          <w:rFonts w:ascii="宋体" w:hAnsi="宋体"/>
        </w:rPr>
      </w:pPr>
      <w:r>
        <w:rPr>
          <w:rFonts w:ascii="宋体" w:hAnsi="宋体"/>
        </w:rPr>
      </w:r>
      <w:r/>
    </w:p>
    <w:p>
      <w:pPr>
        <w:pStyle w:val="886"/>
        <w:ind w:left="-210" w:right="-210"/>
        <w:jc w:val="center"/>
        <w:spacing w:line="360" w:lineRule="auto"/>
        <w:rPr>
          <w:rFonts w:ascii="宋体" w:hAnsi="宋体"/>
        </w:rPr>
      </w:pPr>
      <w:r>
        <w:rPr>
          <w:rFonts w:ascii="宋体" w:hAnsi="宋体"/>
        </w:rPr>
      </w:r>
      <w:r/>
    </w:p>
    <w:p>
      <w:pPr>
        <w:pStyle w:val="886"/>
        <w:ind w:left="-210" w:right="-210"/>
        <w:jc w:val="center"/>
        <w:spacing w:line="360" w:lineRule="auto"/>
        <w:rPr>
          <w:rFonts w:ascii="宋体" w:hAnsi="宋体"/>
        </w:rPr>
      </w:pPr>
      <w:r>
        <w:rPr>
          <w:rFonts w:ascii="宋体" w:hAnsi="宋体"/>
        </w:rPr>
      </w:r>
      <w:r/>
    </w:p>
    <w:tbl>
      <w:tblPr>
        <w:tblW w:w="8184" w:type="dxa"/>
        <w:jc w:val="center"/>
        <w:tblInd w:w="0" w:type="dxa"/>
        <w:tblLayout w:type="autofit"/>
        <w:tblCellMar>
          <w:left w:w="10" w:type="dxa"/>
          <w:top w:w="0" w:type="dxa"/>
          <w:right w:w="10" w:type="dxa"/>
          <w:bottom w:w="0" w:type="dxa"/>
        </w:tblCellMar>
        <w:tblLook w:val="04A0" w:firstRow="1" w:lastRow="0" w:firstColumn="1" w:lastColumn="0" w:noHBand="0" w:noVBand="1"/>
      </w:tblPr>
      <w:tblGrid>
        <w:gridCol w:w="1854"/>
        <w:gridCol w:w="6330"/>
      </w:tblGrid>
      <w:tr>
        <w:trPr/>
        <w:tc>
          <w:tcPr>
            <w:tcMar>
              <w:left w:w="108" w:type="dxa"/>
              <w:top w:w="0" w:type="dxa"/>
              <w:right w:w="108" w:type="dxa"/>
              <w:bottom w:w="0" w:type="dxa"/>
            </w:tcMar>
            <w:tcW w:w="1854" w:type="dxa"/>
            <w:vAlign w:val="top"/>
            <w:textDirection w:val="lrTb"/>
            <w:noWrap w:val="false"/>
          </w:tcPr>
          <w:p>
            <w:pPr>
              <w:pStyle w:val="886"/>
              <w:jc w:val="center"/>
              <w:spacing w:line="600" w:lineRule="exact"/>
              <w:rPr>
                <w:rFonts w:ascii="宋体" w:hAnsi="宋体" w:cs="Arial"/>
              </w:rPr>
            </w:pPr>
            <w:r>
              <w:rPr>
                <w:rFonts w:hint="eastAsia" w:ascii="宋体" w:hAnsi="宋体" w:cs="Arial"/>
                <w:sz w:val="32"/>
              </w:rPr>
              <w:t xml:space="preserve">项目编号：</w:t>
            </w:r>
            <w:r>
              <w:rPr>
                <w:rFonts w:ascii="宋体" w:hAnsi="宋体" w:cs="Arial"/>
              </w:rPr>
            </w:r>
            <w:r/>
          </w:p>
        </w:tc>
        <w:tc>
          <w:tcPr>
            <w:tcBorders>
              <w:bottom w:val="single" w:color="000000" w:sz="8" w:space="0"/>
            </w:tcBorders>
            <w:tcMar>
              <w:left w:w="108" w:type="dxa"/>
              <w:top w:w="0" w:type="dxa"/>
              <w:right w:w="108" w:type="dxa"/>
              <w:bottom w:w="0" w:type="dxa"/>
            </w:tcMar>
            <w:tcW w:w="6330" w:type="dxa"/>
            <w:vAlign w:val="top"/>
            <w:textDirection w:val="lrTb"/>
            <w:noWrap w:val="false"/>
          </w:tcPr>
          <w:p>
            <w:pPr>
              <w:pStyle w:val="886"/>
              <w:jc w:val="center"/>
              <w:spacing w:line="600" w:lineRule="exact"/>
              <w:rPr>
                <w:rFonts w:hint="eastAsia" w:ascii="宋体" w:hAnsi="宋体" w:cs="Arial"/>
              </w:rPr>
            </w:pPr>
            <w:r>
              <w:rPr>
                <w:rFonts w:hint="eastAsia" w:ascii="宋体" w:hAnsi="宋体" w:cs="Arial"/>
                <w:sz w:val="32"/>
              </w:rPr>
              <w:t xml:space="preserve">JSZC-320583-SZGZ-G2025-0057</w:t>
            </w:r>
            <w:r>
              <w:rPr>
                <w:rFonts w:hint="eastAsia" w:ascii="宋体" w:hAnsi="宋体" w:cs="Arial"/>
              </w:rPr>
            </w:r>
            <w:r/>
          </w:p>
        </w:tc>
      </w:tr>
      <w:tr>
        <w:trPr/>
        <w:tc>
          <w:tcPr>
            <w:tcMar>
              <w:left w:w="108" w:type="dxa"/>
              <w:top w:w="0" w:type="dxa"/>
              <w:right w:w="108" w:type="dxa"/>
              <w:bottom w:w="0" w:type="dxa"/>
            </w:tcMar>
            <w:tcW w:w="1854" w:type="dxa"/>
            <w:vAlign w:val="top"/>
            <w:textDirection w:val="lrTb"/>
            <w:noWrap w:val="false"/>
          </w:tcPr>
          <w:p>
            <w:pPr>
              <w:pStyle w:val="886"/>
              <w:jc w:val="center"/>
              <w:spacing w:line="600" w:lineRule="exact"/>
              <w:rPr>
                <w:rFonts w:ascii="宋体" w:hAnsi="宋体" w:cs="Arial"/>
              </w:rPr>
            </w:pPr>
            <w:r>
              <w:rPr>
                <w:rFonts w:hint="eastAsia" w:ascii="宋体" w:hAnsi="宋体" w:cs="Arial"/>
                <w:sz w:val="32"/>
              </w:rPr>
              <w:t xml:space="preserve">采 购 人：</w:t>
            </w:r>
            <w:r>
              <w:rPr>
                <w:rFonts w:ascii="宋体" w:hAnsi="宋体" w:cs="Arial"/>
              </w:rPr>
            </w:r>
            <w:r/>
          </w:p>
        </w:tc>
        <w:tc>
          <w:tcPr>
            <w:tcBorders>
              <w:top w:val="single" w:color="000000" w:sz="8" w:space="0"/>
              <w:bottom w:val="single" w:color="000000" w:sz="8" w:space="0"/>
            </w:tcBorders>
            <w:tcMar>
              <w:left w:w="108" w:type="dxa"/>
              <w:top w:w="0" w:type="dxa"/>
              <w:right w:w="108" w:type="dxa"/>
              <w:bottom w:w="0" w:type="dxa"/>
            </w:tcMar>
            <w:tcW w:w="6330" w:type="dxa"/>
            <w:vAlign w:val="top"/>
            <w:textDirection w:val="lrTb"/>
            <w:noWrap w:val="false"/>
          </w:tcPr>
          <w:p>
            <w:pPr>
              <w:pStyle w:val="886"/>
              <w:jc w:val="center"/>
              <w:spacing w:line="600" w:lineRule="exact"/>
              <w:rPr>
                <w:rFonts w:ascii="宋体" w:hAnsi="宋体" w:cs="Arial"/>
                <w:sz w:val="32"/>
              </w:rPr>
            </w:pPr>
            <w:r>
              <w:rPr>
                <w:rFonts w:hint="eastAsia" w:ascii="宋体" w:hAnsi="宋体" w:cs="Arial"/>
                <w:sz w:val="32"/>
              </w:rPr>
              <w:t xml:space="preserve"> 昆山高新技术产业开发区管理委员会（昆山高新技术产业开发区安全生产监督管理和环境保护局)</w:t>
            </w:r>
            <w:r>
              <w:rPr>
                <w:rFonts w:ascii="宋体" w:hAnsi="宋体" w:cs="Arial"/>
                <w:sz w:val="32"/>
              </w:rPr>
            </w:r>
            <w:r/>
          </w:p>
        </w:tc>
      </w:tr>
      <w:tr>
        <w:trPr/>
        <w:tc>
          <w:tcPr>
            <w:tcMar>
              <w:left w:w="108" w:type="dxa"/>
              <w:top w:w="0" w:type="dxa"/>
              <w:right w:w="108" w:type="dxa"/>
              <w:bottom w:w="0" w:type="dxa"/>
            </w:tcMar>
            <w:tcW w:w="1854" w:type="dxa"/>
            <w:vAlign w:val="top"/>
            <w:textDirection w:val="lrTb"/>
            <w:noWrap w:val="false"/>
          </w:tcPr>
          <w:p>
            <w:pPr>
              <w:pStyle w:val="886"/>
              <w:jc w:val="center"/>
              <w:spacing w:line="600" w:lineRule="exact"/>
              <w:rPr>
                <w:rFonts w:ascii="宋体" w:hAnsi="宋体" w:cs="Arial"/>
              </w:rPr>
            </w:pPr>
            <w:r>
              <w:rPr>
                <w:rFonts w:hint="eastAsia" w:ascii="宋体" w:hAnsi="宋体" w:cs="Arial"/>
                <w:sz w:val="32"/>
              </w:rPr>
              <w:t xml:space="preserve">项目名称：</w:t>
            </w:r>
            <w:r>
              <w:rPr>
                <w:rFonts w:ascii="宋体" w:hAnsi="宋体" w:cs="Arial"/>
              </w:rPr>
            </w:r>
            <w:r/>
          </w:p>
        </w:tc>
        <w:tc>
          <w:tcPr>
            <w:tcBorders>
              <w:top w:val="single" w:color="000000" w:sz="8" w:space="0"/>
              <w:bottom w:val="single" w:color="000000" w:sz="8" w:space="0"/>
            </w:tcBorders>
            <w:tcMar>
              <w:left w:w="108" w:type="dxa"/>
              <w:top w:w="0" w:type="dxa"/>
              <w:right w:w="108" w:type="dxa"/>
              <w:bottom w:w="0" w:type="dxa"/>
            </w:tcMar>
            <w:tcW w:w="6330" w:type="dxa"/>
            <w:vAlign w:val="top"/>
            <w:textDirection w:val="lrTb"/>
            <w:noWrap w:val="false"/>
          </w:tcPr>
          <w:p>
            <w:pPr>
              <w:pStyle w:val="886"/>
              <w:jc w:val="center"/>
              <w:spacing w:line="600" w:lineRule="exact"/>
              <w:rPr>
                <w:rFonts w:hint="eastAsia" w:ascii="宋体" w:hAnsi="宋体" w:cs="Arial"/>
                <w:sz w:val="30"/>
                <w:szCs w:val="30"/>
              </w:rPr>
            </w:pPr>
            <w:r>
              <w:rPr>
                <w:rFonts w:hint="eastAsia" w:ascii="宋体" w:hAnsi="宋体" w:cs="Arial"/>
                <w:sz w:val="32"/>
              </w:rPr>
              <w:t xml:space="preserve">环保检查验收服务、挥发性有机物治理管家驻点服务项目</w:t>
            </w:r>
            <w:r>
              <w:rPr>
                <w:rFonts w:hint="eastAsia" w:ascii="宋体" w:hAnsi="宋体" w:cs="Arial"/>
                <w:sz w:val="30"/>
                <w:szCs w:val="30"/>
              </w:rPr>
            </w:r>
            <w:r/>
          </w:p>
        </w:tc>
      </w:tr>
    </w:tbl>
    <w:p>
      <w:pPr>
        <w:pStyle w:val="886"/>
        <w:spacing w:line="600" w:lineRule="exact"/>
        <w:rPr>
          <w:rFonts w:hint="eastAsia" w:ascii="宋体" w:hAnsi="宋体" w:cs="Arial"/>
        </w:rPr>
      </w:pPr>
      <w:r>
        <w:rPr>
          <w:rFonts w:hint="eastAsia" w:ascii="宋体" w:hAnsi="宋体"/>
          <w:sz w:val="24"/>
        </w:rPr>
        <w:t xml:space="preserve"> </w:t>
      </w:r>
      <w:r>
        <w:rPr>
          <w:rFonts w:hint="eastAsia" w:ascii="宋体" w:hAnsi="宋体" w:cs="Arial"/>
        </w:rPr>
      </w:r>
      <w:r/>
    </w:p>
    <w:p>
      <w:pPr>
        <w:pStyle w:val="886"/>
        <w:jc w:val="center"/>
        <w:spacing w:line="360" w:lineRule="auto"/>
        <w:rPr>
          <w:rFonts w:hint="eastAsia" w:ascii="宋体" w:hAnsi="宋体" w:cs="Arial"/>
          <w:sz w:val="32"/>
        </w:rPr>
      </w:pPr>
      <w:r>
        <w:rPr>
          <w:rFonts w:hint="eastAsia" w:ascii="宋体" w:hAnsi="宋体" w:cs="Arial"/>
          <w:sz w:val="32"/>
        </w:rPr>
      </w:r>
      <w:r/>
    </w:p>
    <w:p>
      <w:pPr>
        <w:pStyle w:val="886"/>
        <w:jc w:val="center"/>
        <w:spacing w:line="360" w:lineRule="auto"/>
        <w:rPr>
          <w:rFonts w:ascii="宋体" w:hAnsi="宋体" w:cs="Arial"/>
          <w:sz w:val="32"/>
          <w:szCs w:val="32"/>
        </w:rPr>
      </w:pPr>
      <w:r>
        <w:rPr>
          <w:rFonts w:hint="eastAsia"/>
        </w:rPr>
        <w:t xml:space="preserve"> </w:t>
      </w:r>
      <w:r>
        <w:rPr>
          <w:rFonts w:hint="eastAsia" w:ascii="宋体" w:hAnsi="宋体" w:cs="Arial"/>
          <w:sz w:val="32"/>
          <w:szCs w:val="32"/>
        </w:rPr>
        <w:t xml:space="preserve">苏州公正建设咨询房地产评估有限公司</w:t>
      </w:r>
      <w:r>
        <w:rPr>
          <w:rFonts w:ascii="宋体" w:hAnsi="宋体" w:cs="Arial"/>
          <w:sz w:val="32"/>
          <w:szCs w:val="32"/>
        </w:rPr>
      </w:r>
      <w:r/>
    </w:p>
    <w:p>
      <w:pPr>
        <w:pStyle w:val="886"/>
        <w:jc w:val="center"/>
        <w:spacing w:line="360" w:lineRule="auto"/>
        <w:rPr>
          <w:rFonts w:ascii="宋体" w:hAnsi="宋体"/>
          <w:sz w:val="48"/>
          <w:szCs w:val="48"/>
        </w:rPr>
      </w:pPr>
      <w:r>
        <w:rPr>
          <w:rFonts w:ascii="宋体" w:hAnsi="宋体" w:cs="Arial"/>
          <w:sz w:val="32"/>
          <w:szCs w:val="32"/>
        </w:rPr>
        <w:t xml:space="preserve">二〇二</w:t>
      </w:r>
      <w:r>
        <w:rPr>
          <w:rFonts w:hint="eastAsia" w:ascii="宋体" w:hAnsi="宋体" w:cs="Arial"/>
          <w:sz w:val="32"/>
          <w:szCs w:val="32"/>
        </w:rPr>
        <w:t xml:space="preserve">五</w:t>
      </w:r>
      <w:r>
        <w:rPr>
          <w:rFonts w:ascii="宋体" w:hAnsi="宋体" w:cs="Arial"/>
          <w:sz w:val="32"/>
          <w:szCs w:val="32"/>
        </w:rPr>
        <w:t xml:space="preserve">年</w:t>
        <w:br w:type="page" w:clear="all"/>
      </w:r>
      <w:r>
        <w:rPr>
          <w:rFonts w:ascii="宋体" w:hAnsi="宋体"/>
          <w:sz w:val="48"/>
          <w:szCs w:val="48"/>
        </w:rPr>
        <w:t xml:space="preserve">目录</w:t>
      </w:r>
      <w:r/>
    </w:p>
    <w:p>
      <w:pPr>
        <w:pStyle w:val="943"/>
        <w:rPr>
          <w:rFonts w:ascii="Calibri" w:hAnsi="Calibri"/>
          <w:b w:val="0"/>
          <w:szCs w:val="22"/>
        </w:rPr>
      </w:pPr>
      <w:r>
        <w:rPr>
          <w:b w:val="0"/>
          <w:sz w:val="28"/>
          <w:szCs w:val="28"/>
        </w:rPr>
        <w:fldChar w:fldCharType="begin"/>
      </w:r>
      <w:r>
        <w:rPr>
          <w:b w:val="0"/>
          <w:sz w:val="28"/>
          <w:szCs w:val="28"/>
        </w:rPr>
        <w:instrText xml:space="preserve"> TOC \o "1-3" \h \z \u </w:instrText>
      </w:r>
      <w:r>
        <w:rPr>
          <w:b w:val="0"/>
          <w:sz w:val="28"/>
          <w:szCs w:val="28"/>
        </w:rPr>
        <w:fldChar w:fldCharType="separate"/>
      </w:r>
      <w:r>
        <w:rPr>
          <w:rStyle w:val="976"/>
        </w:rPr>
        <w:fldChar w:fldCharType="begin"/>
      </w:r>
      <w:r>
        <w:rPr>
          <w:rStyle w:val="976"/>
        </w:rPr>
        <w:instrText xml:space="preserve"> </w:instrText>
      </w:r>
      <w:r>
        <w:instrText xml:space="preserve">HYPERLINK \l "_Toc199168190"</w:instrText>
      </w:r>
      <w:r>
        <w:rPr>
          <w:rStyle w:val="976"/>
        </w:rPr>
        <w:instrText xml:space="preserve"> </w:instrText>
      </w:r>
      <w:r>
        <w:rPr>
          <w:rStyle w:val="976"/>
        </w:rPr>
        <w:fldChar w:fldCharType="separate"/>
      </w:r>
      <w:r>
        <w:rPr>
          <w:rStyle w:val="976"/>
          <w:rFonts w:hint="eastAsia"/>
        </w:rPr>
        <w:t xml:space="preserve">第一章</w:t>
      </w:r>
      <w:r>
        <w:rPr>
          <w:rStyle w:val="976"/>
        </w:rPr>
        <w:t xml:space="preserve">  </w:t>
      </w:r>
      <w:r>
        <w:rPr>
          <w:rStyle w:val="976"/>
          <w:rFonts w:hint="eastAsia"/>
        </w:rPr>
        <w:t xml:space="preserve">投标邀请</w:t>
      </w:r>
      <w:r>
        <w:tab/>
      </w:r>
      <w:r>
        <w:fldChar w:fldCharType="begin"/>
      </w:r>
      <w:r>
        <w:instrText xml:space="preserve"> PAGEREF _Toc199168190 \h </w:instrText>
      </w:r>
      <w:r>
        <w:fldChar w:fldCharType="separate"/>
      </w:r>
      <w:r>
        <w:t xml:space="preserve">3</w:t>
      </w:r>
      <w:r>
        <w:fldChar w:fldCharType="end"/>
      </w:r>
      <w:r>
        <w:rPr>
          <w:rStyle w:val="976"/>
        </w:rPr>
        <w:fldChar w:fldCharType="end"/>
      </w:r>
      <w:r>
        <w:rPr>
          <w:rFonts w:ascii="Calibri" w:hAnsi="Calibri"/>
          <w:b w:val="0"/>
          <w:szCs w:val="22"/>
        </w:rPr>
      </w:r>
      <w:r/>
    </w:p>
    <w:p>
      <w:pPr>
        <w:pStyle w:val="943"/>
        <w:rPr>
          <w:rFonts w:ascii="Calibri" w:hAnsi="Calibri"/>
          <w:b w:val="0"/>
          <w:szCs w:val="22"/>
        </w:rPr>
      </w:pPr>
      <w:r>
        <w:rPr>
          <w:rStyle w:val="976"/>
        </w:rPr>
        <w:fldChar w:fldCharType="begin"/>
      </w:r>
      <w:r>
        <w:rPr>
          <w:rStyle w:val="976"/>
        </w:rPr>
        <w:instrText xml:space="preserve"> </w:instrText>
      </w:r>
      <w:r>
        <w:instrText xml:space="preserve">HYPERLINK \l "_Toc199168191"</w:instrText>
      </w:r>
      <w:r>
        <w:rPr>
          <w:rStyle w:val="976"/>
        </w:rPr>
        <w:instrText xml:space="preserve"> </w:instrText>
      </w:r>
      <w:r>
        <w:rPr>
          <w:rStyle w:val="976"/>
        </w:rPr>
        <w:fldChar w:fldCharType="separate"/>
      </w:r>
      <w:r>
        <w:rPr>
          <w:rStyle w:val="976"/>
          <w:rFonts w:hint="eastAsia"/>
          <w:bCs/>
        </w:rPr>
        <w:t xml:space="preserve">第二章</w:t>
      </w:r>
      <w:r>
        <w:rPr>
          <w:rStyle w:val="976"/>
          <w:bCs/>
        </w:rPr>
        <w:t xml:space="preserve">  </w:t>
      </w:r>
      <w:r>
        <w:rPr>
          <w:rStyle w:val="976"/>
          <w:rFonts w:hint="eastAsia"/>
          <w:bCs/>
        </w:rPr>
        <w:t xml:space="preserve">投标人须知</w:t>
      </w:r>
      <w:r>
        <w:tab/>
      </w:r>
      <w:r>
        <w:fldChar w:fldCharType="begin"/>
      </w:r>
      <w:r>
        <w:instrText xml:space="preserve"> PAGEREF _Toc199168191 \h </w:instrText>
      </w:r>
      <w:r>
        <w:fldChar w:fldCharType="separate"/>
      </w:r>
      <w:r>
        <w:t xml:space="preserve">7</w:t>
      </w:r>
      <w:r>
        <w:fldChar w:fldCharType="end"/>
      </w:r>
      <w:r>
        <w:rPr>
          <w:rStyle w:val="976"/>
        </w:rPr>
        <w:fldChar w:fldCharType="end"/>
      </w:r>
      <w:r>
        <w:rPr>
          <w:rFonts w:ascii="Calibri" w:hAnsi="Calibri"/>
          <w:b w:val="0"/>
          <w:szCs w:val="22"/>
        </w:rPr>
      </w:r>
      <w:r/>
    </w:p>
    <w:p>
      <w:pPr>
        <w:pStyle w:val="943"/>
        <w:rPr>
          <w:rFonts w:ascii="Calibri" w:hAnsi="Calibri"/>
          <w:b w:val="0"/>
          <w:szCs w:val="22"/>
        </w:rPr>
      </w:pPr>
      <w:r>
        <w:rPr>
          <w:rStyle w:val="976"/>
        </w:rPr>
        <w:fldChar w:fldCharType="begin"/>
      </w:r>
      <w:r>
        <w:rPr>
          <w:rStyle w:val="976"/>
        </w:rPr>
        <w:instrText xml:space="preserve"> </w:instrText>
      </w:r>
      <w:r>
        <w:instrText xml:space="preserve">HYPERLINK \l "_Toc199168192"</w:instrText>
      </w:r>
      <w:r>
        <w:rPr>
          <w:rStyle w:val="976"/>
        </w:rPr>
        <w:instrText xml:space="preserve"> </w:instrText>
      </w:r>
      <w:r>
        <w:rPr>
          <w:rStyle w:val="976"/>
        </w:rPr>
        <w:fldChar w:fldCharType="separate"/>
      </w:r>
      <w:r>
        <w:rPr>
          <w:rStyle w:val="976"/>
          <w:rFonts w:hint="eastAsia"/>
        </w:rPr>
        <w:t xml:space="preserve">第三章</w:t>
      </w:r>
      <w:r>
        <w:rPr>
          <w:rStyle w:val="976"/>
        </w:rPr>
        <w:t xml:space="preserve">  </w:t>
      </w:r>
      <w:r>
        <w:rPr>
          <w:rStyle w:val="976"/>
          <w:rFonts w:hint="eastAsia"/>
        </w:rPr>
        <w:t xml:space="preserve">投标文件格式</w:t>
      </w:r>
      <w:r>
        <w:tab/>
      </w:r>
      <w:r>
        <w:fldChar w:fldCharType="begin"/>
      </w:r>
      <w:r>
        <w:instrText xml:space="preserve"> PAGEREF _Toc199168192 \h </w:instrText>
      </w:r>
      <w:r>
        <w:fldChar w:fldCharType="separate"/>
      </w:r>
      <w:r>
        <w:t xml:space="preserve">18</w:t>
      </w:r>
      <w:r>
        <w:fldChar w:fldCharType="end"/>
      </w:r>
      <w:r>
        <w:rPr>
          <w:rStyle w:val="976"/>
        </w:rPr>
        <w:fldChar w:fldCharType="end"/>
      </w:r>
      <w:r>
        <w:rPr>
          <w:rFonts w:ascii="Calibri" w:hAnsi="Calibri"/>
          <w:b w:val="0"/>
          <w:szCs w:val="22"/>
        </w:rPr>
      </w:r>
      <w:r/>
    </w:p>
    <w:p>
      <w:pPr>
        <w:pStyle w:val="952"/>
        <w:tabs>
          <w:tab w:val="right" w:pos="9061" w:leader="dot"/>
        </w:tabs>
        <w:rPr>
          <w:rFonts w:ascii="Calibri" w:hAnsi="Calibri"/>
          <w:szCs w:val="22"/>
        </w:rPr>
      </w:pPr>
      <w:r>
        <w:rPr>
          <w:rStyle w:val="976"/>
        </w:rPr>
        <w:fldChar w:fldCharType="begin"/>
      </w:r>
      <w:r>
        <w:rPr>
          <w:rStyle w:val="976"/>
        </w:rPr>
        <w:instrText xml:space="preserve"> </w:instrText>
      </w:r>
      <w:r>
        <w:instrText xml:space="preserve">HYPERLINK \l "_Toc199168193"</w:instrText>
      </w:r>
      <w:r>
        <w:rPr>
          <w:rStyle w:val="976"/>
        </w:rPr>
        <w:instrText xml:space="preserve"> </w:instrText>
      </w:r>
      <w:r>
        <w:rPr>
          <w:rStyle w:val="976"/>
        </w:rPr>
        <w:fldChar w:fldCharType="separate"/>
      </w:r>
      <w:r>
        <w:rPr>
          <w:rStyle w:val="976"/>
          <w:rFonts w:ascii="宋体" w:hAnsi="宋体"/>
        </w:rPr>
        <w:t xml:space="preserve">1.</w:t>
      </w:r>
      <w:r>
        <w:rPr>
          <w:rStyle w:val="976"/>
          <w:rFonts w:hint="eastAsia" w:ascii="宋体" w:hAnsi="宋体"/>
        </w:rPr>
        <w:t xml:space="preserve">投标文件的声明函</w:t>
      </w:r>
      <w:r>
        <w:tab/>
      </w:r>
      <w:r>
        <w:fldChar w:fldCharType="begin"/>
      </w:r>
      <w:r>
        <w:instrText xml:space="preserve"> PAGEREF _Toc199168193 \h </w:instrText>
      </w:r>
      <w:r>
        <w:fldChar w:fldCharType="separate"/>
      </w:r>
      <w:r>
        <w:t xml:space="preserve">18</w:t>
      </w:r>
      <w:r>
        <w:fldChar w:fldCharType="end"/>
      </w:r>
      <w:r>
        <w:rPr>
          <w:rStyle w:val="976"/>
        </w:rPr>
        <w:fldChar w:fldCharType="end"/>
      </w:r>
      <w:r>
        <w:rPr>
          <w:rFonts w:ascii="Calibri" w:hAnsi="Calibri"/>
          <w:szCs w:val="22"/>
        </w:rPr>
      </w:r>
      <w:r/>
    </w:p>
    <w:p>
      <w:pPr>
        <w:pStyle w:val="952"/>
        <w:tabs>
          <w:tab w:val="right" w:pos="9061" w:leader="dot"/>
        </w:tabs>
        <w:rPr>
          <w:rFonts w:ascii="Calibri" w:hAnsi="Calibri"/>
          <w:szCs w:val="22"/>
        </w:rPr>
      </w:pPr>
      <w:r>
        <w:rPr>
          <w:rStyle w:val="976"/>
        </w:rPr>
        <w:fldChar w:fldCharType="begin"/>
      </w:r>
      <w:r>
        <w:rPr>
          <w:rStyle w:val="976"/>
        </w:rPr>
        <w:instrText xml:space="preserve"> </w:instrText>
      </w:r>
      <w:r>
        <w:instrText xml:space="preserve">HYPERLINK \l "_Toc199168194"</w:instrText>
      </w:r>
      <w:r>
        <w:rPr>
          <w:rStyle w:val="976"/>
        </w:rPr>
        <w:instrText xml:space="preserve"> </w:instrText>
      </w:r>
      <w:r>
        <w:rPr>
          <w:rStyle w:val="976"/>
        </w:rPr>
        <w:fldChar w:fldCharType="separate"/>
      </w:r>
      <w:r>
        <w:rPr>
          <w:rStyle w:val="976"/>
          <w:rFonts w:ascii="宋体" w:hAnsi="宋体"/>
        </w:rPr>
        <w:t xml:space="preserve">2.</w:t>
      </w:r>
      <w:r>
        <w:rPr>
          <w:rStyle w:val="976"/>
          <w:rFonts w:hint="eastAsia" w:ascii="宋体" w:hAnsi="宋体"/>
        </w:rPr>
        <w:t xml:space="preserve">投标承诺函</w:t>
      </w:r>
      <w:r>
        <w:tab/>
      </w:r>
      <w:r>
        <w:fldChar w:fldCharType="begin"/>
      </w:r>
      <w:r>
        <w:instrText xml:space="preserve"> PAGEREF _Toc199168194 \h </w:instrText>
      </w:r>
      <w:r>
        <w:fldChar w:fldCharType="separate"/>
      </w:r>
      <w:r>
        <w:t xml:space="preserve">19</w:t>
      </w:r>
      <w:r>
        <w:fldChar w:fldCharType="end"/>
      </w:r>
      <w:r>
        <w:rPr>
          <w:rStyle w:val="976"/>
        </w:rPr>
        <w:fldChar w:fldCharType="end"/>
      </w:r>
      <w:r>
        <w:rPr>
          <w:rFonts w:ascii="Calibri" w:hAnsi="Calibri"/>
          <w:szCs w:val="22"/>
        </w:rPr>
      </w:r>
      <w:r/>
    </w:p>
    <w:p>
      <w:pPr>
        <w:pStyle w:val="952"/>
        <w:tabs>
          <w:tab w:val="right" w:pos="9061" w:leader="dot"/>
        </w:tabs>
        <w:rPr>
          <w:rFonts w:ascii="Calibri" w:hAnsi="Calibri"/>
          <w:szCs w:val="22"/>
        </w:rPr>
      </w:pPr>
      <w:r>
        <w:rPr>
          <w:rStyle w:val="976"/>
        </w:rPr>
        <w:fldChar w:fldCharType="begin"/>
      </w:r>
      <w:r>
        <w:rPr>
          <w:rStyle w:val="976"/>
        </w:rPr>
        <w:instrText xml:space="preserve"> </w:instrText>
      </w:r>
      <w:r>
        <w:instrText xml:space="preserve">HYPERLINK \l "_Toc199168195"</w:instrText>
      </w:r>
      <w:r>
        <w:rPr>
          <w:rStyle w:val="976"/>
        </w:rPr>
        <w:instrText xml:space="preserve"> </w:instrText>
      </w:r>
      <w:r>
        <w:rPr>
          <w:rStyle w:val="976"/>
        </w:rPr>
        <w:fldChar w:fldCharType="separate"/>
      </w:r>
      <w:r>
        <w:rPr>
          <w:rStyle w:val="976"/>
          <w:rFonts w:ascii="宋体" w:hAnsi="宋体"/>
        </w:rPr>
        <w:t xml:space="preserve">3.</w:t>
      </w:r>
      <w:r>
        <w:rPr>
          <w:rStyle w:val="976"/>
          <w:rFonts w:hint="eastAsia" w:ascii="宋体" w:hAnsi="宋体"/>
        </w:rPr>
        <w:t xml:space="preserve">无重大违法记录声明</w:t>
      </w:r>
      <w:r>
        <w:tab/>
      </w:r>
      <w:r>
        <w:fldChar w:fldCharType="begin"/>
      </w:r>
      <w:r>
        <w:instrText xml:space="preserve"> PAGEREF _Toc199168195 \h </w:instrText>
      </w:r>
      <w:r>
        <w:fldChar w:fldCharType="separate"/>
      </w:r>
      <w:r>
        <w:t xml:space="preserve">21</w:t>
      </w:r>
      <w:r>
        <w:fldChar w:fldCharType="end"/>
      </w:r>
      <w:r>
        <w:rPr>
          <w:rStyle w:val="976"/>
        </w:rPr>
        <w:fldChar w:fldCharType="end"/>
      </w:r>
      <w:r>
        <w:rPr>
          <w:rFonts w:ascii="Calibri" w:hAnsi="Calibri"/>
          <w:szCs w:val="22"/>
        </w:rPr>
      </w:r>
      <w:r/>
    </w:p>
    <w:p>
      <w:pPr>
        <w:pStyle w:val="952"/>
        <w:tabs>
          <w:tab w:val="right" w:pos="9061" w:leader="dot"/>
        </w:tabs>
        <w:rPr>
          <w:rFonts w:ascii="Calibri" w:hAnsi="Calibri"/>
          <w:szCs w:val="22"/>
        </w:rPr>
      </w:pPr>
      <w:r>
        <w:rPr>
          <w:rStyle w:val="976"/>
        </w:rPr>
        <w:fldChar w:fldCharType="begin"/>
      </w:r>
      <w:r>
        <w:rPr>
          <w:rStyle w:val="976"/>
        </w:rPr>
        <w:instrText xml:space="preserve"> </w:instrText>
      </w:r>
      <w:r>
        <w:instrText xml:space="preserve">HYPERLINK \l "_Toc199168196"</w:instrText>
      </w:r>
      <w:r>
        <w:rPr>
          <w:rStyle w:val="976"/>
        </w:rPr>
        <w:instrText xml:space="preserve"> </w:instrText>
      </w:r>
      <w:r>
        <w:rPr>
          <w:rStyle w:val="976"/>
        </w:rPr>
        <w:fldChar w:fldCharType="separate"/>
      </w:r>
      <w:r>
        <w:rPr>
          <w:rStyle w:val="976"/>
          <w:rFonts w:ascii="宋体" w:hAnsi="宋体"/>
        </w:rPr>
        <w:t xml:space="preserve">4.</w:t>
      </w:r>
      <w:r>
        <w:rPr>
          <w:rStyle w:val="976"/>
          <w:rFonts w:hint="eastAsia" w:ascii="宋体" w:hAnsi="宋体"/>
        </w:rPr>
        <w:t xml:space="preserve">投标函</w:t>
      </w:r>
      <w:r>
        <w:tab/>
      </w:r>
      <w:r>
        <w:fldChar w:fldCharType="begin"/>
      </w:r>
      <w:r>
        <w:instrText xml:space="preserve"> PAGEREF _Toc199168196 \h </w:instrText>
      </w:r>
      <w:r>
        <w:fldChar w:fldCharType="separate"/>
      </w:r>
      <w:r>
        <w:t xml:space="preserve">22</w:t>
      </w:r>
      <w:r>
        <w:fldChar w:fldCharType="end"/>
      </w:r>
      <w:r>
        <w:rPr>
          <w:rStyle w:val="976"/>
        </w:rPr>
        <w:fldChar w:fldCharType="end"/>
      </w:r>
      <w:r>
        <w:rPr>
          <w:rFonts w:ascii="Calibri" w:hAnsi="Calibri"/>
          <w:szCs w:val="22"/>
        </w:rPr>
      </w:r>
      <w:r/>
    </w:p>
    <w:p>
      <w:pPr>
        <w:pStyle w:val="952"/>
        <w:tabs>
          <w:tab w:val="right" w:pos="9061" w:leader="dot"/>
        </w:tabs>
        <w:rPr>
          <w:rFonts w:ascii="Calibri" w:hAnsi="Calibri"/>
          <w:szCs w:val="22"/>
        </w:rPr>
      </w:pPr>
      <w:r>
        <w:rPr>
          <w:rStyle w:val="976"/>
        </w:rPr>
        <w:fldChar w:fldCharType="begin"/>
      </w:r>
      <w:r>
        <w:rPr>
          <w:rStyle w:val="976"/>
        </w:rPr>
        <w:instrText xml:space="preserve"> </w:instrText>
      </w:r>
      <w:r>
        <w:instrText xml:space="preserve">HYPERLINK \l "_Toc199168197"</w:instrText>
      </w:r>
      <w:r>
        <w:rPr>
          <w:rStyle w:val="976"/>
        </w:rPr>
        <w:instrText xml:space="preserve"> </w:instrText>
      </w:r>
      <w:r>
        <w:rPr>
          <w:rStyle w:val="976"/>
        </w:rPr>
        <w:fldChar w:fldCharType="separate"/>
      </w:r>
      <w:r>
        <w:rPr>
          <w:rStyle w:val="976"/>
          <w:rFonts w:ascii="宋体" w:hAnsi="宋体"/>
        </w:rPr>
        <w:t xml:space="preserve">5.</w:t>
      </w:r>
      <w:r>
        <w:rPr>
          <w:rStyle w:val="976"/>
          <w:rFonts w:hint="eastAsia" w:ascii="宋体" w:hAnsi="宋体"/>
        </w:rPr>
        <w:t xml:space="preserve">开标一览表</w:t>
      </w:r>
      <w:r>
        <w:tab/>
      </w:r>
      <w:r>
        <w:fldChar w:fldCharType="begin"/>
      </w:r>
      <w:r>
        <w:instrText xml:space="preserve"> PAGEREF _Toc199168197 \h </w:instrText>
      </w:r>
      <w:r>
        <w:fldChar w:fldCharType="separate"/>
      </w:r>
      <w:r>
        <w:t xml:space="preserve">23</w:t>
      </w:r>
      <w:r>
        <w:fldChar w:fldCharType="end"/>
      </w:r>
      <w:r>
        <w:rPr>
          <w:rStyle w:val="976"/>
        </w:rPr>
        <w:fldChar w:fldCharType="end"/>
      </w:r>
      <w:r>
        <w:rPr>
          <w:rFonts w:ascii="Calibri" w:hAnsi="Calibri"/>
          <w:szCs w:val="22"/>
        </w:rPr>
      </w:r>
      <w:r/>
    </w:p>
    <w:p>
      <w:pPr>
        <w:pStyle w:val="952"/>
        <w:tabs>
          <w:tab w:val="right" w:pos="9061" w:leader="dot"/>
        </w:tabs>
        <w:rPr>
          <w:rFonts w:ascii="Calibri" w:hAnsi="Calibri"/>
          <w:szCs w:val="22"/>
        </w:rPr>
      </w:pPr>
      <w:r>
        <w:rPr>
          <w:rStyle w:val="976"/>
        </w:rPr>
        <w:fldChar w:fldCharType="begin"/>
      </w:r>
      <w:r>
        <w:rPr>
          <w:rStyle w:val="976"/>
        </w:rPr>
        <w:instrText xml:space="preserve"> </w:instrText>
      </w:r>
      <w:r>
        <w:instrText xml:space="preserve">HYPERLINK \l "_Toc199168198"</w:instrText>
      </w:r>
      <w:r>
        <w:rPr>
          <w:rStyle w:val="976"/>
        </w:rPr>
        <w:instrText xml:space="preserve"> </w:instrText>
      </w:r>
      <w:r>
        <w:rPr>
          <w:rStyle w:val="976"/>
        </w:rPr>
        <w:fldChar w:fldCharType="separate"/>
      </w:r>
      <w:r>
        <w:rPr>
          <w:rStyle w:val="976"/>
          <w:rFonts w:ascii="宋体" w:hAnsi="宋体"/>
        </w:rPr>
        <w:t xml:space="preserve">6.</w:t>
      </w:r>
      <w:r>
        <w:rPr>
          <w:rStyle w:val="976"/>
          <w:rFonts w:hint="eastAsia" w:ascii="宋体" w:hAnsi="宋体"/>
        </w:rPr>
        <w:t xml:space="preserve">投标报价表</w:t>
      </w:r>
      <w:r>
        <w:tab/>
      </w:r>
      <w:r>
        <w:fldChar w:fldCharType="begin"/>
      </w:r>
      <w:r>
        <w:instrText xml:space="preserve"> PAGEREF _Toc199168198 \h </w:instrText>
      </w:r>
      <w:r>
        <w:fldChar w:fldCharType="separate"/>
      </w:r>
      <w:r>
        <w:t xml:space="preserve">24</w:t>
      </w:r>
      <w:r>
        <w:fldChar w:fldCharType="end"/>
      </w:r>
      <w:r>
        <w:rPr>
          <w:rStyle w:val="976"/>
        </w:rPr>
        <w:fldChar w:fldCharType="end"/>
      </w:r>
      <w:r>
        <w:rPr>
          <w:rFonts w:ascii="Calibri" w:hAnsi="Calibri"/>
          <w:szCs w:val="22"/>
        </w:rPr>
      </w:r>
      <w:r/>
    </w:p>
    <w:p>
      <w:pPr>
        <w:pStyle w:val="952"/>
        <w:tabs>
          <w:tab w:val="right" w:pos="9061" w:leader="dot"/>
        </w:tabs>
        <w:rPr>
          <w:rFonts w:ascii="Calibri" w:hAnsi="Calibri"/>
          <w:szCs w:val="22"/>
        </w:rPr>
      </w:pPr>
      <w:r>
        <w:rPr>
          <w:rStyle w:val="976"/>
        </w:rPr>
        <w:fldChar w:fldCharType="begin"/>
      </w:r>
      <w:r>
        <w:rPr>
          <w:rStyle w:val="976"/>
        </w:rPr>
        <w:instrText xml:space="preserve"> </w:instrText>
      </w:r>
      <w:r>
        <w:instrText xml:space="preserve">HYPERLINK \l "_Toc199168199"</w:instrText>
      </w:r>
      <w:r>
        <w:rPr>
          <w:rStyle w:val="976"/>
        </w:rPr>
        <w:instrText xml:space="preserve"> </w:instrText>
      </w:r>
      <w:r>
        <w:rPr>
          <w:rStyle w:val="976"/>
        </w:rPr>
        <w:fldChar w:fldCharType="separate"/>
      </w:r>
      <w:r>
        <w:rPr>
          <w:rStyle w:val="976"/>
          <w:rFonts w:ascii="宋体" w:hAnsi="宋体"/>
        </w:rPr>
        <w:t xml:space="preserve">7.</w:t>
      </w:r>
      <w:r>
        <w:rPr>
          <w:rStyle w:val="976"/>
          <w:rFonts w:hint="eastAsia" w:ascii="宋体" w:hAnsi="宋体"/>
        </w:rPr>
        <w:t xml:space="preserve">人员配置表</w:t>
      </w:r>
      <w:r>
        <w:tab/>
      </w:r>
      <w:r>
        <w:fldChar w:fldCharType="begin"/>
      </w:r>
      <w:r>
        <w:instrText xml:space="preserve"> PAGEREF _Toc199168199 \h </w:instrText>
      </w:r>
      <w:r>
        <w:fldChar w:fldCharType="separate"/>
      </w:r>
      <w:r>
        <w:t xml:space="preserve">25</w:t>
      </w:r>
      <w:r>
        <w:fldChar w:fldCharType="end"/>
      </w:r>
      <w:r>
        <w:rPr>
          <w:rStyle w:val="976"/>
        </w:rPr>
        <w:fldChar w:fldCharType="end"/>
      </w:r>
      <w:r>
        <w:rPr>
          <w:rFonts w:ascii="Calibri" w:hAnsi="Calibri"/>
          <w:szCs w:val="22"/>
        </w:rPr>
      </w:r>
      <w:r/>
    </w:p>
    <w:p>
      <w:pPr>
        <w:pStyle w:val="952"/>
        <w:tabs>
          <w:tab w:val="right" w:pos="9061" w:leader="dot"/>
        </w:tabs>
        <w:rPr>
          <w:rFonts w:ascii="Calibri" w:hAnsi="Calibri"/>
          <w:szCs w:val="22"/>
        </w:rPr>
      </w:pPr>
      <w:r>
        <w:rPr>
          <w:rStyle w:val="976"/>
        </w:rPr>
        <w:fldChar w:fldCharType="begin"/>
      </w:r>
      <w:r>
        <w:rPr>
          <w:rStyle w:val="976"/>
        </w:rPr>
        <w:instrText xml:space="preserve"> </w:instrText>
      </w:r>
      <w:r>
        <w:instrText xml:space="preserve">HYPERLINK \l "_Toc199168200"</w:instrText>
      </w:r>
      <w:r>
        <w:rPr>
          <w:rStyle w:val="976"/>
        </w:rPr>
        <w:instrText xml:space="preserve"> </w:instrText>
      </w:r>
      <w:r>
        <w:rPr>
          <w:rStyle w:val="976"/>
        </w:rPr>
        <w:fldChar w:fldCharType="separate"/>
      </w:r>
      <w:r>
        <w:rPr>
          <w:rStyle w:val="976"/>
          <w:rFonts w:ascii="宋体" w:hAnsi="宋体"/>
        </w:rPr>
        <w:t xml:space="preserve">8.</w:t>
      </w:r>
      <w:r>
        <w:rPr>
          <w:rStyle w:val="976"/>
          <w:rFonts w:hint="eastAsia" w:ascii="宋体" w:hAnsi="宋体"/>
        </w:rPr>
        <w:t xml:space="preserve">中小企业声明函</w:t>
      </w:r>
      <w:r>
        <w:tab/>
      </w:r>
      <w:r>
        <w:fldChar w:fldCharType="begin"/>
      </w:r>
      <w:r>
        <w:instrText xml:space="preserve"> PAGEREF _Toc199168200 \h </w:instrText>
      </w:r>
      <w:r>
        <w:fldChar w:fldCharType="separate"/>
      </w:r>
      <w:r>
        <w:t xml:space="preserve">26</w:t>
      </w:r>
      <w:r>
        <w:fldChar w:fldCharType="end"/>
      </w:r>
      <w:r>
        <w:rPr>
          <w:rStyle w:val="976"/>
        </w:rPr>
        <w:fldChar w:fldCharType="end"/>
      </w:r>
      <w:r>
        <w:rPr>
          <w:rFonts w:ascii="Calibri" w:hAnsi="Calibri"/>
          <w:szCs w:val="22"/>
        </w:rPr>
      </w:r>
      <w:r/>
    </w:p>
    <w:p>
      <w:pPr>
        <w:pStyle w:val="952"/>
        <w:tabs>
          <w:tab w:val="right" w:pos="9061" w:leader="dot"/>
        </w:tabs>
        <w:rPr>
          <w:rFonts w:ascii="Calibri" w:hAnsi="Calibri"/>
          <w:szCs w:val="22"/>
        </w:rPr>
      </w:pPr>
      <w:r>
        <w:rPr>
          <w:rStyle w:val="976"/>
        </w:rPr>
        <w:fldChar w:fldCharType="begin"/>
      </w:r>
      <w:r>
        <w:rPr>
          <w:rStyle w:val="976"/>
        </w:rPr>
        <w:instrText xml:space="preserve"> </w:instrText>
      </w:r>
      <w:r>
        <w:instrText xml:space="preserve">HYPERLINK \l "_Toc199168201"</w:instrText>
      </w:r>
      <w:r>
        <w:rPr>
          <w:rStyle w:val="976"/>
        </w:rPr>
        <w:instrText xml:space="preserve"> </w:instrText>
      </w:r>
      <w:r>
        <w:rPr>
          <w:rStyle w:val="976"/>
        </w:rPr>
        <w:fldChar w:fldCharType="separate"/>
      </w:r>
      <w:r>
        <w:rPr>
          <w:rStyle w:val="976"/>
          <w:rFonts w:ascii="宋体" w:hAnsi="宋体"/>
        </w:rPr>
        <w:t xml:space="preserve">9.</w:t>
      </w:r>
      <w:r>
        <w:rPr>
          <w:rStyle w:val="976"/>
          <w:rFonts w:hint="eastAsia" w:ascii="宋体" w:hAnsi="宋体"/>
        </w:rPr>
        <w:t xml:space="preserve">残疾人福利性单位声明函</w:t>
      </w:r>
      <w:r>
        <w:tab/>
      </w:r>
      <w:r>
        <w:fldChar w:fldCharType="begin"/>
      </w:r>
      <w:r>
        <w:instrText xml:space="preserve"> PAGEREF _Toc199168201 \h </w:instrText>
      </w:r>
      <w:r>
        <w:fldChar w:fldCharType="separate"/>
      </w:r>
      <w:r>
        <w:t xml:space="preserve">30</w:t>
      </w:r>
      <w:r>
        <w:fldChar w:fldCharType="end"/>
      </w:r>
      <w:r>
        <w:rPr>
          <w:rStyle w:val="976"/>
        </w:rPr>
        <w:fldChar w:fldCharType="end"/>
      </w:r>
      <w:r>
        <w:rPr>
          <w:rFonts w:ascii="Calibri" w:hAnsi="Calibri"/>
          <w:szCs w:val="22"/>
        </w:rPr>
      </w:r>
      <w:r/>
    </w:p>
    <w:p>
      <w:pPr>
        <w:pStyle w:val="952"/>
        <w:tabs>
          <w:tab w:val="right" w:pos="9061" w:leader="dot"/>
        </w:tabs>
        <w:rPr>
          <w:rFonts w:ascii="Calibri" w:hAnsi="Calibri"/>
          <w:szCs w:val="22"/>
        </w:rPr>
      </w:pPr>
      <w:r>
        <w:rPr>
          <w:rStyle w:val="976"/>
        </w:rPr>
        <w:fldChar w:fldCharType="begin"/>
      </w:r>
      <w:r>
        <w:rPr>
          <w:rStyle w:val="976"/>
        </w:rPr>
        <w:instrText xml:space="preserve"> </w:instrText>
      </w:r>
      <w:r>
        <w:instrText xml:space="preserve">HYPERLINK \l "_Toc199168202"</w:instrText>
      </w:r>
      <w:r>
        <w:rPr>
          <w:rStyle w:val="976"/>
        </w:rPr>
        <w:instrText xml:space="preserve"> </w:instrText>
      </w:r>
      <w:r>
        <w:rPr>
          <w:rStyle w:val="976"/>
        </w:rPr>
        <w:fldChar w:fldCharType="separate"/>
      </w:r>
      <w:r>
        <w:rPr>
          <w:rStyle w:val="976"/>
          <w:rFonts w:ascii="宋体" w:hAnsi="宋体"/>
        </w:rPr>
        <w:t xml:space="preserve">10.</w:t>
      </w:r>
      <w:r>
        <w:rPr>
          <w:rStyle w:val="976"/>
          <w:rFonts w:hint="eastAsia" w:ascii="宋体" w:hAnsi="宋体"/>
        </w:rPr>
        <w:t xml:space="preserve">偏离表（商务）：</w:t>
      </w:r>
      <w:r>
        <w:tab/>
      </w:r>
      <w:r>
        <w:fldChar w:fldCharType="begin"/>
      </w:r>
      <w:r>
        <w:instrText xml:space="preserve"> PAGEREF _Toc199168202 \h </w:instrText>
      </w:r>
      <w:r>
        <w:fldChar w:fldCharType="separate"/>
      </w:r>
      <w:r>
        <w:t xml:space="preserve">33</w:t>
      </w:r>
      <w:r>
        <w:fldChar w:fldCharType="end"/>
      </w:r>
      <w:r>
        <w:rPr>
          <w:rStyle w:val="976"/>
        </w:rPr>
        <w:fldChar w:fldCharType="end"/>
      </w:r>
      <w:r>
        <w:rPr>
          <w:rFonts w:ascii="Calibri" w:hAnsi="Calibri"/>
          <w:szCs w:val="22"/>
        </w:rPr>
      </w:r>
      <w:r/>
    </w:p>
    <w:p>
      <w:pPr>
        <w:pStyle w:val="952"/>
        <w:tabs>
          <w:tab w:val="right" w:pos="9061" w:leader="dot"/>
        </w:tabs>
        <w:rPr>
          <w:rFonts w:ascii="Calibri" w:hAnsi="Calibri"/>
          <w:szCs w:val="22"/>
        </w:rPr>
      </w:pPr>
      <w:r>
        <w:rPr>
          <w:rStyle w:val="976"/>
        </w:rPr>
        <w:fldChar w:fldCharType="begin"/>
      </w:r>
      <w:r>
        <w:rPr>
          <w:rStyle w:val="976"/>
        </w:rPr>
        <w:instrText xml:space="preserve"> </w:instrText>
      </w:r>
      <w:r>
        <w:instrText xml:space="preserve">HYPERLINK \l "_Toc199168203"</w:instrText>
      </w:r>
      <w:r>
        <w:rPr>
          <w:rStyle w:val="976"/>
        </w:rPr>
        <w:instrText xml:space="preserve"> </w:instrText>
      </w:r>
      <w:r>
        <w:rPr>
          <w:rStyle w:val="976"/>
        </w:rPr>
        <w:fldChar w:fldCharType="separate"/>
      </w:r>
      <w:r>
        <w:rPr>
          <w:rStyle w:val="976"/>
          <w:rFonts w:ascii="宋体" w:hAnsi="宋体"/>
        </w:rPr>
        <w:t xml:space="preserve">11.</w:t>
      </w:r>
      <w:r>
        <w:rPr>
          <w:rStyle w:val="976"/>
          <w:rFonts w:hint="eastAsia" w:ascii="宋体" w:hAnsi="宋体"/>
        </w:rPr>
        <w:t xml:space="preserve">偏离表（技术）：</w:t>
      </w:r>
      <w:r>
        <w:tab/>
      </w:r>
      <w:r>
        <w:fldChar w:fldCharType="begin"/>
      </w:r>
      <w:r>
        <w:instrText xml:space="preserve"> PAGEREF _Toc199168203 \h </w:instrText>
      </w:r>
      <w:r>
        <w:fldChar w:fldCharType="separate"/>
      </w:r>
      <w:r>
        <w:t xml:space="preserve">33</w:t>
      </w:r>
      <w:r>
        <w:fldChar w:fldCharType="end"/>
      </w:r>
      <w:r>
        <w:rPr>
          <w:rStyle w:val="976"/>
        </w:rPr>
        <w:fldChar w:fldCharType="end"/>
      </w:r>
      <w:r>
        <w:rPr>
          <w:rFonts w:ascii="Calibri" w:hAnsi="Calibri"/>
          <w:szCs w:val="22"/>
        </w:rPr>
      </w:r>
      <w:r/>
    </w:p>
    <w:p>
      <w:pPr>
        <w:pStyle w:val="952"/>
        <w:tabs>
          <w:tab w:val="right" w:pos="9061" w:leader="dot"/>
        </w:tabs>
        <w:rPr>
          <w:rFonts w:ascii="Calibri" w:hAnsi="Calibri"/>
          <w:szCs w:val="22"/>
        </w:rPr>
      </w:pPr>
      <w:r>
        <w:rPr>
          <w:rStyle w:val="976"/>
        </w:rPr>
        <w:fldChar w:fldCharType="begin"/>
      </w:r>
      <w:r>
        <w:rPr>
          <w:rStyle w:val="976"/>
        </w:rPr>
        <w:instrText xml:space="preserve"> </w:instrText>
      </w:r>
      <w:r>
        <w:instrText xml:space="preserve">HYPERLINK \l "_Toc199168204"</w:instrText>
      </w:r>
      <w:r>
        <w:rPr>
          <w:rStyle w:val="976"/>
        </w:rPr>
        <w:instrText xml:space="preserve"> </w:instrText>
      </w:r>
      <w:r>
        <w:rPr>
          <w:rStyle w:val="976"/>
        </w:rPr>
        <w:fldChar w:fldCharType="separate"/>
      </w:r>
      <w:r>
        <w:rPr>
          <w:rStyle w:val="976"/>
          <w:rFonts w:ascii="宋体" w:hAnsi="宋体"/>
        </w:rPr>
        <w:t xml:space="preserve">12.</w:t>
      </w:r>
      <w:r>
        <w:rPr>
          <w:rStyle w:val="976"/>
          <w:rFonts w:hint="eastAsia" w:ascii="宋体" w:hAnsi="宋体"/>
        </w:rPr>
        <w:t xml:space="preserve">投标单位情况表</w:t>
      </w:r>
      <w:r>
        <w:tab/>
      </w:r>
      <w:r>
        <w:fldChar w:fldCharType="begin"/>
      </w:r>
      <w:r>
        <w:instrText xml:space="preserve"> PAGEREF _Toc199168204 \h </w:instrText>
      </w:r>
      <w:r>
        <w:fldChar w:fldCharType="separate"/>
      </w:r>
      <w:r>
        <w:t xml:space="preserve">34</w:t>
      </w:r>
      <w:r>
        <w:fldChar w:fldCharType="end"/>
      </w:r>
      <w:r>
        <w:rPr>
          <w:rStyle w:val="976"/>
        </w:rPr>
        <w:fldChar w:fldCharType="end"/>
      </w:r>
      <w:r>
        <w:rPr>
          <w:rFonts w:ascii="Calibri" w:hAnsi="Calibri"/>
          <w:szCs w:val="22"/>
        </w:rPr>
      </w:r>
      <w:r/>
    </w:p>
    <w:p>
      <w:pPr>
        <w:pStyle w:val="943"/>
        <w:rPr>
          <w:rFonts w:ascii="Calibri" w:hAnsi="Calibri"/>
          <w:b w:val="0"/>
          <w:szCs w:val="22"/>
        </w:rPr>
      </w:pPr>
      <w:r>
        <w:rPr>
          <w:rStyle w:val="976"/>
        </w:rPr>
        <w:fldChar w:fldCharType="begin"/>
      </w:r>
      <w:r>
        <w:rPr>
          <w:rStyle w:val="976"/>
        </w:rPr>
        <w:instrText xml:space="preserve"> </w:instrText>
      </w:r>
      <w:r>
        <w:instrText xml:space="preserve">HYPERLINK \l "_Toc199168205"</w:instrText>
      </w:r>
      <w:r>
        <w:rPr>
          <w:rStyle w:val="976"/>
        </w:rPr>
        <w:instrText xml:space="preserve"> </w:instrText>
      </w:r>
      <w:r>
        <w:rPr>
          <w:rStyle w:val="976"/>
        </w:rPr>
        <w:fldChar w:fldCharType="separate"/>
      </w:r>
      <w:r>
        <w:rPr>
          <w:rStyle w:val="976"/>
          <w:rFonts w:hint="eastAsia"/>
        </w:rPr>
        <w:t xml:space="preserve">第四章</w:t>
      </w:r>
      <w:r>
        <w:rPr>
          <w:rStyle w:val="976"/>
        </w:rPr>
        <w:t xml:space="preserve">  </w:t>
      </w:r>
      <w:r>
        <w:rPr>
          <w:rStyle w:val="976"/>
          <w:rFonts w:hint="eastAsia"/>
        </w:rPr>
        <w:t xml:space="preserve">招标书</w:t>
      </w:r>
      <w:r>
        <w:tab/>
      </w:r>
      <w:r>
        <w:fldChar w:fldCharType="begin"/>
      </w:r>
      <w:r>
        <w:instrText xml:space="preserve"> PAGEREF _Toc199168205 \h </w:instrText>
      </w:r>
      <w:r>
        <w:fldChar w:fldCharType="separate"/>
      </w:r>
      <w:r>
        <w:t xml:space="preserve">35</w:t>
      </w:r>
      <w:r>
        <w:fldChar w:fldCharType="end"/>
      </w:r>
      <w:r>
        <w:rPr>
          <w:rStyle w:val="976"/>
        </w:rPr>
        <w:fldChar w:fldCharType="end"/>
      </w:r>
      <w:r>
        <w:rPr>
          <w:rFonts w:ascii="Calibri" w:hAnsi="Calibri"/>
          <w:b w:val="0"/>
          <w:szCs w:val="22"/>
        </w:rPr>
      </w:r>
      <w:r/>
    </w:p>
    <w:p>
      <w:pPr>
        <w:pStyle w:val="943"/>
        <w:rPr>
          <w:rFonts w:ascii="Calibri" w:hAnsi="Calibri"/>
          <w:b w:val="0"/>
          <w:szCs w:val="22"/>
        </w:rPr>
      </w:pPr>
      <w:r>
        <w:rPr>
          <w:rStyle w:val="976"/>
        </w:rPr>
        <w:fldChar w:fldCharType="begin"/>
      </w:r>
      <w:r>
        <w:rPr>
          <w:rStyle w:val="976"/>
        </w:rPr>
        <w:instrText xml:space="preserve"> </w:instrText>
      </w:r>
      <w:r>
        <w:instrText xml:space="preserve">HYPERLINK \l "_Toc199168206"</w:instrText>
      </w:r>
      <w:r>
        <w:rPr>
          <w:rStyle w:val="976"/>
        </w:rPr>
        <w:instrText xml:space="preserve"> </w:instrText>
      </w:r>
      <w:r>
        <w:rPr>
          <w:rStyle w:val="976"/>
        </w:rPr>
        <w:fldChar w:fldCharType="separate"/>
      </w:r>
      <w:r>
        <w:rPr>
          <w:rStyle w:val="976"/>
          <w:rFonts w:hint="eastAsia"/>
        </w:rPr>
        <w:t xml:space="preserve">第五章</w:t>
      </w:r>
      <w:r>
        <w:rPr>
          <w:rStyle w:val="976"/>
        </w:rPr>
        <w:t xml:space="preserve"> </w:t>
      </w:r>
      <w:r>
        <w:rPr>
          <w:rStyle w:val="976"/>
          <w:rFonts w:hint="eastAsia"/>
        </w:rPr>
        <w:t xml:space="preserve">合同主要内容</w:t>
      </w:r>
      <w:r>
        <w:tab/>
      </w:r>
      <w:r>
        <w:fldChar w:fldCharType="begin"/>
      </w:r>
      <w:r>
        <w:instrText xml:space="preserve"> PAGEREF _Toc199168206 \h </w:instrText>
      </w:r>
      <w:r>
        <w:fldChar w:fldCharType="separate"/>
      </w:r>
      <w:r>
        <w:t xml:space="preserve">41</w:t>
      </w:r>
      <w:r>
        <w:fldChar w:fldCharType="end"/>
      </w:r>
      <w:r>
        <w:rPr>
          <w:rStyle w:val="976"/>
        </w:rPr>
        <w:fldChar w:fldCharType="end"/>
      </w:r>
      <w:r>
        <w:rPr>
          <w:rFonts w:ascii="Calibri" w:hAnsi="Calibri"/>
          <w:b w:val="0"/>
          <w:szCs w:val="22"/>
        </w:rPr>
      </w:r>
      <w:r/>
    </w:p>
    <w:p>
      <w:pPr>
        <w:pStyle w:val="943"/>
        <w:rPr>
          <w:rFonts w:ascii="Calibri" w:hAnsi="Calibri"/>
          <w:b w:val="0"/>
          <w:szCs w:val="22"/>
        </w:rPr>
      </w:pPr>
      <w:r>
        <w:rPr>
          <w:rStyle w:val="976"/>
        </w:rPr>
        <w:fldChar w:fldCharType="begin"/>
      </w:r>
      <w:r>
        <w:rPr>
          <w:rStyle w:val="976"/>
        </w:rPr>
        <w:instrText xml:space="preserve"> </w:instrText>
      </w:r>
      <w:r>
        <w:instrText xml:space="preserve">HYPERLINK \l "_Toc199168207"</w:instrText>
      </w:r>
      <w:r>
        <w:rPr>
          <w:rStyle w:val="976"/>
        </w:rPr>
        <w:instrText xml:space="preserve"> </w:instrText>
      </w:r>
      <w:r>
        <w:rPr>
          <w:rStyle w:val="976"/>
        </w:rPr>
        <w:fldChar w:fldCharType="separate"/>
      </w:r>
      <w:r>
        <w:rPr>
          <w:rStyle w:val="976"/>
          <w:rFonts w:hint="eastAsia"/>
        </w:rPr>
        <w:t xml:space="preserve">第六章</w:t>
      </w:r>
      <w:r>
        <w:rPr>
          <w:rStyle w:val="976"/>
        </w:rPr>
        <w:t xml:space="preserve">  </w:t>
      </w:r>
      <w:r>
        <w:rPr>
          <w:rStyle w:val="976"/>
          <w:rFonts w:hint="eastAsia"/>
        </w:rPr>
        <w:t xml:space="preserve">评标方法、采购政策、评分标准</w:t>
      </w:r>
      <w:r>
        <w:tab/>
      </w:r>
      <w:r>
        <w:fldChar w:fldCharType="begin"/>
      </w:r>
      <w:r>
        <w:instrText xml:space="preserve"> PAGEREF _Toc199168207 \h </w:instrText>
      </w:r>
      <w:r>
        <w:fldChar w:fldCharType="separate"/>
      </w:r>
      <w:r>
        <w:t xml:space="preserve">48</w:t>
      </w:r>
      <w:r>
        <w:fldChar w:fldCharType="end"/>
      </w:r>
      <w:r>
        <w:rPr>
          <w:rStyle w:val="976"/>
        </w:rPr>
        <w:fldChar w:fldCharType="end"/>
      </w:r>
      <w:r>
        <w:rPr>
          <w:rFonts w:ascii="Calibri" w:hAnsi="Calibri"/>
          <w:b w:val="0"/>
          <w:szCs w:val="22"/>
        </w:rPr>
      </w:r>
      <w:r/>
    </w:p>
    <w:p>
      <w:pPr>
        <w:pStyle w:val="959"/>
        <w:rPr>
          <w:b w:val="0"/>
        </w:rPr>
      </w:pPr>
      <w:r>
        <w:rPr>
          <w:bCs w:val="0"/>
          <w:szCs w:val="28"/>
          <w:lang w:val="zh-CN"/>
        </w:rPr>
        <w:fldChar w:fldCharType="end"/>
      </w:r>
      <w:r>
        <w:rPr>
          <w:b w:val="0"/>
          <w:bCs w:val="0"/>
          <w:sz w:val="28"/>
          <w:szCs w:val="28"/>
          <w:lang w:val="zh-CN"/>
        </w:rPr>
        <w:br w:type="page" w:clear="all"/>
      </w:r>
      <w:bookmarkStart w:id="0" w:name="_Toc359921166"/>
      <w:r/>
      <w:bookmarkStart w:id="1" w:name="_Toc199168190"/>
      <w:r>
        <w:rPr>
          <w:rFonts w:hint="eastAsia"/>
          <w:b w:val="0"/>
        </w:rPr>
        <w:t xml:space="preserve">第一章</w:t>
      </w:r>
      <w:r>
        <w:rPr>
          <w:b w:val="0"/>
        </w:rPr>
        <w:t xml:space="preserve">  </w:t>
      </w:r>
      <w:r>
        <w:rPr>
          <w:rFonts w:hint="eastAsia"/>
          <w:b w:val="0"/>
        </w:rPr>
        <w:t xml:space="preserve">投标邀请</w:t>
      </w:r>
      <w:bookmarkEnd w:id="0"/>
      <w:r/>
      <w:bookmarkEnd w:id="1"/>
      <w:r>
        <w:rPr>
          <w:b w:val="0"/>
        </w:rPr>
      </w:r>
      <w:r/>
    </w:p>
    <w:p>
      <w:pPr>
        <w:pStyle w:val="886"/>
        <w:ind w:firstLine="480"/>
        <w:spacing w:line="360" w:lineRule="auto"/>
        <w:rPr>
          <w:rFonts w:hint="eastAsia" w:ascii="宋体" w:hAnsi="宋体"/>
          <w:sz w:val="24"/>
        </w:rPr>
      </w:pPr>
      <w:r/>
      <w:bookmarkStart w:id="2" w:name="_Toc35393621"/>
      <w:r/>
      <w:bookmarkEnd w:id="2"/>
      <w:r/>
      <w:bookmarkStart w:id="3" w:name="_Toc28359002"/>
      <w:r/>
      <w:bookmarkStart w:id="4" w:name="_Hlk108615177"/>
      <w:r>
        <w:rPr>
          <w:rFonts w:hint="eastAsia" w:ascii="宋体" w:hAnsi="宋体"/>
          <w:sz w:val="24"/>
        </w:rPr>
        <w:t xml:space="preserve">一、项目基本情况</w:t>
      </w:r>
      <w:r/>
    </w:p>
    <w:p>
      <w:pPr>
        <w:pStyle w:val="886"/>
        <w:ind w:firstLine="480"/>
        <w:spacing w:line="360" w:lineRule="auto"/>
        <w:rPr>
          <w:rFonts w:hint="eastAsia" w:ascii="宋体" w:hAnsi="宋体"/>
          <w:sz w:val="24"/>
        </w:rPr>
      </w:pPr>
      <w:r>
        <w:rPr>
          <w:rFonts w:hint="eastAsia" w:ascii="宋体" w:hAnsi="宋体"/>
          <w:sz w:val="24"/>
        </w:rPr>
        <w:t xml:space="preserve">1．项目编号：</w:t>
      </w:r>
      <w:r>
        <w:rPr>
          <w:rFonts w:hint="eastAsia" w:ascii="宋体" w:hAnsi="宋体"/>
          <w:sz w:val="24"/>
        </w:rPr>
        <w:t xml:space="preserve">JSZC-320583-SZGZ-G2025-0057</w:t>
      </w:r>
      <w:r>
        <w:rPr>
          <w:rFonts w:hint="eastAsia" w:ascii="宋体" w:hAnsi="宋体"/>
          <w:sz w:val="24"/>
        </w:rPr>
        <w:t xml:space="preserve">号</w:t>
      </w:r>
      <w:r/>
    </w:p>
    <w:p>
      <w:pPr>
        <w:pStyle w:val="886"/>
        <w:ind w:firstLine="480"/>
        <w:spacing w:line="360" w:lineRule="auto"/>
        <w:rPr>
          <w:rFonts w:hint="eastAsia" w:ascii="宋体" w:hAnsi="宋体"/>
          <w:sz w:val="24"/>
        </w:rPr>
      </w:pPr>
      <w:r>
        <w:rPr>
          <w:rFonts w:hint="eastAsia" w:ascii="宋体" w:hAnsi="宋体"/>
          <w:sz w:val="24"/>
        </w:rPr>
        <w:t xml:space="preserve">2．项目名称：环保检查验收服务、挥发性有机物治理管家驻点服务项目</w:t>
      </w:r>
      <w:r/>
    </w:p>
    <w:p>
      <w:pPr>
        <w:pStyle w:val="886"/>
        <w:ind w:firstLine="480"/>
        <w:spacing w:line="360" w:lineRule="auto"/>
        <w:rPr>
          <w:rFonts w:hint="eastAsia" w:ascii="宋体" w:hAnsi="宋体"/>
          <w:sz w:val="24"/>
        </w:rPr>
      </w:pPr>
      <w:r>
        <w:rPr>
          <w:rFonts w:hint="eastAsia" w:ascii="宋体" w:hAnsi="宋体"/>
          <w:sz w:val="24"/>
        </w:rPr>
        <w:t xml:space="preserve">3．预算金额： </w:t>
      </w:r>
      <w:r/>
    </w:p>
    <w:tbl>
      <w:tblPr>
        <w:tblW w:w="9644" w:type="dxa"/>
        <w:jc w:val="center"/>
        <w:tblInd w:w="0" w:type="dxa"/>
        <w:tblLayout w:type="autofit"/>
        <w:tblCellMar>
          <w:left w:w="108" w:type="dxa"/>
          <w:top w:w="0" w:type="dxa"/>
          <w:right w:w="108" w:type="dxa"/>
          <w:bottom w:w="0" w:type="dxa"/>
        </w:tblCellMar>
        <w:tblLook w:val="04A0" w:firstRow="1" w:lastRow="0" w:firstColumn="1" w:lastColumn="0" w:noHBand="0" w:noVBand="1"/>
      </w:tblPr>
      <w:tblGrid>
        <w:gridCol w:w="890"/>
        <w:gridCol w:w="1240"/>
        <w:gridCol w:w="2693"/>
        <w:gridCol w:w="1701"/>
        <w:gridCol w:w="3120"/>
      </w:tblGrid>
      <w:tr>
        <w:trPr>
          <w:trHeight w:val="630"/>
        </w:trPr>
        <w:tc>
          <w:tcPr>
            <w:tcBorders>
              <w:top w:val="single" w:color="000000" w:sz="4" w:space="0"/>
              <w:left w:val="single" w:color="000000" w:sz="4" w:space="0"/>
              <w:bottom w:val="single" w:color="000000" w:sz="4" w:space="0"/>
              <w:right w:val="single" w:color="000000" w:sz="4" w:space="0"/>
            </w:tcBorders>
            <w:tcW w:w="890" w:type="dxa"/>
            <w:vAlign w:val="center"/>
            <w:textDirection w:val="lrTb"/>
            <w:noWrap w:val="false"/>
          </w:tcPr>
          <w:p>
            <w:pPr>
              <w:pStyle w:val="886"/>
              <w:jc w:val="center"/>
              <w:rPr>
                <w:rFonts w:ascii="宋体" w:hAnsi="宋体"/>
                <w:b/>
                <w:szCs w:val="21"/>
              </w:rPr>
            </w:pPr>
            <w:r>
              <w:rPr>
                <w:rFonts w:hint="eastAsia" w:ascii="宋体" w:hAnsi="宋体"/>
                <w:b/>
                <w:szCs w:val="21"/>
              </w:rPr>
              <w:t xml:space="preserve">采购包号</w:t>
            </w:r>
            <w:r>
              <w:rPr>
                <w:rFonts w:ascii="宋体" w:hAnsi="宋体"/>
                <w:b/>
                <w:szCs w:val="21"/>
              </w:rPr>
            </w:r>
            <w:r/>
          </w:p>
        </w:tc>
        <w:tc>
          <w:tcPr>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pStyle w:val="886"/>
              <w:jc w:val="center"/>
              <w:rPr>
                <w:rFonts w:hint="eastAsia" w:ascii="宋体" w:hAnsi="宋体" w:cs="宋体"/>
                <w:b/>
                <w:szCs w:val="21"/>
              </w:rPr>
            </w:pPr>
            <w:r>
              <w:rPr>
                <w:rFonts w:hint="eastAsia" w:ascii="宋体" w:hAnsi="宋体" w:cs="宋体"/>
                <w:b/>
                <w:szCs w:val="21"/>
              </w:rPr>
              <w:t xml:space="preserve">服务区域</w:t>
            </w:r>
            <w:r/>
          </w:p>
        </w:tc>
        <w:tc>
          <w:tcPr>
            <w:tcBorders>
              <w:top w:val="single" w:color="000000" w:sz="4" w:space="0"/>
              <w:left w:val="single" w:color="000000" w:sz="4" w:space="0"/>
              <w:bottom w:val="single" w:color="000000" w:sz="4" w:space="0"/>
              <w:right w:val="single" w:color="000000" w:sz="4" w:space="0"/>
            </w:tcBorders>
            <w:tcW w:w="2693" w:type="dxa"/>
            <w:vAlign w:val="center"/>
            <w:textDirection w:val="lrTb"/>
            <w:noWrap w:val="false"/>
          </w:tcPr>
          <w:p>
            <w:pPr>
              <w:pStyle w:val="886"/>
              <w:jc w:val="center"/>
              <w:rPr>
                <w:rFonts w:hint="eastAsia" w:ascii="宋体" w:hAnsi="宋体" w:cs="宋体"/>
                <w:b/>
                <w:szCs w:val="21"/>
              </w:rPr>
            </w:pPr>
            <w:r>
              <w:rPr>
                <w:rFonts w:hint="eastAsia" w:ascii="宋体" w:hAnsi="宋体" w:cs="宋体"/>
                <w:b/>
                <w:szCs w:val="21"/>
              </w:rPr>
              <w:t xml:space="preserve">区域范围</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pStyle w:val="886"/>
              <w:jc w:val="center"/>
              <w:rPr>
                <w:rFonts w:ascii="宋体" w:hAnsi="宋体"/>
                <w:b/>
                <w:szCs w:val="21"/>
              </w:rPr>
            </w:pPr>
            <w:r>
              <w:rPr>
                <w:rFonts w:hint="eastAsia" w:ascii="宋体" w:hAnsi="宋体"/>
                <w:b/>
                <w:szCs w:val="21"/>
              </w:rPr>
              <w:t xml:space="preserve">预算金额（万元）</w:t>
            </w:r>
            <w:r>
              <w:rPr>
                <w:rFonts w:ascii="宋体" w:hAnsi="宋体"/>
                <w:b/>
                <w:szCs w:val="21"/>
              </w:rPr>
            </w:r>
            <w:r/>
          </w:p>
        </w:tc>
        <w:tc>
          <w:tcPr>
            <w:tcBorders>
              <w:top w:val="single" w:color="000000" w:sz="4" w:space="0"/>
              <w:left w:val="single" w:color="000000" w:sz="4" w:space="0"/>
              <w:bottom w:val="single" w:color="000000" w:sz="4" w:space="0"/>
              <w:right w:val="single" w:color="000000" w:sz="4" w:space="0"/>
            </w:tcBorders>
            <w:tcW w:w="3120" w:type="dxa"/>
            <w:vAlign w:val="center"/>
            <w:textDirection w:val="lrTb"/>
            <w:noWrap w:val="false"/>
          </w:tcPr>
          <w:p>
            <w:pPr>
              <w:pStyle w:val="886"/>
              <w:jc w:val="center"/>
              <w:rPr>
                <w:rFonts w:ascii="宋体" w:hAnsi="宋体"/>
                <w:b/>
                <w:szCs w:val="21"/>
              </w:rPr>
            </w:pPr>
            <w:r>
              <w:rPr>
                <w:rFonts w:hint="eastAsia" w:ascii="宋体" w:hAnsi="宋体" w:cs="宋体"/>
                <w:b/>
                <w:bCs/>
                <w:color w:val="000000"/>
                <w:sz w:val="24"/>
              </w:rPr>
              <w:t xml:space="preserve">任务概况</w:t>
            </w:r>
            <w:r>
              <w:rPr>
                <w:rFonts w:ascii="宋体" w:hAnsi="宋体"/>
                <w:b/>
                <w:szCs w:val="21"/>
              </w:rPr>
            </w:r>
            <w:r/>
          </w:p>
        </w:tc>
      </w:tr>
      <w:tr>
        <w:trPr>
          <w:cantSplit/>
          <w:trHeight w:val="1723"/>
        </w:trPr>
        <w:tc>
          <w:tcPr>
            <w:tcBorders>
              <w:top w:val="single" w:color="000000" w:sz="4" w:space="0"/>
              <w:left w:val="single" w:color="000000" w:sz="4" w:space="0"/>
              <w:bottom w:val="single" w:color="000000" w:sz="4" w:space="0"/>
              <w:right w:val="single" w:color="000000" w:sz="4" w:space="0"/>
            </w:tcBorders>
            <w:tcW w:w="890" w:type="dxa"/>
            <w:vAlign w:val="center"/>
            <w:textDirection w:val="lrTb"/>
            <w:noWrap w:val="false"/>
          </w:tcPr>
          <w:p>
            <w:pPr>
              <w:pStyle w:val="886"/>
              <w:jc w:val="center"/>
              <w:rPr>
                <w:rFonts w:ascii="宋体" w:hAnsi="宋体"/>
                <w:szCs w:val="21"/>
              </w:rPr>
            </w:pPr>
            <w:r>
              <w:rPr>
                <w:rFonts w:hint="eastAsia" w:ascii="宋体" w:hAnsi="宋体"/>
                <w:szCs w:val="21"/>
              </w:rPr>
              <w:t xml:space="preserve">采购包1</w:t>
            </w: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pStyle w:val="886"/>
              <w:jc w:val="center"/>
              <w:rPr>
                <w:rFonts w:hint="eastAsia" w:ascii="宋体" w:hAnsi="宋体" w:cs="宋体"/>
                <w:szCs w:val="21"/>
              </w:rPr>
            </w:pPr>
            <w:r>
              <w:rPr>
                <w:rFonts w:hint="eastAsia" w:ascii="宋体" w:hAnsi="宋体" w:cs="宋体"/>
                <w:color w:val="000000"/>
                <w:sz w:val="24"/>
              </w:rPr>
              <w:t xml:space="preserve">吴淞江区域</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693" w:type="dxa"/>
            <w:vAlign w:val="center"/>
            <w:textDirection w:val="lrTb"/>
            <w:noWrap w:val="false"/>
          </w:tcPr>
          <w:p>
            <w:pPr>
              <w:pStyle w:val="886"/>
              <w:jc w:val="left"/>
              <w:widowControl/>
              <w:rPr>
                <w:rFonts w:ascii="宋体" w:hAnsi="宋体" w:cs="宋体"/>
                <w:color w:val="000000"/>
                <w:sz w:val="24"/>
              </w:rPr>
            </w:pPr>
            <w:r>
              <w:rPr>
                <w:rFonts w:hint="eastAsia" w:ascii="宋体" w:hAnsi="宋体" w:cs="宋体"/>
                <w:color w:val="000000"/>
                <w:sz w:val="24"/>
              </w:rPr>
              <w:t xml:space="preserve">1.娄江河以南，吴淞江河以北，界浦河以东，小虞河路以西；2.青淞区域</w:t>
            </w: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pStyle w:val="886"/>
              <w:jc w:val="center"/>
              <w:rPr>
                <w:rFonts w:ascii="宋体" w:hAnsi="宋体"/>
                <w:szCs w:val="21"/>
              </w:rPr>
            </w:pPr>
            <w:r>
              <w:rPr>
                <w:rFonts w:hint="eastAsia" w:ascii="宋体" w:hAnsi="宋体"/>
                <w:szCs w:val="21"/>
              </w:rPr>
              <w:t xml:space="preserve">100</w:t>
            </w:r>
            <w:r>
              <w:rPr>
                <w:rFonts w:ascii="宋体" w:hAnsi="宋体"/>
                <w:szCs w:val="21"/>
              </w:rPr>
            </w:r>
            <w:r/>
          </w:p>
        </w:tc>
        <w:tc>
          <w:tcPr>
            <w:tcBorders>
              <w:top w:val="single" w:color="000000" w:sz="4" w:space="0"/>
              <w:left w:val="single" w:color="000000" w:sz="4" w:space="0"/>
              <w:right w:val="single" w:color="000000" w:sz="4" w:space="0"/>
            </w:tcBorders>
            <w:tcW w:w="3120" w:type="dxa"/>
            <w:vAlign w:val="center"/>
            <w:vMerge w:val="restart"/>
            <w:textDirection w:val="lrTb"/>
            <w:noWrap w:val="false"/>
          </w:tcPr>
          <w:p>
            <w:pPr>
              <w:pStyle w:val="886"/>
              <w:jc w:val="center"/>
              <w:rPr>
                <w:rFonts w:hint="eastAsia" w:ascii="宋体" w:hAnsi="宋体" w:cs="宋体"/>
                <w:color w:val="000000"/>
                <w:sz w:val="24"/>
              </w:rPr>
            </w:pPr>
            <w:r>
              <w:rPr>
                <w:rFonts w:hint="eastAsia" w:ascii="宋体" w:hAnsi="宋体" w:cs="宋体"/>
                <w:color w:val="000000"/>
                <w:sz w:val="24"/>
              </w:rPr>
              <w:t xml:space="preserve">对区域内涉及年度工作任务的工业企业及污染源开展环保项目检查、环保专项排查、环保项目验收、污染物排放核查</w:t>
            </w:r>
            <w:r/>
          </w:p>
          <w:p>
            <w:pPr>
              <w:pStyle w:val="886"/>
              <w:jc w:val="center"/>
              <w:rPr>
                <w:szCs w:val="21"/>
                <w:lang w:bidi="ar"/>
              </w:rPr>
            </w:pPr>
            <w:r>
              <w:rPr>
                <w:szCs w:val="21"/>
                <w:lang w:bidi="ar"/>
              </w:rPr>
            </w:r>
            <w:r/>
          </w:p>
        </w:tc>
      </w:tr>
      <w:tr>
        <w:trPr>
          <w:cantSplit/>
          <w:trHeight w:val="842"/>
        </w:trPr>
        <w:tc>
          <w:tcPr>
            <w:tcBorders>
              <w:top w:val="single" w:color="000000" w:sz="4" w:space="0"/>
              <w:left w:val="single" w:color="000000" w:sz="4" w:space="0"/>
              <w:right w:val="single" w:color="000000" w:sz="4" w:space="0"/>
            </w:tcBorders>
            <w:tcW w:w="890" w:type="dxa"/>
            <w:vAlign w:val="center"/>
            <w:vMerge w:val="restart"/>
            <w:textDirection w:val="lrTb"/>
            <w:noWrap w:val="false"/>
          </w:tcPr>
          <w:p>
            <w:pPr>
              <w:pStyle w:val="886"/>
              <w:jc w:val="center"/>
              <w:rPr>
                <w:rFonts w:ascii="宋体" w:hAnsi="宋体"/>
                <w:szCs w:val="21"/>
              </w:rPr>
            </w:pPr>
            <w:r>
              <w:rPr>
                <w:rFonts w:hint="eastAsia" w:ascii="宋体" w:hAnsi="宋体"/>
                <w:szCs w:val="21"/>
              </w:rPr>
              <w:t xml:space="preserve">采购包2</w:t>
            </w: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pStyle w:val="886"/>
              <w:jc w:val="center"/>
              <w:rPr>
                <w:rFonts w:hint="eastAsia" w:ascii="宋体" w:hAnsi="宋体" w:cs="宋体"/>
                <w:szCs w:val="21"/>
              </w:rPr>
            </w:pPr>
            <w:r>
              <w:rPr>
                <w:rFonts w:hint="eastAsia" w:ascii="宋体" w:hAnsi="宋体" w:cs="宋体"/>
                <w:color w:val="000000"/>
                <w:sz w:val="24"/>
              </w:rPr>
              <w:t xml:space="preserve">城中区域</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693" w:type="dxa"/>
            <w:vAlign w:val="center"/>
            <w:textDirection w:val="lrTb"/>
            <w:noWrap w:val="false"/>
          </w:tcPr>
          <w:p>
            <w:pPr>
              <w:pStyle w:val="886"/>
              <w:jc w:val="center"/>
              <w:rPr>
                <w:rFonts w:hint="eastAsia" w:ascii="宋体" w:hAnsi="宋体" w:cs="宋体"/>
                <w:szCs w:val="21"/>
              </w:rPr>
            </w:pPr>
            <w:r>
              <w:rPr>
                <w:rFonts w:hint="eastAsia" w:ascii="宋体" w:hAnsi="宋体" w:cs="宋体"/>
                <w:color w:val="000000"/>
                <w:sz w:val="24"/>
              </w:rPr>
              <w:t xml:space="preserve">1.新乐村、城北路以南，娄江河以北，祖冲之路以东，汉浦塘、柏庐路以西（杜桥网格以外）；2.大学城区域。</w:t>
            </w:r>
            <w:r>
              <w:rPr>
                <w:rFonts w:hint="eastAsia" w:ascii="宋体" w:hAnsi="宋体" w:cs="宋体"/>
                <w:szCs w:val="21"/>
              </w:rPr>
            </w:r>
            <w:r/>
          </w:p>
        </w:tc>
        <w:tc>
          <w:tcPr>
            <w:tcBorders>
              <w:top w:val="single" w:color="000000" w:sz="4" w:space="0"/>
              <w:left w:val="single" w:color="000000" w:sz="4" w:space="0"/>
              <w:right w:val="single" w:color="000000" w:sz="4" w:space="0"/>
            </w:tcBorders>
            <w:tcW w:w="1701" w:type="dxa"/>
            <w:vAlign w:val="center"/>
            <w:vMerge w:val="restart"/>
            <w:textDirection w:val="lrTb"/>
            <w:noWrap w:val="false"/>
          </w:tcPr>
          <w:p>
            <w:pPr>
              <w:pStyle w:val="886"/>
              <w:jc w:val="center"/>
              <w:rPr>
                <w:rFonts w:ascii="宋体" w:hAnsi="宋体"/>
                <w:szCs w:val="21"/>
              </w:rPr>
            </w:pPr>
            <w:r>
              <w:rPr>
                <w:rFonts w:hint="eastAsia" w:ascii="宋体" w:hAnsi="宋体"/>
                <w:szCs w:val="21"/>
              </w:rPr>
              <w:t xml:space="preserve">100</w:t>
            </w:r>
            <w:r>
              <w:rPr>
                <w:rFonts w:ascii="宋体" w:hAnsi="宋体"/>
                <w:szCs w:val="21"/>
              </w:rPr>
            </w:r>
            <w:r/>
          </w:p>
        </w:tc>
        <w:tc>
          <w:tcPr>
            <w:tcBorders>
              <w:left w:val="single" w:color="000000" w:sz="4" w:space="0"/>
              <w:right w:val="single" w:color="000000" w:sz="4" w:space="0"/>
            </w:tcBorders>
            <w:tcW w:w="3120" w:type="dxa"/>
            <w:vAlign w:val="center"/>
            <w:vMerge w:val="continue"/>
            <w:textDirection w:val="lrTb"/>
            <w:noWrap w:val="false"/>
          </w:tcPr>
          <w:p>
            <w:pPr>
              <w:pStyle w:val="886"/>
              <w:jc w:val="center"/>
              <w:rPr>
                <w:szCs w:val="21"/>
                <w:lang w:bidi="ar"/>
              </w:rPr>
            </w:pPr>
            <w:r>
              <w:rPr>
                <w:szCs w:val="21"/>
                <w:lang w:bidi="ar"/>
              </w:rPr>
            </w:r>
            <w:r/>
          </w:p>
        </w:tc>
      </w:tr>
      <w:tr>
        <w:trPr>
          <w:cantSplit/>
          <w:trHeight w:val="842"/>
        </w:trPr>
        <w:tc>
          <w:tcPr>
            <w:tcBorders>
              <w:left w:val="single" w:color="000000" w:sz="4" w:space="0"/>
              <w:bottom w:val="single" w:color="000000" w:sz="4" w:space="0"/>
              <w:right w:val="single" w:color="000000" w:sz="4" w:space="0"/>
            </w:tcBorders>
            <w:tcW w:w="890" w:type="dxa"/>
            <w:vAlign w:val="center"/>
            <w:vMerge w:val="continue"/>
            <w:textDirection w:val="lrTb"/>
            <w:noWrap w:val="false"/>
          </w:tcPr>
          <w:p>
            <w:pPr>
              <w:pStyle w:val="886"/>
              <w:jc w:val="center"/>
              <w:rPr>
                <w:rFonts w:hint="eastAsia" w:ascii="宋体" w:hAnsi="宋体"/>
                <w:szCs w:val="21"/>
              </w:rPr>
            </w:pPr>
            <w:r>
              <w:rPr>
                <w:rFonts w:hint="eastAsia" w:ascii="宋体" w:hAnsi="宋体"/>
                <w:szCs w:val="21"/>
              </w:rPr>
            </w:r>
            <w:r/>
          </w:p>
        </w:tc>
        <w:tc>
          <w:tcPr>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pStyle w:val="886"/>
              <w:jc w:val="center"/>
              <w:rPr>
                <w:rFonts w:hint="eastAsia" w:ascii="宋体" w:hAnsi="宋体" w:cs="宋体"/>
                <w:color w:val="000000"/>
                <w:sz w:val="24"/>
              </w:rPr>
            </w:pPr>
            <w:r>
              <w:rPr>
                <w:rFonts w:hint="eastAsia" w:ascii="宋体" w:hAnsi="宋体" w:cs="宋体"/>
                <w:color w:val="000000"/>
                <w:sz w:val="24"/>
              </w:rPr>
              <w:t xml:space="preserve">杨林区域</w:t>
            </w:r>
            <w:r/>
          </w:p>
        </w:tc>
        <w:tc>
          <w:tcPr>
            <w:tcBorders>
              <w:top w:val="single" w:color="000000" w:sz="4" w:space="0"/>
              <w:left w:val="single" w:color="000000" w:sz="4" w:space="0"/>
              <w:bottom w:val="single" w:color="000000" w:sz="4" w:space="0"/>
              <w:right w:val="single" w:color="000000" w:sz="4" w:space="0"/>
            </w:tcBorders>
            <w:tcW w:w="2693" w:type="dxa"/>
            <w:vAlign w:val="center"/>
            <w:textDirection w:val="lrTb"/>
            <w:noWrap w:val="false"/>
          </w:tcPr>
          <w:p>
            <w:pPr>
              <w:pStyle w:val="886"/>
              <w:jc w:val="center"/>
              <w:rPr>
                <w:rFonts w:hint="eastAsia" w:ascii="宋体" w:hAnsi="宋体" w:cs="宋体"/>
                <w:color w:val="000000"/>
                <w:sz w:val="24"/>
              </w:rPr>
            </w:pPr>
            <w:r>
              <w:rPr>
                <w:rFonts w:hint="eastAsia" w:ascii="宋体" w:hAnsi="宋体" w:cs="宋体"/>
                <w:color w:val="000000"/>
                <w:sz w:val="24"/>
              </w:rPr>
              <w:t xml:space="preserve">1.杨林塘以南，新塘河以北，茆沙塘以东、皇仓泾以西；2.塘龙村区域。</w:t>
            </w:r>
            <w:r/>
          </w:p>
        </w:tc>
        <w:tc>
          <w:tcPr>
            <w:tcBorders>
              <w:left w:val="single" w:color="000000" w:sz="4" w:space="0"/>
              <w:bottom w:val="single" w:color="000000" w:sz="4" w:space="0"/>
              <w:right w:val="single" w:color="000000" w:sz="4" w:space="0"/>
            </w:tcBorders>
            <w:tcW w:w="1701" w:type="dxa"/>
            <w:vAlign w:val="center"/>
            <w:vMerge w:val="continue"/>
            <w:textDirection w:val="lrTb"/>
            <w:noWrap w:val="false"/>
          </w:tcPr>
          <w:p>
            <w:pPr>
              <w:pStyle w:val="886"/>
              <w:jc w:val="center"/>
              <w:rPr>
                <w:rFonts w:ascii="宋体" w:hAnsi="宋体"/>
                <w:szCs w:val="21"/>
              </w:rPr>
            </w:pPr>
            <w:r>
              <w:rPr>
                <w:rFonts w:ascii="宋体" w:hAnsi="宋体"/>
                <w:szCs w:val="21"/>
              </w:rPr>
            </w:r>
            <w:r/>
          </w:p>
        </w:tc>
        <w:tc>
          <w:tcPr>
            <w:tcBorders>
              <w:left w:val="single" w:color="000000" w:sz="4" w:space="0"/>
              <w:right w:val="single" w:color="000000" w:sz="4" w:space="0"/>
            </w:tcBorders>
            <w:tcW w:w="3120" w:type="dxa"/>
            <w:vAlign w:val="center"/>
            <w:vMerge w:val="continue"/>
            <w:textDirection w:val="lrTb"/>
            <w:noWrap w:val="false"/>
          </w:tcPr>
          <w:p>
            <w:pPr>
              <w:pStyle w:val="886"/>
              <w:jc w:val="center"/>
              <w:rPr>
                <w:szCs w:val="21"/>
                <w:lang w:bidi="ar"/>
              </w:rPr>
            </w:pPr>
            <w:r>
              <w:rPr>
                <w:szCs w:val="21"/>
                <w:lang w:bidi="ar"/>
              </w:rPr>
            </w:r>
            <w:r/>
          </w:p>
        </w:tc>
      </w:tr>
      <w:tr>
        <w:trPr>
          <w:cantSplit/>
          <w:trHeight w:val="842"/>
        </w:trPr>
        <w:tc>
          <w:tcPr>
            <w:tcBorders>
              <w:top w:val="single" w:color="000000" w:sz="4" w:space="0"/>
              <w:left w:val="single" w:color="000000" w:sz="4" w:space="0"/>
              <w:right w:val="single" w:color="000000" w:sz="4" w:space="0"/>
            </w:tcBorders>
            <w:tcW w:w="890" w:type="dxa"/>
            <w:vAlign w:val="center"/>
            <w:vMerge w:val="restart"/>
            <w:textDirection w:val="lrTb"/>
            <w:noWrap w:val="false"/>
          </w:tcPr>
          <w:p>
            <w:pPr>
              <w:pStyle w:val="886"/>
              <w:jc w:val="center"/>
              <w:rPr>
                <w:rFonts w:ascii="宋体" w:hAnsi="宋体"/>
                <w:szCs w:val="21"/>
              </w:rPr>
            </w:pPr>
            <w:r>
              <w:rPr>
                <w:rFonts w:hint="eastAsia" w:ascii="宋体" w:hAnsi="宋体"/>
                <w:szCs w:val="21"/>
              </w:rPr>
              <w:t xml:space="preserve">采购包3</w:t>
            </w: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pStyle w:val="886"/>
              <w:jc w:val="center"/>
              <w:rPr>
                <w:rFonts w:hint="eastAsia" w:ascii="宋体" w:hAnsi="宋体" w:cs="宋体"/>
                <w:szCs w:val="21"/>
              </w:rPr>
            </w:pPr>
            <w:r>
              <w:rPr>
                <w:rFonts w:hint="eastAsia" w:ascii="宋体" w:hAnsi="宋体" w:cs="宋体"/>
                <w:color w:val="000000"/>
                <w:sz w:val="24"/>
              </w:rPr>
              <w:t xml:space="preserve">杜桥区域</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693" w:type="dxa"/>
            <w:vAlign w:val="center"/>
            <w:textDirection w:val="lrTb"/>
            <w:noWrap w:val="false"/>
          </w:tcPr>
          <w:p>
            <w:pPr>
              <w:pStyle w:val="886"/>
              <w:jc w:val="center"/>
              <w:rPr>
                <w:rFonts w:hint="eastAsia" w:ascii="宋体" w:hAnsi="宋体" w:cs="宋体"/>
                <w:szCs w:val="21"/>
              </w:rPr>
            </w:pPr>
            <w:r>
              <w:rPr>
                <w:rFonts w:hint="eastAsia" w:ascii="宋体" w:hAnsi="宋体" w:cs="宋体"/>
                <w:color w:val="000000"/>
                <w:sz w:val="24"/>
              </w:rPr>
              <w:t xml:space="preserve">包家桥路、亿升路以南，富士康路以北，玉城路以东、皇仓泾以西。</w:t>
            </w:r>
            <w:r>
              <w:rPr>
                <w:rFonts w:hint="eastAsia" w:ascii="宋体" w:hAnsi="宋体" w:cs="宋体"/>
                <w:szCs w:val="21"/>
              </w:rPr>
            </w:r>
            <w:r/>
          </w:p>
        </w:tc>
        <w:tc>
          <w:tcPr>
            <w:tcBorders>
              <w:top w:val="single" w:color="000000" w:sz="4" w:space="0"/>
              <w:left w:val="single" w:color="000000" w:sz="4" w:space="0"/>
              <w:right w:val="single" w:color="000000" w:sz="4" w:space="0"/>
            </w:tcBorders>
            <w:tcW w:w="1701" w:type="dxa"/>
            <w:vAlign w:val="center"/>
            <w:vMerge w:val="restart"/>
            <w:textDirection w:val="lrTb"/>
            <w:noWrap w:val="false"/>
          </w:tcPr>
          <w:p>
            <w:pPr>
              <w:pStyle w:val="886"/>
              <w:jc w:val="center"/>
              <w:rPr>
                <w:rFonts w:ascii="宋体" w:hAnsi="宋体"/>
                <w:szCs w:val="21"/>
              </w:rPr>
            </w:pPr>
            <w:r>
              <w:rPr>
                <w:rFonts w:hint="eastAsia" w:ascii="宋体" w:hAnsi="宋体"/>
                <w:szCs w:val="21"/>
              </w:rPr>
              <w:t xml:space="preserve">100</w:t>
            </w:r>
            <w:r>
              <w:rPr>
                <w:rFonts w:ascii="宋体" w:hAnsi="宋体"/>
                <w:szCs w:val="21"/>
              </w:rPr>
            </w:r>
            <w:r/>
          </w:p>
        </w:tc>
        <w:tc>
          <w:tcPr>
            <w:tcBorders>
              <w:left w:val="single" w:color="000000" w:sz="4" w:space="0"/>
              <w:right w:val="single" w:color="000000" w:sz="4" w:space="0"/>
            </w:tcBorders>
            <w:tcW w:w="3120" w:type="dxa"/>
            <w:vAlign w:val="center"/>
            <w:vMerge w:val="continue"/>
            <w:textDirection w:val="lrTb"/>
            <w:noWrap w:val="false"/>
          </w:tcPr>
          <w:p>
            <w:pPr>
              <w:pStyle w:val="886"/>
              <w:jc w:val="center"/>
              <w:rPr>
                <w:szCs w:val="21"/>
                <w:lang w:bidi="ar"/>
              </w:rPr>
            </w:pPr>
            <w:r>
              <w:rPr>
                <w:szCs w:val="21"/>
                <w:lang w:bidi="ar"/>
              </w:rPr>
            </w:r>
            <w:r/>
          </w:p>
        </w:tc>
      </w:tr>
      <w:tr>
        <w:trPr>
          <w:cantSplit/>
          <w:trHeight w:val="842"/>
        </w:trPr>
        <w:tc>
          <w:tcPr>
            <w:tcBorders>
              <w:left w:val="single" w:color="000000" w:sz="4" w:space="0"/>
              <w:right w:val="single" w:color="000000" w:sz="4" w:space="0"/>
            </w:tcBorders>
            <w:tcW w:w="890" w:type="dxa"/>
            <w:vAlign w:val="center"/>
            <w:vMerge w:val="continue"/>
            <w:textDirection w:val="lrTb"/>
            <w:noWrap w:val="false"/>
          </w:tcPr>
          <w:p>
            <w:pPr>
              <w:pStyle w:val="886"/>
              <w:jc w:val="center"/>
              <w:rPr>
                <w:rFonts w:hint="eastAsia" w:ascii="宋体" w:hAnsi="宋体"/>
                <w:szCs w:val="21"/>
              </w:rPr>
            </w:pPr>
            <w:r>
              <w:rPr>
                <w:rFonts w:hint="eastAsia" w:ascii="宋体" w:hAnsi="宋体"/>
                <w:szCs w:val="21"/>
              </w:rPr>
            </w:r>
            <w:r/>
          </w:p>
        </w:tc>
        <w:tc>
          <w:tcPr>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pStyle w:val="886"/>
              <w:jc w:val="center"/>
              <w:rPr>
                <w:rFonts w:hint="eastAsia" w:ascii="宋体" w:hAnsi="宋体" w:cs="宋体"/>
                <w:color w:val="000000"/>
                <w:sz w:val="24"/>
              </w:rPr>
            </w:pPr>
            <w:r>
              <w:rPr>
                <w:rFonts w:hint="eastAsia" w:ascii="宋体" w:hAnsi="宋体" w:cs="宋体"/>
                <w:color w:val="000000"/>
                <w:sz w:val="24"/>
              </w:rPr>
              <w:t xml:space="preserve">五联区域</w:t>
            </w:r>
            <w:r/>
          </w:p>
        </w:tc>
        <w:tc>
          <w:tcPr>
            <w:tcBorders>
              <w:top w:val="single" w:color="000000" w:sz="4" w:space="0"/>
              <w:left w:val="single" w:color="000000" w:sz="4" w:space="0"/>
              <w:bottom w:val="single" w:color="000000" w:sz="4" w:space="0"/>
              <w:right w:val="single" w:color="000000" w:sz="4" w:space="0"/>
            </w:tcBorders>
            <w:tcW w:w="2693" w:type="dxa"/>
            <w:vAlign w:val="center"/>
            <w:textDirection w:val="lrTb"/>
            <w:noWrap w:val="false"/>
          </w:tcPr>
          <w:p>
            <w:pPr>
              <w:pStyle w:val="886"/>
              <w:jc w:val="center"/>
              <w:rPr>
                <w:rFonts w:hint="eastAsia" w:ascii="宋体" w:hAnsi="宋体" w:cs="宋体"/>
                <w:szCs w:val="21"/>
              </w:rPr>
            </w:pPr>
            <w:r>
              <w:rPr>
                <w:rFonts w:hint="eastAsia" w:ascii="宋体" w:hAnsi="宋体" w:cs="宋体"/>
                <w:color w:val="000000"/>
                <w:sz w:val="24"/>
              </w:rPr>
              <w:t xml:space="preserve">1.新塘河以南，城北路以北，大鱼塘以东，玉城路以西；2.东和路两侧。</w:t>
            </w:r>
            <w:r>
              <w:rPr>
                <w:rFonts w:hint="eastAsia" w:ascii="宋体" w:hAnsi="宋体" w:cs="宋体"/>
                <w:szCs w:val="21"/>
              </w:rPr>
            </w:r>
            <w:r/>
          </w:p>
        </w:tc>
        <w:tc>
          <w:tcPr>
            <w:tcBorders>
              <w:left w:val="single" w:color="000000" w:sz="4" w:space="0"/>
              <w:right w:val="single" w:color="000000" w:sz="4" w:space="0"/>
            </w:tcBorders>
            <w:tcW w:w="1701" w:type="dxa"/>
            <w:vAlign w:val="center"/>
            <w:vMerge w:val="continue"/>
            <w:textDirection w:val="lrTb"/>
            <w:noWrap w:val="false"/>
          </w:tcPr>
          <w:p>
            <w:pPr>
              <w:pStyle w:val="886"/>
              <w:jc w:val="center"/>
              <w:rPr>
                <w:rFonts w:ascii="宋体" w:hAnsi="宋体"/>
                <w:szCs w:val="21"/>
              </w:rPr>
            </w:pPr>
            <w:r>
              <w:rPr>
                <w:rFonts w:ascii="宋体" w:hAnsi="宋体"/>
                <w:szCs w:val="21"/>
              </w:rPr>
            </w:r>
            <w:r/>
          </w:p>
        </w:tc>
        <w:tc>
          <w:tcPr>
            <w:tcBorders>
              <w:left w:val="single" w:color="000000" w:sz="4" w:space="0"/>
              <w:right w:val="single" w:color="000000" w:sz="4" w:space="0"/>
            </w:tcBorders>
            <w:tcW w:w="3120" w:type="dxa"/>
            <w:vAlign w:val="center"/>
            <w:vMerge w:val="continue"/>
            <w:textDirection w:val="lrTb"/>
            <w:noWrap w:val="false"/>
          </w:tcPr>
          <w:p>
            <w:pPr>
              <w:pStyle w:val="886"/>
              <w:jc w:val="center"/>
              <w:rPr>
                <w:szCs w:val="21"/>
                <w:lang w:bidi="ar"/>
              </w:rPr>
            </w:pPr>
            <w:r>
              <w:rPr>
                <w:szCs w:val="21"/>
                <w:lang w:bidi="ar"/>
              </w:rPr>
            </w:r>
            <w:r/>
          </w:p>
        </w:tc>
      </w:tr>
      <w:tr>
        <w:trPr>
          <w:cantSplit/>
          <w:trHeight w:val="842"/>
        </w:trPr>
        <w:tc>
          <w:tcPr>
            <w:tcBorders>
              <w:left w:val="single" w:color="000000" w:sz="4" w:space="0"/>
              <w:bottom w:val="single" w:color="000000" w:sz="4" w:space="0"/>
              <w:right w:val="single" w:color="000000" w:sz="4" w:space="0"/>
            </w:tcBorders>
            <w:tcW w:w="890" w:type="dxa"/>
            <w:vAlign w:val="center"/>
            <w:vMerge w:val="continue"/>
            <w:textDirection w:val="lrTb"/>
            <w:noWrap w:val="false"/>
          </w:tcPr>
          <w:p>
            <w:pPr>
              <w:pStyle w:val="886"/>
              <w:jc w:val="center"/>
              <w:rPr>
                <w:rFonts w:hint="eastAsia" w:ascii="宋体" w:hAnsi="宋体"/>
                <w:szCs w:val="21"/>
              </w:rPr>
            </w:pPr>
            <w:r>
              <w:rPr>
                <w:rFonts w:hint="eastAsia" w:ascii="宋体" w:hAnsi="宋体"/>
                <w:szCs w:val="21"/>
              </w:rPr>
            </w:r>
            <w:r/>
          </w:p>
        </w:tc>
        <w:tc>
          <w:tcPr>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pStyle w:val="886"/>
              <w:jc w:val="center"/>
              <w:rPr>
                <w:rFonts w:hint="eastAsia" w:ascii="宋体" w:hAnsi="宋体" w:cs="宋体"/>
                <w:color w:val="000000"/>
                <w:sz w:val="24"/>
              </w:rPr>
            </w:pPr>
            <w:r>
              <w:rPr>
                <w:rFonts w:hint="eastAsia" w:ascii="宋体" w:hAnsi="宋体" w:cs="宋体"/>
                <w:color w:val="000000"/>
                <w:sz w:val="24"/>
              </w:rPr>
              <w:t xml:space="preserve">强安区域</w:t>
            </w:r>
            <w:r/>
          </w:p>
        </w:tc>
        <w:tc>
          <w:tcPr>
            <w:tcBorders>
              <w:top w:val="single" w:color="000000" w:sz="4" w:space="0"/>
              <w:left w:val="single" w:color="000000" w:sz="4" w:space="0"/>
              <w:bottom w:val="single" w:color="000000" w:sz="4" w:space="0"/>
              <w:right w:val="single" w:color="000000" w:sz="4" w:space="0"/>
            </w:tcBorders>
            <w:tcW w:w="2693" w:type="dxa"/>
            <w:vAlign w:val="center"/>
            <w:textDirection w:val="lrTb"/>
            <w:noWrap w:val="false"/>
          </w:tcPr>
          <w:p>
            <w:pPr>
              <w:pStyle w:val="886"/>
              <w:jc w:val="center"/>
              <w:rPr>
                <w:rFonts w:hint="eastAsia" w:ascii="宋体" w:hAnsi="宋体" w:cs="宋体"/>
                <w:szCs w:val="21"/>
              </w:rPr>
            </w:pPr>
            <w:r>
              <w:rPr>
                <w:rFonts w:hint="eastAsia" w:ascii="宋体" w:hAnsi="宋体" w:cs="宋体"/>
                <w:color w:val="000000"/>
                <w:sz w:val="24"/>
              </w:rPr>
              <w:t xml:space="preserve">新塘河以南，包家桥路、亿升路以北，玉城路以东，皇仓泾以西。</w:t>
            </w:r>
            <w:r>
              <w:rPr>
                <w:rFonts w:hint="eastAsia" w:ascii="宋体" w:hAnsi="宋体" w:cs="宋体"/>
                <w:szCs w:val="21"/>
              </w:rPr>
            </w:r>
            <w:r/>
          </w:p>
        </w:tc>
        <w:tc>
          <w:tcPr>
            <w:tcBorders>
              <w:left w:val="single" w:color="000000" w:sz="4" w:space="0"/>
              <w:bottom w:val="single" w:color="000000" w:sz="4" w:space="0"/>
              <w:right w:val="single" w:color="000000" w:sz="4" w:space="0"/>
            </w:tcBorders>
            <w:tcW w:w="1701" w:type="dxa"/>
            <w:vAlign w:val="center"/>
            <w:vMerge w:val="continue"/>
            <w:textDirection w:val="lrTb"/>
            <w:noWrap w:val="false"/>
          </w:tcPr>
          <w:p>
            <w:pPr>
              <w:pStyle w:val="886"/>
              <w:jc w:val="center"/>
              <w:rPr>
                <w:rFonts w:ascii="宋体" w:hAnsi="宋体"/>
                <w:szCs w:val="21"/>
              </w:rPr>
            </w:pPr>
            <w:r>
              <w:rPr>
                <w:rFonts w:ascii="宋体" w:hAnsi="宋体"/>
                <w:szCs w:val="21"/>
              </w:rPr>
            </w:r>
            <w:r/>
          </w:p>
        </w:tc>
        <w:tc>
          <w:tcPr>
            <w:tcBorders>
              <w:left w:val="single" w:color="000000" w:sz="4" w:space="0"/>
              <w:bottom w:val="single" w:color="000000" w:sz="4" w:space="0"/>
              <w:right w:val="single" w:color="000000" w:sz="4" w:space="0"/>
            </w:tcBorders>
            <w:tcW w:w="3120" w:type="dxa"/>
            <w:vAlign w:val="center"/>
            <w:vMerge w:val="continue"/>
            <w:textDirection w:val="lrTb"/>
            <w:noWrap w:val="false"/>
          </w:tcPr>
          <w:p>
            <w:pPr>
              <w:pStyle w:val="886"/>
              <w:jc w:val="center"/>
              <w:rPr>
                <w:szCs w:val="21"/>
                <w:lang w:bidi="ar"/>
              </w:rPr>
            </w:pPr>
            <w:r>
              <w:rPr>
                <w:szCs w:val="21"/>
                <w:lang w:bidi="ar"/>
              </w:rPr>
            </w:r>
            <w:r/>
          </w:p>
        </w:tc>
      </w:tr>
      <w:tr>
        <w:trPr>
          <w:cantSplit/>
          <w:trHeight w:val="842"/>
        </w:trPr>
        <w:tc>
          <w:tcPr>
            <w:tcBorders>
              <w:top w:val="single" w:color="000000" w:sz="4" w:space="0"/>
              <w:left w:val="single" w:color="000000" w:sz="4" w:space="0"/>
              <w:right w:val="single" w:color="000000" w:sz="4" w:space="0"/>
            </w:tcBorders>
            <w:tcW w:w="890" w:type="dxa"/>
            <w:vAlign w:val="center"/>
            <w:vMerge w:val="restart"/>
            <w:textDirection w:val="lrTb"/>
            <w:noWrap w:val="false"/>
          </w:tcPr>
          <w:p>
            <w:pPr>
              <w:pStyle w:val="886"/>
              <w:jc w:val="center"/>
              <w:rPr>
                <w:rFonts w:ascii="宋体" w:hAnsi="宋体"/>
                <w:szCs w:val="21"/>
              </w:rPr>
            </w:pPr>
            <w:r>
              <w:rPr>
                <w:rFonts w:hint="eastAsia" w:ascii="宋体" w:hAnsi="宋体"/>
                <w:szCs w:val="21"/>
              </w:rPr>
              <w:t xml:space="preserve">采购包4</w:t>
            </w: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pStyle w:val="886"/>
              <w:jc w:val="center"/>
              <w:rPr>
                <w:rFonts w:hint="eastAsia" w:ascii="宋体" w:hAnsi="宋体" w:cs="宋体"/>
                <w:szCs w:val="21"/>
              </w:rPr>
            </w:pPr>
            <w:r>
              <w:rPr>
                <w:rFonts w:hint="eastAsia" w:ascii="宋体" w:hAnsi="宋体" w:cs="宋体"/>
                <w:color w:val="000000"/>
                <w:sz w:val="24"/>
              </w:rPr>
              <w:t xml:space="preserve">吴淞江区域</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693" w:type="dxa"/>
            <w:vAlign w:val="center"/>
            <w:textDirection w:val="lrTb"/>
            <w:noWrap w:val="false"/>
          </w:tcPr>
          <w:p>
            <w:pPr>
              <w:pStyle w:val="886"/>
              <w:jc w:val="center"/>
              <w:rPr>
                <w:rFonts w:hint="eastAsia" w:ascii="宋体" w:hAnsi="宋体" w:cs="宋体"/>
                <w:szCs w:val="21"/>
              </w:rPr>
            </w:pPr>
            <w:r>
              <w:rPr>
                <w:rFonts w:hint="eastAsia" w:ascii="宋体" w:hAnsi="宋体" w:cs="宋体"/>
                <w:color w:val="000000"/>
                <w:sz w:val="24"/>
              </w:rPr>
              <w:t xml:space="preserve">1.娄江河以南，吴淞江河以北，界浦河以东，小虞河路以西；2.青淞区域</w:t>
            </w:r>
            <w:r>
              <w:rPr>
                <w:rFonts w:hint="eastAsia" w:ascii="宋体" w:hAnsi="宋体" w:cs="宋体"/>
                <w:szCs w:val="21"/>
              </w:rPr>
            </w:r>
            <w:r/>
          </w:p>
        </w:tc>
        <w:tc>
          <w:tcPr>
            <w:tcBorders>
              <w:top w:val="single" w:color="000000" w:sz="4" w:space="0"/>
              <w:left w:val="single" w:color="000000" w:sz="4" w:space="0"/>
              <w:right w:val="single" w:color="000000" w:sz="4" w:space="0"/>
            </w:tcBorders>
            <w:tcW w:w="1701" w:type="dxa"/>
            <w:vAlign w:val="center"/>
            <w:vMerge w:val="restart"/>
            <w:textDirection w:val="lrTb"/>
            <w:noWrap w:val="false"/>
          </w:tcPr>
          <w:p>
            <w:pPr>
              <w:pStyle w:val="886"/>
              <w:jc w:val="center"/>
              <w:rPr>
                <w:rFonts w:ascii="宋体" w:hAnsi="宋体"/>
                <w:szCs w:val="21"/>
              </w:rPr>
            </w:pPr>
            <w:r>
              <w:rPr>
                <w:rFonts w:hint="eastAsia" w:ascii="宋体" w:hAnsi="宋体"/>
                <w:szCs w:val="21"/>
              </w:rPr>
              <w:t xml:space="preserve">120</w:t>
            </w:r>
            <w:r>
              <w:rPr>
                <w:rFonts w:ascii="宋体" w:hAnsi="宋体"/>
                <w:szCs w:val="21"/>
              </w:rPr>
            </w:r>
            <w:r/>
          </w:p>
        </w:tc>
        <w:tc>
          <w:tcPr>
            <w:tcBorders>
              <w:top w:val="single" w:color="000000" w:sz="4" w:space="0"/>
              <w:left w:val="single" w:color="000000" w:sz="4" w:space="0"/>
              <w:right w:val="single" w:color="000000" w:sz="4" w:space="0"/>
            </w:tcBorders>
            <w:tcW w:w="3120" w:type="dxa"/>
            <w:vAlign w:val="center"/>
            <w:vMerge w:val="restart"/>
            <w:textDirection w:val="lrTb"/>
            <w:noWrap w:val="false"/>
          </w:tcPr>
          <w:p>
            <w:pPr>
              <w:pStyle w:val="886"/>
              <w:jc w:val="center"/>
              <w:rPr>
                <w:szCs w:val="21"/>
                <w:lang w:bidi="ar"/>
              </w:rPr>
            </w:pPr>
            <w:r>
              <w:rPr>
                <w:rFonts w:hint="eastAsia" w:ascii="宋体" w:hAnsi="宋体" w:cs="宋体"/>
                <w:color w:val="000000"/>
                <w:sz w:val="24"/>
              </w:rPr>
              <w:t xml:space="preserve">按照《苏州市乡镇（街道）挥发性有机物治理管理服务试点工作方案》要求，协助昆山高新技术产业开发区安全生产监督管理和环境保护局完成挥发性有机物治理管家驻点服务工作，以及氮氧化物、二氧化硫等其他涉气工作</w:t>
            </w:r>
            <w:r>
              <w:rPr>
                <w:szCs w:val="21"/>
                <w:lang w:bidi="ar"/>
              </w:rPr>
            </w:r>
            <w:r/>
          </w:p>
        </w:tc>
      </w:tr>
      <w:tr>
        <w:trPr>
          <w:cantSplit/>
          <w:trHeight w:val="842"/>
        </w:trPr>
        <w:tc>
          <w:tcPr>
            <w:tcBorders>
              <w:left w:val="single" w:color="000000" w:sz="4" w:space="0"/>
              <w:bottom w:val="single" w:color="000000" w:sz="4" w:space="0"/>
              <w:right w:val="single" w:color="000000" w:sz="4" w:space="0"/>
            </w:tcBorders>
            <w:tcW w:w="890" w:type="dxa"/>
            <w:vAlign w:val="center"/>
            <w:vMerge w:val="continue"/>
            <w:textDirection w:val="lrTb"/>
            <w:noWrap w:val="false"/>
          </w:tcPr>
          <w:p>
            <w:pPr>
              <w:pStyle w:val="886"/>
              <w:jc w:val="center"/>
              <w:rPr>
                <w:rFonts w:hint="eastAsia" w:ascii="宋体" w:hAnsi="宋体"/>
                <w:szCs w:val="21"/>
              </w:rPr>
            </w:pPr>
            <w:r>
              <w:rPr>
                <w:rFonts w:hint="eastAsia" w:ascii="宋体" w:hAnsi="宋体"/>
                <w:szCs w:val="21"/>
              </w:rPr>
            </w:r>
            <w:r/>
          </w:p>
        </w:tc>
        <w:tc>
          <w:tcPr>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pStyle w:val="886"/>
              <w:jc w:val="center"/>
              <w:rPr>
                <w:rFonts w:hint="eastAsia" w:ascii="宋体" w:hAnsi="宋体" w:cs="宋体"/>
                <w:color w:val="000000"/>
                <w:sz w:val="24"/>
              </w:rPr>
            </w:pPr>
            <w:r>
              <w:rPr>
                <w:rFonts w:hint="eastAsia" w:ascii="宋体" w:hAnsi="宋体" w:cs="宋体"/>
                <w:color w:val="000000"/>
                <w:sz w:val="24"/>
              </w:rPr>
              <w:t xml:space="preserve">强安区域</w:t>
            </w:r>
            <w:r/>
          </w:p>
        </w:tc>
        <w:tc>
          <w:tcPr>
            <w:tcBorders>
              <w:top w:val="single" w:color="000000" w:sz="4" w:space="0"/>
              <w:left w:val="single" w:color="000000" w:sz="4" w:space="0"/>
              <w:bottom w:val="single" w:color="000000" w:sz="4" w:space="0"/>
              <w:right w:val="single" w:color="000000" w:sz="4" w:space="0"/>
            </w:tcBorders>
            <w:tcW w:w="2693" w:type="dxa"/>
            <w:vAlign w:val="center"/>
            <w:textDirection w:val="lrTb"/>
            <w:noWrap w:val="false"/>
          </w:tcPr>
          <w:p>
            <w:pPr>
              <w:pStyle w:val="886"/>
              <w:jc w:val="center"/>
              <w:rPr>
                <w:rFonts w:hint="eastAsia" w:ascii="宋体" w:hAnsi="宋体" w:cs="宋体"/>
                <w:szCs w:val="21"/>
              </w:rPr>
            </w:pPr>
            <w:r>
              <w:rPr>
                <w:rFonts w:hint="eastAsia" w:ascii="宋体" w:hAnsi="宋体" w:cs="宋体"/>
                <w:color w:val="000000"/>
                <w:sz w:val="24"/>
              </w:rPr>
              <w:t xml:space="preserve">新塘河以南，包家桥路、亿升路以北，玉城路以东，皇仓泾以西。</w:t>
            </w:r>
            <w:r>
              <w:rPr>
                <w:rFonts w:hint="eastAsia" w:ascii="宋体" w:hAnsi="宋体" w:cs="宋体"/>
                <w:szCs w:val="21"/>
              </w:rPr>
            </w:r>
            <w:r/>
          </w:p>
        </w:tc>
        <w:tc>
          <w:tcPr>
            <w:tcBorders>
              <w:left w:val="single" w:color="000000" w:sz="4" w:space="0"/>
              <w:bottom w:val="single" w:color="000000" w:sz="4" w:space="0"/>
              <w:right w:val="single" w:color="000000" w:sz="4" w:space="0"/>
            </w:tcBorders>
            <w:tcW w:w="1701" w:type="dxa"/>
            <w:vAlign w:val="center"/>
            <w:vMerge w:val="continue"/>
            <w:textDirection w:val="lrTb"/>
            <w:noWrap w:val="false"/>
          </w:tcPr>
          <w:p>
            <w:pPr>
              <w:pStyle w:val="886"/>
              <w:jc w:val="center"/>
              <w:rPr>
                <w:rFonts w:ascii="宋体" w:hAnsi="宋体"/>
                <w:szCs w:val="21"/>
              </w:rPr>
            </w:pPr>
            <w:r>
              <w:rPr>
                <w:rFonts w:ascii="宋体" w:hAnsi="宋体"/>
                <w:szCs w:val="21"/>
              </w:rPr>
            </w:r>
            <w:r/>
          </w:p>
        </w:tc>
        <w:tc>
          <w:tcPr>
            <w:tcBorders>
              <w:left w:val="single" w:color="000000" w:sz="4" w:space="0"/>
              <w:right w:val="single" w:color="000000" w:sz="4" w:space="0"/>
            </w:tcBorders>
            <w:tcW w:w="3120" w:type="dxa"/>
            <w:vAlign w:val="center"/>
            <w:vMerge w:val="continue"/>
            <w:textDirection w:val="lrTb"/>
            <w:noWrap w:val="false"/>
          </w:tcPr>
          <w:p>
            <w:pPr>
              <w:pStyle w:val="886"/>
              <w:jc w:val="center"/>
              <w:rPr>
                <w:szCs w:val="21"/>
                <w:lang w:bidi="ar"/>
              </w:rPr>
            </w:pPr>
            <w:r>
              <w:rPr>
                <w:szCs w:val="21"/>
                <w:lang w:bidi="ar"/>
              </w:rPr>
            </w:r>
            <w:r/>
          </w:p>
        </w:tc>
      </w:tr>
      <w:tr>
        <w:trPr>
          <w:cantSplit/>
          <w:trHeight w:val="842"/>
        </w:trPr>
        <w:tc>
          <w:tcPr>
            <w:tcBorders>
              <w:top w:val="single" w:color="000000" w:sz="4" w:space="0"/>
              <w:left w:val="single" w:color="000000" w:sz="4" w:space="0"/>
              <w:right w:val="single" w:color="000000" w:sz="4" w:space="0"/>
            </w:tcBorders>
            <w:tcW w:w="890" w:type="dxa"/>
            <w:vAlign w:val="center"/>
            <w:vMerge w:val="restart"/>
            <w:textDirection w:val="lrTb"/>
            <w:noWrap w:val="false"/>
          </w:tcPr>
          <w:p>
            <w:pPr>
              <w:pStyle w:val="886"/>
              <w:jc w:val="center"/>
              <w:rPr>
                <w:rFonts w:hint="eastAsia" w:ascii="宋体" w:hAnsi="宋体"/>
                <w:szCs w:val="21"/>
              </w:rPr>
            </w:pPr>
            <w:r>
              <w:rPr>
                <w:rFonts w:hint="eastAsia" w:ascii="宋体" w:hAnsi="宋体"/>
                <w:szCs w:val="21"/>
              </w:rPr>
              <w:t xml:space="preserve">采购包5</w:t>
            </w:r>
            <w:r/>
          </w:p>
        </w:tc>
        <w:tc>
          <w:tcPr>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pStyle w:val="886"/>
              <w:jc w:val="center"/>
              <w:rPr>
                <w:rFonts w:hint="eastAsia" w:ascii="宋体" w:hAnsi="宋体" w:cs="宋体"/>
                <w:color w:val="000000"/>
                <w:sz w:val="24"/>
              </w:rPr>
            </w:pPr>
            <w:r>
              <w:rPr>
                <w:rFonts w:hint="eastAsia" w:ascii="宋体" w:hAnsi="宋体" w:cs="宋体"/>
                <w:color w:val="000000"/>
                <w:sz w:val="24"/>
              </w:rPr>
              <w:t xml:space="preserve">城中区域</w:t>
            </w:r>
            <w:r/>
          </w:p>
        </w:tc>
        <w:tc>
          <w:tcPr>
            <w:tcBorders>
              <w:top w:val="single" w:color="000000" w:sz="4" w:space="0"/>
              <w:left w:val="single" w:color="000000" w:sz="4" w:space="0"/>
              <w:bottom w:val="single" w:color="000000" w:sz="4" w:space="0"/>
              <w:right w:val="single" w:color="000000" w:sz="4" w:space="0"/>
            </w:tcBorders>
            <w:tcW w:w="2693" w:type="dxa"/>
            <w:vAlign w:val="center"/>
            <w:textDirection w:val="lrTb"/>
            <w:noWrap w:val="false"/>
          </w:tcPr>
          <w:p>
            <w:pPr>
              <w:pStyle w:val="886"/>
              <w:jc w:val="center"/>
              <w:rPr>
                <w:rFonts w:hint="eastAsia" w:ascii="宋体" w:hAnsi="宋体" w:cs="宋体"/>
                <w:szCs w:val="21"/>
              </w:rPr>
            </w:pPr>
            <w:r>
              <w:rPr>
                <w:rFonts w:hint="eastAsia" w:ascii="宋体" w:hAnsi="宋体" w:cs="宋体"/>
                <w:color w:val="000000"/>
                <w:sz w:val="24"/>
              </w:rPr>
              <w:t xml:space="preserve">1.新乐村、城北路以南，娄江河以北，祖冲之路以东，汉浦塘、柏庐路以西（杜桥网格以外）；2.大学城区域。</w:t>
            </w:r>
            <w:r>
              <w:rPr>
                <w:rFonts w:hint="eastAsia" w:ascii="宋体" w:hAnsi="宋体" w:cs="宋体"/>
                <w:szCs w:val="21"/>
              </w:rPr>
            </w:r>
            <w:r/>
          </w:p>
        </w:tc>
        <w:tc>
          <w:tcPr>
            <w:tcBorders>
              <w:top w:val="single" w:color="000000" w:sz="4" w:space="0"/>
              <w:left w:val="single" w:color="000000" w:sz="4" w:space="0"/>
              <w:right w:val="single" w:color="000000" w:sz="4" w:space="0"/>
            </w:tcBorders>
            <w:tcW w:w="1701" w:type="dxa"/>
            <w:vAlign w:val="center"/>
            <w:vMerge w:val="restart"/>
            <w:textDirection w:val="lrTb"/>
            <w:noWrap w:val="false"/>
          </w:tcPr>
          <w:p>
            <w:pPr>
              <w:pStyle w:val="886"/>
              <w:jc w:val="center"/>
              <w:rPr>
                <w:rFonts w:ascii="宋体" w:hAnsi="宋体"/>
                <w:szCs w:val="21"/>
              </w:rPr>
            </w:pPr>
            <w:r>
              <w:rPr>
                <w:rFonts w:hint="eastAsia" w:ascii="宋体" w:hAnsi="宋体"/>
                <w:szCs w:val="21"/>
              </w:rPr>
              <w:t xml:space="preserve">120</w:t>
            </w:r>
            <w:r>
              <w:rPr>
                <w:rFonts w:ascii="宋体" w:hAnsi="宋体"/>
                <w:szCs w:val="21"/>
              </w:rPr>
            </w:r>
            <w:r/>
          </w:p>
        </w:tc>
        <w:tc>
          <w:tcPr>
            <w:tcBorders>
              <w:left w:val="single" w:color="000000" w:sz="4" w:space="0"/>
              <w:right w:val="single" w:color="000000" w:sz="4" w:space="0"/>
            </w:tcBorders>
            <w:tcW w:w="3120" w:type="dxa"/>
            <w:vAlign w:val="center"/>
            <w:vMerge w:val="continue"/>
            <w:textDirection w:val="lrTb"/>
            <w:noWrap w:val="false"/>
          </w:tcPr>
          <w:p>
            <w:pPr>
              <w:pStyle w:val="886"/>
              <w:jc w:val="center"/>
              <w:rPr>
                <w:szCs w:val="21"/>
                <w:lang w:bidi="ar"/>
              </w:rPr>
            </w:pPr>
            <w:r>
              <w:rPr>
                <w:szCs w:val="21"/>
                <w:lang w:bidi="ar"/>
              </w:rPr>
            </w:r>
            <w:r/>
          </w:p>
        </w:tc>
      </w:tr>
      <w:tr>
        <w:trPr>
          <w:cantSplit/>
          <w:trHeight w:val="842"/>
        </w:trPr>
        <w:tc>
          <w:tcPr>
            <w:tcBorders>
              <w:left w:val="single" w:color="000000" w:sz="4" w:space="0"/>
              <w:right w:val="single" w:color="000000" w:sz="4" w:space="0"/>
            </w:tcBorders>
            <w:tcW w:w="890" w:type="dxa"/>
            <w:vAlign w:val="center"/>
            <w:vMerge w:val="continue"/>
            <w:textDirection w:val="lrTb"/>
            <w:noWrap w:val="false"/>
          </w:tcPr>
          <w:p>
            <w:pPr>
              <w:pStyle w:val="886"/>
              <w:jc w:val="center"/>
              <w:rPr>
                <w:rFonts w:hint="eastAsia" w:ascii="宋体" w:hAnsi="宋体"/>
                <w:szCs w:val="21"/>
              </w:rPr>
            </w:pPr>
            <w:r>
              <w:rPr>
                <w:rFonts w:hint="eastAsia" w:ascii="宋体" w:hAnsi="宋体"/>
                <w:szCs w:val="21"/>
              </w:rPr>
            </w:r>
            <w:r/>
          </w:p>
        </w:tc>
        <w:tc>
          <w:tcPr>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pStyle w:val="886"/>
              <w:jc w:val="center"/>
              <w:rPr>
                <w:rFonts w:hint="eastAsia" w:ascii="宋体" w:hAnsi="宋体" w:cs="宋体"/>
                <w:color w:val="000000"/>
                <w:sz w:val="24"/>
              </w:rPr>
            </w:pPr>
            <w:r>
              <w:rPr>
                <w:rFonts w:hint="eastAsia" w:ascii="宋体" w:hAnsi="宋体" w:cs="宋体"/>
                <w:color w:val="000000"/>
                <w:sz w:val="24"/>
              </w:rPr>
              <w:t xml:space="preserve">杨林区域</w:t>
            </w:r>
            <w:r/>
          </w:p>
        </w:tc>
        <w:tc>
          <w:tcPr>
            <w:tcBorders>
              <w:top w:val="single" w:color="000000" w:sz="4" w:space="0"/>
              <w:left w:val="single" w:color="000000" w:sz="4" w:space="0"/>
              <w:bottom w:val="single" w:color="000000" w:sz="4" w:space="0"/>
              <w:right w:val="single" w:color="000000" w:sz="4" w:space="0"/>
            </w:tcBorders>
            <w:tcW w:w="2693" w:type="dxa"/>
            <w:vAlign w:val="center"/>
            <w:textDirection w:val="lrTb"/>
            <w:noWrap w:val="false"/>
          </w:tcPr>
          <w:p>
            <w:pPr>
              <w:pStyle w:val="886"/>
              <w:jc w:val="center"/>
              <w:rPr>
                <w:rFonts w:hint="eastAsia" w:ascii="宋体" w:hAnsi="宋体" w:cs="宋体"/>
                <w:szCs w:val="21"/>
              </w:rPr>
            </w:pPr>
            <w:r>
              <w:rPr>
                <w:rFonts w:hint="eastAsia" w:ascii="宋体" w:hAnsi="宋体" w:cs="宋体"/>
                <w:color w:val="000000"/>
                <w:sz w:val="24"/>
              </w:rPr>
              <w:t xml:space="preserve">1.杨林塘以南，新塘河以北，茆沙塘以东、皇仓泾以西；2.塘龙村区域。</w:t>
            </w:r>
            <w:r>
              <w:rPr>
                <w:rFonts w:hint="eastAsia" w:ascii="宋体" w:hAnsi="宋体" w:cs="宋体"/>
                <w:szCs w:val="21"/>
              </w:rPr>
            </w:r>
            <w:r/>
          </w:p>
        </w:tc>
        <w:tc>
          <w:tcPr>
            <w:tcBorders>
              <w:left w:val="single" w:color="000000" w:sz="4" w:space="0"/>
              <w:right w:val="single" w:color="000000" w:sz="4" w:space="0"/>
            </w:tcBorders>
            <w:tcW w:w="1701" w:type="dxa"/>
            <w:vAlign w:val="center"/>
            <w:vMerge w:val="continue"/>
            <w:textDirection w:val="lrTb"/>
            <w:noWrap w:val="false"/>
          </w:tcPr>
          <w:p>
            <w:pPr>
              <w:pStyle w:val="886"/>
              <w:jc w:val="center"/>
              <w:rPr>
                <w:rFonts w:ascii="宋体" w:hAnsi="宋体"/>
                <w:szCs w:val="21"/>
              </w:rPr>
            </w:pPr>
            <w:r>
              <w:rPr>
                <w:rFonts w:ascii="宋体" w:hAnsi="宋体"/>
                <w:szCs w:val="21"/>
              </w:rPr>
            </w:r>
            <w:r/>
          </w:p>
        </w:tc>
        <w:tc>
          <w:tcPr>
            <w:tcBorders>
              <w:left w:val="single" w:color="000000" w:sz="4" w:space="0"/>
              <w:right w:val="single" w:color="000000" w:sz="4" w:space="0"/>
            </w:tcBorders>
            <w:tcW w:w="3120" w:type="dxa"/>
            <w:vAlign w:val="center"/>
            <w:vMerge w:val="continue"/>
            <w:textDirection w:val="lrTb"/>
            <w:noWrap w:val="false"/>
          </w:tcPr>
          <w:p>
            <w:pPr>
              <w:pStyle w:val="886"/>
              <w:jc w:val="center"/>
              <w:rPr>
                <w:szCs w:val="21"/>
                <w:lang w:bidi="ar"/>
              </w:rPr>
            </w:pPr>
            <w:r>
              <w:rPr>
                <w:szCs w:val="21"/>
                <w:lang w:bidi="ar"/>
              </w:rPr>
            </w:r>
            <w:r/>
          </w:p>
        </w:tc>
      </w:tr>
      <w:tr>
        <w:trPr>
          <w:cantSplit/>
          <w:trHeight w:val="842"/>
        </w:trPr>
        <w:tc>
          <w:tcPr>
            <w:tcBorders>
              <w:left w:val="single" w:color="000000" w:sz="4" w:space="0"/>
              <w:right w:val="single" w:color="000000" w:sz="4" w:space="0"/>
            </w:tcBorders>
            <w:tcW w:w="890" w:type="dxa"/>
            <w:vAlign w:val="center"/>
            <w:vMerge w:val="continue"/>
            <w:textDirection w:val="lrTb"/>
            <w:noWrap w:val="false"/>
          </w:tcPr>
          <w:p>
            <w:pPr>
              <w:pStyle w:val="886"/>
              <w:jc w:val="center"/>
              <w:rPr>
                <w:rFonts w:hint="eastAsia" w:ascii="宋体" w:hAnsi="宋体"/>
                <w:szCs w:val="21"/>
              </w:rPr>
            </w:pPr>
            <w:r>
              <w:rPr>
                <w:rFonts w:hint="eastAsia" w:ascii="宋体" w:hAnsi="宋体"/>
                <w:szCs w:val="21"/>
              </w:rPr>
            </w:r>
            <w:r/>
          </w:p>
        </w:tc>
        <w:tc>
          <w:tcPr>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pStyle w:val="886"/>
              <w:jc w:val="center"/>
              <w:rPr>
                <w:rFonts w:hint="eastAsia" w:ascii="宋体" w:hAnsi="宋体" w:cs="宋体"/>
                <w:color w:val="000000"/>
                <w:sz w:val="24"/>
              </w:rPr>
            </w:pPr>
            <w:r>
              <w:rPr>
                <w:rFonts w:hint="eastAsia" w:ascii="宋体" w:hAnsi="宋体" w:cs="宋体"/>
                <w:color w:val="000000"/>
                <w:sz w:val="24"/>
              </w:rPr>
              <w:t xml:space="preserve">杜桥区域</w:t>
            </w:r>
            <w:r/>
          </w:p>
        </w:tc>
        <w:tc>
          <w:tcPr>
            <w:tcBorders>
              <w:top w:val="single" w:color="000000" w:sz="4" w:space="0"/>
              <w:left w:val="single" w:color="000000" w:sz="4" w:space="0"/>
              <w:bottom w:val="single" w:color="000000" w:sz="4" w:space="0"/>
              <w:right w:val="single" w:color="000000" w:sz="4" w:space="0"/>
            </w:tcBorders>
            <w:tcW w:w="2693" w:type="dxa"/>
            <w:vAlign w:val="center"/>
            <w:textDirection w:val="lrTb"/>
            <w:noWrap w:val="false"/>
          </w:tcPr>
          <w:p>
            <w:pPr>
              <w:pStyle w:val="886"/>
              <w:jc w:val="center"/>
              <w:rPr>
                <w:rFonts w:hint="eastAsia" w:ascii="宋体" w:hAnsi="宋体" w:cs="宋体"/>
                <w:szCs w:val="21"/>
              </w:rPr>
            </w:pPr>
            <w:r>
              <w:rPr>
                <w:rFonts w:hint="eastAsia" w:ascii="宋体" w:hAnsi="宋体" w:cs="宋体"/>
                <w:color w:val="000000"/>
                <w:sz w:val="24"/>
              </w:rPr>
              <w:t xml:space="preserve">包家桥路、亿升路以南，富士康路以北，玉城路以东、皇仓泾以西。</w:t>
            </w:r>
            <w:r>
              <w:rPr>
                <w:rFonts w:hint="eastAsia" w:ascii="宋体" w:hAnsi="宋体" w:cs="宋体"/>
                <w:szCs w:val="21"/>
              </w:rPr>
            </w:r>
            <w:r/>
          </w:p>
        </w:tc>
        <w:tc>
          <w:tcPr>
            <w:tcBorders>
              <w:left w:val="single" w:color="000000" w:sz="4" w:space="0"/>
              <w:right w:val="single" w:color="000000" w:sz="4" w:space="0"/>
            </w:tcBorders>
            <w:tcW w:w="1701" w:type="dxa"/>
            <w:vAlign w:val="center"/>
            <w:vMerge w:val="continue"/>
            <w:textDirection w:val="lrTb"/>
            <w:noWrap w:val="false"/>
          </w:tcPr>
          <w:p>
            <w:pPr>
              <w:pStyle w:val="886"/>
              <w:jc w:val="center"/>
              <w:rPr>
                <w:rFonts w:ascii="宋体" w:hAnsi="宋体"/>
                <w:szCs w:val="21"/>
              </w:rPr>
            </w:pPr>
            <w:r>
              <w:rPr>
                <w:rFonts w:ascii="宋体" w:hAnsi="宋体"/>
                <w:szCs w:val="21"/>
              </w:rPr>
            </w:r>
            <w:r/>
          </w:p>
        </w:tc>
        <w:tc>
          <w:tcPr>
            <w:tcBorders>
              <w:left w:val="single" w:color="000000" w:sz="4" w:space="0"/>
              <w:right w:val="single" w:color="000000" w:sz="4" w:space="0"/>
            </w:tcBorders>
            <w:tcW w:w="3120" w:type="dxa"/>
            <w:vAlign w:val="center"/>
            <w:vMerge w:val="continue"/>
            <w:textDirection w:val="lrTb"/>
            <w:noWrap w:val="false"/>
          </w:tcPr>
          <w:p>
            <w:pPr>
              <w:pStyle w:val="886"/>
              <w:jc w:val="center"/>
              <w:rPr>
                <w:szCs w:val="21"/>
                <w:lang w:bidi="ar"/>
              </w:rPr>
            </w:pPr>
            <w:r>
              <w:rPr>
                <w:szCs w:val="21"/>
                <w:lang w:bidi="ar"/>
              </w:rPr>
            </w:r>
            <w:r/>
          </w:p>
        </w:tc>
      </w:tr>
      <w:tr>
        <w:trPr>
          <w:cantSplit/>
          <w:trHeight w:val="842"/>
        </w:trPr>
        <w:tc>
          <w:tcPr>
            <w:tcBorders>
              <w:left w:val="single" w:color="000000" w:sz="4" w:space="0"/>
              <w:bottom w:val="single" w:color="000000" w:sz="4" w:space="0"/>
              <w:right w:val="single" w:color="000000" w:sz="4" w:space="0"/>
            </w:tcBorders>
            <w:tcW w:w="890" w:type="dxa"/>
            <w:vAlign w:val="center"/>
            <w:vMerge w:val="continue"/>
            <w:textDirection w:val="lrTb"/>
            <w:noWrap w:val="false"/>
          </w:tcPr>
          <w:p>
            <w:pPr>
              <w:pStyle w:val="886"/>
              <w:jc w:val="center"/>
              <w:rPr>
                <w:rFonts w:hint="eastAsia" w:ascii="宋体" w:hAnsi="宋体"/>
                <w:szCs w:val="21"/>
              </w:rPr>
            </w:pPr>
            <w:r>
              <w:rPr>
                <w:rFonts w:hint="eastAsia" w:ascii="宋体" w:hAnsi="宋体"/>
                <w:szCs w:val="21"/>
              </w:rPr>
            </w:r>
            <w:r/>
          </w:p>
        </w:tc>
        <w:tc>
          <w:tcPr>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pStyle w:val="886"/>
              <w:jc w:val="center"/>
              <w:rPr>
                <w:rFonts w:hint="eastAsia" w:ascii="宋体" w:hAnsi="宋体" w:cs="宋体"/>
                <w:szCs w:val="21"/>
              </w:rPr>
            </w:pPr>
            <w:r>
              <w:rPr>
                <w:rFonts w:hint="eastAsia" w:ascii="宋体" w:hAnsi="宋体" w:cs="宋体"/>
                <w:color w:val="000000"/>
                <w:sz w:val="24"/>
              </w:rPr>
              <w:t xml:space="preserve">五联区域</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693" w:type="dxa"/>
            <w:vAlign w:val="center"/>
            <w:textDirection w:val="lrTb"/>
            <w:noWrap w:val="false"/>
          </w:tcPr>
          <w:p>
            <w:pPr>
              <w:pStyle w:val="886"/>
              <w:jc w:val="center"/>
              <w:rPr>
                <w:rFonts w:hint="eastAsia" w:ascii="宋体" w:hAnsi="宋体" w:cs="宋体"/>
                <w:szCs w:val="21"/>
              </w:rPr>
            </w:pPr>
            <w:r>
              <w:rPr>
                <w:rFonts w:hint="eastAsia" w:ascii="宋体" w:hAnsi="宋体" w:cs="宋体"/>
                <w:color w:val="000000"/>
                <w:sz w:val="24"/>
              </w:rPr>
              <w:t xml:space="preserve">1.新塘河以南，城北路以北，大鱼塘以东，玉城路以西；2.东和路两侧。</w:t>
            </w:r>
            <w:r>
              <w:rPr>
                <w:rFonts w:hint="eastAsia" w:ascii="宋体" w:hAnsi="宋体" w:cs="宋体"/>
                <w:szCs w:val="21"/>
              </w:rPr>
            </w:r>
            <w:r/>
          </w:p>
        </w:tc>
        <w:tc>
          <w:tcPr>
            <w:tcBorders>
              <w:left w:val="single" w:color="000000" w:sz="4" w:space="0"/>
              <w:bottom w:val="single" w:color="000000" w:sz="4" w:space="0"/>
              <w:right w:val="single" w:color="000000" w:sz="4" w:space="0"/>
            </w:tcBorders>
            <w:tcW w:w="1701" w:type="dxa"/>
            <w:vAlign w:val="center"/>
            <w:vMerge w:val="continue"/>
            <w:textDirection w:val="lrTb"/>
            <w:noWrap w:val="false"/>
          </w:tcPr>
          <w:p>
            <w:pPr>
              <w:pStyle w:val="886"/>
              <w:jc w:val="center"/>
              <w:rPr>
                <w:rFonts w:ascii="宋体" w:hAnsi="宋体"/>
                <w:szCs w:val="21"/>
              </w:rPr>
            </w:pPr>
            <w:r>
              <w:rPr>
                <w:rFonts w:ascii="宋体" w:hAnsi="宋体"/>
                <w:szCs w:val="21"/>
              </w:rPr>
            </w:r>
            <w:r/>
          </w:p>
        </w:tc>
        <w:tc>
          <w:tcPr>
            <w:tcBorders>
              <w:left w:val="single" w:color="000000" w:sz="4" w:space="0"/>
              <w:right w:val="single" w:color="000000" w:sz="4" w:space="0"/>
            </w:tcBorders>
            <w:tcW w:w="3120" w:type="dxa"/>
            <w:vAlign w:val="center"/>
            <w:vMerge w:val="continue"/>
            <w:textDirection w:val="lrTb"/>
            <w:noWrap w:val="false"/>
          </w:tcPr>
          <w:p>
            <w:pPr>
              <w:pStyle w:val="886"/>
              <w:jc w:val="center"/>
              <w:rPr>
                <w:szCs w:val="21"/>
                <w:lang w:bidi="ar"/>
              </w:rPr>
            </w:pPr>
            <w:r>
              <w:rPr>
                <w:szCs w:val="21"/>
                <w:lang w:bidi="ar"/>
              </w:rPr>
            </w:r>
            <w:r/>
          </w:p>
        </w:tc>
      </w:tr>
      <w:tr>
        <w:trPr>
          <w:cantSplit/>
          <w:trHeight w:val="570"/>
        </w:trPr>
        <w:tc>
          <w:tcPr>
            <w:tcBorders>
              <w:top w:val="single" w:color="000000" w:sz="4" w:space="0"/>
              <w:left w:val="single" w:color="000000" w:sz="4" w:space="0"/>
              <w:bottom w:val="single" w:color="000000" w:sz="4" w:space="0"/>
              <w:right w:val="single" w:color="000000" w:sz="4" w:space="0"/>
            </w:tcBorders>
            <w:tcW w:w="890" w:type="dxa"/>
            <w:vAlign w:val="center"/>
            <w:textDirection w:val="lrTb"/>
            <w:noWrap w:val="false"/>
          </w:tcPr>
          <w:p>
            <w:pPr>
              <w:pStyle w:val="886"/>
              <w:ind w:firstLine="480"/>
              <w:jc w:val="center"/>
              <w:widowControl/>
              <w:rPr>
                <w:rFonts w:hint="eastAsia" w:ascii="宋体" w:hAnsi="宋体"/>
                <w:szCs w:val="21"/>
              </w:rPr>
            </w:pPr>
            <w:r>
              <w:rPr>
                <w:rFonts w:hint="eastAsia" w:ascii="宋体" w:hAnsi="宋体"/>
                <w:szCs w:val="21"/>
              </w:rPr>
            </w:r>
            <w:r/>
          </w:p>
        </w:tc>
        <w:tc>
          <w:tcPr>
            <w:gridSpan w:val="2"/>
            <w:tcBorders>
              <w:top w:val="single" w:color="000000" w:sz="4" w:space="0"/>
              <w:left w:val="single" w:color="000000" w:sz="4" w:space="0"/>
              <w:bottom w:val="single" w:color="000000" w:sz="4" w:space="0"/>
              <w:right w:val="single" w:color="000000" w:sz="4" w:space="0"/>
            </w:tcBorders>
            <w:tcW w:w="3933" w:type="dxa"/>
            <w:vAlign w:val="center"/>
            <w:textDirection w:val="lrTb"/>
            <w:noWrap w:val="false"/>
          </w:tcPr>
          <w:p>
            <w:pPr>
              <w:pStyle w:val="886"/>
              <w:ind w:firstLine="480"/>
              <w:jc w:val="center"/>
              <w:widowControl/>
              <w:rPr>
                <w:rFonts w:ascii="宋体" w:hAnsi="宋体" w:cs="宋体"/>
                <w:szCs w:val="21"/>
              </w:rPr>
            </w:pPr>
            <w:r>
              <w:rPr>
                <w:rFonts w:hint="eastAsia" w:ascii="宋体" w:hAnsi="宋体"/>
                <w:szCs w:val="21"/>
              </w:rPr>
              <w:t xml:space="preserve">总金额（</w:t>
            </w:r>
            <w:r>
              <w:rPr>
                <w:rFonts w:hint="eastAsia" w:ascii="宋体" w:hAnsi="宋体"/>
                <w:szCs w:val="21"/>
              </w:rPr>
              <w:t xml:space="preserve">万</w:t>
            </w:r>
            <w:r>
              <w:rPr>
                <w:rFonts w:hint="eastAsia" w:ascii="宋体" w:hAnsi="宋体"/>
                <w:szCs w:val="21"/>
              </w:rPr>
              <w:t xml:space="preserve">元）</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pStyle w:val="886"/>
              <w:jc w:val="center"/>
              <w:widowControl/>
              <w:rPr>
                <w:rFonts w:ascii="宋体" w:hAnsi="宋体" w:cs="宋体"/>
                <w:szCs w:val="21"/>
              </w:rPr>
            </w:pPr>
            <w:r>
              <w:rPr>
                <w:rFonts w:hint="eastAsia" w:ascii="宋体" w:hAnsi="宋体" w:cs="宋体"/>
                <w:szCs w:val="21"/>
              </w:rPr>
              <w:t xml:space="preserve">540</w:t>
            </w:r>
            <w:r>
              <w:rPr>
                <w:rFonts w:ascii="宋体" w:hAnsi="宋体" w:cs="宋体"/>
                <w:szCs w:val="21"/>
              </w:rPr>
            </w:r>
            <w:r/>
          </w:p>
        </w:tc>
        <w:tc>
          <w:tcPr>
            <w:tcBorders>
              <w:left w:val="single" w:color="000000" w:sz="4" w:space="0"/>
              <w:bottom w:val="single" w:color="000000" w:sz="4" w:space="0"/>
              <w:right w:val="single" w:color="000000" w:sz="4" w:space="0"/>
            </w:tcBorders>
            <w:tcW w:w="3120" w:type="dxa"/>
            <w:vAlign w:val="center"/>
            <w:vMerge w:val="continue"/>
            <w:textDirection w:val="lrTb"/>
            <w:noWrap/>
          </w:tcPr>
          <w:p>
            <w:pPr>
              <w:pStyle w:val="886"/>
              <w:jc w:val="center"/>
              <w:rPr>
                <w:szCs w:val="21"/>
                <w:lang w:bidi="ar"/>
              </w:rPr>
            </w:pPr>
            <w:r>
              <w:rPr>
                <w:szCs w:val="21"/>
                <w:lang w:bidi="ar"/>
              </w:rPr>
            </w:r>
            <w:r/>
          </w:p>
        </w:tc>
      </w:tr>
    </w:tbl>
    <w:p>
      <w:pPr>
        <w:pStyle w:val="886"/>
        <w:ind w:firstLine="480"/>
        <w:jc w:val="left"/>
        <w:spacing w:line="360" w:lineRule="auto"/>
        <w:rPr>
          <w:rFonts w:hint="eastAsia" w:ascii="宋体" w:hAnsi="宋体"/>
          <w:sz w:val="24"/>
        </w:rPr>
      </w:pPr>
      <w:r>
        <w:rPr>
          <w:rFonts w:hint="eastAsia" w:ascii="宋体" w:hAnsi="宋体"/>
          <w:sz w:val="24"/>
        </w:rPr>
        <w:t xml:space="preserve">注：投标单位可以选择一个采购包或多个采购包进行投标，但只能中其中一个采购包，进入每个采购包评审的实质性响应且具有得标权的供应商不得少于3家（已中标的投标人不再计入其他采购包的供应商数量且不参与其他采购包评审），否则应认定该采购包采购失败。开标、评标、定标顺序按照采购包1、采购包2、采购包3、采购包4、采购包5进行。</w:t>
      </w:r>
      <w:r/>
    </w:p>
    <w:p>
      <w:pPr>
        <w:pStyle w:val="886"/>
        <w:ind w:firstLine="480"/>
        <w:jc w:val="left"/>
        <w:spacing w:line="360" w:lineRule="auto"/>
        <w:rPr>
          <w:rFonts w:ascii="宋体" w:hAnsi="宋体"/>
          <w:sz w:val="24"/>
        </w:rPr>
      </w:pPr>
      <w:r>
        <w:rPr>
          <w:rFonts w:hint="eastAsia" w:ascii="宋体" w:hAnsi="宋体"/>
          <w:sz w:val="24"/>
        </w:rPr>
        <w:t xml:space="preserve">4.合同履行期限：1年。</w:t>
      </w:r>
      <w:r>
        <w:rPr>
          <w:rFonts w:ascii="宋体" w:hAnsi="宋体"/>
          <w:sz w:val="24"/>
        </w:rPr>
      </w:r>
      <w:r/>
    </w:p>
    <w:p>
      <w:pPr>
        <w:pStyle w:val="886"/>
        <w:ind w:firstLine="480"/>
        <w:spacing w:line="360" w:lineRule="auto"/>
        <w:rPr>
          <w:rFonts w:hint="eastAsia" w:ascii="宋体" w:hAnsi="宋体"/>
          <w:sz w:val="24"/>
        </w:rPr>
      </w:pPr>
      <w:r>
        <w:rPr>
          <w:rFonts w:hint="eastAsia" w:ascii="宋体" w:hAnsi="宋体"/>
          <w:sz w:val="24"/>
        </w:rPr>
        <w:t xml:space="preserve">5.本项目不接受联合体投标。</w:t>
      </w:r>
      <w:r/>
    </w:p>
    <w:p>
      <w:pPr>
        <w:pStyle w:val="886"/>
        <w:ind w:firstLine="480"/>
        <w:spacing w:line="360" w:lineRule="auto"/>
        <w:rPr>
          <w:rFonts w:ascii="宋体" w:hAnsi="宋体"/>
          <w:sz w:val="24"/>
        </w:rPr>
      </w:pPr>
      <w:r/>
      <w:bookmarkEnd w:id="3"/>
      <w:r/>
      <w:bookmarkStart w:id="5" w:name="_Toc28359080"/>
      <w:r>
        <w:rPr>
          <w:rFonts w:hint="eastAsia" w:ascii="宋体" w:hAnsi="宋体"/>
          <w:sz w:val="24"/>
        </w:rPr>
        <w:t xml:space="preserve">二、申请人的资格要求：</w:t>
      </w:r>
      <w:r>
        <w:rPr>
          <w:rFonts w:ascii="宋体" w:hAnsi="宋体"/>
          <w:sz w:val="24"/>
        </w:rPr>
      </w:r>
      <w:r/>
    </w:p>
    <w:p>
      <w:pPr>
        <w:pStyle w:val="886"/>
        <w:ind w:firstLine="480"/>
        <w:spacing w:line="360" w:lineRule="auto"/>
        <w:rPr>
          <w:rFonts w:ascii="宋体" w:hAnsi="宋体"/>
          <w:sz w:val="24"/>
        </w:rPr>
      </w:pPr>
      <w:r>
        <w:rPr>
          <w:rFonts w:hint="eastAsia" w:ascii="宋体" w:hAnsi="宋体"/>
          <w:sz w:val="24"/>
        </w:rPr>
        <w:t xml:space="preserve">（一）满足《中华人民共和国政府采购法》第二十二条规定：（提供承诺函，格式自拟）。</w:t>
      </w:r>
      <w:r>
        <w:rPr>
          <w:rFonts w:ascii="宋体" w:hAnsi="宋体"/>
          <w:sz w:val="24"/>
        </w:rPr>
      </w:r>
      <w:r/>
    </w:p>
    <w:p>
      <w:pPr>
        <w:pStyle w:val="886"/>
        <w:ind w:firstLine="480"/>
        <w:spacing w:line="360" w:lineRule="auto"/>
        <w:rPr>
          <w:rFonts w:ascii="宋体" w:hAnsi="宋体"/>
          <w:sz w:val="24"/>
        </w:rPr>
      </w:pPr>
      <w:r/>
      <w:bookmarkEnd w:id="5"/>
      <w:r/>
      <w:bookmarkStart w:id="6" w:name="_Toc28359004"/>
      <w:r>
        <w:rPr>
          <w:rFonts w:hint="eastAsia" w:ascii="宋体" w:hAnsi="宋体"/>
          <w:sz w:val="24"/>
        </w:rPr>
        <w:t xml:space="preserve">（二）落实政府采购政策需满足的资格要求：</w:t>
      </w:r>
      <w:bookmarkStart w:id="7" w:name="_Hlk134890382"/>
      <w:r>
        <w:rPr>
          <w:rFonts w:ascii="宋体" w:hAnsi="宋体"/>
          <w:sz w:val="24"/>
        </w:rPr>
        <w:t xml:space="preserve">本项目专门面向中小企业采购，投标人必须提供《中小企业声明函》或《残疾人福利性单位声明函》或由省级以上监狱管理局、戒毒管理局（含新疆生产建设兵团）出具的属于监狱企业的证明文件。</w:t>
      </w:r>
      <w:bookmarkEnd w:id="7"/>
      <w:r>
        <w:rPr>
          <w:rFonts w:ascii="宋体" w:hAnsi="宋体"/>
          <w:sz w:val="24"/>
        </w:rPr>
      </w:r>
      <w:r/>
    </w:p>
    <w:p>
      <w:pPr>
        <w:pStyle w:val="886"/>
        <w:ind w:firstLine="480"/>
        <w:spacing w:line="360" w:lineRule="auto"/>
        <w:rPr>
          <w:rFonts w:hint="eastAsia" w:ascii="宋体" w:hAnsi="宋体"/>
          <w:sz w:val="24"/>
        </w:rPr>
      </w:pPr>
      <w:r>
        <w:rPr>
          <w:rFonts w:hint="eastAsia" w:ascii="宋体" w:hAnsi="宋体"/>
          <w:sz w:val="24"/>
        </w:rPr>
        <w:t xml:space="preserve">（三）本项目的特定资格要求：</w:t>
      </w:r>
      <w:bookmarkEnd w:id="6"/>
      <w:r/>
      <w:bookmarkStart w:id="8" w:name="_Toc35393792"/>
      <w:r>
        <w:rPr>
          <w:rFonts w:hint="eastAsia" w:ascii="宋体" w:hAnsi="宋体"/>
          <w:sz w:val="24"/>
        </w:rPr>
        <w:t xml:space="preserve">无。</w:t>
      </w:r>
      <w:r/>
    </w:p>
    <w:p>
      <w:pPr>
        <w:pStyle w:val="886"/>
        <w:ind w:firstLine="480"/>
        <w:spacing w:line="360" w:lineRule="auto"/>
        <w:rPr>
          <w:rFonts w:ascii="宋体" w:hAnsi="宋体"/>
          <w:sz w:val="24"/>
        </w:rPr>
      </w:pPr>
      <w:r>
        <w:rPr>
          <w:rFonts w:hint="eastAsia" w:ascii="宋体" w:hAnsi="宋体"/>
          <w:sz w:val="24"/>
        </w:rPr>
        <w:t xml:space="preserve">（四）未被“信用中国”网站（www.creditchina.gov.cn）列入失信被执行人、重大税收违法案件当事人名单、政府采购严重失信行为记录名单。</w:t>
      </w:r>
      <w:r>
        <w:rPr>
          <w:rFonts w:ascii="宋体" w:hAnsi="宋体"/>
          <w:sz w:val="24"/>
        </w:rPr>
      </w:r>
      <w:r/>
    </w:p>
    <w:p>
      <w:pPr>
        <w:pStyle w:val="886"/>
        <w:ind w:firstLine="480"/>
        <w:spacing w:line="360" w:lineRule="auto"/>
        <w:rPr>
          <w:rFonts w:ascii="宋体" w:hAnsi="宋体"/>
          <w:sz w:val="24"/>
        </w:rPr>
      </w:pPr>
      <w:r>
        <w:rPr>
          <w:rFonts w:hint="eastAsia" w:ascii="宋体" w:hAnsi="宋体"/>
          <w:sz w:val="24"/>
        </w:rPr>
        <w:t xml:space="preserve">三、获取采购文件</w:t>
      </w:r>
      <w:r>
        <w:rPr>
          <w:rFonts w:ascii="宋体" w:hAnsi="宋体"/>
          <w:sz w:val="24"/>
        </w:rPr>
      </w:r>
      <w:r/>
    </w:p>
    <w:p>
      <w:pPr>
        <w:pStyle w:val="886"/>
        <w:ind w:firstLine="480"/>
        <w:spacing w:line="360" w:lineRule="auto"/>
        <w:rPr>
          <w:rFonts w:ascii="宋体" w:hAnsi="宋体"/>
          <w:sz w:val="24"/>
        </w:rPr>
      </w:pPr>
      <w:r/>
      <w:bookmarkEnd w:id="8"/>
      <w:r/>
      <w:bookmarkStart w:id="9" w:name="_Toc28359005"/>
      <w:r>
        <w:rPr>
          <w:rFonts w:hint="eastAsia" w:ascii="宋体" w:hAnsi="宋体"/>
          <w:sz w:val="24"/>
        </w:rPr>
        <w:t xml:space="preserve">1.获取招标文件时间：上网之日起至2025年</w:t>
      </w:r>
      <w:r>
        <w:rPr>
          <w:rFonts w:hint="eastAsia" w:ascii="宋体" w:hAnsi="宋体"/>
          <w:sz w:val="24"/>
        </w:rPr>
        <w:t xml:space="preserve">6</w:t>
      </w:r>
      <w:r>
        <w:rPr>
          <w:rFonts w:hint="eastAsia" w:ascii="宋体" w:hAnsi="宋体"/>
          <w:sz w:val="24"/>
        </w:rPr>
        <w:t xml:space="preserve">月</w:t>
      </w:r>
      <w:r>
        <w:rPr>
          <w:rFonts w:hint="eastAsia" w:ascii="宋体" w:hAnsi="宋体"/>
          <w:sz w:val="24"/>
        </w:rPr>
        <w:t xml:space="preserve">9</w:t>
      </w:r>
      <w:r>
        <w:rPr>
          <w:rFonts w:hint="eastAsia" w:ascii="宋体" w:hAnsi="宋体"/>
          <w:sz w:val="24"/>
        </w:rPr>
        <w:t xml:space="preserve">日23:59（北京时间）；</w:t>
      </w:r>
      <w:r>
        <w:rPr>
          <w:rFonts w:ascii="宋体" w:hAnsi="宋体"/>
          <w:sz w:val="24"/>
        </w:rPr>
      </w:r>
      <w:r/>
    </w:p>
    <w:p>
      <w:pPr>
        <w:pStyle w:val="886"/>
        <w:ind w:firstLine="480"/>
        <w:spacing w:line="360" w:lineRule="auto"/>
        <w:rPr>
          <w:rFonts w:hint="eastAsia" w:ascii="宋体" w:hAnsi="宋体"/>
          <w:sz w:val="24"/>
        </w:rPr>
      </w:pPr>
      <w:r>
        <w:rPr>
          <w:rFonts w:hint="eastAsia" w:ascii="宋体" w:hAnsi="宋体"/>
          <w:sz w:val="24"/>
        </w:rPr>
        <w:t xml:space="preserve">2.获取招标文件方式：</w:t>
      </w:r>
      <w:r>
        <w:rPr>
          <w:rFonts w:ascii="宋体" w:hAnsi="宋体"/>
          <w:sz w:val="24"/>
        </w:rPr>
        <w:t xml:space="preserve">供应商报名后从苏采云系统中下载</w:t>
      </w:r>
      <w:r>
        <w:rPr>
          <w:rFonts w:hint="eastAsia" w:ascii="宋体" w:hAnsi="宋体"/>
          <w:sz w:val="24"/>
        </w:rPr>
      </w:r>
      <w:r/>
    </w:p>
    <w:p>
      <w:pPr>
        <w:pStyle w:val="886"/>
        <w:ind w:firstLine="480"/>
        <w:spacing w:line="360" w:lineRule="auto"/>
        <w:rPr>
          <w:rFonts w:ascii="宋体" w:hAnsi="宋体"/>
          <w:sz w:val="24"/>
        </w:rPr>
      </w:pPr>
      <w:r>
        <w:rPr>
          <w:rFonts w:hint="eastAsia" w:ascii="宋体" w:hAnsi="宋体"/>
          <w:sz w:val="24"/>
        </w:rPr>
        <w:t xml:space="preserve">3.招标文件售价：0元。</w:t>
      </w:r>
      <w:r>
        <w:rPr>
          <w:rFonts w:ascii="宋体" w:hAnsi="宋体"/>
          <w:sz w:val="24"/>
        </w:rPr>
      </w:r>
      <w:r/>
    </w:p>
    <w:p>
      <w:pPr>
        <w:pStyle w:val="886"/>
        <w:ind w:firstLine="480"/>
        <w:spacing w:line="360" w:lineRule="auto"/>
        <w:rPr>
          <w:rFonts w:hint="eastAsia" w:ascii="宋体" w:hAnsi="宋体"/>
          <w:sz w:val="24"/>
        </w:rPr>
      </w:pPr>
      <w:r>
        <w:rPr>
          <w:rFonts w:hint="eastAsia" w:ascii="宋体" w:hAnsi="宋体"/>
          <w:sz w:val="24"/>
        </w:rPr>
        <w:t xml:space="preserve">四、提交投标文件截止时间、开标时间和地点</w:t>
      </w:r>
      <w:r/>
    </w:p>
    <w:p>
      <w:pPr>
        <w:pStyle w:val="886"/>
        <w:ind w:firstLine="480"/>
        <w:spacing w:line="360" w:lineRule="auto"/>
        <w:rPr>
          <w:rFonts w:hint="eastAsia" w:ascii="宋体" w:hAnsi="宋体"/>
          <w:sz w:val="24"/>
        </w:rPr>
      </w:pPr>
      <w:r/>
      <w:bookmarkEnd w:id="9"/>
      <w:r/>
      <w:bookmarkStart w:id="10" w:name="_Toc35393794"/>
      <w:r/>
      <w:bookmarkEnd w:id="10"/>
      <w:r/>
      <w:bookmarkStart w:id="11" w:name="_Toc35393625"/>
      <w:r>
        <w:rPr>
          <w:rFonts w:hint="eastAsia" w:ascii="宋体" w:hAnsi="宋体"/>
          <w:sz w:val="24"/>
        </w:rPr>
        <w:t xml:space="preserve">本项目采用电子化招投标模式，供应商须网上提交投标文件，并可通过远程开标方式完成开标。</w:t>
      </w:r>
      <w:r/>
    </w:p>
    <w:p>
      <w:pPr>
        <w:pStyle w:val="886"/>
        <w:ind w:firstLine="480"/>
        <w:spacing w:line="360" w:lineRule="auto"/>
        <w:rPr>
          <w:rFonts w:hint="eastAsia" w:ascii="宋体" w:hAnsi="宋体"/>
          <w:sz w:val="24"/>
        </w:rPr>
      </w:pPr>
      <w:r>
        <w:rPr>
          <w:rFonts w:hint="eastAsia" w:ascii="宋体" w:hAnsi="宋体"/>
          <w:sz w:val="24"/>
        </w:rPr>
        <w:t xml:space="preserve">1.提交投标文件截止时间：2025年</w:t>
      </w:r>
      <w:r>
        <w:rPr>
          <w:rFonts w:hint="eastAsia" w:ascii="宋体" w:hAnsi="宋体"/>
          <w:sz w:val="24"/>
        </w:rPr>
        <w:t xml:space="preserve">6</w:t>
      </w:r>
      <w:r>
        <w:rPr>
          <w:rFonts w:hint="eastAsia" w:ascii="宋体" w:hAnsi="宋体"/>
          <w:sz w:val="24"/>
        </w:rPr>
        <w:t xml:space="preserve">月</w:t>
      </w:r>
      <w:r>
        <w:rPr>
          <w:rFonts w:hint="eastAsia" w:ascii="宋体" w:hAnsi="宋体"/>
          <w:sz w:val="24"/>
        </w:rPr>
        <w:t xml:space="preserve">19</w:t>
      </w:r>
      <w:r>
        <w:rPr>
          <w:rFonts w:hint="eastAsia" w:ascii="宋体" w:hAnsi="宋体"/>
          <w:sz w:val="24"/>
        </w:rPr>
        <w:t xml:space="preserve">日</w:t>
      </w:r>
      <w:r>
        <w:rPr>
          <w:rFonts w:hint="eastAsia" w:ascii="宋体" w:hAnsi="宋体"/>
          <w:sz w:val="24"/>
        </w:rPr>
        <w:t xml:space="preserve">9</w:t>
      </w:r>
      <w:r>
        <w:rPr>
          <w:rFonts w:hint="eastAsia" w:ascii="宋体" w:hAnsi="宋体"/>
          <w:sz w:val="24"/>
        </w:rPr>
        <w:t xml:space="preserve">:30（北京时间）；</w:t>
      </w:r>
      <w:r/>
    </w:p>
    <w:p>
      <w:pPr>
        <w:pStyle w:val="886"/>
        <w:ind w:firstLine="480"/>
        <w:spacing w:line="360" w:lineRule="auto"/>
        <w:rPr>
          <w:rFonts w:hint="eastAsia" w:ascii="宋体" w:hAnsi="宋体"/>
          <w:sz w:val="24"/>
        </w:rPr>
      </w:pPr>
      <w:r>
        <w:rPr>
          <w:rFonts w:hint="eastAsia" w:ascii="宋体" w:hAnsi="宋体"/>
          <w:sz w:val="24"/>
        </w:rPr>
        <w:t xml:space="preserve">2.远程开标时间：2025年</w:t>
      </w:r>
      <w:r>
        <w:rPr>
          <w:rFonts w:hint="eastAsia" w:ascii="宋体" w:hAnsi="宋体"/>
          <w:sz w:val="24"/>
        </w:rPr>
        <w:t xml:space="preserve">6</w:t>
      </w:r>
      <w:r>
        <w:rPr>
          <w:rFonts w:hint="eastAsia" w:ascii="宋体" w:hAnsi="宋体"/>
          <w:sz w:val="24"/>
        </w:rPr>
        <w:t xml:space="preserve">月</w:t>
      </w:r>
      <w:r>
        <w:rPr>
          <w:rFonts w:hint="eastAsia" w:ascii="宋体" w:hAnsi="宋体"/>
          <w:sz w:val="24"/>
        </w:rPr>
        <w:t xml:space="preserve">19</w:t>
      </w:r>
      <w:r>
        <w:rPr>
          <w:rFonts w:hint="eastAsia" w:ascii="宋体" w:hAnsi="宋体"/>
          <w:sz w:val="24"/>
        </w:rPr>
        <w:t xml:space="preserve">日</w:t>
      </w:r>
      <w:r>
        <w:rPr>
          <w:rFonts w:hint="eastAsia" w:ascii="宋体" w:hAnsi="宋体"/>
          <w:sz w:val="24"/>
        </w:rPr>
        <w:t xml:space="preserve">9</w:t>
      </w:r>
      <w:r>
        <w:rPr>
          <w:rFonts w:hint="eastAsia" w:ascii="宋体" w:hAnsi="宋体"/>
          <w:sz w:val="24"/>
        </w:rPr>
        <w:t xml:space="preserve">:30（北京时间）；</w:t>
      </w:r>
      <w:r/>
    </w:p>
    <w:p>
      <w:pPr>
        <w:pStyle w:val="886"/>
        <w:ind w:firstLine="480"/>
        <w:spacing w:line="360" w:lineRule="auto"/>
        <w:rPr>
          <w:rFonts w:hint="eastAsia" w:ascii="宋体" w:hAnsi="宋体"/>
          <w:sz w:val="24"/>
        </w:rPr>
      </w:pPr>
      <w:r/>
      <w:bookmarkEnd w:id="4"/>
      <w:r/>
      <w:bookmarkEnd w:id="11"/>
      <w:r>
        <w:rPr>
          <w:rFonts w:hint="eastAsia" w:ascii="宋体" w:hAnsi="宋体"/>
          <w:sz w:val="24"/>
        </w:rPr>
        <w:t xml:space="preserve">3.开标地点：“苏采云”系统（网址：http://jszfcg.jsczt.cn/）</w:t>
      </w:r>
      <w:r/>
    </w:p>
    <w:p>
      <w:pPr>
        <w:pStyle w:val="886"/>
        <w:ind w:firstLine="480"/>
        <w:spacing w:line="360" w:lineRule="auto"/>
        <w:rPr>
          <w:rFonts w:hint="eastAsia" w:ascii="宋体" w:hAnsi="宋体"/>
          <w:sz w:val="24"/>
        </w:rPr>
      </w:pPr>
      <w:r>
        <w:rPr>
          <w:rFonts w:hint="eastAsia" w:ascii="宋体" w:hAnsi="宋体"/>
          <w:sz w:val="24"/>
        </w:rPr>
        <w:t xml:space="preserve">4.本项目采用电子招投标形式，请供应商按照《苏采云系统供应商操作手册》进行制作、上传电子投标文件。电子投标文件制作完成后请于投标文件递交截止时间前成功上传至“苏采云”系统，否则视为放弃参加该采购项目。供应商应充分考虑到网络环境、网络带宽等风险因素，如因供应商自身原因造成的电子投标文件上传不成功由供应商自行承担全部责任。</w:t>
      </w:r>
      <w:r/>
    </w:p>
    <w:p>
      <w:pPr>
        <w:pStyle w:val="886"/>
        <w:ind w:firstLine="480"/>
        <w:spacing w:line="360" w:lineRule="auto"/>
        <w:rPr>
          <w:rFonts w:hint="eastAsia" w:ascii="宋体" w:hAnsi="宋体"/>
          <w:sz w:val="24"/>
        </w:rPr>
      </w:pPr>
      <w:r>
        <w:rPr>
          <w:rFonts w:hint="eastAsia" w:ascii="宋体" w:hAnsi="宋体"/>
          <w:sz w:val="24"/>
        </w:rPr>
        <w:t xml:space="preserve">5.线上参加开标（开启）会方式。供应商登录“苏采云”系统在平台首页点击“开标大厅”，进入江苏省政府采购一体化不见面开标（采购）大厅，在今日项目列表，点击项目，进入不见面开标系统。本项目为不见面开标项目，开标阶段供应商在【供应商解密】环节必须使用CA证书解密电子投标文件，如在系统规定的解密时间内未能完成解密的视为放弃投标。</w:t>
      </w:r>
      <w:r/>
    </w:p>
    <w:p>
      <w:pPr>
        <w:pStyle w:val="886"/>
        <w:ind w:firstLine="480"/>
        <w:spacing w:line="360" w:lineRule="auto"/>
        <w:rPr>
          <w:rFonts w:hint="eastAsia" w:ascii="宋体" w:hAnsi="宋体"/>
          <w:sz w:val="24"/>
        </w:rPr>
      </w:pPr>
      <w:r>
        <w:rPr>
          <w:rFonts w:hint="eastAsia" w:ascii="宋体" w:hAnsi="宋体"/>
          <w:sz w:val="24"/>
        </w:rPr>
        <w:t xml:space="preserve">请供应商确保电脑、系统及其他设备（视频输入输出设备等）无误，且开标直至项目结束始终保持系统在线状态。</w:t>
      </w:r>
      <w:r/>
    </w:p>
    <w:p>
      <w:pPr>
        <w:pStyle w:val="886"/>
        <w:ind w:firstLine="480"/>
        <w:spacing w:line="360" w:lineRule="auto"/>
        <w:rPr>
          <w:rFonts w:hint="eastAsia" w:ascii="宋体" w:hAnsi="宋体"/>
          <w:sz w:val="24"/>
        </w:rPr>
      </w:pPr>
      <w:r>
        <w:rPr>
          <w:rFonts w:hint="eastAsia" w:ascii="宋体" w:hAnsi="宋体"/>
          <w:sz w:val="24"/>
        </w:rPr>
        <w:t xml:space="preserve">五、公告期限</w:t>
      </w:r>
      <w:r/>
    </w:p>
    <w:p>
      <w:pPr>
        <w:pStyle w:val="886"/>
        <w:ind w:firstLine="480"/>
        <w:spacing w:line="360" w:lineRule="auto"/>
        <w:rPr>
          <w:rFonts w:hint="eastAsia" w:ascii="宋体" w:hAnsi="宋体"/>
          <w:sz w:val="24"/>
        </w:rPr>
      </w:pPr>
      <w:r>
        <w:rPr>
          <w:rFonts w:hint="eastAsia" w:ascii="宋体" w:hAnsi="宋体"/>
          <w:sz w:val="24"/>
        </w:rPr>
        <w:t xml:space="preserve">自本公告发布之日起5个工作日。</w:t>
      </w:r>
      <w:r/>
    </w:p>
    <w:p>
      <w:pPr>
        <w:pStyle w:val="886"/>
        <w:ind w:firstLine="480"/>
        <w:spacing w:line="360" w:lineRule="auto"/>
        <w:rPr>
          <w:rFonts w:hint="eastAsia" w:ascii="宋体" w:hAnsi="宋体"/>
          <w:sz w:val="24"/>
        </w:rPr>
      </w:pPr>
      <w:r>
        <w:rPr>
          <w:rFonts w:hint="eastAsia" w:ascii="宋体" w:hAnsi="宋体"/>
          <w:sz w:val="24"/>
        </w:rPr>
        <w:t xml:space="preserve">六、其他补充事宜</w:t>
      </w:r>
      <w:r/>
    </w:p>
    <w:p>
      <w:pPr>
        <w:pStyle w:val="886"/>
        <w:ind w:firstLine="480"/>
        <w:spacing w:line="360" w:lineRule="auto"/>
        <w:rPr>
          <w:rFonts w:hint="eastAsia" w:ascii="宋体" w:hAnsi="宋体"/>
          <w:sz w:val="24"/>
        </w:rPr>
      </w:pPr>
      <w:r>
        <w:rPr>
          <w:rFonts w:hint="eastAsia" w:ascii="宋体" w:hAnsi="宋体"/>
          <w:sz w:val="24"/>
        </w:rPr>
        <w:t xml:space="preserve">1.CA证书办理</w:t>
      </w:r>
      <w:r/>
    </w:p>
    <w:p>
      <w:pPr>
        <w:pStyle w:val="886"/>
        <w:ind w:firstLine="480"/>
        <w:spacing w:line="360" w:lineRule="auto"/>
        <w:rPr>
          <w:rFonts w:hint="eastAsia" w:ascii="宋体" w:hAnsi="宋体"/>
          <w:sz w:val="24"/>
        </w:rPr>
      </w:pPr>
      <w:r>
        <w:rPr>
          <w:rFonts w:hint="eastAsia" w:ascii="宋体" w:hAnsi="宋体"/>
          <w:sz w:val="24"/>
        </w:rPr>
        <w:t xml:space="preserve">供应商</w:t>
      </w:r>
      <w:r>
        <w:rPr>
          <w:rFonts w:hint="eastAsia" w:ascii="宋体" w:hAnsi="宋体"/>
          <w:sz w:val="24"/>
        </w:rPr>
        <w:t xml:space="preserve">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市姑苏区平泷路251号政务服务中心4楼公共交易中心窗口，咨询电话：0512-69820834。</w:t>
      </w:r>
      <w:r/>
    </w:p>
    <w:p>
      <w:pPr>
        <w:pStyle w:val="886"/>
        <w:ind w:firstLine="480"/>
        <w:spacing w:line="360" w:lineRule="auto"/>
        <w:rPr>
          <w:rFonts w:hint="eastAsia" w:ascii="宋体" w:hAnsi="宋体"/>
          <w:sz w:val="24"/>
        </w:rPr>
      </w:pPr>
      <w:r>
        <w:rPr>
          <w:rFonts w:hint="eastAsia" w:ascii="宋体" w:hAnsi="宋体"/>
          <w:sz w:val="24"/>
        </w:rPr>
        <w:t xml:space="preserve">2.参与采购活动</w:t>
      </w:r>
      <w:r/>
    </w:p>
    <w:p>
      <w:pPr>
        <w:pStyle w:val="886"/>
        <w:ind w:firstLine="480"/>
        <w:spacing w:line="360" w:lineRule="auto"/>
        <w:rPr>
          <w:rFonts w:hint="eastAsia" w:ascii="宋体" w:hAnsi="宋体"/>
          <w:sz w:val="24"/>
        </w:rPr>
      </w:pPr>
      <w:r>
        <w:rPr>
          <w:rFonts w:hint="eastAsia" w:ascii="宋体" w:hAnsi="宋体"/>
          <w:sz w:val="24"/>
        </w:rPr>
        <w:t xml:space="preserve">供应商插入CA证书登录“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pStyle w:val="886"/>
        <w:ind w:firstLine="480"/>
        <w:spacing w:line="360" w:lineRule="auto"/>
        <w:rPr>
          <w:rFonts w:hint="eastAsia" w:ascii="宋体" w:hAnsi="宋体"/>
          <w:sz w:val="24"/>
        </w:rPr>
      </w:pPr>
      <w:r>
        <w:rPr>
          <w:rFonts w:hint="eastAsia" w:ascii="宋体" w:hAnsi="宋体"/>
          <w:sz w:val="24"/>
        </w:rPr>
        <w:t xml:space="preserve">3.电子投标准备</w:t>
      </w:r>
      <w:r/>
    </w:p>
    <w:p>
      <w:pPr>
        <w:pStyle w:val="886"/>
        <w:ind w:firstLine="480"/>
        <w:spacing w:line="360" w:lineRule="auto"/>
        <w:rPr>
          <w:rFonts w:hint="eastAsia" w:ascii="宋体" w:hAnsi="宋体"/>
          <w:sz w:val="24"/>
        </w:rPr>
      </w:pPr>
      <w:r>
        <w:rPr>
          <w:rFonts w:hint="eastAsia" w:ascii="宋体" w:hAnsi="宋体"/>
          <w:sz w:val="24"/>
        </w:rPr>
        <w:t xml:space="preserve">供应商在“苏采云”系统中操作成功参与项目后，必须在“已参与项目”界面中下载电子招标文件（后缀名为“.kedt”）并导入政府采购客户端工具后方可进行投标文件制作和提交（具体详见《苏采云系统供应商操作手册》，网址链接https://czju.suzhou.gov.cn/zfcg/html/content/20231220161910031.shtml）。</w:t>
      </w:r>
      <w:r/>
    </w:p>
    <w:p>
      <w:pPr>
        <w:pStyle w:val="886"/>
        <w:ind w:firstLine="480"/>
        <w:spacing w:line="360" w:lineRule="auto"/>
        <w:rPr>
          <w:rFonts w:hint="eastAsia" w:ascii="宋体" w:hAnsi="宋体"/>
          <w:sz w:val="24"/>
        </w:rPr>
      </w:pPr>
      <w:r>
        <w:rPr>
          <w:rFonts w:hint="eastAsia" w:ascii="宋体" w:hAnsi="宋体"/>
          <w:sz w:val="24"/>
        </w:rPr>
        <w:t xml:space="preserve">在系统操作过程中如有疑问，请按以下方式联系：</w:t>
      </w:r>
      <w:r/>
    </w:p>
    <w:p>
      <w:pPr>
        <w:pStyle w:val="886"/>
        <w:ind w:firstLine="480"/>
        <w:spacing w:line="360" w:lineRule="auto"/>
        <w:rPr>
          <w:rFonts w:hint="eastAsia" w:ascii="宋体" w:hAnsi="宋体"/>
          <w:sz w:val="24"/>
        </w:rPr>
      </w:pPr>
      <w:r>
        <w:rPr>
          <w:rFonts w:hint="eastAsia" w:ascii="宋体" w:hAnsi="宋体"/>
          <w:sz w:val="24"/>
        </w:rPr>
        <w:t xml:space="preserve">注册咨询：18261002950；</w:t>
      </w:r>
      <w:r/>
    </w:p>
    <w:p>
      <w:pPr>
        <w:pStyle w:val="886"/>
        <w:ind w:firstLine="480"/>
        <w:spacing w:line="360" w:lineRule="auto"/>
        <w:rPr>
          <w:rFonts w:hint="eastAsia" w:ascii="宋体" w:hAnsi="宋体"/>
          <w:sz w:val="24"/>
        </w:rPr>
      </w:pPr>
      <w:r>
        <w:rPr>
          <w:rFonts w:hint="eastAsia" w:ascii="宋体" w:hAnsi="宋体"/>
          <w:sz w:val="24"/>
        </w:rPr>
        <w:t xml:space="preserve">CA技术咨询电话：400-608-6099；</w:t>
      </w:r>
      <w:r/>
    </w:p>
    <w:p>
      <w:pPr>
        <w:pStyle w:val="886"/>
        <w:ind w:firstLine="480"/>
        <w:spacing w:line="360" w:lineRule="auto"/>
        <w:rPr>
          <w:rFonts w:hint="eastAsia" w:ascii="宋体" w:hAnsi="宋体"/>
          <w:sz w:val="24"/>
        </w:rPr>
      </w:pPr>
      <w:r>
        <w:rPr>
          <w:rFonts w:hint="eastAsia" w:ascii="宋体" w:hAnsi="宋体"/>
          <w:sz w:val="24"/>
        </w:rPr>
        <w:t xml:space="preserve">签章使用问题：025-83633811、025-83633812、15380932027、15371015030；</w:t>
      </w:r>
      <w:r/>
    </w:p>
    <w:p>
      <w:pPr>
        <w:pStyle w:val="886"/>
        <w:ind w:firstLine="480"/>
        <w:spacing w:line="360" w:lineRule="auto"/>
        <w:rPr>
          <w:rFonts w:hint="eastAsia" w:ascii="宋体" w:hAnsi="宋体"/>
          <w:sz w:val="24"/>
        </w:rPr>
      </w:pPr>
      <w:r>
        <w:rPr>
          <w:rFonts w:hint="eastAsia" w:ascii="宋体" w:hAnsi="宋体"/>
          <w:sz w:val="24"/>
        </w:rPr>
        <w:t xml:space="preserve">系统使用指导与咨询：联系电话：18261002950；QQ：3048755361、1315179389、895706745。</w:t>
      </w:r>
      <w:r/>
    </w:p>
    <w:p>
      <w:pPr>
        <w:pStyle w:val="886"/>
        <w:ind w:firstLine="480"/>
        <w:spacing w:line="360" w:lineRule="auto"/>
        <w:rPr>
          <w:rFonts w:hint="eastAsia" w:ascii="宋体" w:hAnsi="宋体"/>
          <w:sz w:val="24"/>
        </w:rPr>
      </w:pPr>
      <w:r>
        <w:rPr>
          <w:rFonts w:hint="eastAsia" w:ascii="宋体" w:hAnsi="宋体"/>
          <w:sz w:val="24"/>
        </w:rPr>
        <w:t xml:space="preserve">七、对本次招标提出询问，请按以下方式联系。</w:t>
      </w:r>
      <w:r/>
    </w:p>
    <w:p>
      <w:pPr>
        <w:pStyle w:val="886"/>
        <w:ind w:firstLine="480"/>
        <w:spacing w:line="360" w:lineRule="auto"/>
        <w:rPr>
          <w:rFonts w:hint="eastAsia" w:ascii="宋体" w:hAnsi="宋体"/>
          <w:sz w:val="24"/>
        </w:rPr>
      </w:pPr>
      <w:r>
        <w:rPr>
          <w:rFonts w:hint="eastAsia" w:ascii="宋体" w:hAnsi="宋体"/>
          <w:sz w:val="24"/>
        </w:rPr>
        <w:t xml:space="preserve">7.1采购人：昆山高新技术产业开发区管理委员会（昆山高新技术产业开发区安全生产监督管理和环境保护局)</w:t>
      </w:r>
      <w:r/>
    </w:p>
    <w:p>
      <w:pPr>
        <w:pStyle w:val="886"/>
        <w:ind w:firstLine="480"/>
        <w:spacing w:line="360" w:lineRule="auto"/>
        <w:rPr>
          <w:rFonts w:ascii="宋体" w:hAnsi="宋体"/>
          <w:sz w:val="24"/>
        </w:rPr>
      </w:pPr>
      <w:r>
        <w:rPr>
          <w:rFonts w:hint="eastAsia" w:ascii="宋体" w:hAnsi="宋体"/>
          <w:sz w:val="24"/>
        </w:rPr>
        <w:t xml:space="preserve">地址：</w:t>
      </w:r>
      <w:r>
        <w:rPr>
          <w:rFonts w:ascii="宋体" w:hAnsi="宋体"/>
          <w:sz w:val="24"/>
        </w:rPr>
        <w:t xml:space="preserve">昆山市前进中路</w:t>
      </w:r>
      <w:r>
        <w:rPr>
          <w:rFonts w:hint="eastAsia" w:ascii="宋体" w:hAnsi="宋体"/>
          <w:sz w:val="24"/>
        </w:rPr>
        <w:t xml:space="preserve">1899号</w:t>
      </w:r>
      <w:r>
        <w:rPr>
          <w:rFonts w:ascii="宋体" w:hAnsi="宋体"/>
          <w:sz w:val="24"/>
        </w:rPr>
      </w:r>
      <w:r/>
    </w:p>
    <w:p>
      <w:pPr>
        <w:pStyle w:val="886"/>
        <w:ind w:firstLine="480"/>
        <w:spacing w:line="360" w:lineRule="auto"/>
        <w:rPr>
          <w:rFonts w:ascii="宋体" w:hAnsi="宋体"/>
          <w:sz w:val="24"/>
        </w:rPr>
      </w:pPr>
      <w:r>
        <w:rPr>
          <w:rFonts w:hint="eastAsia" w:ascii="宋体" w:hAnsi="宋体"/>
          <w:sz w:val="24"/>
        </w:rPr>
        <w:t xml:space="preserve">联系人：周璐叶              联系电话：55173837</w:t>
      </w:r>
      <w:r>
        <w:rPr>
          <w:rFonts w:ascii="宋体" w:hAnsi="宋体"/>
          <w:sz w:val="24"/>
        </w:rPr>
      </w:r>
      <w:r/>
    </w:p>
    <w:p>
      <w:pPr>
        <w:pStyle w:val="886"/>
        <w:ind w:firstLine="480"/>
        <w:spacing w:line="360" w:lineRule="auto"/>
        <w:rPr>
          <w:rFonts w:hint="eastAsia" w:ascii="宋体" w:hAnsi="宋体"/>
          <w:sz w:val="24"/>
        </w:rPr>
      </w:pPr>
      <w:r>
        <w:rPr>
          <w:rFonts w:hint="eastAsia" w:ascii="宋体" w:hAnsi="宋体"/>
          <w:sz w:val="24"/>
        </w:rPr>
        <w:t xml:space="preserve">7.2、招标代理机构名称：苏州公正建设咨询房地产评估有限公司</w:t>
      </w:r>
      <w:r/>
    </w:p>
    <w:p>
      <w:pPr>
        <w:pStyle w:val="886"/>
        <w:ind w:firstLine="480"/>
        <w:spacing w:line="360" w:lineRule="auto"/>
        <w:rPr>
          <w:rFonts w:hint="eastAsia" w:ascii="宋体" w:hAnsi="宋体"/>
          <w:sz w:val="24"/>
        </w:rPr>
      </w:pPr>
      <w:r>
        <w:rPr>
          <w:rFonts w:hint="eastAsia" w:ascii="宋体" w:hAnsi="宋体"/>
          <w:sz w:val="24"/>
        </w:rPr>
        <w:t xml:space="preserve">地址：昆山市萧林路189号新港湾光大广场401、501室</w:t>
      </w:r>
      <w:r/>
    </w:p>
    <w:p>
      <w:pPr>
        <w:pStyle w:val="886"/>
        <w:ind w:firstLine="480"/>
        <w:spacing w:line="360" w:lineRule="auto"/>
        <w:rPr>
          <w:rFonts w:ascii="宋体" w:hAnsi="宋体"/>
          <w:sz w:val="24"/>
        </w:rPr>
      </w:pPr>
      <w:r>
        <w:rPr>
          <w:rFonts w:hint="eastAsia" w:ascii="宋体" w:hAnsi="宋体"/>
          <w:sz w:val="24"/>
        </w:rPr>
        <w:t xml:space="preserve">联系人：周伟、张玲        联系电话：0512-57176037</w:t>
      </w:r>
      <w:r>
        <w:rPr>
          <w:rFonts w:ascii="宋体" w:hAnsi="宋体"/>
          <w:sz w:val="24"/>
        </w:rPr>
      </w:r>
      <w:r/>
    </w:p>
    <w:p>
      <w:pPr>
        <w:pStyle w:val="886"/>
        <w:ind w:firstLine="480"/>
        <w:jc w:val="center"/>
        <w:spacing w:line="360" w:lineRule="auto"/>
        <w:rPr>
          <w:b/>
        </w:rPr>
        <w:outlineLvl w:val="0"/>
      </w:pPr>
      <w:r>
        <w:rPr>
          <w:rFonts w:hint="eastAsia" w:ascii="宋体" w:hAnsi="宋体"/>
          <w:sz w:val="24"/>
        </w:rPr>
        <w:br w:type="page" w:clear="all"/>
      </w:r>
      <w:bookmarkStart w:id="12" w:name="_Toc359921167"/>
      <w:r/>
      <w:bookmarkStart w:id="13" w:name="_Toc199168191"/>
      <w:r>
        <w:rPr>
          <w:rFonts w:hint="eastAsia" w:ascii="宋体" w:hAnsi="宋体"/>
          <w:b/>
          <w:bCs/>
          <w:sz w:val="32"/>
          <w:szCs w:val="32"/>
        </w:rPr>
        <w:t xml:space="preserve">第二章  投标人须知</w:t>
      </w:r>
      <w:bookmarkEnd w:id="12"/>
      <w:r/>
      <w:bookmarkEnd w:id="13"/>
      <w:r>
        <w:rPr>
          <w:b/>
        </w:rPr>
      </w:r>
      <w:r/>
    </w:p>
    <w:p>
      <w:pPr>
        <w:pStyle w:val="886"/>
        <w:numPr>
          <w:ilvl w:val="0"/>
          <w:numId w:val="1"/>
        </w:numPr>
        <w:ind w:left="850" w:hanging="424"/>
        <w:spacing w:line="360" w:lineRule="auto"/>
        <w:rPr>
          <w:rFonts w:ascii="宋体" w:hAnsi="宋体" w:cs="Arial"/>
          <w:b/>
          <w:sz w:val="24"/>
        </w:rPr>
      </w:pPr>
      <w:r>
        <w:rPr>
          <w:rFonts w:hint="eastAsia" w:ascii="宋体" w:hAnsi="宋体" w:cs="Arial"/>
          <w:b/>
          <w:sz w:val="24"/>
        </w:rPr>
        <w:t xml:space="preserve">说明和释义</w:t>
      </w:r>
      <w:r>
        <w:rPr>
          <w:rFonts w:ascii="宋体" w:hAnsi="宋体" w:cs="Arial"/>
          <w:b/>
          <w:sz w:val="24"/>
        </w:rPr>
      </w:r>
      <w:r/>
    </w:p>
    <w:p>
      <w:pPr>
        <w:pStyle w:val="886"/>
        <w:numPr>
          <w:ilvl w:val="0"/>
          <w:numId w:val="2"/>
        </w:numPr>
        <w:ind w:left="849" w:hanging="423"/>
        <w:spacing w:line="360" w:lineRule="auto"/>
        <w:rPr>
          <w:rFonts w:hint="eastAsia" w:ascii="宋体" w:hAnsi="宋体" w:cs="Arial"/>
          <w:b/>
          <w:sz w:val="24"/>
        </w:rPr>
      </w:pPr>
      <w:r>
        <w:rPr>
          <w:rFonts w:hint="eastAsia" w:ascii="宋体" w:hAnsi="宋体" w:cs="Arial"/>
          <w:b/>
          <w:sz w:val="24"/>
        </w:rPr>
        <w:t xml:space="preserve">说明</w:t>
      </w:r>
      <w:r/>
    </w:p>
    <w:p>
      <w:pPr>
        <w:pStyle w:val="886"/>
        <w:numPr>
          <w:ilvl w:val="1"/>
          <w:numId w:val="2"/>
        </w:numPr>
        <w:ind w:left="0" w:firstLine="425"/>
        <w:spacing w:line="360" w:lineRule="auto"/>
        <w:rPr>
          <w:rFonts w:ascii="宋体" w:hAnsi="宋体" w:cs="Arial"/>
          <w:sz w:val="24"/>
        </w:rPr>
      </w:pPr>
      <w:r>
        <w:rPr>
          <w:rFonts w:hint="eastAsia" w:ascii="宋体" w:hAnsi="宋体" w:cs="Arial"/>
          <w:sz w:val="24"/>
        </w:rPr>
        <w:t xml:space="preserve">本招标文件仅适用于苏州公正建设咨询房地产评估有限公司组织的招标活动。</w:t>
      </w:r>
      <w:r>
        <w:rPr>
          <w:rFonts w:ascii="宋体" w:hAnsi="宋体" w:cs="Arial"/>
          <w:sz w:val="24"/>
        </w:rPr>
      </w:r>
      <w:r/>
    </w:p>
    <w:p>
      <w:pPr>
        <w:pStyle w:val="886"/>
        <w:numPr>
          <w:ilvl w:val="1"/>
          <w:numId w:val="2"/>
        </w:numPr>
        <w:ind w:left="0" w:firstLine="425"/>
        <w:spacing w:line="360" w:lineRule="auto"/>
        <w:rPr>
          <w:rFonts w:ascii="宋体" w:hAnsi="宋体" w:cs="Arial"/>
          <w:sz w:val="24"/>
        </w:rPr>
      </w:pPr>
      <w:r>
        <w:rPr>
          <w:rFonts w:hint="eastAsia" w:ascii="宋体" w:hAnsi="宋体" w:cs="Arial"/>
          <w:sz w:val="24"/>
        </w:rPr>
        <w:t xml:space="preserve">本次招标活动及因本次招标产生的合同受中国法律制约和保护。</w:t>
      </w:r>
      <w:r>
        <w:rPr>
          <w:rFonts w:ascii="宋体" w:hAnsi="宋体" w:cs="Arial"/>
          <w:sz w:val="24"/>
        </w:rPr>
      </w:r>
      <w:r/>
    </w:p>
    <w:p>
      <w:pPr>
        <w:pStyle w:val="886"/>
        <w:numPr>
          <w:ilvl w:val="1"/>
          <w:numId w:val="2"/>
        </w:numPr>
        <w:ind w:left="0" w:firstLine="425"/>
        <w:spacing w:line="360" w:lineRule="auto"/>
        <w:rPr>
          <w:rFonts w:ascii="宋体" w:hAnsi="宋体" w:cs="Arial"/>
          <w:sz w:val="24"/>
        </w:rPr>
      </w:pPr>
      <w:r>
        <w:rPr>
          <w:rFonts w:hint="eastAsia" w:ascii="宋体" w:hAnsi="宋体" w:cs="Arial"/>
          <w:sz w:val="24"/>
        </w:rPr>
        <w:t xml:space="preserve">本招标文件的解释权属于苏州公正建设咨询房地产评估有限公司。</w:t>
      </w:r>
      <w:r>
        <w:rPr>
          <w:rFonts w:ascii="宋体" w:hAnsi="宋体" w:cs="Arial"/>
          <w:sz w:val="24"/>
        </w:rPr>
      </w:r>
      <w:r/>
    </w:p>
    <w:p>
      <w:pPr>
        <w:pStyle w:val="886"/>
        <w:numPr>
          <w:ilvl w:val="0"/>
          <w:numId w:val="2"/>
        </w:numPr>
        <w:ind w:left="849" w:hanging="423"/>
        <w:spacing w:line="360" w:lineRule="auto"/>
        <w:rPr>
          <w:rFonts w:hint="eastAsia" w:ascii="宋体" w:hAnsi="宋体" w:cs="Arial"/>
          <w:b/>
          <w:sz w:val="24"/>
        </w:rPr>
      </w:pPr>
      <w:r>
        <w:rPr>
          <w:rFonts w:hint="eastAsia" w:ascii="宋体" w:hAnsi="宋体" w:cs="Arial"/>
          <w:b/>
          <w:sz w:val="24"/>
        </w:rPr>
        <w:t xml:space="preserve">词语释义</w:t>
      </w:r>
      <w:r/>
    </w:p>
    <w:p>
      <w:pPr>
        <w:pStyle w:val="886"/>
        <w:numPr>
          <w:ilvl w:val="1"/>
          <w:numId w:val="2"/>
        </w:numPr>
        <w:ind w:left="0" w:firstLine="425"/>
        <w:spacing w:line="360" w:lineRule="auto"/>
        <w:rPr>
          <w:rFonts w:ascii="宋体" w:hAnsi="宋体" w:cs="Arial"/>
          <w:sz w:val="24"/>
        </w:rPr>
      </w:pPr>
      <w:r>
        <w:rPr>
          <w:rFonts w:hint="eastAsia" w:ascii="宋体" w:hAnsi="宋体" w:cs="Arial"/>
          <w:sz w:val="24"/>
        </w:rPr>
        <w:t xml:space="preserve">招标人：具体组织实施招标活动的法人。</w:t>
      </w:r>
      <w:r>
        <w:rPr>
          <w:rFonts w:ascii="宋体" w:hAnsi="宋体" w:cs="Arial"/>
          <w:sz w:val="24"/>
        </w:rPr>
      </w:r>
      <w:r/>
    </w:p>
    <w:p>
      <w:pPr>
        <w:pStyle w:val="886"/>
        <w:numPr>
          <w:ilvl w:val="1"/>
          <w:numId w:val="2"/>
        </w:numPr>
        <w:ind w:left="0" w:firstLine="425"/>
        <w:spacing w:line="360" w:lineRule="auto"/>
        <w:rPr>
          <w:rFonts w:ascii="宋体" w:hAnsi="宋体" w:cs="Arial"/>
          <w:sz w:val="24"/>
        </w:rPr>
      </w:pPr>
      <w:r>
        <w:rPr>
          <w:rFonts w:hint="eastAsia" w:ascii="宋体" w:hAnsi="宋体" w:cs="Arial"/>
          <w:sz w:val="24"/>
        </w:rPr>
        <w:t xml:space="preserve">投标人：经认定有资格响应招标，参加投标竞争的法人或其他组织和自然人。</w:t>
      </w:r>
      <w:r>
        <w:rPr>
          <w:rFonts w:ascii="宋体" w:hAnsi="宋体" w:cs="Arial"/>
          <w:sz w:val="24"/>
        </w:rPr>
      </w:r>
      <w:r/>
    </w:p>
    <w:p>
      <w:pPr>
        <w:pStyle w:val="886"/>
        <w:numPr>
          <w:ilvl w:val="1"/>
          <w:numId w:val="2"/>
        </w:numPr>
        <w:ind w:left="0" w:firstLine="425"/>
        <w:spacing w:line="360" w:lineRule="auto"/>
        <w:rPr>
          <w:rFonts w:ascii="宋体" w:hAnsi="宋体" w:cs="Arial"/>
          <w:sz w:val="24"/>
        </w:rPr>
      </w:pPr>
      <w:r>
        <w:rPr>
          <w:rFonts w:hint="eastAsia" w:ascii="宋体" w:hAnsi="宋体" w:cs="Arial"/>
          <w:sz w:val="24"/>
        </w:rPr>
        <w:t xml:space="preserve">响应：投标人根据招标人或招标人发布的招标文件，编制投标文件并按规定投标的行为。</w:t>
      </w:r>
      <w:r>
        <w:rPr>
          <w:rFonts w:ascii="宋体" w:hAnsi="宋体" w:cs="Arial"/>
          <w:sz w:val="24"/>
        </w:rPr>
      </w:r>
      <w:r/>
    </w:p>
    <w:p>
      <w:pPr>
        <w:pStyle w:val="886"/>
        <w:numPr>
          <w:ilvl w:val="1"/>
          <w:numId w:val="2"/>
        </w:numPr>
        <w:ind w:left="0" w:firstLine="425"/>
        <w:spacing w:line="360" w:lineRule="auto"/>
        <w:rPr>
          <w:rFonts w:ascii="宋体" w:hAnsi="宋体" w:cs="Arial"/>
          <w:sz w:val="24"/>
        </w:rPr>
      </w:pPr>
      <w:r>
        <w:rPr>
          <w:rFonts w:hint="eastAsia" w:ascii="宋体" w:hAnsi="宋体" w:cs="Arial"/>
          <w:sz w:val="24"/>
        </w:rPr>
        <w:t xml:space="preserve">合同：采供双方根据招标文件和中标的投标文件及中标通知书规定的内容签署的以书面形式所达成的协议，包括所有的附件、附录和构成协议的所有文件。</w:t>
      </w:r>
      <w:r>
        <w:rPr>
          <w:rFonts w:ascii="宋体" w:hAnsi="宋体" w:cs="Arial"/>
          <w:sz w:val="24"/>
        </w:rPr>
      </w:r>
      <w:r/>
    </w:p>
    <w:p>
      <w:pPr>
        <w:pStyle w:val="886"/>
        <w:numPr>
          <w:ilvl w:val="1"/>
          <w:numId w:val="2"/>
        </w:numPr>
        <w:ind w:left="0" w:firstLine="425"/>
        <w:spacing w:line="360" w:lineRule="auto"/>
        <w:rPr>
          <w:rFonts w:ascii="宋体" w:hAnsi="宋体" w:cs="Arial"/>
          <w:sz w:val="24"/>
        </w:rPr>
      </w:pPr>
      <w:r>
        <w:rPr>
          <w:rFonts w:hint="eastAsia" w:ascii="宋体" w:hAnsi="宋体" w:cs="Arial"/>
          <w:sz w:val="24"/>
        </w:rPr>
        <w:t xml:space="preserve">甲方（采购人）：合同中明确规定的实际购买货物和服务的法人或其他组织和自然人。</w:t>
      </w:r>
      <w:r>
        <w:rPr>
          <w:rFonts w:ascii="宋体" w:hAnsi="宋体" w:cs="Arial"/>
          <w:sz w:val="24"/>
        </w:rPr>
      </w:r>
      <w:r/>
    </w:p>
    <w:p>
      <w:pPr>
        <w:pStyle w:val="886"/>
        <w:numPr>
          <w:ilvl w:val="1"/>
          <w:numId w:val="2"/>
        </w:numPr>
        <w:ind w:left="0" w:firstLine="425"/>
        <w:spacing w:line="360" w:lineRule="auto"/>
        <w:rPr>
          <w:rFonts w:ascii="宋体" w:hAnsi="宋体" w:cs="Arial"/>
          <w:sz w:val="24"/>
        </w:rPr>
      </w:pPr>
      <w:r>
        <w:rPr>
          <w:rFonts w:hint="eastAsia" w:ascii="宋体" w:hAnsi="宋体" w:cs="Arial"/>
          <w:sz w:val="24"/>
        </w:rPr>
        <w:t xml:space="preserve">乙方（供应商）：合同中规定的向采购方提供货物和服务的法人或其他组织和自然人。</w:t>
      </w:r>
      <w:r>
        <w:rPr>
          <w:rFonts w:ascii="宋体" w:hAnsi="宋体" w:cs="Arial"/>
          <w:sz w:val="24"/>
        </w:rPr>
      </w:r>
      <w:r/>
    </w:p>
    <w:p>
      <w:pPr>
        <w:pStyle w:val="886"/>
        <w:numPr>
          <w:ilvl w:val="1"/>
          <w:numId w:val="2"/>
        </w:numPr>
        <w:ind w:left="0" w:firstLine="425"/>
        <w:spacing w:line="360" w:lineRule="auto"/>
        <w:rPr>
          <w:rFonts w:ascii="宋体" w:hAnsi="宋体" w:cs="Arial"/>
          <w:sz w:val="24"/>
        </w:rPr>
      </w:pPr>
      <w:r>
        <w:rPr>
          <w:rFonts w:hint="eastAsia" w:ascii="宋体" w:hAnsi="宋体" w:cs="Arial"/>
          <w:sz w:val="24"/>
        </w:rPr>
        <w:t xml:space="preserve">伴随服务：根据合同规定乙方应承担的与提供货物和服务有关的辅助服务，比如运输、保险、安装、调试、提供技术援助、培训、配合措施、维修响应及合同中规定乙方应承担的其他义务。</w:t>
      </w:r>
      <w:r>
        <w:rPr>
          <w:rFonts w:ascii="宋体" w:hAnsi="宋体" w:cs="Arial"/>
          <w:sz w:val="24"/>
        </w:rPr>
      </w:r>
      <w:r/>
    </w:p>
    <w:p>
      <w:pPr>
        <w:pStyle w:val="886"/>
        <w:numPr>
          <w:ilvl w:val="1"/>
          <w:numId w:val="2"/>
        </w:numPr>
        <w:ind w:left="0" w:firstLine="425"/>
        <w:spacing w:line="360" w:lineRule="auto"/>
        <w:rPr>
          <w:rFonts w:ascii="宋体" w:hAnsi="宋体" w:cs="Arial"/>
          <w:sz w:val="24"/>
        </w:rPr>
      </w:pPr>
      <w:r>
        <w:rPr>
          <w:rFonts w:hint="eastAsia" w:ascii="宋体" w:hAnsi="宋体" w:cs="Arial"/>
          <w:sz w:val="24"/>
        </w:rPr>
        <w:t xml:space="preserve">知识产权：指专利权、商标权、著作权等无形资产专有权的统称。</w:t>
      </w:r>
      <w:r>
        <w:rPr>
          <w:rFonts w:ascii="宋体" w:hAnsi="宋体" w:cs="Arial"/>
          <w:sz w:val="24"/>
        </w:rPr>
      </w:r>
      <w:r/>
    </w:p>
    <w:p>
      <w:pPr>
        <w:pStyle w:val="886"/>
        <w:numPr>
          <w:ilvl w:val="1"/>
          <w:numId w:val="2"/>
        </w:numPr>
        <w:ind w:left="0" w:firstLine="425"/>
        <w:spacing w:line="360" w:lineRule="auto"/>
        <w:rPr>
          <w:rFonts w:ascii="宋体" w:hAnsi="宋体" w:cs="Arial"/>
          <w:sz w:val="24"/>
        </w:rPr>
      </w:pPr>
      <w:r>
        <w:rPr>
          <w:rFonts w:hint="eastAsia" w:ascii="宋体" w:hAnsi="宋体" w:cs="Arial"/>
          <w:sz w:val="24"/>
        </w:rPr>
        <w:t xml:space="preserve">天：日历日。</w:t>
      </w:r>
      <w:r>
        <w:rPr>
          <w:rFonts w:ascii="宋体" w:hAnsi="宋体" w:cs="Arial"/>
          <w:sz w:val="24"/>
        </w:rPr>
      </w:r>
      <w:r/>
    </w:p>
    <w:p>
      <w:pPr>
        <w:pStyle w:val="886"/>
        <w:numPr>
          <w:ilvl w:val="1"/>
          <w:numId w:val="2"/>
        </w:numPr>
        <w:ind w:left="0" w:firstLine="425"/>
        <w:spacing w:line="360" w:lineRule="auto"/>
        <w:rPr>
          <w:rFonts w:ascii="宋体" w:hAnsi="宋体" w:cs="Arial"/>
          <w:sz w:val="24"/>
        </w:rPr>
      </w:pPr>
      <w:r>
        <w:rPr>
          <w:rFonts w:hint="eastAsia" w:ascii="宋体" w:hAnsi="宋体" w:cs="Arial"/>
          <w:sz w:val="24"/>
        </w:rPr>
        <w:t xml:space="preserve">交货地点：合同中明确约定的乙方提交的货物和服务最终到达地点。</w:t>
      </w:r>
      <w:r>
        <w:rPr>
          <w:rFonts w:ascii="宋体" w:hAnsi="宋体" w:cs="Arial"/>
          <w:sz w:val="24"/>
        </w:rPr>
      </w:r>
      <w:r/>
    </w:p>
    <w:p>
      <w:pPr>
        <w:pStyle w:val="886"/>
        <w:numPr>
          <w:ilvl w:val="1"/>
          <w:numId w:val="2"/>
        </w:numPr>
        <w:ind w:left="0" w:firstLine="425"/>
        <w:spacing w:line="360" w:lineRule="auto"/>
        <w:rPr>
          <w:rFonts w:ascii="宋体" w:hAnsi="宋体" w:cs="Arial"/>
          <w:sz w:val="24"/>
        </w:rPr>
      </w:pPr>
      <w:r>
        <w:rPr>
          <w:rFonts w:hint="eastAsia" w:ascii="宋体" w:hAnsi="宋体" w:cs="Arial"/>
          <w:sz w:val="24"/>
        </w:rPr>
        <w:t xml:space="preserve">合同价款：根据合同规定，乙方在正确地履行合同义务后甲方应支付给乙方的价款。</w:t>
      </w:r>
      <w:r>
        <w:rPr>
          <w:rFonts w:ascii="宋体" w:hAnsi="宋体" w:cs="Arial"/>
          <w:sz w:val="24"/>
        </w:rPr>
      </w:r>
      <w:r/>
    </w:p>
    <w:p>
      <w:pPr>
        <w:pStyle w:val="886"/>
        <w:numPr>
          <w:ilvl w:val="1"/>
          <w:numId w:val="2"/>
        </w:numPr>
        <w:ind w:left="0" w:firstLine="425"/>
        <w:spacing w:line="360" w:lineRule="auto"/>
        <w:rPr>
          <w:rFonts w:ascii="宋体" w:hAnsi="宋体" w:cs="Arial"/>
          <w:sz w:val="24"/>
        </w:rPr>
      </w:pPr>
      <w:r>
        <w:rPr>
          <w:rFonts w:hint="eastAsia" w:ascii="宋体" w:hAnsi="宋体" w:cs="Arial"/>
          <w:sz w:val="24"/>
        </w:rPr>
        <w:t xml:space="preserve">产地：货物开采、生长、生产、最终制造、加工或提供服务的来源地。</w:t>
      </w:r>
      <w:r>
        <w:rPr>
          <w:rFonts w:ascii="宋体" w:hAnsi="宋体" w:cs="Arial"/>
          <w:sz w:val="24"/>
        </w:rPr>
      </w:r>
      <w:r/>
    </w:p>
    <w:p>
      <w:pPr>
        <w:pStyle w:val="886"/>
        <w:numPr>
          <w:ilvl w:val="1"/>
          <w:numId w:val="2"/>
        </w:numPr>
        <w:ind w:left="0" w:firstLine="425"/>
        <w:spacing w:line="360" w:lineRule="auto"/>
        <w:rPr>
          <w:rFonts w:hint="eastAsia" w:ascii="宋体" w:hAnsi="宋体" w:cs="Arial"/>
          <w:sz w:val="24"/>
        </w:rPr>
      </w:pPr>
      <w:r>
        <w:rPr>
          <w:rFonts w:hint="eastAsia" w:ascii="宋体" w:hAnsi="宋体" w:cs="Arial"/>
          <w:sz w:val="24"/>
        </w:rPr>
        <w:t xml:space="preserve">不可抗力：不能预见、不能避免并且不能克服的客观情况。</w:t>
      </w:r>
      <w:r/>
    </w:p>
    <w:p>
      <w:pPr>
        <w:pStyle w:val="886"/>
        <w:numPr>
          <w:ilvl w:val="0"/>
          <w:numId w:val="2"/>
        </w:numPr>
        <w:ind w:left="849" w:hanging="423"/>
        <w:spacing w:line="360" w:lineRule="auto"/>
        <w:rPr>
          <w:rFonts w:hint="eastAsia" w:ascii="宋体" w:hAnsi="宋体" w:cs="Arial"/>
          <w:b/>
          <w:sz w:val="24"/>
        </w:rPr>
      </w:pPr>
      <w:r>
        <w:rPr>
          <w:rFonts w:hint="eastAsia" w:ascii="宋体" w:hAnsi="宋体" w:cs="Arial"/>
          <w:b/>
          <w:sz w:val="24"/>
        </w:rPr>
        <w:t xml:space="preserve">政策功能</w:t>
      </w:r>
      <w:r/>
    </w:p>
    <w:p>
      <w:pPr>
        <w:pStyle w:val="886"/>
        <w:numPr>
          <w:ilvl w:val="1"/>
          <w:numId w:val="2"/>
        </w:numPr>
        <w:ind w:left="0" w:firstLine="425"/>
        <w:spacing w:line="360" w:lineRule="auto"/>
        <w:rPr>
          <w:rFonts w:hint="eastAsia" w:ascii="宋体" w:hAnsi="宋体" w:cs="Arial"/>
          <w:sz w:val="24"/>
        </w:rPr>
      </w:pPr>
      <w:r>
        <w:rPr>
          <w:rFonts w:hint="eastAsia" w:ascii="宋体" w:hAnsi="宋体" w:cs="Arial"/>
          <w:sz w:val="24"/>
        </w:rPr>
        <w:t xml:space="preserve">政府采购促进中小企业发展，小微企业（含小型、微型企业）提供的产品和服务在评标时将获得优势，具体详见本招标文件内容。</w:t>
      </w:r>
      <w:r/>
    </w:p>
    <w:p>
      <w:pPr>
        <w:pStyle w:val="886"/>
        <w:numPr>
          <w:ilvl w:val="1"/>
          <w:numId w:val="2"/>
        </w:numPr>
        <w:ind w:left="0" w:firstLine="425"/>
        <w:spacing w:line="360" w:lineRule="auto"/>
        <w:rPr>
          <w:rFonts w:hint="eastAsia" w:ascii="宋体" w:hAnsi="宋体" w:cs="Arial"/>
          <w:sz w:val="24"/>
        </w:rPr>
      </w:pPr>
      <w:r>
        <w:rPr>
          <w:rFonts w:hint="eastAsia" w:ascii="宋体" w:hAnsi="宋体" w:cs="Arial"/>
          <w:sz w:val="24"/>
        </w:rPr>
        <w:t xml:space="preserve">残疾人福利性单位及监狱企业视同小型企业（需提供</w:t>
      </w:r>
      <w:r>
        <w:rPr>
          <w:rFonts w:hint="eastAsia" w:ascii="宋体" w:hAnsi="宋体"/>
          <w:spacing w:val="6"/>
          <w:sz w:val="24"/>
        </w:rPr>
        <w:t xml:space="preserve">残疾人福利性单位声明函，详见本招标文件</w:t>
      </w:r>
      <w:r>
        <w:rPr>
          <w:rFonts w:hint="eastAsia" w:ascii="宋体" w:hAnsi="宋体" w:cs="Arial"/>
          <w:sz w:val="24"/>
        </w:rPr>
        <w:t xml:space="preserve">）。</w:t>
      </w:r>
      <w:r/>
    </w:p>
    <w:p>
      <w:pPr>
        <w:pStyle w:val="886"/>
        <w:numPr>
          <w:ilvl w:val="0"/>
          <w:numId w:val="1"/>
        </w:numPr>
        <w:ind w:left="850" w:hanging="424"/>
        <w:spacing w:line="360" w:lineRule="auto"/>
        <w:rPr>
          <w:rFonts w:ascii="宋体" w:hAnsi="宋体" w:cs="Arial"/>
          <w:b/>
          <w:sz w:val="24"/>
        </w:rPr>
      </w:pPr>
      <w:r>
        <w:rPr>
          <w:rFonts w:hint="eastAsia" w:ascii="宋体" w:hAnsi="宋体" w:cs="Arial"/>
          <w:b/>
          <w:sz w:val="24"/>
        </w:rPr>
        <w:t xml:space="preserve">投标人</w:t>
      </w:r>
      <w:r>
        <w:rPr>
          <w:rFonts w:ascii="宋体" w:hAnsi="宋体" w:cs="Arial"/>
          <w:b/>
          <w:sz w:val="24"/>
        </w:rPr>
      </w:r>
      <w:r/>
    </w:p>
    <w:p>
      <w:pPr>
        <w:pStyle w:val="886"/>
        <w:numPr>
          <w:ilvl w:val="0"/>
          <w:numId w:val="2"/>
        </w:numPr>
        <w:ind w:left="849" w:hanging="423"/>
        <w:spacing w:line="360" w:lineRule="auto"/>
        <w:rPr>
          <w:rFonts w:ascii="宋体" w:hAnsi="宋体" w:cs="Arial"/>
          <w:b/>
          <w:sz w:val="24"/>
        </w:rPr>
      </w:pPr>
      <w:r>
        <w:rPr>
          <w:rFonts w:hint="eastAsia" w:ascii="宋体" w:hAnsi="宋体" w:cs="Arial"/>
          <w:b/>
          <w:sz w:val="24"/>
        </w:rPr>
        <w:t xml:space="preserve">合格投标人的范围</w:t>
      </w:r>
      <w:r>
        <w:rPr>
          <w:rFonts w:ascii="宋体" w:hAnsi="宋体" w:cs="Arial"/>
          <w:b/>
          <w:sz w:val="24"/>
        </w:rPr>
      </w:r>
      <w:r/>
    </w:p>
    <w:p>
      <w:pPr>
        <w:pStyle w:val="886"/>
        <w:numPr>
          <w:ilvl w:val="1"/>
          <w:numId w:val="2"/>
        </w:numPr>
        <w:ind w:left="0" w:firstLine="425"/>
        <w:spacing w:line="360" w:lineRule="auto"/>
        <w:rPr>
          <w:rFonts w:ascii="宋体" w:hAnsi="宋体" w:cs="Arial"/>
          <w:sz w:val="24"/>
        </w:rPr>
      </w:pPr>
      <w:r>
        <w:rPr>
          <w:rFonts w:hint="eastAsia" w:ascii="宋体" w:hAnsi="宋体" w:cs="Arial"/>
          <w:sz w:val="24"/>
        </w:rPr>
        <w:t xml:space="preserve">详见“第一章投标邀请函”中投标人要求。</w:t>
      </w:r>
      <w:r>
        <w:rPr>
          <w:rFonts w:ascii="宋体" w:hAnsi="宋体" w:cs="Arial"/>
          <w:sz w:val="24"/>
        </w:rPr>
      </w:r>
      <w:r/>
    </w:p>
    <w:p>
      <w:pPr>
        <w:pStyle w:val="886"/>
        <w:numPr>
          <w:ilvl w:val="0"/>
          <w:numId w:val="2"/>
        </w:numPr>
        <w:ind w:left="849" w:hanging="423"/>
        <w:spacing w:line="360" w:lineRule="auto"/>
        <w:rPr>
          <w:rFonts w:ascii="宋体" w:hAnsi="宋体" w:cs="Arial"/>
          <w:b/>
          <w:sz w:val="24"/>
        </w:rPr>
      </w:pPr>
      <w:r>
        <w:rPr>
          <w:rFonts w:hint="eastAsia" w:ascii="宋体" w:hAnsi="宋体" w:cs="Arial"/>
          <w:b/>
          <w:sz w:val="24"/>
        </w:rPr>
        <w:t xml:space="preserve">投标委托</w:t>
      </w:r>
      <w:r>
        <w:rPr>
          <w:rFonts w:ascii="宋体" w:hAnsi="宋体" w:cs="Arial"/>
          <w:b/>
          <w:sz w:val="24"/>
        </w:rPr>
      </w:r>
      <w:r/>
    </w:p>
    <w:p>
      <w:pPr>
        <w:pStyle w:val="886"/>
        <w:numPr>
          <w:ilvl w:val="1"/>
          <w:numId w:val="2"/>
        </w:numPr>
        <w:ind w:left="0" w:firstLine="425"/>
        <w:spacing w:line="360" w:lineRule="auto"/>
        <w:rPr>
          <w:rFonts w:ascii="宋体" w:hAnsi="宋体" w:cs="Arial"/>
          <w:sz w:val="24"/>
        </w:rPr>
      </w:pPr>
      <w:r>
        <w:rPr>
          <w:rFonts w:hint="eastAsia" w:ascii="宋体" w:hAnsi="宋体" w:cs="Arial"/>
          <w:sz w:val="24"/>
        </w:rPr>
        <w:t xml:space="preserve">如投标人代表不是法定代表人，须持有《法定代表人授权委托书》（格式见附件）。</w:t>
      </w:r>
      <w:r>
        <w:rPr>
          <w:rFonts w:ascii="宋体" w:hAnsi="宋体" w:cs="Arial"/>
          <w:sz w:val="24"/>
        </w:rPr>
      </w:r>
      <w:r/>
    </w:p>
    <w:p>
      <w:pPr>
        <w:pStyle w:val="886"/>
        <w:numPr>
          <w:ilvl w:val="0"/>
          <w:numId w:val="2"/>
        </w:numPr>
        <w:ind w:left="849" w:hanging="423"/>
        <w:spacing w:line="360" w:lineRule="auto"/>
        <w:rPr>
          <w:rFonts w:ascii="宋体" w:hAnsi="宋体" w:cs="Arial"/>
          <w:b/>
          <w:sz w:val="24"/>
        </w:rPr>
      </w:pPr>
      <w:r>
        <w:rPr>
          <w:rFonts w:hint="eastAsia" w:ascii="宋体" w:hAnsi="宋体" w:cs="Arial"/>
          <w:b/>
          <w:sz w:val="24"/>
        </w:rPr>
        <w:t xml:space="preserve">投标费用 </w:t>
      </w:r>
      <w:r>
        <w:rPr>
          <w:rFonts w:ascii="宋体" w:hAnsi="宋体" w:cs="Arial"/>
          <w:b/>
          <w:sz w:val="24"/>
        </w:rPr>
      </w:r>
      <w:r/>
    </w:p>
    <w:p>
      <w:pPr>
        <w:pStyle w:val="886"/>
        <w:numPr>
          <w:ilvl w:val="1"/>
          <w:numId w:val="2"/>
        </w:numPr>
        <w:ind w:left="0" w:firstLine="425"/>
        <w:spacing w:line="360" w:lineRule="auto"/>
        <w:rPr>
          <w:rFonts w:ascii="宋体" w:hAnsi="宋体" w:cs="Arial"/>
          <w:sz w:val="24"/>
        </w:rPr>
      </w:pPr>
      <w:r>
        <w:rPr>
          <w:rFonts w:hint="eastAsia" w:ascii="宋体" w:hAnsi="宋体" w:cs="Arial"/>
          <w:sz w:val="24"/>
        </w:rPr>
        <w:t xml:space="preserve">无论投标过程中的做法和结果如何，投标人自行承担所有与参加投标有关的全部费用。</w:t>
      </w:r>
      <w:r>
        <w:rPr>
          <w:rFonts w:ascii="宋体" w:hAnsi="宋体" w:cs="Arial"/>
          <w:sz w:val="24"/>
        </w:rPr>
      </w:r>
      <w:r/>
    </w:p>
    <w:p>
      <w:pPr>
        <w:pStyle w:val="886"/>
        <w:numPr>
          <w:ilvl w:val="0"/>
          <w:numId w:val="2"/>
        </w:numPr>
        <w:ind w:left="849" w:hanging="423"/>
        <w:spacing w:line="360" w:lineRule="auto"/>
        <w:rPr>
          <w:rFonts w:ascii="宋体" w:hAnsi="宋体" w:cs="Arial"/>
          <w:b/>
          <w:sz w:val="24"/>
        </w:rPr>
      </w:pPr>
      <w:r>
        <w:rPr>
          <w:rFonts w:hint="eastAsia" w:ascii="宋体" w:hAnsi="宋体" w:cs="Arial"/>
          <w:b/>
          <w:sz w:val="24"/>
        </w:rPr>
        <w:t xml:space="preserve">联合投标</w:t>
      </w:r>
      <w:r>
        <w:rPr>
          <w:rFonts w:ascii="宋体" w:hAnsi="宋体" w:cs="Arial"/>
          <w:b/>
          <w:sz w:val="24"/>
        </w:rPr>
      </w:r>
      <w:r/>
    </w:p>
    <w:p>
      <w:pPr>
        <w:pStyle w:val="886"/>
        <w:numPr>
          <w:ilvl w:val="1"/>
          <w:numId w:val="2"/>
        </w:numPr>
        <w:ind w:left="0" w:firstLine="425"/>
        <w:spacing w:line="360" w:lineRule="auto"/>
        <w:rPr>
          <w:rFonts w:ascii="宋体" w:hAnsi="宋体" w:cs="Arial"/>
          <w:sz w:val="24"/>
        </w:rPr>
      </w:pPr>
      <w:r>
        <w:rPr>
          <w:rFonts w:hint="eastAsia" w:ascii="宋体" w:hAnsi="宋体" w:cs="Arial"/>
          <w:sz w:val="24"/>
        </w:rPr>
        <w:t xml:space="preserve">本项目不接受联合体投标</w:t>
      </w:r>
      <w:r>
        <w:rPr>
          <w:rFonts w:ascii="宋体" w:hAnsi="宋体" w:cs="Arial"/>
          <w:sz w:val="24"/>
        </w:rPr>
      </w:r>
      <w:r/>
    </w:p>
    <w:p>
      <w:pPr>
        <w:pStyle w:val="886"/>
        <w:numPr>
          <w:ilvl w:val="0"/>
          <w:numId w:val="1"/>
        </w:numPr>
        <w:ind w:left="850" w:hanging="424"/>
        <w:spacing w:line="360" w:lineRule="auto"/>
        <w:rPr>
          <w:rFonts w:ascii="宋体" w:hAnsi="宋体" w:cs="Arial"/>
          <w:b/>
          <w:sz w:val="24"/>
        </w:rPr>
      </w:pPr>
      <w:r>
        <w:rPr>
          <w:rFonts w:hint="eastAsia" w:ascii="宋体" w:hAnsi="宋体" w:cs="Arial"/>
          <w:b/>
          <w:sz w:val="24"/>
        </w:rPr>
        <w:t xml:space="preserve">招标文件的说明</w:t>
      </w:r>
      <w:r>
        <w:rPr>
          <w:rFonts w:ascii="宋体" w:hAnsi="宋体" w:cs="Arial"/>
          <w:b/>
          <w:sz w:val="24"/>
        </w:rPr>
      </w:r>
      <w:r/>
    </w:p>
    <w:p>
      <w:pPr>
        <w:pStyle w:val="886"/>
        <w:numPr>
          <w:ilvl w:val="0"/>
          <w:numId w:val="2"/>
        </w:numPr>
        <w:ind w:left="849" w:hanging="423"/>
        <w:spacing w:line="360" w:lineRule="auto"/>
        <w:rPr>
          <w:rFonts w:ascii="宋体" w:hAnsi="宋体" w:cs="Arial"/>
          <w:b/>
          <w:sz w:val="24"/>
        </w:rPr>
      </w:pPr>
      <w:r>
        <w:rPr>
          <w:rFonts w:hint="eastAsia" w:ascii="宋体" w:hAnsi="宋体" w:cs="Arial"/>
          <w:b/>
          <w:sz w:val="24"/>
        </w:rPr>
        <w:t xml:space="preserve">招标文件</w:t>
      </w:r>
      <w:r>
        <w:rPr>
          <w:rFonts w:ascii="宋体" w:hAnsi="宋体" w:cs="Arial"/>
          <w:b/>
          <w:sz w:val="24"/>
        </w:rPr>
      </w:r>
      <w:r/>
    </w:p>
    <w:p>
      <w:pPr>
        <w:pStyle w:val="886"/>
        <w:numPr>
          <w:ilvl w:val="1"/>
          <w:numId w:val="2"/>
        </w:numPr>
        <w:ind w:left="0" w:firstLine="425"/>
        <w:spacing w:line="360" w:lineRule="auto"/>
        <w:rPr>
          <w:rFonts w:hint="eastAsia" w:ascii="宋体" w:hAnsi="宋体" w:cs="Arial"/>
          <w:sz w:val="24"/>
        </w:rPr>
      </w:pPr>
      <w:r>
        <w:rPr>
          <w:rFonts w:hint="eastAsia" w:ascii="宋体" w:hAnsi="宋体" w:cs="Arial"/>
          <w:sz w:val="24"/>
        </w:rPr>
        <w:t xml:space="preserve">招标文件由招标文件总目录所列内容组成。投标人应详细阅读招标文件的全部内容。不按招标文件的要求提供的投标文件和资料，可能导致投标被拒绝。</w:t>
      </w:r>
      <w:r/>
    </w:p>
    <w:p>
      <w:pPr>
        <w:pStyle w:val="886"/>
        <w:numPr>
          <w:ilvl w:val="1"/>
          <w:numId w:val="2"/>
        </w:numPr>
        <w:ind w:left="0" w:firstLine="425"/>
        <w:spacing w:line="360" w:lineRule="auto"/>
        <w:rPr>
          <w:rFonts w:ascii="宋体" w:hAnsi="宋体" w:cs="Arial"/>
          <w:sz w:val="24"/>
        </w:rPr>
      </w:pPr>
      <w:r>
        <w:rPr>
          <w:rFonts w:hint="eastAsia" w:ascii="宋体" w:hAnsi="宋体" w:cs="Arial"/>
          <w:sz w:val="24"/>
        </w:rPr>
        <w:t xml:space="preserve">投标文件按招标文件规定的格式制作，需盖章或签字之处，应加盖电子签章或使用加盖公章及签字的彩色扫描件，如果未按要求制作上传，将被认定为未实质性响应招标文件要求。</w:t>
      </w:r>
      <w:r>
        <w:rPr>
          <w:rFonts w:ascii="宋体" w:hAnsi="宋体" w:cs="Arial"/>
          <w:sz w:val="24"/>
        </w:rPr>
      </w:r>
      <w:r/>
    </w:p>
    <w:p>
      <w:pPr>
        <w:pStyle w:val="886"/>
        <w:numPr>
          <w:ilvl w:val="1"/>
          <w:numId w:val="2"/>
        </w:numPr>
        <w:ind w:left="0" w:firstLine="425"/>
        <w:spacing w:line="360" w:lineRule="auto"/>
        <w:rPr>
          <w:rFonts w:ascii="宋体" w:hAnsi="宋体" w:cs="Arial"/>
          <w:sz w:val="24"/>
        </w:rPr>
      </w:pPr>
      <w:r>
        <w:rPr>
          <w:rFonts w:hint="eastAsia" w:ascii="宋体" w:hAnsi="宋体" w:cs="Arial"/>
          <w:sz w:val="24"/>
        </w:rPr>
        <w:t xml:space="preserve">招标文件要求提交的相关证明材料，投标人应在投标文件中提供相应的清晰扫描件，如果材料不清晰导致无法识别的，将被视为无效材料。</w:t>
      </w:r>
      <w:r>
        <w:rPr>
          <w:rFonts w:ascii="宋体" w:hAnsi="宋体" w:cs="Arial"/>
          <w:sz w:val="24"/>
        </w:rPr>
      </w:r>
      <w:r/>
    </w:p>
    <w:p>
      <w:pPr>
        <w:pStyle w:val="886"/>
        <w:numPr>
          <w:ilvl w:val="1"/>
          <w:numId w:val="2"/>
        </w:numPr>
        <w:ind w:left="0" w:firstLine="425"/>
        <w:spacing w:line="360" w:lineRule="auto"/>
        <w:rPr>
          <w:rFonts w:ascii="宋体" w:hAnsi="宋体" w:cs="Arial"/>
          <w:sz w:val="24"/>
        </w:rPr>
      </w:pPr>
      <w:r>
        <w:rPr>
          <w:rFonts w:hint="eastAsia" w:ascii="宋体" w:hAnsi="宋体" w:cs="Arial"/>
          <w:sz w:val="24"/>
        </w:rPr>
        <w:t xml:space="preserve">投标人根据招标文件内容自行勘查现场，以获取编制投标文件和签署合同所需的信息，勘查现场所发生的费用由投标人自行承担。</w:t>
      </w:r>
      <w:r>
        <w:rPr>
          <w:rFonts w:ascii="宋体" w:hAnsi="宋体" w:cs="Arial"/>
          <w:sz w:val="24"/>
        </w:rPr>
      </w:r>
      <w:r/>
    </w:p>
    <w:p>
      <w:pPr>
        <w:pStyle w:val="886"/>
        <w:numPr>
          <w:ilvl w:val="0"/>
          <w:numId w:val="2"/>
        </w:numPr>
        <w:ind w:left="849" w:hanging="423"/>
        <w:spacing w:line="360" w:lineRule="auto"/>
        <w:rPr>
          <w:rFonts w:hint="eastAsia" w:ascii="宋体" w:hAnsi="宋体" w:cs="Arial"/>
          <w:b/>
          <w:sz w:val="24"/>
        </w:rPr>
      </w:pPr>
      <w:r>
        <w:rPr>
          <w:rFonts w:hint="eastAsia" w:ascii="宋体" w:hAnsi="宋体" w:cs="Arial"/>
          <w:b/>
          <w:sz w:val="24"/>
        </w:rPr>
        <w:t xml:space="preserve">招标文件的澄清</w:t>
      </w:r>
      <w:r/>
    </w:p>
    <w:p>
      <w:pPr>
        <w:pStyle w:val="886"/>
        <w:numPr>
          <w:ilvl w:val="1"/>
          <w:numId w:val="2"/>
        </w:numPr>
        <w:ind w:left="0" w:firstLine="425"/>
        <w:spacing w:line="360" w:lineRule="auto"/>
        <w:rPr>
          <w:rFonts w:ascii="宋体" w:hAnsi="宋体" w:cs="Arial"/>
          <w:sz w:val="24"/>
        </w:rPr>
      </w:pPr>
      <w:r>
        <w:rPr>
          <w:rFonts w:hint="eastAsia" w:ascii="宋体" w:hAnsi="宋体" w:cs="Arial"/>
          <w:sz w:val="24"/>
        </w:rPr>
        <w:t xml:space="preserve">投标人在获取招标文件后，若有疑问，</w:t>
      </w:r>
      <w:r>
        <w:rPr>
          <w:rFonts w:hint="eastAsia" w:ascii="宋体" w:hAnsi="宋体" w:cs="宋体"/>
          <w:sz w:val="24"/>
        </w:rPr>
        <w:t xml:space="preserve">向招标代理人提出。</w:t>
      </w:r>
      <w:r>
        <w:rPr>
          <w:rFonts w:ascii="宋体" w:hAnsi="宋体" w:cs="Arial"/>
          <w:sz w:val="24"/>
        </w:rPr>
      </w:r>
      <w:r/>
    </w:p>
    <w:p>
      <w:pPr>
        <w:pStyle w:val="886"/>
        <w:numPr>
          <w:ilvl w:val="0"/>
          <w:numId w:val="2"/>
        </w:numPr>
        <w:ind w:left="849" w:hanging="423"/>
        <w:spacing w:line="360" w:lineRule="auto"/>
        <w:rPr>
          <w:rFonts w:hint="eastAsia" w:ascii="宋体" w:hAnsi="宋体" w:cs="Arial"/>
          <w:b/>
          <w:sz w:val="24"/>
        </w:rPr>
      </w:pPr>
      <w:r>
        <w:rPr>
          <w:rFonts w:hint="eastAsia" w:ascii="宋体" w:hAnsi="宋体" w:cs="Arial"/>
          <w:b/>
          <w:sz w:val="24"/>
        </w:rPr>
        <w:t xml:space="preserve">招标文件的修改</w:t>
      </w:r>
      <w:r/>
    </w:p>
    <w:p>
      <w:pPr>
        <w:pStyle w:val="886"/>
        <w:numPr>
          <w:ilvl w:val="1"/>
          <w:numId w:val="2"/>
        </w:numPr>
        <w:ind w:left="0" w:firstLine="425"/>
        <w:spacing w:line="360" w:lineRule="auto"/>
        <w:rPr>
          <w:rFonts w:ascii="宋体" w:hAnsi="宋体" w:cs="Arial"/>
          <w:sz w:val="24"/>
        </w:rPr>
      </w:pPr>
      <w:r>
        <w:rPr>
          <w:rFonts w:hint="eastAsia" w:ascii="宋体" w:hAnsi="宋体" w:cs="Arial"/>
          <w:sz w:val="24"/>
        </w:rPr>
        <w:t xml:space="preserve">在网上投标截止时间前，招标代理人有权在出于实际需要或澄清投标人问题的情况下，以补充文件的形式对招标文件进行修改。</w:t>
      </w:r>
      <w:r>
        <w:rPr>
          <w:rFonts w:ascii="宋体" w:hAnsi="宋体" w:cs="Arial"/>
          <w:sz w:val="24"/>
        </w:rPr>
      </w:r>
      <w:r/>
    </w:p>
    <w:p>
      <w:pPr>
        <w:pStyle w:val="886"/>
        <w:numPr>
          <w:ilvl w:val="1"/>
          <w:numId w:val="2"/>
        </w:numPr>
        <w:ind w:left="0" w:firstLine="425"/>
        <w:spacing w:line="360" w:lineRule="auto"/>
        <w:rPr>
          <w:rFonts w:ascii="宋体" w:hAnsi="宋体" w:cs="Arial"/>
          <w:sz w:val="24"/>
        </w:rPr>
      </w:pPr>
      <w:r>
        <w:rPr>
          <w:rFonts w:hint="eastAsia" w:ascii="宋体" w:hAnsi="宋体" w:cs="Arial"/>
          <w:sz w:val="24"/>
        </w:rPr>
        <w:t xml:space="preserve">招标代理人对招标文件的修改，将以更正公告形式发布于政府采购信息发布媒体上，敬请投标人及时查询。更正内容作为招标文件的组成部分，对所有投标人具有约束力。</w:t>
      </w:r>
      <w:r>
        <w:rPr>
          <w:rFonts w:ascii="宋体" w:hAnsi="宋体" w:cs="Arial"/>
          <w:sz w:val="24"/>
        </w:rPr>
      </w:r>
      <w:r/>
    </w:p>
    <w:p>
      <w:pPr>
        <w:pStyle w:val="886"/>
        <w:numPr>
          <w:ilvl w:val="1"/>
          <w:numId w:val="2"/>
        </w:numPr>
        <w:ind w:left="0" w:firstLine="425"/>
        <w:spacing w:line="360" w:lineRule="auto"/>
        <w:rPr>
          <w:rFonts w:ascii="宋体" w:hAnsi="宋体" w:cs="Arial"/>
          <w:sz w:val="24"/>
        </w:rPr>
      </w:pPr>
      <w:r>
        <w:rPr>
          <w:rFonts w:hint="eastAsia" w:ascii="宋体" w:hAnsi="宋体" w:cs="Arial"/>
          <w:sz w:val="24"/>
        </w:rPr>
        <w:t xml:space="preserve">为保证投标人有足够时间按照招标文件的修改要求考虑修正投标文件，或出于其他合理原因，招标代理人可酌情推迟投标截止时间和开标时间，并于原定投标时间前三天将此变更通知在政府采购信息发布媒体上发布变更公告。</w:t>
      </w:r>
      <w:r>
        <w:rPr>
          <w:rFonts w:ascii="宋体" w:hAnsi="宋体" w:cs="Arial"/>
          <w:sz w:val="24"/>
        </w:rPr>
      </w:r>
      <w:r/>
    </w:p>
    <w:p>
      <w:pPr>
        <w:pStyle w:val="886"/>
        <w:numPr>
          <w:ilvl w:val="1"/>
          <w:numId w:val="2"/>
        </w:numPr>
        <w:ind w:left="0" w:firstLine="425"/>
        <w:spacing w:line="360" w:lineRule="auto"/>
        <w:rPr>
          <w:rFonts w:ascii="宋体" w:hAnsi="宋体" w:cs="Arial"/>
          <w:sz w:val="24"/>
        </w:rPr>
      </w:pPr>
      <w:r>
        <w:rPr>
          <w:rFonts w:hint="eastAsia" w:ascii="宋体" w:hAnsi="宋体" w:cs="Arial"/>
          <w:sz w:val="24"/>
        </w:rPr>
        <w:t xml:space="preserve">供应商应在投标截止时间前关注原采购信息发布媒体上有关本招标项目有无变更公告。</w:t>
      </w:r>
      <w:r>
        <w:rPr>
          <w:rFonts w:ascii="宋体" w:hAnsi="宋体" w:cs="Arial"/>
          <w:sz w:val="24"/>
        </w:rPr>
      </w:r>
      <w:r/>
    </w:p>
    <w:p>
      <w:pPr>
        <w:pStyle w:val="886"/>
        <w:numPr>
          <w:ilvl w:val="0"/>
          <w:numId w:val="2"/>
        </w:numPr>
        <w:ind w:left="849" w:hanging="423"/>
        <w:spacing w:line="360" w:lineRule="auto"/>
        <w:rPr>
          <w:rFonts w:hint="eastAsia" w:ascii="宋体" w:hAnsi="宋体" w:cs="Arial"/>
          <w:b/>
          <w:sz w:val="24"/>
        </w:rPr>
      </w:pPr>
      <w:r>
        <w:rPr>
          <w:rFonts w:hint="eastAsia" w:ascii="宋体" w:hAnsi="宋体" w:cs="Arial"/>
          <w:b/>
          <w:sz w:val="24"/>
        </w:rPr>
        <w:t xml:space="preserve">质疑</w:t>
      </w:r>
      <w:r/>
    </w:p>
    <w:p>
      <w:pPr>
        <w:pStyle w:val="886"/>
        <w:numPr>
          <w:ilvl w:val="1"/>
          <w:numId w:val="2"/>
        </w:numPr>
        <w:ind w:left="0" w:firstLine="425"/>
        <w:jc w:val="left"/>
        <w:spacing w:line="360" w:lineRule="auto"/>
        <w:rPr>
          <w:rFonts w:ascii="宋体" w:hAnsi="宋体" w:cs="Arial"/>
          <w:sz w:val="24"/>
        </w:rPr>
      </w:pPr>
      <w:r>
        <w:rPr>
          <w:rFonts w:hint="eastAsia" w:ascii="宋体" w:hAnsi="宋体" w:cs="Arial"/>
          <w:sz w:val="24"/>
        </w:rPr>
        <w:t xml:space="preserve">供应商认为采购文件、采购过程和中标结果使自己的合法权益受到损害的，可以在知道或者应当知道其权益受到损害之日起七个工作日内，以书面形式向招标代理人提出质疑。招标代理人应当在收到供应商书面质疑后七个工作日内作出答复，并以书面形式通知质疑供应商和其他相关供应商，</w:t>
      </w:r>
      <w:r>
        <w:rPr>
          <w:rFonts w:ascii="宋体" w:hAnsi="宋体" w:cs="Arial"/>
          <w:sz w:val="24"/>
        </w:rPr>
        <w:t xml:space="preserve">供应商在法定质疑期内一次性提出针对同一采购程序环节的质疑。</w:t>
      </w:r>
      <w:r>
        <w:rPr>
          <w:rFonts w:hint="eastAsia" w:ascii="宋体" w:hAnsi="宋体" w:cs="Arial"/>
          <w:sz w:val="24"/>
        </w:rPr>
        <w:t xml:space="preserve">质疑函按中华人民共和国财政部</w:t>
      </w:r>
      <w:r>
        <w:rPr>
          <w:rFonts w:ascii="宋体" w:hAnsi="宋体" w:cs="Arial"/>
          <w:sz w:val="24"/>
        </w:rPr>
        <w:t xml:space="preserve">政府采购供应商质疑函范本</w:t>
      </w:r>
      <w:r>
        <w:rPr>
          <w:rFonts w:hint="eastAsia" w:ascii="宋体" w:hAnsi="宋体" w:cs="Arial"/>
          <w:sz w:val="24"/>
        </w:rPr>
        <w:t xml:space="preserve">提交，否则不予受理。</w:t>
      </w:r>
      <w:r>
        <w:rPr>
          <w:rFonts w:ascii="宋体" w:hAnsi="宋体" w:cs="Arial"/>
          <w:sz w:val="24"/>
        </w:rPr>
      </w:r>
      <w:r/>
    </w:p>
    <w:p>
      <w:pPr>
        <w:pStyle w:val="886"/>
        <w:numPr>
          <w:ilvl w:val="1"/>
          <w:numId w:val="2"/>
        </w:numPr>
        <w:ind w:left="0" w:firstLine="425"/>
        <w:spacing w:line="360" w:lineRule="auto"/>
        <w:rPr>
          <w:rFonts w:ascii="宋体" w:hAnsi="宋体" w:cs="Arial"/>
          <w:sz w:val="24"/>
        </w:rPr>
      </w:pPr>
      <w:r>
        <w:rPr>
          <w:rFonts w:hint="eastAsia" w:ascii="宋体" w:hAnsi="宋体" w:cs="Arial"/>
          <w:sz w:val="24"/>
        </w:rPr>
        <w:t xml:space="preserve">质疑供应商是指直接参加本次投标活动的供应商，未参加投标活动的供应商或在投标活动中自身权益未受到损害的供应商所提出的质疑不予受理。未依照采购公告要求实行网上下载招标文件的供应商，视为未参与该项政府采购活动，不具备对该政府采购项目提出质疑的法定权利，但因供应商资格条件或下载招标文件设定不符合有关法律法规规定等原因使供应商权益受损的除外。</w:t>
      </w:r>
      <w:r>
        <w:rPr>
          <w:rFonts w:ascii="宋体" w:hAnsi="宋体" w:cs="Arial"/>
          <w:sz w:val="24"/>
        </w:rPr>
      </w:r>
      <w:r/>
    </w:p>
    <w:p>
      <w:pPr>
        <w:pStyle w:val="886"/>
        <w:numPr>
          <w:ilvl w:val="1"/>
          <w:numId w:val="2"/>
        </w:numPr>
        <w:ind w:left="0" w:firstLine="425"/>
        <w:spacing w:line="360" w:lineRule="auto"/>
        <w:rPr>
          <w:rFonts w:ascii="宋体" w:hAnsi="宋体" w:cs="Arial"/>
          <w:sz w:val="24"/>
        </w:rPr>
      </w:pPr>
      <w:r>
        <w:rPr>
          <w:rFonts w:hint="eastAsia" w:ascii="宋体" w:hAnsi="宋体" w:cs="Arial"/>
          <w:sz w:val="24"/>
        </w:rPr>
        <w:t xml:space="preserve">质疑必须以参加投标供应商法定代表人或授权代表（投标文件中所确定的）原件送达的方式提交，否则，招标代理人有权不予受理。</w:t>
      </w:r>
      <w:r>
        <w:rPr>
          <w:rFonts w:ascii="宋体" w:hAnsi="宋体" w:cs="Arial"/>
          <w:sz w:val="24"/>
        </w:rPr>
      </w:r>
      <w:r/>
    </w:p>
    <w:p>
      <w:pPr>
        <w:pStyle w:val="886"/>
        <w:numPr>
          <w:ilvl w:val="1"/>
          <w:numId w:val="2"/>
        </w:numPr>
        <w:ind w:left="0" w:firstLine="425"/>
        <w:spacing w:line="360" w:lineRule="auto"/>
        <w:rPr>
          <w:rFonts w:ascii="宋体" w:hAnsi="宋体" w:cs="Arial"/>
          <w:sz w:val="24"/>
        </w:rPr>
      </w:pPr>
      <w:r>
        <w:rPr>
          <w:rFonts w:hint="eastAsia" w:ascii="宋体" w:hAnsi="宋体" w:cs="Arial"/>
          <w:sz w:val="24"/>
        </w:rPr>
        <w:t xml:space="preserve">上述应知其权益受到损害之日是指：</w:t>
      </w:r>
      <w:r>
        <w:rPr>
          <w:rFonts w:ascii="宋体" w:hAnsi="宋体" w:cs="Arial"/>
          <w:sz w:val="24"/>
        </w:rPr>
      </w:r>
      <w:r/>
    </w:p>
    <w:p>
      <w:pPr>
        <w:pStyle w:val="886"/>
        <w:numPr>
          <w:ilvl w:val="2"/>
          <w:numId w:val="2"/>
        </w:numPr>
        <w:ind w:left="426" w:firstLine="0"/>
        <w:spacing w:line="360" w:lineRule="auto"/>
        <w:rPr>
          <w:rFonts w:ascii="宋体" w:hAnsi="宋体" w:cs="Arial"/>
          <w:sz w:val="24"/>
        </w:rPr>
      </w:pPr>
      <w:r>
        <w:rPr>
          <w:rFonts w:hint="eastAsia" w:ascii="宋体" w:hAnsi="宋体" w:cs="Arial"/>
          <w:sz w:val="24"/>
        </w:rPr>
        <w:t xml:space="preserve">对招标文件提出质疑的，为招标文件公告期限届满之日起计算；</w:t>
      </w:r>
      <w:r>
        <w:rPr>
          <w:rFonts w:ascii="宋体" w:hAnsi="宋体" w:cs="Arial"/>
          <w:sz w:val="24"/>
        </w:rPr>
      </w:r>
      <w:r/>
    </w:p>
    <w:p>
      <w:pPr>
        <w:pStyle w:val="886"/>
        <w:numPr>
          <w:ilvl w:val="2"/>
          <w:numId w:val="2"/>
        </w:numPr>
        <w:ind w:left="426" w:firstLine="0"/>
        <w:spacing w:line="360" w:lineRule="auto"/>
        <w:rPr>
          <w:rFonts w:ascii="宋体" w:hAnsi="宋体" w:cs="Arial"/>
          <w:sz w:val="24"/>
        </w:rPr>
      </w:pPr>
      <w:r>
        <w:rPr>
          <w:rFonts w:hint="eastAsia" w:ascii="宋体" w:hAnsi="宋体" w:cs="Arial"/>
          <w:sz w:val="24"/>
        </w:rPr>
        <w:t xml:space="preserve">对采购过程提出质疑的，自采购程序环节结束之日起计算；</w:t>
      </w:r>
      <w:r>
        <w:rPr>
          <w:rFonts w:ascii="宋体" w:hAnsi="宋体" w:cs="Arial"/>
          <w:sz w:val="24"/>
        </w:rPr>
      </w:r>
      <w:r/>
    </w:p>
    <w:p>
      <w:pPr>
        <w:pStyle w:val="886"/>
        <w:numPr>
          <w:ilvl w:val="2"/>
          <w:numId w:val="2"/>
        </w:numPr>
        <w:ind w:left="426" w:firstLine="0"/>
        <w:spacing w:line="360" w:lineRule="auto"/>
        <w:rPr>
          <w:rFonts w:ascii="宋体" w:hAnsi="宋体" w:cs="Arial"/>
          <w:sz w:val="24"/>
        </w:rPr>
      </w:pPr>
      <w:r>
        <w:rPr>
          <w:rFonts w:hint="eastAsia" w:ascii="宋体" w:hAnsi="宋体" w:cs="Arial"/>
          <w:sz w:val="24"/>
        </w:rPr>
        <w:t xml:space="preserve">对中标结果提出质疑的，自中标结果公告期限届满之日起计算。</w:t>
      </w:r>
      <w:r>
        <w:rPr>
          <w:rFonts w:ascii="宋体" w:hAnsi="宋体" w:cs="Arial"/>
          <w:sz w:val="24"/>
        </w:rPr>
      </w:r>
      <w:r/>
    </w:p>
    <w:p>
      <w:pPr>
        <w:pStyle w:val="886"/>
        <w:numPr>
          <w:ilvl w:val="1"/>
          <w:numId w:val="2"/>
        </w:numPr>
        <w:ind w:left="0" w:firstLine="425"/>
        <w:spacing w:line="360" w:lineRule="auto"/>
        <w:rPr>
          <w:rFonts w:ascii="宋体" w:hAnsi="宋体" w:cs="Arial"/>
          <w:sz w:val="24"/>
        </w:rPr>
      </w:pPr>
      <w:r>
        <w:rPr>
          <w:rFonts w:hint="eastAsia" w:ascii="宋体" w:hAnsi="宋体" w:cs="Arial"/>
          <w:sz w:val="24"/>
        </w:rPr>
        <w:t xml:space="preserve">质疑文件应包括以下主要内容，并按照“谁主张、谁举证”的原则，附上相关证明材料。否则，招标代理人或采购人不予受理：</w:t>
      </w:r>
      <w:r>
        <w:rPr>
          <w:rFonts w:ascii="宋体" w:hAnsi="宋体" w:cs="Arial"/>
          <w:sz w:val="24"/>
        </w:rPr>
      </w:r>
      <w:r/>
    </w:p>
    <w:p>
      <w:pPr>
        <w:pStyle w:val="886"/>
        <w:numPr>
          <w:ilvl w:val="2"/>
          <w:numId w:val="2"/>
        </w:numPr>
        <w:ind w:left="426" w:firstLine="0"/>
        <w:spacing w:line="360" w:lineRule="auto"/>
        <w:rPr>
          <w:rFonts w:hint="eastAsia" w:ascii="宋体" w:hAnsi="宋体" w:cs="Arial"/>
          <w:sz w:val="24"/>
        </w:rPr>
      </w:pPr>
      <w:r>
        <w:rPr>
          <w:rFonts w:ascii="宋体" w:hAnsi="宋体" w:cs="Arial"/>
          <w:sz w:val="24"/>
        </w:rPr>
        <w:t xml:space="preserve">供应商的姓名或者名称、地址、邮编、联系人及联系电话；</w:t>
      </w:r>
      <w:r>
        <w:rPr>
          <w:rFonts w:hint="eastAsia" w:ascii="宋体" w:hAnsi="宋体" w:cs="Arial"/>
          <w:sz w:val="24"/>
        </w:rPr>
      </w:r>
      <w:r/>
    </w:p>
    <w:p>
      <w:pPr>
        <w:pStyle w:val="886"/>
        <w:numPr>
          <w:ilvl w:val="2"/>
          <w:numId w:val="2"/>
        </w:numPr>
        <w:ind w:left="426" w:firstLine="0"/>
        <w:spacing w:line="360" w:lineRule="auto"/>
        <w:rPr>
          <w:rFonts w:hint="eastAsia" w:ascii="宋体" w:hAnsi="宋体" w:cs="Arial"/>
          <w:sz w:val="24"/>
        </w:rPr>
      </w:pPr>
      <w:r>
        <w:rPr>
          <w:rFonts w:ascii="宋体" w:hAnsi="宋体" w:cs="Arial"/>
          <w:sz w:val="24"/>
        </w:rPr>
        <w:t xml:space="preserve">质疑项目的名称、编号；</w:t>
      </w:r>
      <w:r>
        <w:rPr>
          <w:rFonts w:hint="eastAsia" w:ascii="宋体" w:hAnsi="宋体" w:cs="Arial"/>
          <w:sz w:val="24"/>
        </w:rPr>
      </w:r>
      <w:r/>
    </w:p>
    <w:p>
      <w:pPr>
        <w:pStyle w:val="886"/>
        <w:numPr>
          <w:ilvl w:val="2"/>
          <w:numId w:val="2"/>
        </w:numPr>
        <w:ind w:left="426" w:firstLine="0"/>
        <w:spacing w:line="360" w:lineRule="auto"/>
        <w:rPr>
          <w:rFonts w:hint="eastAsia" w:ascii="宋体" w:hAnsi="宋体" w:cs="Arial"/>
          <w:sz w:val="24"/>
        </w:rPr>
      </w:pPr>
      <w:r>
        <w:rPr>
          <w:rFonts w:ascii="宋体" w:hAnsi="宋体" w:cs="Arial"/>
          <w:sz w:val="24"/>
        </w:rPr>
        <w:t xml:space="preserve">具体、明确的质疑事项和与质疑事项相关的请求；</w:t>
      </w:r>
      <w:r>
        <w:rPr>
          <w:rFonts w:hint="eastAsia" w:ascii="宋体" w:hAnsi="宋体" w:cs="Arial"/>
          <w:sz w:val="24"/>
        </w:rPr>
      </w:r>
      <w:r/>
    </w:p>
    <w:p>
      <w:pPr>
        <w:pStyle w:val="886"/>
        <w:numPr>
          <w:ilvl w:val="2"/>
          <w:numId w:val="2"/>
        </w:numPr>
        <w:ind w:left="426" w:firstLine="0"/>
        <w:spacing w:line="360" w:lineRule="auto"/>
        <w:rPr>
          <w:rFonts w:hint="eastAsia" w:ascii="宋体" w:hAnsi="宋体" w:cs="Arial"/>
          <w:sz w:val="24"/>
        </w:rPr>
      </w:pPr>
      <w:r>
        <w:rPr>
          <w:rFonts w:ascii="宋体" w:hAnsi="宋体" w:cs="Arial"/>
          <w:sz w:val="24"/>
        </w:rPr>
        <w:t xml:space="preserve">事实依据；</w:t>
      </w:r>
      <w:r>
        <w:rPr>
          <w:rFonts w:hint="eastAsia" w:ascii="宋体" w:hAnsi="宋体" w:cs="Arial"/>
          <w:sz w:val="24"/>
        </w:rPr>
      </w:r>
      <w:r/>
    </w:p>
    <w:p>
      <w:pPr>
        <w:pStyle w:val="886"/>
        <w:numPr>
          <w:ilvl w:val="2"/>
          <w:numId w:val="2"/>
        </w:numPr>
        <w:ind w:left="426" w:firstLine="0"/>
        <w:spacing w:line="360" w:lineRule="auto"/>
        <w:rPr>
          <w:rFonts w:hint="eastAsia" w:ascii="宋体" w:hAnsi="宋体" w:cs="Arial"/>
          <w:sz w:val="24"/>
        </w:rPr>
      </w:pPr>
      <w:r>
        <w:rPr>
          <w:rFonts w:ascii="宋体" w:hAnsi="宋体" w:cs="Arial"/>
          <w:sz w:val="24"/>
        </w:rPr>
        <w:t xml:space="preserve">必要的法律依据；</w:t>
      </w:r>
      <w:r>
        <w:rPr>
          <w:rFonts w:hint="eastAsia" w:ascii="宋体" w:hAnsi="宋体" w:cs="Arial"/>
          <w:sz w:val="24"/>
        </w:rPr>
      </w:r>
      <w:r/>
    </w:p>
    <w:p>
      <w:pPr>
        <w:pStyle w:val="886"/>
        <w:numPr>
          <w:ilvl w:val="2"/>
          <w:numId w:val="2"/>
        </w:numPr>
        <w:ind w:left="426" w:firstLine="0"/>
        <w:spacing w:line="360" w:lineRule="auto"/>
        <w:rPr>
          <w:rFonts w:hint="eastAsia" w:ascii="宋体" w:hAnsi="宋体" w:cs="Arial"/>
          <w:sz w:val="24"/>
        </w:rPr>
      </w:pPr>
      <w:r>
        <w:rPr>
          <w:rFonts w:ascii="宋体" w:hAnsi="宋体" w:cs="Arial"/>
          <w:sz w:val="24"/>
        </w:rPr>
        <w:t xml:space="preserve">提出质疑的日期。</w:t>
      </w:r>
      <w:r>
        <w:rPr>
          <w:rFonts w:hint="eastAsia" w:ascii="宋体" w:hAnsi="宋体" w:cs="Arial"/>
          <w:sz w:val="24"/>
        </w:rPr>
      </w:r>
      <w:r/>
    </w:p>
    <w:p>
      <w:pPr>
        <w:pStyle w:val="886"/>
        <w:numPr>
          <w:ilvl w:val="1"/>
          <w:numId w:val="2"/>
        </w:numPr>
        <w:ind w:left="0" w:firstLine="425"/>
        <w:spacing w:line="360" w:lineRule="auto"/>
        <w:rPr>
          <w:rFonts w:ascii="宋体" w:hAnsi="宋体" w:cs="Arial"/>
          <w:sz w:val="24"/>
        </w:rPr>
      </w:pPr>
      <w:r>
        <w:rPr>
          <w:rFonts w:ascii="宋体" w:hAnsi="宋体" w:cs="Arial"/>
          <w:sz w:val="24"/>
        </w:rPr>
        <w:t xml:space="preserve">供应商为自然人的，应当由本人签字；供应商为法人或者其他组织的，应当由法定代表人、主要负责人，或者其授权代表签字或者盖章，并加盖公章。 </w:t>
      </w:r>
      <w:r/>
    </w:p>
    <w:p>
      <w:pPr>
        <w:pStyle w:val="886"/>
        <w:numPr>
          <w:ilvl w:val="1"/>
          <w:numId w:val="2"/>
        </w:numPr>
        <w:ind w:left="0" w:firstLine="425"/>
        <w:spacing w:line="360" w:lineRule="auto"/>
        <w:rPr>
          <w:rFonts w:hint="eastAsia" w:ascii="宋体" w:hAnsi="宋体" w:cs="Arial"/>
          <w:sz w:val="24"/>
        </w:rPr>
      </w:pPr>
      <w:r>
        <w:rPr>
          <w:rFonts w:hint="eastAsia" w:ascii="宋体" w:hAnsi="宋体" w:cs="Arial"/>
          <w:sz w:val="24"/>
        </w:rPr>
        <w:t xml:space="preserve">被质疑人在收到供应商的书面质疑后将及时组织调查核实，在七个工作日内作出答复，如对招标文件进行必要的澄清或者修改的，参照本须知“招标文件的修改”条款执行。</w:t>
      </w:r>
      <w:r/>
    </w:p>
    <w:p>
      <w:pPr>
        <w:pStyle w:val="886"/>
        <w:numPr>
          <w:ilvl w:val="1"/>
          <w:numId w:val="2"/>
        </w:numPr>
        <w:ind w:left="0" w:firstLine="425"/>
        <w:spacing w:line="360" w:lineRule="auto"/>
        <w:rPr>
          <w:rFonts w:hint="eastAsia" w:ascii="宋体" w:hAnsi="宋体" w:cs="Arial"/>
          <w:sz w:val="24"/>
        </w:rPr>
      </w:pPr>
      <w:r>
        <w:rPr>
          <w:rFonts w:hint="eastAsia" w:ascii="宋体" w:hAnsi="宋体" w:cs="Arial"/>
          <w:sz w:val="24"/>
        </w:rPr>
        <w:t xml:space="preserve">供应商不得虚假质疑和恶意质疑，并对质疑内容的真实性承担责任。供应商或者其他利害关系人通过捏造事实、伪造证明材料等方式提出异议或投诉，阻碍招投标活动正常进行的，属于严重不良行为，将提请财政部门将其列入不良行为记录名单，并依法予以处罚。</w:t>
      </w:r>
      <w:r/>
    </w:p>
    <w:p>
      <w:pPr>
        <w:pStyle w:val="886"/>
        <w:numPr>
          <w:ilvl w:val="1"/>
          <w:numId w:val="2"/>
        </w:numPr>
        <w:ind w:left="0" w:firstLine="425"/>
        <w:spacing w:line="360" w:lineRule="auto"/>
        <w:rPr>
          <w:rFonts w:hint="eastAsia" w:ascii="宋体" w:hAnsi="宋体" w:cs="Arial"/>
          <w:sz w:val="24"/>
        </w:rPr>
      </w:pPr>
      <w:r>
        <w:rPr>
          <w:rFonts w:hint="eastAsia" w:ascii="宋体" w:hAnsi="宋体" w:cs="Arial"/>
          <w:sz w:val="24"/>
        </w:rPr>
        <w:t xml:space="preserve">供应商“依法获取采购文件”的方式为供应商进行网上报名后在报名系统中自行下载采购文件。</w:t>
      </w:r>
      <w:r/>
    </w:p>
    <w:p>
      <w:pPr>
        <w:pStyle w:val="886"/>
        <w:numPr>
          <w:ilvl w:val="0"/>
          <w:numId w:val="1"/>
        </w:numPr>
        <w:ind w:left="850" w:hanging="424"/>
        <w:spacing w:line="360" w:lineRule="auto"/>
        <w:rPr>
          <w:rFonts w:ascii="宋体" w:hAnsi="宋体" w:cs="Arial"/>
          <w:b/>
          <w:sz w:val="24"/>
        </w:rPr>
      </w:pPr>
      <w:r>
        <w:rPr>
          <w:rFonts w:hint="eastAsia" w:ascii="宋体" w:hAnsi="宋体" w:cs="Arial"/>
          <w:b/>
          <w:sz w:val="24"/>
        </w:rPr>
        <w:t xml:space="preserve">投标文件说明</w:t>
      </w:r>
      <w:r>
        <w:rPr>
          <w:rFonts w:ascii="宋体" w:hAnsi="宋体" w:cs="Arial"/>
          <w:b/>
          <w:sz w:val="24"/>
        </w:rPr>
      </w:r>
      <w:r/>
    </w:p>
    <w:p>
      <w:pPr>
        <w:pStyle w:val="886"/>
        <w:numPr>
          <w:ilvl w:val="0"/>
          <w:numId w:val="2"/>
        </w:numPr>
        <w:ind w:left="849" w:hanging="423"/>
        <w:spacing w:line="360" w:lineRule="auto"/>
        <w:rPr>
          <w:rFonts w:ascii="宋体" w:hAnsi="宋体" w:cs="Arial"/>
          <w:b/>
          <w:sz w:val="24"/>
        </w:rPr>
      </w:pPr>
      <w:r>
        <w:rPr>
          <w:rFonts w:hint="eastAsia" w:ascii="宋体" w:hAnsi="宋体" w:cs="Arial"/>
          <w:b/>
          <w:sz w:val="24"/>
        </w:rPr>
        <w:t xml:space="preserve">投标文件计量单位和使用文字</w:t>
      </w:r>
      <w:r>
        <w:rPr>
          <w:rFonts w:ascii="宋体" w:hAnsi="宋体" w:cs="Arial"/>
          <w:b/>
          <w:sz w:val="24"/>
        </w:rPr>
      </w:r>
      <w:r/>
    </w:p>
    <w:p>
      <w:pPr>
        <w:pStyle w:val="886"/>
        <w:numPr>
          <w:ilvl w:val="1"/>
          <w:numId w:val="2"/>
        </w:numPr>
        <w:ind w:left="0" w:firstLine="425"/>
        <w:spacing w:line="360" w:lineRule="auto"/>
        <w:rPr>
          <w:rFonts w:ascii="宋体" w:hAnsi="宋体" w:cs="Arial"/>
          <w:sz w:val="24"/>
        </w:rPr>
      </w:pPr>
      <w:r>
        <w:rPr>
          <w:rFonts w:hint="eastAsia" w:ascii="宋体" w:hAnsi="宋体" w:cs="Arial"/>
          <w:sz w:val="24"/>
        </w:rPr>
        <w:t xml:space="preserve">投标文件中所使用的计量单位，除招标文件中有特殊要求外，应采用国家法定计量单位。</w:t>
      </w:r>
      <w:r>
        <w:rPr>
          <w:rFonts w:ascii="宋体" w:hAnsi="宋体" w:cs="Arial"/>
          <w:sz w:val="24"/>
        </w:rPr>
      </w:r>
      <w:r/>
    </w:p>
    <w:p>
      <w:pPr>
        <w:pStyle w:val="886"/>
        <w:numPr>
          <w:ilvl w:val="1"/>
          <w:numId w:val="2"/>
        </w:numPr>
        <w:ind w:left="0" w:firstLine="425"/>
        <w:spacing w:line="360" w:lineRule="auto"/>
        <w:rPr>
          <w:rFonts w:ascii="宋体" w:hAnsi="宋体" w:cs="Arial"/>
          <w:sz w:val="24"/>
        </w:rPr>
      </w:pPr>
      <w:r>
        <w:rPr>
          <w:rFonts w:hint="eastAsia" w:ascii="宋体" w:hAnsi="宋体" w:cs="Arial"/>
          <w:sz w:val="24"/>
        </w:rPr>
        <w:t xml:space="preserve">投标文件应使用中文编制，投标文件中必须使用其他文字的，必须附有中文译本。对于未附有中文译本和中文译本不准确的投标文件，由此引起对投标人不利后果的，招标代理人概不负责。</w:t>
      </w:r>
      <w:r>
        <w:rPr>
          <w:rFonts w:ascii="宋体" w:hAnsi="宋体" w:cs="Arial"/>
          <w:sz w:val="24"/>
        </w:rPr>
      </w:r>
      <w:r/>
    </w:p>
    <w:p>
      <w:pPr>
        <w:pStyle w:val="886"/>
        <w:numPr>
          <w:ilvl w:val="0"/>
          <w:numId w:val="2"/>
        </w:numPr>
        <w:ind w:left="849" w:hanging="423"/>
        <w:spacing w:line="360" w:lineRule="auto"/>
        <w:rPr>
          <w:rFonts w:ascii="宋体" w:hAnsi="宋体" w:cs="Arial"/>
          <w:b/>
          <w:sz w:val="24"/>
        </w:rPr>
      </w:pPr>
      <w:r>
        <w:rPr>
          <w:rFonts w:hint="eastAsia" w:ascii="宋体" w:hAnsi="宋体" w:cs="Arial"/>
          <w:b/>
          <w:sz w:val="24"/>
        </w:rPr>
        <w:t xml:space="preserve">电子投标文件的组成和顺序</w:t>
      </w:r>
      <w:r>
        <w:rPr>
          <w:rFonts w:ascii="宋体" w:hAnsi="宋体" w:cs="Arial"/>
          <w:b/>
          <w:sz w:val="24"/>
        </w:rPr>
      </w:r>
      <w:r/>
    </w:p>
    <w:p>
      <w:pPr>
        <w:pStyle w:val="886"/>
        <w:numPr>
          <w:ilvl w:val="1"/>
          <w:numId w:val="2"/>
        </w:numPr>
        <w:ind w:left="0" w:firstLine="425"/>
        <w:spacing w:line="360" w:lineRule="auto"/>
        <w:rPr>
          <w:rFonts w:hint="eastAsia" w:ascii="宋体" w:hAnsi="宋体" w:cs="Arial"/>
          <w:sz w:val="24"/>
        </w:rPr>
      </w:pPr>
      <w:r>
        <w:rPr>
          <w:rFonts w:hint="eastAsia" w:ascii="宋体" w:hAnsi="宋体" w:cs="Arial"/>
          <w:b/>
          <w:bCs/>
          <w:sz w:val="24"/>
        </w:rPr>
        <w:t xml:space="preserve">基本目录</w:t>
      </w:r>
      <w:r>
        <w:rPr>
          <w:rFonts w:hint="eastAsia" w:ascii="宋体" w:hAnsi="宋体" w:cs="Arial"/>
          <w:sz w:val="24"/>
        </w:rPr>
        <w:t xml:space="preserve">：</w:t>
      </w:r>
      <w:r/>
    </w:p>
    <w:p>
      <w:pPr>
        <w:pStyle w:val="886"/>
        <w:ind w:left="425"/>
        <w:spacing w:line="360" w:lineRule="auto"/>
        <w:rPr>
          <w:rFonts w:hint="eastAsia" w:ascii="宋体" w:hAnsi="宋体" w:cs="Arial"/>
          <w:sz w:val="24"/>
        </w:rPr>
      </w:pPr>
      <w:r>
        <w:rPr>
          <w:rFonts w:hint="eastAsia" w:ascii="宋体" w:hAnsi="宋体" w:cs="Arial"/>
          <w:sz w:val="24"/>
        </w:rPr>
        <w:t xml:space="preserve">13.1.1封面；</w:t>
      </w:r>
      <w:r/>
    </w:p>
    <w:p>
      <w:pPr>
        <w:pStyle w:val="886"/>
        <w:ind w:left="425"/>
        <w:spacing w:line="360" w:lineRule="auto"/>
        <w:rPr>
          <w:rFonts w:hint="eastAsia" w:ascii="宋体" w:hAnsi="宋体" w:cs="Arial"/>
          <w:sz w:val="24"/>
        </w:rPr>
      </w:pPr>
      <w:r>
        <w:rPr>
          <w:rFonts w:hint="eastAsia" w:ascii="宋体" w:hAnsi="宋体" w:cs="Arial"/>
          <w:sz w:val="24"/>
        </w:rPr>
        <w:t xml:space="preserve">13.1.2开标一览表（格式见第三章）；</w:t>
      </w:r>
      <w:r/>
    </w:p>
    <w:p>
      <w:pPr>
        <w:pStyle w:val="886"/>
        <w:ind w:left="425"/>
        <w:spacing w:line="360" w:lineRule="auto"/>
        <w:rPr>
          <w:rFonts w:hint="eastAsia" w:ascii="宋体" w:hAnsi="宋体" w:cs="Arial"/>
          <w:sz w:val="24"/>
        </w:rPr>
      </w:pPr>
      <w:r>
        <w:rPr>
          <w:rFonts w:hint="eastAsia" w:ascii="宋体" w:hAnsi="宋体" w:cs="Arial"/>
          <w:sz w:val="24"/>
        </w:rPr>
        <w:t xml:space="preserve">13.1.3公开分项报价（格式见第三章）；</w:t>
      </w:r>
      <w:r/>
    </w:p>
    <w:p>
      <w:pPr>
        <w:pStyle w:val="886"/>
        <w:numPr>
          <w:ilvl w:val="1"/>
          <w:numId w:val="2"/>
        </w:numPr>
        <w:ind w:left="0" w:firstLine="425"/>
        <w:spacing w:line="360" w:lineRule="auto"/>
        <w:rPr>
          <w:rFonts w:hint="eastAsia" w:ascii="宋体" w:hAnsi="宋体" w:cs="Arial"/>
          <w:b/>
          <w:bCs/>
          <w:sz w:val="24"/>
        </w:rPr>
      </w:pPr>
      <w:r>
        <w:rPr>
          <w:rFonts w:hint="eastAsia" w:ascii="宋体" w:hAnsi="宋体" w:cs="Arial"/>
          <w:b/>
          <w:bCs/>
          <w:sz w:val="24"/>
        </w:rPr>
        <w:t xml:space="preserve">资格条件：</w:t>
      </w:r>
      <w:r/>
    </w:p>
    <w:p>
      <w:pPr>
        <w:pStyle w:val="886"/>
        <w:ind w:left="425"/>
        <w:spacing w:line="360" w:lineRule="auto"/>
        <w:rPr>
          <w:rFonts w:ascii="宋体" w:hAnsi="宋体" w:cs="Arial"/>
          <w:sz w:val="24"/>
        </w:rPr>
      </w:pPr>
      <w:r/>
      <w:bookmarkStart w:id="14" w:name="_Hlk166688923"/>
      <w:r>
        <w:rPr>
          <w:rFonts w:hint="eastAsia" w:ascii="宋体" w:hAnsi="宋体" w:cs="Arial"/>
          <w:sz w:val="24"/>
        </w:rPr>
        <w:t xml:space="preserve">13.2.1满足《中华人民共和国政府采购法》第二十二条规定</w:t>
      </w:r>
      <w:r>
        <w:rPr>
          <w:rFonts w:ascii="宋体" w:hAnsi="宋体" w:cs="Arial"/>
          <w:sz w:val="24"/>
        </w:rPr>
      </w:r>
      <w:r/>
    </w:p>
    <w:p>
      <w:pPr>
        <w:pStyle w:val="886"/>
        <w:ind w:left="425"/>
        <w:spacing w:line="360" w:lineRule="auto"/>
        <w:rPr>
          <w:rFonts w:ascii="宋体" w:hAnsi="宋体" w:cs="Arial"/>
          <w:sz w:val="24"/>
        </w:rPr>
      </w:pPr>
      <w:r>
        <w:rPr>
          <w:rFonts w:hint="eastAsia" w:ascii="宋体" w:hAnsi="宋体" w:cs="Arial"/>
          <w:sz w:val="24"/>
        </w:rPr>
        <w:t xml:space="preserve">13.2.1.1具有独立承担民事责任的能力（提供法人或者其他组织的营业执照等证明文件、自然人的身份证明）；</w:t>
      </w:r>
      <w:r>
        <w:rPr>
          <w:rFonts w:ascii="宋体" w:hAnsi="宋体" w:cs="Arial"/>
          <w:sz w:val="24"/>
        </w:rPr>
      </w:r>
      <w:r/>
    </w:p>
    <w:p>
      <w:pPr>
        <w:pStyle w:val="886"/>
        <w:ind w:left="425"/>
        <w:spacing w:line="360" w:lineRule="auto"/>
        <w:rPr>
          <w:rFonts w:ascii="宋体" w:hAnsi="宋体" w:cs="Arial"/>
          <w:sz w:val="24"/>
        </w:rPr>
      </w:pPr>
      <w:r>
        <w:rPr>
          <w:rFonts w:hint="eastAsia" w:ascii="宋体" w:hAnsi="宋体" w:cs="Arial"/>
          <w:sz w:val="24"/>
        </w:rPr>
        <w:t xml:space="preserve">13.2.1.2具有良好的商业信誉和健全的财务会计制度（提供投标承诺函或提供相应证明材料）；</w:t>
      </w:r>
      <w:r>
        <w:rPr>
          <w:rFonts w:ascii="宋体" w:hAnsi="宋体" w:cs="Arial"/>
          <w:sz w:val="24"/>
        </w:rPr>
      </w:r>
      <w:r/>
    </w:p>
    <w:p>
      <w:pPr>
        <w:pStyle w:val="886"/>
        <w:ind w:left="425"/>
        <w:spacing w:line="360" w:lineRule="auto"/>
        <w:rPr>
          <w:rFonts w:ascii="宋体" w:hAnsi="宋体" w:cs="Arial"/>
          <w:sz w:val="24"/>
        </w:rPr>
      </w:pPr>
      <w:r>
        <w:rPr>
          <w:rFonts w:hint="eastAsia" w:ascii="宋体" w:hAnsi="宋体" w:cs="Arial"/>
          <w:sz w:val="24"/>
        </w:rPr>
        <w:t xml:space="preserve">13.2.1.3具有履行合同所必需的设备和专业技术能力（提供投标承诺函或提供相应证明材料）；</w:t>
      </w:r>
      <w:r>
        <w:rPr>
          <w:rFonts w:ascii="宋体" w:hAnsi="宋体" w:cs="Arial"/>
          <w:sz w:val="24"/>
        </w:rPr>
      </w:r>
      <w:r/>
    </w:p>
    <w:p>
      <w:pPr>
        <w:pStyle w:val="886"/>
        <w:ind w:left="425"/>
        <w:spacing w:line="360" w:lineRule="auto"/>
        <w:rPr>
          <w:rFonts w:ascii="宋体" w:hAnsi="宋体" w:cs="Arial"/>
          <w:sz w:val="24"/>
        </w:rPr>
      </w:pPr>
      <w:r>
        <w:rPr>
          <w:rFonts w:hint="eastAsia" w:ascii="宋体" w:hAnsi="宋体" w:cs="Arial"/>
          <w:sz w:val="24"/>
        </w:rPr>
        <w:t xml:space="preserve">13.2.1.4具有依法缴纳税收和社会保障资金的良好记录（提供投标承诺函或提供相应证明材料）；</w:t>
      </w:r>
      <w:r>
        <w:rPr>
          <w:rFonts w:ascii="宋体" w:hAnsi="宋体" w:cs="Arial"/>
          <w:sz w:val="24"/>
        </w:rPr>
      </w:r>
      <w:r/>
    </w:p>
    <w:p>
      <w:pPr>
        <w:pStyle w:val="886"/>
        <w:ind w:left="425"/>
        <w:spacing w:line="360" w:lineRule="auto"/>
        <w:rPr>
          <w:rFonts w:ascii="宋体" w:hAnsi="宋体" w:cs="Arial"/>
          <w:sz w:val="24"/>
        </w:rPr>
      </w:pPr>
      <w:r>
        <w:rPr>
          <w:rFonts w:hint="eastAsia" w:ascii="宋体" w:hAnsi="宋体" w:cs="Arial"/>
          <w:sz w:val="24"/>
        </w:rPr>
        <w:t xml:space="preserve">13.2.1.5参加政府采购活动前三年内，在经营活动中没有重大违法记录（提供投标承诺函或提供相应证明材料）</w:t>
      </w:r>
      <w:bookmarkEnd w:id="14"/>
      <w:r>
        <w:rPr>
          <w:rFonts w:hint="eastAsia" w:ascii="宋体" w:hAnsi="宋体" w:cs="Arial"/>
          <w:sz w:val="24"/>
        </w:rPr>
        <w:t xml:space="preserve">。</w:t>
      </w:r>
      <w:r>
        <w:rPr>
          <w:rFonts w:ascii="宋体" w:hAnsi="宋体" w:cs="Arial"/>
          <w:sz w:val="24"/>
        </w:rPr>
      </w:r>
      <w:r/>
    </w:p>
    <w:p>
      <w:pPr>
        <w:pStyle w:val="886"/>
        <w:ind w:left="425"/>
        <w:spacing w:line="360" w:lineRule="auto"/>
        <w:rPr>
          <w:rFonts w:ascii="宋体" w:hAnsi="宋体" w:cs="Arial"/>
          <w:sz w:val="24"/>
        </w:rPr>
      </w:pPr>
      <w:r>
        <w:rPr>
          <w:rFonts w:hint="eastAsia" w:ascii="宋体" w:hAnsi="宋体" w:cs="Arial"/>
          <w:sz w:val="24"/>
        </w:rPr>
        <w:t xml:space="preserve">13.2.2</w:t>
      </w:r>
      <w:r>
        <w:rPr>
          <w:rFonts w:hint="eastAsia" w:ascii="宋体" w:hAnsi="宋体" w:cs="Arial"/>
          <w:sz w:val="24"/>
        </w:rPr>
        <w:fldChar w:fldCharType="begin"/>
      </w:r>
      <w:r>
        <w:rPr>
          <w:rFonts w:ascii="宋体" w:hAnsi="宋体" w:cs="Arial"/>
          <w:sz w:val="24"/>
        </w:rPr>
        <w:instrText xml:space="preserve"> HYPERLINK "file:///F:\\wechat\\WeChat%20Files\\chf0220\\FileStorage\\File\\2023-03\\关于印发《苏州市政府采购促进中小企业发展实施意见》的通知（苏财购%5b2022%5d16号）.pdf" </w:instrText>
      </w:r>
      <w:r>
        <w:rPr>
          <w:rFonts w:hint="eastAsia" w:ascii="宋体" w:hAnsi="宋体" w:cs="Arial"/>
          <w:sz w:val="24"/>
        </w:rPr>
        <w:fldChar w:fldCharType="separate"/>
      </w:r>
      <w:r>
        <w:rPr>
          <w:rFonts w:hint="eastAsia" w:ascii="宋体" w:hAnsi="宋体" w:cs="Arial"/>
          <w:sz w:val="24"/>
        </w:rPr>
        <w:t xml:space="preserve">落实政府采购政策需满足的资格要求</w:t>
      </w:r>
      <w:r>
        <w:rPr>
          <w:rFonts w:hint="eastAsia" w:ascii="宋体" w:hAnsi="宋体" w:cs="Arial"/>
          <w:sz w:val="24"/>
        </w:rPr>
        <w:fldChar w:fldCharType="end"/>
      </w:r>
      <w:r>
        <w:rPr>
          <w:rFonts w:hint="eastAsia" w:ascii="宋体" w:hAnsi="宋体" w:cs="Arial"/>
          <w:sz w:val="24"/>
        </w:rPr>
        <w:t xml:space="preserve">：（如有落实政府采购政策需满足的资格条件，则必须按要求提供以下材料中的至少一份，否则将被认定为资格审查不合格）。</w:t>
      </w:r>
      <w:r>
        <w:rPr>
          <w:rFonts w:ascii="宋体" w:hAnsi="宋体" w:cs="Arial"/>
          <w:sz w:val="24"/>
        </w:rPr>
      </w:r>
      <w:r/>
    </w:p>
    <w:p>
      <w:pPr>
        <w:pStyle w:val="886"/>
        <w:ind w:left="425"/>
        <w:spacing w:line="360" w:lineRule="auto"/>
        <w:rPr>
          <w:rFonts w:ascii="宋体" w:hAnsi="宋体" w:cs="Arial"/>
          <w:sz w:val="24"/>
        </w:rPr>
      </w:pPr>
      <w:r>
        <w:rPr>
          <w:rFonts w:hint="eastAsia" w:ascii="宋体" w:hAnsi="宋体" w:cs="Arial"/>
          <w:sz w:val="24"/>
        </w:rPr>
        <w:t xml:space="preserve">13.2.2.1中小企业声明函（格式见第三章）；</w:t>
      </w:r>
      <w:r>
        <w:rPr>
          <w:rFonts w:ascii="宋体" w:hAnsi="宋体" w:cs="Arial"/>
          <w:sz w:val="24"/>
        </w:rPr>
      </w:r>
      <w:r/>
    </w:p>
    <w:p>
      <w:pPr>
        <w:pStyle w:val="886"/>
        <w:ind w:left="425"/>
        <w:spacing w:line="360" w:lineRule="auto"/>
        <w:rPr>
          <w:rFonts w:ascii="宋体" w:hAnsi="宋体" w:cs="Arial"/>
          <w:sz w:val="24"/>
        </w:rPr>
      </w:pPr>
      <w:r>
        <w:rPr>
          <w:rFonts w:hint="eastAsia" w:ascii="宋体" w:hAnsi="宋体" w:cs="Arial"/>
          <w:sz w:val="24"/>
        </w:rPr>
        <w:t xml:space="preserve">13.2.2.2残疾人福利性单位声明函（格式见第三章）；</w:t>
      </w:r>
      <w:r>
        <w:rPr>
          <w:rFonts w:ascii="宋体" w:hAnsi="宋体" w:cs="Arial"/>
          <w:sz w:val="24"/>
        </w:rPr>
      </w:r>
      <w:r/>
    </w:p>
    <w:p>
      <w:pPr>
        <w:pStyle w:val="886"/>
        <w:ind w:left="425"/>
        <w:spacing w:line="360" w:lineRule="auto"/>
        <w:rPr>
          <w:rFonts w:ascii="宋体" w:hAnsi="宋体" w:cs="Arial"/>
          <w:sz w:val="24"/>
        </w:rPr>
      </w:pPr>
      <w:r>
        <w:rPr>
          <w:rFonts w:hint="eastAsia" w:ascii="宋体" w:hAnsi="宋体" w:cs="Arial"/>
          <w:sz w:val="24"/>
        </w:rPr>
        <w:t xml:space="preserve">13.2.2.3监狱企业证明文件。</w:t>
      </w:r>
      <w:r>
        <w:rPr>
          <w:rFonts w:ascii="宋体" w:hAnsi="宋体" w:cs="Arial"/>
          <w:sz w:val="24"/>
        </w:rPr>
      </w:r>
      <w:r/>
    </w:p>
    <w:p>
      <w:pPr>
        <w:pStyle w:val="886"/>
        <w:ind w:left="425"/>
        <w:spacing w:line="360" w:lineRule="auto"/>
        <w:rPr>
          <w:rFonts w:ascii="宋体" w:hAnsi="宋体" w:cs="Arial"/>
          <w:sz w:val="24"/>
        </w:rPr>
      </w:pPr>
      <w:r>
        <w:rPr>
          <w:rFonts w:hint="eastAsia" w:ascii="宋体" w:hAnsi="宋体" w:cs="Arial"/>
          <w:sz w:val="24"/>
        </w:rPr>
        <w:t xml:space="preserve">13.2.3未被“信用中国”网站（www.creditchina.gov.cn）列入失信被执行人、重大税收违法案件当事人名单、政府采购严重失信行为记录名单，提供网站对应查询截图（查询方式：“信用中国”首页→“信用服务”版块→根据要求分别查询）。</w:t>
      </w:r>
      <w:r>
        <w:rPr>
          <w:rFonts w:ascii="宋体" w:hAnsi="宋体" w:cs="Arial"/>
          <w:sz w:val="24"/>
        </w:rPr>
      </w:r>
      <w:r/>
    </w:p>
    <w:p>
      <w:pPr>
        <w:pStyle w:val="886"/>
        <w:numPr>
          <w:ilvl w:val="1"/>
          <w:numId w:val="2"/>
        </w:numPr>
        <w:ind w:left="0" w:firstLine="425"/>
        <w:spacing w:line="360" w:lineRule="auto"/>
        <w:rPr>
          <w:rFonts w:hint="eastAsia" w:ascii="宋体" w:hAnsi="宋体" w:cs="Arial"/>
          <w:b/>
          <w:bCs/>
          <w:sz w:val="24"/>
        </w:rPr>
      </w:pPr>
      <w:r>
        <w:rPr>
          <w:rFonts w:hint="eastAsia" w:ascii="宋体" w:hAnsi="宋体" w:cs="Arial"/>
          <w:b/>
          <w:bCs/>
          <w:sz w:val="24"/>
        </w:rPr>
        <w:t xml:space="preserve">符合性条件</w:t>
      </w:r>
      <w:r/>
    </w:p>
    <w:p>
      <w:pPr>
        <w:pStyle w:val="886"/>
        <w:ind w:left="425"/>
        <w:spacing w:line="360" w:lineRule="auto"/>
        <w:rPr>
          <w:rFonts w:ascii="宋体" w:hAnsi="宋体" w:cs="Arial"/>
          <w:sz w:val="24"/>
        </w:rPr>
      </w:pPr>
      <w:r>
        <w:rPr>
          <w:rFonts w:hint="eastAsia" w:ascii="宋体" w:hAnsi="宋体" w:cs="Arial"/>
          <w:sz w:val="24"/>
        </w:rPr>
        <w:t xml:space="preserve">13.3.1报价（提供报价不超项目预算声明函，格式自拟）</w:t>
      </w:r>
      <w:r>
        <w:rPr>
          <w:rFonts w:ascii="宋体" w:hAnsi="宋体" w:cs="Arial"/>
          <w:sz w:val="24"/>
        </w:rPr>
      </w:r>
      <w:r/>
    </w:p>
    <w:p>
      <w:pPr>
        <w:pStyle w:val="886"/>
        <w:ind w:left="425"/>
        <w:spacing w:line="360" w:lineRule="auto"/>
        <w:rPr>
          <w:rFonts w:ascii="宋体" w:hAnsi="宋体" w:cs="Arial"/>
          <w:sz w:val="24"/>
        </w:rPr>
      </w:pPr>
      <w:r>
        <w:rPr>
          <w:rFonts w:hint="eastAsia" w:ascii="宋体" w:hAnsi="宋体" w:cs="Arial"/>
          <w:sz w:val="24"/>
        </w:rPr>
        <w:t xml:space="preserve">13.3.2偏离表（商务）（格式见第三章）；</w:t>
      </w:r>
      <w:r>
        <w:rPr>
          <w:rFonts w:ascii="宋体" w:hAnsi="宋体" w:cs="Arial"/>
          <w:sz w:val="24"/>
        </w:rPr>
      </w:r>
      <w:r/>
    </w:p>
    <w:p>
      <w:pPr>
        <w:pStyle w:val="886"/>
        <w:ind w:left="425"/>
        <w:spacing w:line="360" w:lineRule="auto"/>
        <w:rPr>
          <w:rFonts w:ascii="宋体" w:hAnsi="宋体" w:cs="Arial"/>
          <w:sz w:val="24"/>
        </w:rPr>
      </w:pPr>
      <w:r>
        <w:rPr>
          <w:rFonts w:hint="eastAsia" w:ascii="宋体" w:hAnsi="宋体" w:cs="Arial"/>
          <w:sz w:val="24"/>
        </w:rPr>
        <w:t xml:space="preserve">13.3.3偏离表（技术）（格式见第三章）；</w:t>
      </w:r>
      <w:r>
        <w:rPr>
          <w:rFonts w:ascii="宋体" w:hAnsi="宋体" w:cs="Arial"/>
          <w:sz w:val="24"/>
        </w:rPr>
      </w:r>
      <w:r/>
    </w:p>
    <w:p>
      <w:pPr>
        <w:pStyle w:val="886"/>
        <w:ind w:left="425"/>
        <w:spacing w:line="360" w:lineRule="auto"/>
        <w:rPr>
          <w:rFonts w:ascii="宋体" w:hAnsi="宋体" w:cs="Arial"/>
          <w:sz w:val="24"/>
        </w:rPr>
      </w:pPr>
      <w:r>
        <w:rPr>
          <w:rFonts w:hint="eastAsia" w:ascii="宋体" w:hAnsi="宋体" w:cs="Arial"/>
          <w:sz w:val="24"/>
        </w:rPr>
        <w:t xml:space="preserve">13.3.4投标承诺函（格式见第三章）；</w:t>
      </w:r>
      <w:r>
        <w:rPr>
          <w:rFonts w:ascii="宋体" w:hAnsi="宋体" w:cs="Arial"/>
          <w:sz w:val="24"/>
        </w:rPr>
      </w:r>
      <w:r/>
    </w:p>
    <w:p>
      <w:pPr>
        <w:pStyle w:val="886"/>
        <w:ind w:left="425"/>
        <w:spacing w:line="360" w:lineRule="auto"/>
        <w:rPr>
          <w:rFonts w:ascii="宋体" w:hAnsi="宋体" w:cs="Arial"/>
          <w:sz w:val="24"/>
        </w:rPr>
      </w:pPr>
      <w:r>
        <w:rPr>
          <w:rFonts w:hint="eastAsia" w:ascii="宋体" w:hAnsi="宋体" w:cs="Arial"/>
          <w:sz w:val="24"/>
        </w:rPr>
        <w:t xml:space="preserve">13.4.5其他（如有）（格式见第三章）。</w:t>
      </w:r>
      <w:r>
        <w:rPr>
          <w:rFonts w:ascii="宋体" w:hAnsi="宋体" w:cs="Arial"/>
          <w:sz w:val="24"/>
        </w:rPr>
      </w:r>
      <w:r/>
    </w:p>
    <w:p>
      <w:pPr>
        <w:pStyle w:val="886"/>
        <w:ind w:left="425"/>
        <w:spacing w:line="360" w:lineRule="auto"/>
        <w:rPr>
          <w:rFonts w:hint="eastAsia" w:ascii="宋体" w:hAnsi="宋体" w:cs="Arial"/>
          <w:b/>
          <w:bCs/>
          <w:sz w:val="24"/>
        </w:rPr>
      </w:pPr>
      <w:r>
        <w:rPr>
          <w:rFonts w:hint="eastAsia" w:ascii="宋体" w:hAnsi="宋体" w:cs="Arial"/>
          <w:b/>
          <w:bCs/>
          <w:sz w:val="24"/>
        </w:rPr>
        <w:t xml:space="preserve">13.4 综合评审评分项：</w:t>
      </w:r>
      <w:r/>
    </w:p>
    <w:p>
      <w:pPr>
        <w:pStyle w:val="886"/>
        <w:ind w:left="425"/>
        <w:spacing w:line="360" w:lineRule="auto"/>
        <w:rPr>
          <w:rFonts w:hint="eastAsia" w:ascii="宋体" w:hAnsi="宋体" w:cs="Arial"/>
          <w:sz w:val="24"/>
        </w:rPr>
      </w:pPr>
      <w:r>
        <w:rPr>
          <w:rFonts w:hint="eastAsia" w:ascii="宋体" w:hAnsi="宋体" w:cs="Arial"/>
          <w:sz w:val="24"/>
        </w:rPr>
        <w:t xml:space="preserve">13.4.1评审所需的相关证明材料（技术方案、人员配置、业绩等）。</w:t>
      </w:r>
      <w:r/>
    </w:p>
    <w:p>
      <w:pPr>
        <w:pStyle w:val="886"/>
        <w:ind w:left="425"/>
        <w:spacing w:line="360" w:lineRule="auto"/>
        <w:rPr>
          <w:rFonts w:ascii="宋体" w:hAnsi="宋体" w:cs="Arial"/>
          <w:sz w:val="24"/>
        </w:rPr>
      </w:pPr>
      <w:r>
        <w:rPr>
          <w:rFonts w:hint="eastAsia" w:ascii="宋体" w:hAnsi="宋体" w:cs="Arial"/>
          <w:sz w:val="24"/>
        </w:rPr>
        <w:t xml:space="preserve">以上“13.2-13.3”为资格性、符合性审查须提供的资料，投标人必须提供并加盖电子公章。否则，投标文件将被认定为未实质性响应。投标人所提交的投标书（技术及相关文件部分）完整与否，将直接影响投标人的评分；</w:t>
      </w:r>
      <w:r>
        <w:rPr>
          <w:rFonts w:ascii="宋体" w:hAnsi="宋体" w:cs="Arial"/>
          <w:sz w:val="24"/>
        </w:rPr>
      </w:r>
      <w:r/>
    </w:p>
    <w:p>
      <w:pPr>
        <w:pStyle w:val="886"/>
        <w:numPr>
          <w:ilvl w:val="0"/>
          <w:numId w:val="2"/>
        </w:numPr>
        <w:ind w:left="849" w:hanging="423"/>
        <w:spacing w:line="360" w:lineRule="auto"/>
        <w:rPr>
          <w:rFonts w:ascii="宋体" w:hAnsi="宋体" w:cs="Arial"/>
          <w:b/>
          <w:sz w:val="24"/>
        </w:rPr>
      </w:pPr>
      <w:r>
        <w:rPr>
          <w:rFonts w:hint="eastAsia" w:ascii="宋体" w:hAnsi="宋体" w:cs="Arial"/>
          <w:b/>
          <w:sz w:val="24"/>
        </w:rPr>
        <w:t xml:space="preserve">投标文件编制说明</w:t>
      </w:r>
      <w:r>
        <w:rPr>
          <w:rFonts w:ascii="宋体" w:hAnsi="宋体" w:cs="Arial"/>
          <w:b/>
          <w:sz w:val="24"/>
        </w:rPr>
      </w:r>
      <w:r/>
    </w:p>
    <w:p>
      <w:pPr>
        <w:pStyle w:val="886"/>
        <w:numPr>
          <w:ilvl w:val="1"/>
          <w:numId w:val="2"/>
        </w:numPr>
        <w:ind w:left="0" w:firstLine="425"/>
        <w:spacing w:line="360" w:lineRule="auto"/>
        <w:rPr>
          <w:rFonts w:ascii="宋体" w:hAnsi="宋体" w:cs="Arial"/>
          <w:sz w:val="24"/>
        </w:rPr>
      </w:pPr>
      <w:r>
        <w:rPr>
          <w:rFonts w:hint="eastAsia" w:ascii="宋体" w:hAnsi="宋体" w:cs="Arial"/>
          <w:sz w:val="24"/>
        </w:rPr>
        <w:t xml:space="preserve">电子投标文件按招标文件规定的格式制作，如果未按要求制作上传，可能导致投标无效。</w:t>
      </w:r>
      <w:r>
        <w:rPr>
          <w:rFonts w:ascii="宋体" w:hAnsi="宋体" w:cs="Arial"/>
          <w:sz w:val="24"/>
        </w:rPr>
      </w:r>
      <w:r/>
    </w:p>
    <w:p>
      <w:pPr>
        <w:pStyle w:val="886"/>
        <w:numPr>
          <w:ilvl w:val="1"/>
          <w:numId w:val="2"/>
        </w:numPr>
        <w:ind w:left="0" w:firstLine="425"/>
        <w:spacing w:line="360" w:lineRule="auto"/>
        <w:rPr>
          <w:rFonts w:hint="eastAsia" w:ascii="宋体" w:hAnsi="宋体" w:cs="Arial"/>
          <w:sz w:val="24"/>
        </w:rPr>
      </w:pPr>
      <w:r>
        <w:rPr>
          <w:rFonts w:hint="eastAsia" w:ascii="宋体" w:hAnsi="宋体" w:cs="Arial"/>
          <w:sz w:val="24"/>
        </w:rPr>
        <w:t xml:space="preserve">开标一览表为在开标仪式上网上唱标的内容，要求按格式填写，统一规范，不得自行增减内容（格式见第三章）。</w:t>
      </w:r>
      <w:r/>
    </w:p>
    <w:p>
      <w:pPr>
        <w:pStyle w:val="886"/>
        <w:numPr>
          <w:ilvl w:val="0"/>
          <w:numId w:val="2"/>
        </w:numPr>
        <w:ind w:left="849" w:hanging="423"/>
        <w:spacing w:line="360" w:lineRule="auto"/>
        <w:rPr>
          <w:rFonts w:ascii="宋体" w:hAnsi="宋体" w:cs="Arial"/>
          <w:b/>
          <w:sz w:val="24"/>
        </w:rPr>
      </w:pPr>
      <w:r>
        <w:rPr>
          <w:rFonts w:hint="eastAsia" w:ascii="宋体" w:hAnsi="宋体" w:cs="Arial"/>
          <w:b/>
          <w:sz w:val="24"/>
        </w:rPr>
        <w:t xml:space="preserve">对本次投标的详细说明的编制</w:t>
      </w:r>
      <w:r>
        <w:rPr>
          <w:rFonts w:ascii="宋体" w:hAnsi="宋体" w:cs="Arial"/>
          <w:b/>
          <w:sz w:val="24"/>
        </w:rPr>
      </w:r>
      <w:r/>
    </w:p>
    <w:p>
      <w:pPr>
        <w:pStyle w:val="886"/>
        <w:numPr>
          <w:ilvl w:val="1"/>
          <w:numId w:val="2"/>
        </w:numPr>
        <w:ind w:left="0" w:firstLine="425"/>
        <w:spacing w:line="360" w:lineRule="auto"/>
        <w:rPr>
          <w:rFonts w:ascii="宋体" w:hAnsi="宋体" w:cs="Arial"/>
          <w:sz w:val="24"/>
        </w:rPr>
      </w:pPr>
      <w:r>
        <w:rPr>
          <w:rFonts w:hint="eastAsia" w:ascii="宋体" w:hAnsi="宋体" w:cs="Arial"/>
          <w:sz w:val="24"/>
        </w:rPr>
        <w:t xml:space="preserve">对本次投标的详细说明由投标人视各自的情况自行编制，规格幅面应与正文一致，附于正文之后，与正文页码统一编目编码装订成册。</w:t>
      </w:r>
      <w:r>
        <w:rPr>
          <w:rFonts w:ascii="宋体" w:hAnsi="宋体" w:cs="Arial"/>
          <w:sz w:val="24"/>
        </w:rPr>
      </w:r>
      <w:r/>
    </w:p>
    <w:p>
      <w:pPr>
        <w:pStyle w:val="886"/>
        <w:numPr>
          <w:ilvl w:val="0"/>
          <w:numId w:val="2"/>
        </w:numPr>
        <w:ind w:left="849" w:hanging="423"/>
        <w:spacing w:line="360" w:lineRule="auto"/>
        <w:rPr>
          <w:rFonts w:ascii="宋体" w:hAnsi="宋体" w:cs="Arial"/>
          <w:b/>
          <w:sz w:val="24"/>
        </w:rPr>
      </w:pPr>
      <w:r>
        <w:rPr>
          <w:rFonts w:hint="eastAsia" w:ascii="宋体" w:hAnsi="宋体" w:cs="Arial"/>
          <w:b/>
          <w:sz w:val="24"/>
        </w:rPr>
        <w:t xml:space="preserve">投标报价</w:t>
      </w:r>
      <w:r>
        <w:rPr>
          <w:rFonts w:ascii="宋体" w:hAnsi="宋体" w:cs="Arial"/>
          <w:b/>
          <w:sz w:val="24"/>
        </w:rPr>
      </w:r>
      <w:r/>
    </w:p>
    <w:p>
      <w:pPr>
        <w:pStyle w:val="886"/>
        <w:numPr>
          <w:ilvl w:val="1"/>
          <w:numId w:val="2"/>
        </w:numPr>
        <w:ind w:left="0" w:firstLine="425"/>
        <w:spacing w:line="360" w:lineRule="auto"/>
        <w:rPr>
          <w:rFonts w:hint="eastAsia" w:ascii="宋体" w:hAnsi="宋体" w:cs="Arial"/>
          <w:sz w:val="24"/>
        </w:rPr>
      </w:pPr>
      <w:r>
        <w:rPr>
          <w:rFonts w:hint="eastAsia" w:ascii="宋体" w:hAnsi="宋体" w:cs="Arial"/>
          <w:sz w:val="24"/>
        </w:rPr>
        <w:t xml:space="preserve">投标报价，包括招标文件规定的所有费用。</w:t>
      </w:r>
      <w:r/>
    </w:p>
    <w:p>
      <w:pPr>
        <w:pStyle w:val="886"/>
        <w:numPr>
          <w:ilvl w:val="1"/>
          <w:numId w:val="2"/>
        </w:numPr>
        <w:ind w:left="0" w:firstLine="425"/>
        <w:spacing w:line="360" w:lineRule="auto"/>
        <w:rPr>
          <w:rFonts w:ascii="宋体" w:hAnsi="宋体" w:cs="Arial"/>
          <w:sz w:val="24"/>
        </w:rPr>
      </w:pPr>
      <w:r>
        <w:rPr>
          <w:rFonts w:hint="eastAsia" w:ascii="宋体" w:hAnsi="宋体" w:cs="Arial"/>
          <w:sz w:val="24"/>
        </w:rPr>
        <w:t xml:space="preserve">投标人应按《投标报价表》中的整个投标项目计算单价和总价。《投标报价表》中的每一单项均应计算并填写单价和总价，并由法定代表人或被授权人签署。</w:t>
      </w:r>
      <w:r>
        <w:rPr>
          <w:rFonts w:ascii="宋体" w:hAnsi="宋体" w:cs="Arial"/>
          <w:sz w:val="24"/>
        </w:rPr>
      </w:r>
      <w:r/>
    </w:p>
    <w:p>
      <w:pPr>
        <w:pStyle w:val="886"/>
        <w:numPr>
          <w:ilvl w:val="1"/>
          <w:numId w:val="2"/>
        </w:numPr>
        <w:ind w:left="0" w:firstLine="425"/>
        <w:spacing w:line="360" w:lineRule="auto"/>
        <w:rPr>
          <w:rFonts w:ascii="宋体" w:hAnsi="宋体" w:cs="Arial"/>
          <w:sz w:val="24"/>
        </w:rPr>
      </w:pPr>
      <w:r>
        <w:rPr>
          <w:rFonts w:hint="eastAsia" w:ascii="宋体" w:hAnsi="宋体" w:cs="Arial"/>
          <w:sz w:val="24"/>
        </w:rPr>
        <w:t xml:space="preserve">投标人应对招标文件内所要采购的全部内容进行报价，只投其中部分内容者，则投标为无效标。但如果招标文件要求分标段投标的，则投标人可以根据自己经营许可内容有选择地只投其中一个或几个或全部标段，但各标段应分别计算填写单价和总价。</w:t>
      </w:r>
      <w:r>
        <w:rPr>
          <w:rFonts w:ascii="宋体" w:hAnsi="宋体" w:cs="Arial"/>
          <w:sz w:val="24"/>
        </w:rPr>
      </w:r>
      <w:r/>
    </w:p>
    <w:p>
      <w:pPr>
        <w:pStyle w:val="886"/>
        <w:numPr>
          <w:ilvl w:val="1"/>
          <w:numId w:val="2"/>
        </w:numPr>
        <w:ind w:left="0" w:firstLine="425"/>
        <w:spacing w:line="360" w:lineRule="auto"/>
        <w:rPr>
          <w:rFonts w:ascii="宋体" w:hAnsi="宋体" w:cs="Arial"/>
          <w:sz w:val="24"/>
        </w:rPr>
      </w:pPr>
      <w:r>
        <w:rPr>
          <w:rFonts w:ascii="宋体" w:hAnsi="宋体" w:cs="Arial"/>
          <w:sz w:val="24"/>
        </w:rPr>
        <w:t xml:space="preserve">一项投标内容只允许一个报价，招标</w:t>
      </w:r>
      <w:r>
        <w:rPr>
          <w:rFonts w:hint="eastAsia" w:ascii="宋体" w:hAnsi="宋体" w:cs="Arial"/>
          <w:sz w:val="24"/>
        </w:rPr>
        <w:t xml:space="preserve">代理</w:t>
      </w:r>
      <w:r>
        <w:rPr>
          <w:rFonts w:ascii="宋体" w:hAnsi="宋体" w:cs="Arial"/>
          <w:sz w:val="24"/>
        </w:rPr>
        <w:t xml:space="preserve">人不接受任何有选择性的投标报价。</w:t>
      </w:r>
      <w:r/>
    </w:p>
    <w:p>
      <w:pPr>
        <w:pStyle w:val="886"/>
        <w:numPr>
          <w:ilvl w:val="1"/>
          <w:numId w:val="2"/>
        </w:numPr>
        <w:ind w:left="0" w:firstLine="425"/>
        <w:spacing w:line="360" w:lineRule="auto"/>
        <w:rPr>
          <w:rFonts w:ascii="宋体" w:hAnsi="宋体" w:cs="Arial"/>
          <w:sz w:val="24"/>
        </w:rPr>
      </w:pPr>
      <w:r>
        <w:rPr>
          <w:rFonts w:hint="eastAsia" w:ascii="宋体" w:hAnsi="宋体" w:cs="Arial"/>
          <w:sz w:val="24"/>
        </w:rPr>
        <w:t xml:space="preserve">投标文件报价中的单价和总价全部采用人民币表示，合同的主要条款另有规定的除外。</w:t>
      </w:r>
      <w:r>
        <w:rPr>
          <w:rFonts w:ascii="宋体" w:hAnsi="宋体" w:cs="Arial"/>
          <w:sz w:val="24"/>
        </w:rPr>
      </w:r>
      <w:r/>
    </w:p>
    <w:p>
      <w:pPr>
        <w:pStyle w:val="886"/>
        <w:numPr>
          <w:ilvl w:val="1"/>
          <w:numId w:val="2"/>
        </w:numPr>
        <w:ind w:left="0" w:firstLine="425"/>
        <w:spacing w:line="360" w:lineRule="auto"/>
        <w:rPr>
          <w:rFonts w:ascii="宋体" w:hAnsi="宋体" w:cs="Arial"/>
          <w:sz w:val="24"/>
        </w:rPr>
      </w:pPr>
      <w:r>
        <w:rPr>
          <w:rFonts w:hint="eastAsia" w:ascii="宋体" w:hAnsi="宋体" w:cs="Arial"/>
          <w:sz w:val="24"/>
        </w:rPr>
        <w:t xml:space="preserve">供应商的任何错漏、优惠、竞争性报价不得作为减轻责任、减少服务、增加收费、降低质量的理由。</w:t>
      </w:r>
      <w:r>
        <w:rPr>
          <w:rFonts w:ascii="宋体" w:hAnsi="宋体" w:cs="Arial"/>
          <w:sz w:val="24"/>
        </w:rPr>
      </w:r>
      <w:r/>
    </w:p>
    <w:p>
      <w:pPr>
        <w:pStyle w:val="886"/>
        <w:numPr>
          <w:ilvl w:val="1"/>
          <w:numId w:val="2"/>
        </w:numPr>
        <w:ind w:left="0" w:firstLine="425"/>
        <w:spacing w:line="360" w:lineRule="auto"/>
        <w:rPr>
          <w:rFonts w:ascii="宋体" w:hAnsi="宋体" w:cs="Arial"/>
          <w:sz w:val="24"/>
        </w:rPr>
      </w:pPr>
      <w:r>
        <w:rPr>
          <w:rFonts w:hint="eastAsia" w:ascii="宋体" w:hAnsi="宋体" w:cs="Arial"/>
          <w:sz w:val="24"/>
        </w:rPr>
        <w:t xml:space="preserve">最低报价不能作为中标的保证。</w:t>
      </w:r>
      <w:r>
        <w:rPr>
          <w:rFonts w:ascii="宋体" w:hAnsi="宋体" w:cs="Arial"/>
          <w:sz w:val="24"/>
        </w:rPr>
      </w:r>
      <w:r/>
    </w:p>
    <w:p>
      <w:pPr>
        <w:pStyle w:val="886"/>
        <w:numPr>
          <w:ilvl w:val="0"/>
          <w:numId w:val="2"/>
        </w:numPr>
        <w:ind w:left="849" w:hanging="423"/>
        <w:spacing w:line="360" w:lineRule="auto"/>
        <w:rPr>
          <w:rFonts w:ascii="宋体" w:hAnsi="宋体" w:cs="Arial"/>
          <w:b/>
          <w:sz w:val="24"/>
        </w:rPr>
      </w:pPr>
      <w:r>
        <w:rPr>
          <w:rFonts w:hint="eastAsia" w:ascii="宋体" w:hAnsi="宋体" w:cs="Arial"/>
          <w:b/>
          <w:sz w:val="24"/>
        </w:rPr>
        <w:t xml:space="preserve">投标文件的有效期</w:t>
      </w:r>
      <w:r>
        <w:rPr>
          <w:rFonts w:ascii="宋体" w:hAnsi="宋体" w:cs="Arial"/>
          <w:b/>
          <w:sz w:val="24"/>
        </w:rPr>
      </w:r>
      <w:r/>
    </w:p>
    <w:p>
      <w:pPr>
        <w:pStyle w:val="886"/>
        <w:numPr>
          <w:ilvl w:val="1"/>
          <w:numId w:val="2"/>
        </w:numPr>
        <w:ind w:left="0" w:firstLine="425"/>
        <w:spacing w:line="360" w:lineRule="auto"/>
        <w:rPr>
          <w:rFonts w:ascii="宋体" w:hAnsi="宋体" w:cs="Arial"/>
          <w:sz w:val="24"/>
        </w:rPr>
      </w:pPr>
      <w:r>
        <w:rPr>
          <w:rFonts w:ascii="宋体" w:hAnsi="宋体" w:cs="Arial"/>
          <w:b/>
          <w:sz w:val="24"/>
        </w:rPr>
        <w:t xml:space="preserve">本投标有效期从提交投标文件的截止之日起算后</w:t>
      </w:r>
      <w:r>
        <w:rPr>
          <w:rFonts w:hint="eastAsia" w:ascii="宋体" w:hAnsi="宋体" w:cs="Arial"/>
          <w:b/>
          <w:sz w:val="24"/>
        </w:rPr>
        <w:t xml:space="preserve">90</w:t>
      </w:r>
      <w:r>
        <w:rPr>
          <w:rFonts w:ascii="宋体" w:hAnsi="宋体" w:cs="Arial"/>
          <w:b/>
          <w:sz w:val="24"/>
        </w:rPr>
        <w:t xml:space="preserve">天</w:t>
      </w:r>
      <w:r>
        <w:rPr>
          <w:rFonts w:hint="eastAsia" w:ascii="宋体" w:hAnsi="宋体" w:cs="Arial"/>
          <w:b/>
          <w:sz w:val="24"/>
        </w:rPr>
        <w:t xml:space="preserve">，投标书应保持有效。有效期短于这个规定期限的投标，将被拒绝。</w:t>
      </w:r>
      <w:r>
        <w:rPr>
          <w:rFonts w:ascii="宋体" w:hAnsi="宋体" w:cs="Arial"/>
          <w:sz w:val="24"/>
        </w:rPr>
      </w:r>
      <w:r/>
    </w:p>
    <w:p>
      <w:pPr>
        <w:pStyle w:val="886"/>
        <w:numPr>
          <w:ilvl w:val="1"/>
          <w:numId w:val="2"/>
        </w:numPr>
        <w:ind w:left="0" w:firstLine="425"/>
        <w:spacing w:line="360" w:lineRule="auto"/>
        <w:rPr>
          <w:rFonts w:ascii="宋体" w:hAnsi="宋体" w:cs="Arial"/>
          <w:sz w:val="24"/>
        </w:rPr>
      </w:pPr>
      <w:r>
        <w:rPr>
          <w:rFonts w:hint="eastAsia" w:ascii="宋体" w:hAnsi="宋体" w:cs="Arial"/>
          <w:sz w:val="24"/>
        </w:rPr>
        <w:t xml:space="preserve">在特殊情况下，招标人可与投标人协商延长投标书的有效期。这种要求和答复都应以书面、传真或媒体发布的方式进行。 同意延长有效期的投标人不能修改投标文件，投标保证金的有效期也相应延长。拒绝接受延期要求的投标人的投标将被拒绝，但投标保证金不会被没收。</w:t>
      </w:r>
      <w:r>
        <w:rPr>
          <w:rFonts w:ascii="宋体" w:hAnsi="宋体" w:cs="Arial"/>
          <w:sz w:val="24"/>
        </w:rPr>
      </w:r>
      <w:r/>
    </w:p>
    <w:p>
      <w:pPr>
        <w:pStyle w:val="886"/>
        <w:numPr>
          <w:ilvl w:val="0"/>
          <w:numId w:val="1"/>
        </w:numPr>
        <w:ind w:left="850" w:hanging="424"/>
        <w:spacing w:line="360" w:lineRule="auto"/>
        <w:rPr>
          <w:rFonts w:ascii="宋体" w:hAnsi="宋体" w:cs="Arial"/>
          <w:b/>
          <w:sz w:val="24"/>
        </w:rPr>
      </w:pPr>
      <w:r>
        <w:rPr>
          <w:rFonts w:hint="eastAsia" w:ascii="宋体" w:hAnsi="宋体" w:cs="Arial"/>
          <w:b/>
          <w:sz w:val="24"/>
        </w:rPr>
        <w:t xml:space="preserve">投标文件的提交</w:t>
      </w:r>
      <w:r>
        <w:rPr>
          <w:rFonts w:ascii="宋体" w:hAnsi="宋体" w:cs="Arial"/>
          <w:b/>
          <w:sz w:val="24"/>
        </w:rPr>
      </w:r>
      <w:r/>
    </w:p>
    <w:p>
      <w:pPr>
        <w:pStyle w:val="886"/>
        <w:numPr>
          <w:ilvl w:val="0"/>
          <w:numId w:val="2"/>
        </w:numPr>
        <w:ind w:left="849" w:hanging="423"/>
        <w:spacing w:line="360" w:lineRule="auto"/>
        <w:rPr>
          <w:rFonts w:ascii="宋体" w:hAnsi="宋体" w:cs="Arial"/>
          <w:b/>
          <w:sz w:val="24"/>
        </w:rPr>
      </w:pPr>
      <w:r>
        <w:rPr>
          <w:rFonts w:hint="eastAsia" w:ascii="宋体" w:hAnsi="宋体" w:cs="Arial"/>
          <w:b/>
          <w:sz w:val="24"/>
        </w:rPr>
        <w:t xml:space="preserve">投标截止时间</w:t>
      </w:r>
      <w:r>
        <w:rPr>
          <w:rFonts w:ascii="宋体" w:hAnsi="宋体" w:cs="Arial"/>
          <w:b/>
          <w:sz w:val="24"/>
        </w:rPr>
      </w:r>
      <w:r/>
    </w:p>
    <w:p>
      <w:pPr>
        <w:pStyle w:val="886"/>
        <w:numPr>
          <w:ilvl w:val="1"/>
          <w:numId w:val="2"/>
        </w:numPr>
        <w:ind w:left="0" w:firstLine="425"/>
        <w:spacing w:line="360" w:lineRule="auto"/>
        <w:rPr>
          <w:rFonts w:ascii="宋体" w:hAnsi="宋体" w:cs="Arial"/>
          <w:sz w:val="24"/>
        </w:rPr>
      </w:pPr>
      <w:r>
        <w:rPr>
          <w:rFonts w:hint="eastAsia" w:ascii="宋体" w:hAnsi="宋体" w:cs="Arial"/>
          <w:sz w:val="24"/>
        </w:rPr>
        <w:t xml:space="preserve">电子投标文件必须按《投标邀请函》规定的网上投标截止时间前提交，以系统内上传后显示的上传文件确认单为准</w:t>
      </w:r>
      <w:r>
        <w:rPr>
          <w:rFonts w:ascii="宋体" w:hAnsi="宋体" w:cs="Arial"/>
          <w:sz w:val="24"/>
        </w:rPr>
        <w:t xml:space="preserve">。</w:t>
      </w:r>
      <w:r/>
    </w:p>
    <w:p>
      <w:pPr>
        <w:pStyle w:val="886"/>
        <w:numPr>
          <w:ilvl w:val="1"/>
          <w:numId w:val="2"/>
        </w:numPr>
        <w:ind w:left="0" w:firstLine="425"/>
        <w:spacing w:line="360" w:lineRule="auto"/>
        <w:rPr>
          <w:rFonts w:ascii="宋体" w:hAnsi="宋体" w:cs="Arial"/>
          <w:sz w:val="24"/>
        </w:rPr>
      </w:pPr>
      <w:r>
        <w:rPr>
          <w:rFonts w:hint="eastAsia" w:ascii="宋体" w:hAnsi="宋体" w:cs="Arial"/>
          <w:sz w:val="24"/>
        </w:rPr>
        <w:t xml:space="preserve">招标人推迟投标截止时间时，应以网上公布的形式，通知投标人，在这种情况下，招标人和投标人的权利和义务将受到新的截止期的约束。</w:t>
      </w:r>
      <w:r>
        <w:rPr>
          <w:rFonts w:ascii="宋体" w:hAnsi="宋体" w:cs="Arial"/>
          <w:sz w:val="24"/>
        </w:rPr>
      </w:r>
      <w:r/>
    </w:p>
    <w:p>
      <w:pPr>
        <w:pStyle w:val="886"/>
        <w:numPr>
          <w:ilvl w:val="1"/>
          <w:numId w:val="2"/>
        </w:numPr>
        <w:ind w:left="0" w:firstLine="425"/>
        <w:spacing w:line="360" w:lineRule="auto"/>
        <w:rPr>
          <w:rFonts w:ascii="宋体" w:hAnsi="宋体" w:cs="Arial"/>
          <w:sz w:val="24"/>
        </w:rPr>
      </w:pPr>
      <w:r>
        <w:rPr>
          <w:rFonts w:hint="eastAsia" w:ascii="宋体" w:hAnsi="宋体" w:cs="Arial"/>
          <w:sz w:val="24"/>
        </w:rPr>
        <w:t xml:space="preserve">在投标截止时间以后上传的投标文件，招标人拒绝接收。</w:t>
      </w:r>
      <w:r>
        <w:rPr>
          <w:rFonts w:ascii="宋体" w:hAnsi="宋体" w:cs="Arial"/>
          <w:sz w:val="24"/>
        </w:rPr>
      </w:r>
      <w:r/>
    </w:p>
    <w:p>
      <w:pPr>
        <w:pStyle w:val="886"/>
        <w:numPr>
          <w:ilvl w:val="0"/>
          <w:numId w:val="2"/>
        </w:numPr>
        <w:ind w:left="849" w:hanging="423"/>
        <w:spacing w:line="360" w:lineRule="auto"/>
        <w:rPr>
          <w:rFonts w:ascii="宋体" w:hAnsi="宋体" w:cs="Arial"/>
          <w:b/>
          <w:sz w:val="24"/>
        </w:rPr>
      </w:pPr>
      <w:r>
        <w:rPr>
          <w:rFonts w:hint="eastAsia" w:ascii="宋体" w:hAnsi="宋体" w:cs="Arial"/>
          <w:b/>
          <w:sz w:val="24"/>
        </w:rPr>
        <w:t xml:space="preserve">投标文件的修改和撤回</w:t>
      </w:r>
      <w:r>
        <w:rPr>
          <w:rFonts w:ascii="宋体" w:hAnsi="宋体" w:cs="Arial"/>
          <w:b/>
          <w:sz w:val="24"/>
        </w:rPr>
      </w:r>
      <w:r/>
    </w:p>
    <w:p>
      <w:pPr>
        <w:pStyle w:val="886"/>
        <w:numPr>
          <w:ilvl w:val="1"/>
          <w:numId w:val="2"/>
        </w:numPr>
        <w:ind w:left="0" w:firstLine="425"/>
        <w:spacing w:line="360" w:lineRule="auto"/>
        <w:rPr>
          <w:rFonts w:hint="eastAsia" w:ascii="宋体" w:hAnsi="宋体" w:cs="Arial"/>
          <w:sz w:val="24"/>
        </w:rPr>
      </w:pPr>
      <w:r>
        <w:rPr>
          <w:rFonts w:hint="eastAsia" w:ascii="宋体" w:hAnsi="宋体" w:cs="Arial"/>
          <w:sz w:val="24"/>
        </w:rPr>
        <w:t xml:space="preserve">投标文件应当在提交投标文件的截止时间前通过苏彩云进行提交。开标前，投标人可以撤回投标。</w:t>
      </w:r>
      <w:r/>
    </w:p>
    <w:p>
      <w:pPr>
        <w:pStyle w:val="886"/>
        <w:numPr>
          <w:ilvl w:val="1"/>
          <w:numId w:val="2"/>
        </w:numPr>
        <w:ind w:left="0" w:firstLine="425"/>
        <w:spacing w:line="360" w:lineRule="auto"/>
        <w:rPr>
          <w:rFonts w:ascii="宋体" w:hAnsi="宋体" w:cs="Arial"/>
          <w:sz w:val="24"/>
        </w:rPr>
      </w:pPr>
      <w:r>
        <w:rPr>
          <w:rFonts w:hint="eastAsia" w:ascii="宋体" w:hAnsi="宋体"/>
          <w:szCs w:val="21"/>
        </w:rPr>
        <w:t xml:space="preserve">在提交投标文件的截止时间前，投标人可以撤回或者修改投标文件</w:t>
      </w:r>
      <w:r>
        <w:rPr>
          <w:rFonts w:hint="eastAsia" w:ascii="宋体" w:hAnsi="宋体" w:cs="Arial"/>
          <w:sz w:val="24"/>
        </w:rPr>
        <w:t xml:space="preserve">。</w:t>
      </w:r>
      <w:r>
        <w:rPr>
          <w:rFonts w:ascii="宋体" w:hAnsi="宋体" w:cs="Arial"/>
          <w:sz w:val="24"/>
        </w:rPr>
      </w:r>
      <w:r/>
    </w:p>
    <w:p>
      <w:pPr>
        <w:pStyle w:val="886"/>
        <w:numPr>
          <w:ilvl w:val="0"/>
          <w:numId w:val="1"/>
        </w:numPr>
        <w:ind w:left="850" w:hanging="424"/>
        <w:spacing w:line="360" w:lineRule="auto"/>
        <w:rPr>
          <w:rFonts w:ascii="宋体" w:hAnsi="宋体" w:cs="Arial"/>
          <w:b/>
          <w:sz w:val="24"/>
        </w:rPr>
      </w:pPr>
      <w:r>
        <w:rPr>
          <w:rFonts w:hint="eastAsia" w:ascii="宋体" w:hAnsi="宋体" w:cs="Arial"/>
          <w:b/>
          <w:sz w:val="24"/>
        </w:rPr>
        <w:t xml:space="preserve">开标和评标</w:t>
      </w:r>
      <w:r>
        <w:rPr>
          <w:rFonts w:ascii="宋体" w:hAnsi="宋体" w:cs="Arial"/>
          <w:b/>
          <w:sz w:val="24"/>
        </w:rPr>
      </w:r>
      <w:r/>
    </w:p>
    <w:p>
      <w:pPr>
        <w:pStyle w:val="886"/>
        <w:numPr>
          <w:ilvl w:val="0"/>
          <w:numId w:val="2"/>
        </w:numPr>
        <w:ind w:left="849" w:hanging="423"/>
        <w:spacing w:line="360" w:lineRule="auto"/>
        <w:rPr>
          <w:rFonts w:ascii="宋体" w:hAnsi="宋体" w:cs="Arial"/>
          <w:b/>
          <w:sz w:val="24"/>
        </w:rPr>
      </w:pPr>
      <w:r>
        <w:rPr>
          <w:rFonts w:hint="eastAsia" w:ascii="宋体" w:hAnsi="宋体" w:cs="Arial"/>
          <w:b/>
          <w:sz w:val="24"/>
        </w:rPr>
        <w:t xml:space="preserve">开标</w:t>
      </w:r>
      <w:r>
        <w:rPr>
          <w:rFonts w:ascii="宋体" w:hAnsi="宋体" w:cs="Arial"/>
          <w:b/>
          <w:sz w:val="24"/>
        </w:rPr>
      </w:r>
      <w:r/>
    </w:p>
    <w:p>
      <w:pPr>
        <w:pStyle w:val="886"/>
        <w:numPr>
          <w:ilvl w:val="1"/>
          <w:numId w:val="2"/>
        </w:numPr>
        <w:ind w:left="0" w:firstLine="425"/>
        <w:spacing w:line="360" w:lineRule="auto"/>
        <w:rPr>
          <w:rFonts w:ascii="宋体" w:hAnsi="宋体" w:cs="Arial"/>
          <w:sz w:val="24"/>
        </w:rPr>
      </w:pPr>
      <w:r>
        <w:rPr>
          <w:rFonts w:hint="eastAsia" w:ascii="宋体" w:hAnsi="宋体" w:cs="Arial"/>
          <w:sz w:val="24"/>
        </w:rPr>
        <w:t xml:space="preserve">招标代理人按《投标邀请函》规定的时间、地点进行开标。开标仪式根据委托人授权由招标代理人主持。</w:t>
      </w:r>
      <w:r>
        <w:rPr>
          <w:rFonts w:ascii="宋体" w:hAnsi="宋体" w:cs="Arial"/>
          <w:sz w:val="24"/>
        </w:rPr>
      </w:r>
      <w:r/>
    </w:p>
    <w:p>
      <w:pPr>
        <w:pStyle w:val="886"/>
        <w:numPr>
          <w:ilvl w:val="1"/>
          <w:numId w:val="2"/>
        </w:numPr>
        <w:ind w:left="0" w:firstLine="425"/>
        <w:spacing w:line="360" w:lineRule="auto"/>
        <w:rPr>
          <w:rFonts w:ascii="宋体" w:hAnsi="宋体" w:cs="Arial"/>
          <w:sz w:val="24"/>
        </w:rPr>
      </w:pPr>
      <w:r>
        <w:rPr>
          <w:rFonts w:hint="eastAsia" w:ascii="宋体" w:hAnsi="宋体" w:cs="Arial"/>
          <w:sz w:val="24"/>
        </w:rPr>
        <w:t xml:space="preserve">参加开标的投标人的法定代表人或被授权人应携带数字证书（CA）进行远程签名报到，数字证书（CA）密码输入时间超过10分钟的，均视为无效投标。</w:t>
      </w:r>
      <w:r>
        <w:rPr>
          <w:rFonts w:ascii="宋体" w:hAnsi="宋体" w:cs="Arial"/>
          <w:sz w:val="24"/>
        </w:rPr>
        <w:t xml:space="preserve"> </w:t>
      </w:r>
      <w:r/>
    </w:p>
    <w:p>
      <w:pPr>
        <w:pStyle w:val="886"/>
        <w:numPr>
          <w:ilvl w:val="1"/>
          <w:numId w:val="2"/>
        </w:numPr>
        <w:ind w:left="0" w:firstLine="425"/>
        <w:spacing w:line="360" w:lineRule="auto"/>
        <w:rPr>
          <w:rFonts w:hint="eastAsia" w:ascii="宋体" w:hAnsi="宋体" w:cs="Arial"/>
          <w:sz w:val="24"/>
        </w:rPr>
      </w:pPr>
      <w:r>
        <w:rPr>
          <w:rFonts w:hint="eastAsia" w:ascii="宋体" w:hAnsi="宋体" w:cs="Arial"/>
          <w:sz w:val="24"/>
        </w:rPr>
        <w:t xml:space="preserve">在开标时，有下列情况之一者将视为无效：</w:t>
      </w:r>
      <w:r/>
    </w:p>
    <w:p>
      <w:pPr>
        <w:pStyle w:val="886"/>
        <w:numPr>
          <w:ilvl w:val="2"/>
          <w:numId w:val="2"/>
        </w:numPr>
        <w:ind w:left="426" w:firstLine="0"/>
        <w:spacing w:line="360" w:lineRule="auto"/>
        <w:rPr>
          <w:rFonts w:ascii="宋体" w:hAnsi="宋体" w:cs="Arial"/>
          <w:sz w:val="24"/>
        </w:rPr>
      </w:pPr>
      <w:r>
        <w:rPr>
          <w:rFonts w:hint="eastAsia" w:ascii="宋体" w:hAnsi="宋体" w:cs="Arial"/>
          <w:sz w:val="24"/>
        </w:rPr>
        <w:t xml:space="preserve">不符合法律法规和招标文件中规定的其他实质性要求的。</w:t>
      </w:r>
      <w:r>
        <w:rPr>
          <w:rFonts w:ascii="宋体" w:hAnsi="宋体" w:cs="Arial"/>
          <w:sz w:val="24"/>
        </w:rPr>
      </w:r>
      <w:r/>
    </w:p>
    <w:p>
      <w:pPr>
        <w:pStyle w:val="886"/>
        <w:numPr>
          <w:ilvl w:val="0"/>
          <w:numId w:val="2"/>
        </w:numPr>
        <w:ind w:left="849" w:hanging="423"/>
        <w:spacing w:line="360" w:lineRule="auto"/>
        <w:rPr>
          <w:rFonts w:ascii="宋体" w:hAnsi="宋体" w:cs="Arial"/>
          <w:b/>
          <w:sz w:val="24"/>
        </w:rPr>
      </w:pPr>
      <w:r>
        <w:rPr>
          <w:rFonts w:hint="eastAsia" w:ascii="宋体" w:hAnsi="宋体" w:cs="Arial"/>
          <w:b/>
          <w:sz w:val="24"/>
        </w:rPr>
        <w:t xml:space="preserve">资格审查、信用查询</w:t>
      </w:r>
      <w:r>
        <w:rPr>
          <w:rFonts w:ascii="宋体" w:hAnsi="宋体" w:cs="Arial"/>
          <w:b/>
          <w:sz w:val="24"/>
        </w:rPr>
      </w:r>
      <w:r/>
    </w:p>
    <w:p>
      <w:pPr>
        <w:pStyle w:val="886"/>
        <w:numPr>
          <w:ilvl w:val="1"/>
          <w:numId w:val="2"/>
        </w:numPr>
        <w:ind w:left="0" w:firstLine="425"/>
        <w:spacing w:line="360" w:lineRule="auto"/>
        <w:rPr>
          <w:rFonts w:hint="eastAsia" w:ascii="宋体" w:hAnsi="宋体" w:cs="Arial"/>
          <w:b/>
          <w:sz w:val="24"/>
        </w:rPr>
      </w:pPr>
      <w:r>
        <w:rPr>
          <w:rFonts w:ascii="宋体" w:hAnsi="宋体" w:cs="Arial"/>
          <w:b/>
          <w:sz w:val="24"/>
        </w:rPr>
        <w:t xml:space="preserve">公开招标采购项目开标结束后，采购人或者招标代理人应当依法对投标人的资格进行审查</w:t>
      </w:r>
      <w:r>
        <w:rPr>
          <w:rFonts w:hint="eastAsia" w:ascii="宋体" w:hAnsi="宋体" w:cs="Arial"/>
          <w:b/>
          <w:sz w:val="24"/>
        </w:rPr>
        <w:t xml:space="preserve">,未通过资格审查的视为无效投标。</w:t>
      </w:r>
      <w:r/>
    </w:p>
    <w:p>
      <w:pPr>
        <w:pStyle w:val="886"/>
        <w:numPr>
          <w:ilvl w:val="1"/>
          <w:numId w:val="2"/>
        </w:numPr>
        <w:ind w:left="0" w:firstLine="425"/>
        <w:spacing w:line="360" w:lineRule="auto"/>
        <w:rPr>
          <w:rFonts w:hint="eastAsia" w:ascii="宋体" w:hAnsi="宋体" w:cs="Arial"/>
          <w:b/>
          <w:sz w:val="24"/>
        </w:rPr>
      </w:pPr>
      <w:r>
        <w:rPr>
          <w:rFonts w:hint="eastAsia" w:ascii="宋体" w:hAnsi="宋体" w:cs="Arial"/>
          <w:b/>
          <w:sz w:val="24"/>
        </w:rPr>
        <w:t xml:space="preserve">投标人根据资格要求提供相应资料供资格审查（具体要求详见第一章投标邀请）。</w:t>
      </w:r>
      <w:r/>
    </w:p>
    <w:p>
      <w:pPr>
        <w:pStyle w:val="886"/>
        <w:numPr>
          <w:ilvl w:val="1"/>
          <w:numId w:val="2"/>
        </w:numPr>
        <w:ind w:left="0" w:firstLine="425"/>
        <w:spacing w:line="360" w:lineRule="auto"/>
        <w:rPr>
          <w:rFonts w:ascii="宋体" w:hAnsi="宋体" w:cs="Arial"/>
          <w:b/>
          <w:sz w:val="24"/>
        </w:rPr>
      </w:pPr>
      <w:r>
        <w:rPr>
          <w:rFonts w:hint="eastAsia" w:ascii="宋体" w:hAnsi="宋体" w:cs="Arial"/>
          <w:b/>
          <w:sz w:val="24"/>
        </w:rPr>
        <w:t xml:space="preserve">投标人须在投标文件中提供通过“信用中国”网站（https://www.creditchina.gov.cn）渠道查询企业信用记录的网页截图（查询时间不可早于招标公告发布日期）；（如被列入“失信被执行人”、“重大税收违法案件当事人名单”、“严重违法失信行为记录名单”及其他存在失信信息的投标人，不得参加本次采购活动）。</w:t>
      </w:r>
      <w:r>
        <w:rPr>
          <w:rFonts w:ascii="宋体" w:hAnsi="宋体" w:cs="Arial"/>
          <w:b/>
          <w:sz w:val="24"/>
        </w:rPr>
      </w:r>
      <w:r/>
    </w:p>
    <w:p>
      <w:pPr>
        <w:pStyle w:val="886"/>
        <w:numPr>
          <w:ilvl w:val="0"/>
          <w:numId w:val="2"/>
        </w:numPr>
        <w:ind w:left="849" w:hanging="423"/>
        <w:spacing w:line="360" w:lineRule="auto"/>
        <w:rPr>
          <w:rFonts w:ascii="宋体" w:hAnsi="宋体" w:cs="Arial"/>
          <w:b/>
          <w:sz w:val="24"/>
        </w:rPr>
      </w:pPr>
      <w:r>
        <w:rPr>
          <w:rFonts w:hint="eastAsia" w:ascii="宋体" w:hAnsi="宋体" w:cs="Arial"/>
          <w:b/>
          <w:sz w:val="24"/>
        </w:rPr>
        <w:t xml:space="preserve">评标委员会或评标小组</w:t>
      </w:r>
      <w:r>
        <w:rPr>
          <w:rFonts w:ascii="宋体" w:hAnsi="宋体" w:cs="Arial"/>
          <w:b/>
          <w:sz w:val="24"/>
        </w:rPr>
      </w:r>
      <w:r/>
    </w:p>
    <w:p>
      <w:pPr>
        <w:pStyle w:val="886"/>
        <w:numPr>
          <w:ilvl w:val="1"/>
          <w:numId w:val="2"/>
        </w:numPr>
        <w:ind w:left="0" w:firstLine="425"/>
        <w:spacing w:line="360" w:lineRule="auto"/>
        <w:rPr>
          <w:rFonts w:hint="eastAsia" w:ascii="宋体" w:hAnsi="宋体" w:cs="Arial"/>
          <w:sz w:val="24"/>
        </w:rPr>
      </w:pPr>
      <w:r>
        <w:rPr>
          <w:rFonts w:hint="eastAsia" w:ascii="宋体" w:hAnsi="宋体" w:cs="Arial"/>
          <w:sz w:val="24"/>
        </w:rPr>
        <w:t xml:space="preserve">评标委员会或评标小组（以下简称评标委员会）的评标工作由招标采购单位负责组织，具体评标事务由评标委员会负责，并独立履行法律法规规定的职责。</w:t>
      </w:r>
      <w:r/>
    </w:p>
    <w:p>
      <w:pPr>
        <w:pStyle w:val="886"/>
        <w:numPr>
          <w:ilvl w:val="1"/>
          <w:numId w:val="2"/>
        </w:numPr>
        <w:ind w:left="0" w:firstLine="425"/>
        <w:spacing w:line="360" w:lineRule="auto"/>
        <w:rPr>
          <w:rFonts w:ascii="宋体" w:hAnsi="宋体" w:cs="Arial"/>
          <w:sz w:val="24"/>
        </w:rPr>
      </w:pPr>
      <w:r>
        <w:rPr>
          <w:rFonts w:hint="eastAsia" w:ascii="宋体" w:hAnsi="宋体" w:cs="Arial"/>
          <w:sz w:val="24"/>
        </w:rPr>
        <w:t xml:space="preserve">评标委员会或评标小组负责具体的评标事务，并独立履行以下职责：</w:t>
      </w:r>
      <w:r>
        <w:rPr>
          <w:rFonts w:ascii="宋体" w:hAnsi="宋体" w:cs="Arial"/>
          <w:sz w:val="24"/>
        </w:rPr>
      </w:r>
      <w:r/>
    </w:p>
    <w:p>
      <w:pPr>
        <w:pStyle w:val="886"/>
        <w:numPr>
          <w:ilvl w:val="2"/>
          <w:numId w:val="2"/>
        </w:numPr>
        <w:ind w:left="426" w:firstLine="0"/>
        <w:spacing w:line="360" w:lineRule="auto"/>
        <w:rPr>
          <w:rFonts w:ascii="宋体" w:hAnsi="宋体" w:cs="Arial"/>
          <w:sz w:val="24"/>
        </w:rPr>
      </w:pPr>
      <w:r>
        <w:rPr>
          <w:rFonts w:hint="eastAsia" w:ascii="宋体" w:hAnsi="宋体" w:cs="Arial"/>
          <w:sz w:val="24"/>
        </w:rPr>
        <w:t xml:space="preserve">审查投标文件是否符合招标文件的要求，并作出评价。</w:t>
      </w:r>
      <w:r>
        <w:rPr>
          <w:rFonts w:ascii="宋体" w:hAnsi="宋体" w:cs="Arial"/>
          <w:sz w:val="24"/>
        </w:rPr>
      </w:r>
      <w:r/>
    </w:p>
    <w:p>
      <w:pPr>
        <w:pStyle w:val="886"/>
        <w:numPr>
          <w:ilvl w:val="2"/>
          <w:numId w:val="2"/>
        </w:numPr>
        <w:ind w:left="426" w:firstLine="0"/>
        <w:spacing w:line="360" w:lineRule="auto"/>
        <w:rPr>
          <w:rFonts w:ascii="宋体" w:hAnsi="宋体" w:cs="Arial"/>
          <w:sz w:val="24"/>
        </w:rPr>
      </w:pPr>
      <w:r>
        <w:rPr>
          <w:rFonts w:hint="eastAsia" w:ascii="宋体" w:hAnsi="宋体" w:cs="Arial"/>
          <w:sz w:val="24"/>
        </w:rPr>
        <w:t xml:space="preserve">可以要求投标供应商对投标文件有关事项作出解释或澄清。</w:t>
      </w:r>
      <w:r>
        <w:rPr>
          <w:rFonts w:ascii="宋体" w:hAnsi="宋体" w:cs="Arial"/>
          <w:sz w:val="24"/>
        </w:rPr>
      </w:r>
      <w:r/>
    </w:p>
    <w:p>
      <w:pPr>
        <w:pStyle w:val="886"/>
        <w:numPr>
          <w:ilvl w:val="2"/>
          <w:numId w:val="2"/>
        </w:numPr>
        <w:ind w:left="426" w:firstLine="0"/>
        <w:spacing w:line="360" w:lineRule="auto"/>
        <w:rPr>
          <w:rFonts w:ascii="宋体" w:hAnsi="宋体" w:cs="Arial"/>
          <w:sz w:val="24"/>
        </w:rPr>
      </w:pPr>
      <w:r>
        <w:rPr>
          <w:rFonts w:hint="eastAsia" w:ascii="宋体" w:hAnsi="宋体" w:cs="Arial"/>
          <w:sz w:val="24"/>
        </w:rPr>
        <w:t xml:space="preserve">推荐中标候选供应商名单，或者受招标人委托按照事先确定的办法直接确定中标人。</w:t>
      </w:r>
      <w:r>
        <w:rPr>
          <w:rFonts w:ascii="宋体" w:hAnsi="宋体" w:cs="Arial"/>
          <w:sz w:val="24"/>
        </w:rPr>
      </w:r>
      <w:r/>
    </w:p>
    <w:p>
      <w:pPr>
        <w:pStyle w:val="886"/>
        <w:numPr>
          <w:ilvl w:val="2"/>
          <w:numId w:val="2"/>
        </w:numPr>
        <w:ind w:left="426" w:firstLine="0"/>
        <w:spacing w:line="360" w:lineRule="auto"/>
        <w:rPr>
          <w:rFonts w:ascii="宋体" w:hAnsi="宋体" w:cs="Arial"/>
          <w:sz w:val="24"/>
        </w:rPr>
      </w:pPr>
      <w:r>
        <w:rPr>
          <w:rFonts w:hint="eastAsia" w:ascii="宋体" w:hAnsi="宋体" w:cs="Arial"/>
          <w:sz w:val="24"/>
        </w:rPr>
        <w:t xml:space="preserve">向招标采购人或者有关部门报告非法干预评标工作的行为。</w:t>
      </w:r>
      <w:r>
        <w:rPr>
          <w:rFonts w:ascii="宋体" w:hAnsi="宋体" w:cs="Arial"/>
          <w:sz w:val="24"/>
        </w:rPr>
      </w:r>
      <w:r/>
    </w:p>
    <w:p>
      <w:pPr>
        <w:pStyle w:val="886"/>
        <w:numPr>
          <w:ilvl w:val="1"/>
          <w:numId w:val="2"/>
        </w:numPr>
        <w:ind w:left="0" w:firstLine="425"/>
        <w:spacing w:line="360" w:lineRule="auto"/>
        <w:rPr>
          <w:rFonts w:ascii="宋体" w:hAnsi="宋体" w:cs="Arial"/>
          <w:b/>
          <w:sz w:val="24"/>
        </w:rPr>
      </w:pPr>
      <w:r>
        <w:rPr>
          <w:rFonts w:hint="eastAsia" w:ascii="宋体" w:hAnsi="宋体" w:cs="Arial"/>
          <w:b/>
          <w:sz w:val="24"/>
        </w:rPr>
        <w:t xml:space="preserve">评标委员会成员应当履行下列义务：</w:t>
      </w:r>
      <w:r>
        <w:rPr>
          <w:rFonts w:ascii="宋体" w:hAnsi="宋体" w:cs="Arial"/>
          <w:b/>
          <w:sz w:val="24"/>
        </w:rPr>
      </w:r>
      <w:r/>
    </w:p>
    <w:p>
      <w:pPr>
        <w:pStyle w:val="886"/>
        <w:numPr>
          <w:ilvl w:val="2"/>
          <w:numId w:val="2"/>
        </w:numPr>
        <w:ind w:left="426" w:firstLine="0"/>
        <w:spacing w:line="360" w:lineRule="auto"/>
        <w:rPr>
          <w:rFonts w:ascii="宋体" w:hAnsi="宋体" w:cs="Arial"/>
          <w:sz w:val="24"/>
        </w:rPr>
      </w:pPr>
      <w:r>
        <w:rPr>
          <w:rFonts w:hint="eastAsia" w:ascii="宋体" w:hAnsi="宋体" w:cs="Arial"/>
          <w:sz w:val="24"/>
        </w:rPr>
        <w:t xml:space="preserve">遵纪守法，客观、公正、廉洁地履行职责。</w:t>
      </w:r>
      <w:r>
        <w:rPr>
          <w:rFonts w:ascii="宋体" w:hAnsi="宋体" w:cs="Arial"/>
          <w:sz w:val="24"/>
        </w:rPr>
      </w:r>
      <w:r/>
    </w:p>
    <w:p>
      <w:pPr>
        <w:pStyle w:val="886"/>
        <w:numPr>
          <w:ilvl w:val="2"/>
          <w:numId w:val="2"/>
        </w:numPr>
        <w:ind w:left="426" w:firstLine="0"/>
        <w:spacing w:line="360" w:lineRule="auto"/>
        <w:rPr>
          <w:rFonts w:ascii="宋体" w:hAnsi="宋体" w:cs="Arial"/>
          <w:sz w:val="24"/>
        </w:rPr>
      </w:pPr>
      <w:r>
        <w:rPr>
          <w:rFonts w:hint="eastAsia" w:ascii="宋体" w:hAnsi="宋体" w:cs="Arial"/>
          <w:sz w:val="24"/>
        </w:rPr>
        <w:t xml:space="preserve">按照招标文件规定的评标办法和评标标准进行评标，对评审意见承担个人责任。</w:t>
      </w:r>
      <w:r>
        <w:rPr>
          <w:rFonts w:ascii="宋体" w:hAnsi="宋体" w:cs="Arial"/>
          <w:sz w:val="24"/>
        </w:rPr>
      </w:r>
      <w:r/>
    </w:p>
    <w:p>
      <w:pPr>
        <w:pStyle w:val="886"/>
        <w:numPr>
          <w:ilvl w:val="2"/>
          <w:numId w:val="2"/>
        </w:numPr>
        <w:ind w:left="426" w:firstLine="0"/>
        <w:spacing w:line="360" w:lineRule="auto"/>
        <w:rPr>
          <w:rFonts w:ascii="宋体" w:hAnsi="宋体" w:cs="Arial"/>
          <w:sz w:val="24"/>
        </w:rPr>
      </w:pPr>
      <w:r>
        <w:rPr>
          <w:rFonts w:hint="eastAsia" w:ascii="宋体" w:hAnsi="宋体" w:cs="Arial"/>
          <w:sz w:val="24"/>
        </w:rPr>
        <w:t xml:space="preserve">对评标过程和结果，以及投标人的商业秘密保密。</w:t>
      </w:r>
      <w:r>
        <w:rPr>
          <w:rFonts w:ascii="宋体" w:hAnsi="宋体" w:cs="Arial"/>
          <w:sz w:val="24"/>
        </w:rPr>
      </w:r>
      <w:r/>
    </w:p>
    <w:p>
      <w:pPr>
        <w:pStyle w:val="886"/>
        <w:numPr>
          <w:ilvl w:val="2"/>
          <w:numId w:val="2"/>
        </w:numPr>
        <w:ind w:left="426" w:firstLine="0"/>
        <w:spacing w:line="360" w:lineRule="auto"/>
        <w:rPr>
          <w:rFonts w:ascii="宋体" w:hAnsi="宋体" w:cs="Arial"/>
          <w:sz w:val="24"/>
        </w:rPr>
      </w:pPr>
      <w:r>
        <w:rPr>
          <w:rFonts w:hint="eastAsia" w:ascii="宋体" w:hAnsi="宋体" w:cs="Arial"/>
          <w:sz w:val="24"/>
        </w:rPr>
        <w:t xml:space="preserve">参与评标报告的起草。</w:t>
      </w:r>
      <w:r>
        <w:rPr>
          <w:rFonts w:ascii="宋体" w:hAnsi="宋体" w:cs="Arial"/>
          <w:sz w:val="24"/>
        </w:rPr>
      </w:r>
      <w:r/>
    </w:p>
    <w:p>
      <w:pPr>
        <w:pStyle w:val="886"/>
        <w:numPr>
          <w:ilvl w:val="2"/>
          <w:numId w:val="2"/>
        </w:numPr>
        <w:ind w:left="426" w:firstLine="0"/>
        <w:spacing w:line="360" w:lineRule="auto"/>
        <w:rPr>
          <w:rFonts w:ascii="宋体" w:hAnsi="宋体" w:cs="Arial"/>
          <w:sz w:val="24"/>
        </w:rPr>
      </w:pPr>
      <w:r>
        <w:rPr>
          <w:rFonts w:hint="eastAsia" w:ascii="宋体" w:hAnsi="宋体" w:cs="Arial"/>
          <w:sz w:val="24"/>
        </w:rPr>
        <w:t xml:space="preserve">配合财政部门的投诉处理工作。</w:t>
      </w:r>
      <w:r>
        <w:rPr>
          <w:rFonts w:ascii="宋体" w:hAnsi="宋体" w:cs="Arial"/>
          <w:sz w:val="24"/>
        </w:rPr>
      </w:r>
      <w:r/>
    </w:p>
    <w:p>
      <w:pPr>
        <w:pStyle w:val="886"/>
        <w:numPr>
          <w:ilvl w:val="2"/>
          <w:numId w:val="2"/>
        </w:numPr>
        <w:ind w:left="426" w:firstLine="0"/>
        <w:spacing w:line="360" w:lineRule="auto"/>
        <w:rPr>
          <w:rFonts w:ascii="宋体" w:hAnsi="宋体" w:cs="Arial"/>
          <w:sz w:val="24"/>
        </w:rPr>
      </w:pPr>
      <w:r>
        <w:rPr>
          <w:rFonts w:hint="eastAsia" w:ascii="宋体" w:hAnsi="宋体" w:cs="Arial"/>
          <w:sz w:val="24"/>
        </w:rPr>
        <w:t xml:space="preserve">配合招标采购人答复投标供应商提出的质疑。</w:t>
      </w:r>
      <w:r>
        <w:rPr>
          <w:rFonts w:ascii="宋体" w:hAnsi="宋体" w:cs="Arial"/>
          <w:sz w:val="24"/>
        </w:rPr>
      </w:r>
      <w:r/>
    </w:p>
    <w:p>
      <w:pPr>
        <w:pStyle w:val="886"/>
        <w:numPr>
          <w:ilvl w:val="1"/>
          <w:numId w:val="2"/>
        </w:numPr>
        <w:ind w:left="0" w:firstLine="425"/>
        <w:spacing w:line="360" w:lineRule="auto"/>
        <w:rPr>
          <w:rFonts w:ascii="宋体" w:hAnsi="宋体" w:cs="Arial"/>
          <w:b/>
          <w:sz w:val="24"/>
        </w:rPr>
      </w:pPr>
      <w:r>
        <w:rPr>
          <w:rFonts w:hint="eastAsia" w:ascii="宋体" w:hAnsi="宋体" w:cs="Arial"/>
          <w:b/>
          <w:sz w:val="24"/>
        </w:rPr>
        <w:t xml:space="preserve">评标内容的保密</w:t>
      </w:r>
      <w:r>
        <w:rPr>
          <w:rFonts w:ascii="宋体" w:hAnsi="宋体" w:cs="Arial"/>
          <w:b/>
          <w:sz w:val="24"/>
        </w:rPr>
      </w:r>
      <w:r/>
    </w:p>
    <w:p>
      <w:pPr>
        <w:pStyle w:val="886"/>
        <w:numPr>
          <w:ilvl w:val="2"/>
          <w:numId w:val="2"/>
        </w:numPr>
        <w:ind w:left="426" w:firstLine="0"/>
        <w:spacing w:line="360" w:lineRule="auto"/>
        <w:rPr>
          <w:rFonts w:ascii="宋体" w:hAnsi="宋体" w:cs="Arial"/>
          <w:sz w:val="24"/>
        </w:rPr>
      </w:pPr>
      <w:r>
        <w:rPr>
          <w:rFonts w:hint="eastAsia" w:ascii="宋体" w:hAnsi="宋体" w:cs="Arial"/>
          <w:sz w:val="24"/>
        </w:rPr>
        <w:t xml:space="preserve">公开开标后，直到宣布授予中标单位合同为止，凡属于审查、澄清、评价和比较投标的所有资料，有关授予合同的信息都不应向投标人或与评标无关的其他人泄露。</w:t>
      </w:r>
      <w:r>
        <w:rPr>
          <w:rFonts w:ascii="宋体" w:hAnsi="宋体" w:cs="Arial"/>
          <w:sz w:val="24"/>
        </w:rPr>
      </w:r>
      <w:r/>
    </w:p>
    <w:p>
      <w:pPr>
        <w:pStyle w:val="886"/>
        <w:numPr>
          <w:ilvl w:val="2"/>
          <w:numId w:val="2"/>
        </w:numPr>
        <w:ind w:left="426" w:firstLine="0"/>
        <w:spacing w:line="360" w:lineRule="auto"/>
        <w:rPr>
          <w:rFonts w:ascii="宋体" w:hAnsi="宋体" w:cs="Arial"/>
          <w:sz w:val="24"/>
        </w:rPr>
      </w:pPr>
      <w:r>
        <w:rPr>
          <w:rFonts w:hint="eastAsia" w:ascii="宋体" w:hAnsi="宋体" w:cs="Arial"/>
          <w:sz w:val="24"/>
        </w:rPr>
        <w:t xml:space="preserve">在投标文件的审查、澄清、评价和比较以及授予合同的过程中，投标人对招标人和评标委员会成员施加影响的任何行为，都将取消其投标资格。</w:t>
      </w:r>
      <w:r>
        <w:rPr>
          <w:rFonts w:ascii="宋体" w:hAnsi="宋体" w:cs="Arial"/>
          <w:sz w:val="24"/>
        </w:rPr>
      </w:r>
      <w:r/>
    </w:p>
    <w:p>
      <w:pPr>
        <w:pStyle w:val="886"/>
        <w:numPr>
          <w:ilvl w:val="2"/>
          <w:numId w:val="2"/>
        </w:numPr>
        <w:ind w:left="426" w:firstLine="0"/>
        <w:spacing w:line="360" w:lineRule="auto"/>
        <w:rPr>
          <w:rFonts w:ascii="宋体" w:hAnsi="宋体" w:cs="Arial"/>
          <w:sz w:val="24"/>
        </w:rPr>
      </w:pPr>
      <w:r>
        <w:rPr>
          <w:rFonts w:hint="eastAsia" w:ascii="宋体" w:hAnsi="宋体" w:cs="Arial"/>
          <w:sz w:val="24"/>
        </w:rPr>
        <w:t xml:space="preserve">在评标期间，招标人将通过指定联络人与投标人进行联系。</w:t>
      </w:r>
      <w:r>
        <w:rPr>
          <w:rFonts w:ascii="宋体" w:hAnsi="宋体" w:cs="Arial"/>
          <w:sz w:val="24"/>
        </w:rPr>
      </w:r>
      <w:r/>
    </w:p>
    <w:p>
      <w:pPr>
        <w:pStyle w:val="886"/>
        <w:numPr>
          <w:ilvl w:val="2"/>
          <w:numId w:val="2"/>
        </w:numPr>
        <w:ind w:left="426" w:firstLine="0"/>
        <w:spacing w:line="360" w:lineRule="auto"/>
        <w:rPr>
          <w:rFonts w:ascii="宋体" w:hAnsi="宋体" w:cs="Arial"/>
          <w:sz w:val="24"/>
        </w:rPr>
      </w:pPr>
      <w:r>
        <w:rPr>
          <w:rFonts w:hint="eastAsia" w:ascii="宋体" w:hAnsi="宋体" w:cs="Arial"/>
          <w:sz w:val="24"/>
        </w:rPr>
        <w:t xml:space="preserve">评标委员会不向落标人解释原因。</w:t>
      </w:r>
      <w:r>
        <w:rPr>
          <w:rFonts w:ascii="宋体" w:hAnsi="宋体" w:cs="Arial"/>
          <w:sz w:val="24"/>
        </w:rPr>
      </w:r>
      <w:r/>
    </w:p>
    <w:p>
      <w:pPr>
        <w:pStyle w:val="886"/>
        <w:numPr>
          <w:ilvl w:val="0"/>
          <w:numId w:val="2"/>
        </w:numPr>
        <w:ind w:left="849" w:hanging="423"/>
        <w:spacing w:line="360" w:lineRule="auto"/>
        <w:rPr>
          <w:rFonts w:ascii="宋体" w:hAnsi="宋体" w:cs="Arial"/>
          <w:b/>
          <w:sz w:val="24"/>
        </w:rPr>
      </w:pPr>
      <w:r>
        <w:rPr>
          <w:rFonts w:hint="eastAsia" w:ascii="宋体" w:hAnsi="宋体" w:cs="Arial"/>
          <w:b/>
          <w:sz w:val="24"/>
        </w:rPr>
        <w:t xml:space="preserve">对投标人及投标文件的审核</w:t>
      </w:r>
      <w:r>
        <w:rPr>
          <w:rFonts w:ascii="宋体" w:hAnsi="宋体" w:cs="Arial"/>
          <w:b/>
          <w:sz w:val="24"/>
        </w:rPr>
      </w:r>
      <w:r/>
    </w:p>
    <w:p>
      <w:pPr>
        <w:pStyle w:val="886"/>
        <w:numPr>
          <w:ilvl w:val="1"/>
          <w:numId w:val="2"/>
        </w:numPr>
        <w:ind w:left="0" w:firstLine="425"/>
        <w:spacing w:line="360" w:lineRule="auto"/>
        <w:rPr>
          <w:rFonts w:hint="eastAsia" w:ascii="宋体" w:hAnsi="宋体" w:cs="Arial"/>
          <w:sz w:val="24"/>
        </w:rPr>
      </w:pPr>
      <w:r>
        <w:rPr>
          <w:rFonts w:hint="eastAsia" w:ascii="宋体" w:hAnsi="宋体" w:cs="Arial"/>
          <w:sz w:val="24"/>
        </w:rPr>
        <w:t xml:space="preserve">采购人或者招标代理人资格证明文件要求进行投标人资格审查，如缺少内容，视为无效投标；</w:t>
      </w:r>
      <w:r/>
    </w:p>
    <w:p>
      <w:pPr>
        <w:pStyle w:val="886"/>
        <w:numPr>
          <w:ilvl w:val="1"/>
          <w:numId w:val="2"/>
        </w:numPr>
        <w:ind w:left="0" w:firstLine="425"/>
        <w:spacing w:line="360" w:lineRule="auto"/>
        <w:rPr>
          <w:rFonts w:ascii="宋体" w:hAnsi="宋体" w:cs="Arial"/>
          <w:sz w:val="24"/>
        </w:rPr>
      </w:pPr>
      <w:r>
        <w:rPr>
          <w:rFonts w:hint="eastAsia" w:ascii="宋体" w:hAnsi="宋体" w:cs="Arial"/>
          <w:sz w:val="24"/>
        </w:rPr>
        <w:t xml:space="preserve">对价格的计算错误按下述原则修正：</w:t>
      </w:r>
      <w:r>
        <w:rPr>
          <w:rFonts w:ascii="宋体" w:hAnsi="宋体" w:cs="Arial"/>
          <w:sz w:val="24"/>
        </w:rPr>
      </w:r>
      <w:r/>
    </w:p>
    <w:p>
      <w:pPr>
        <w:pStyle w:val="886"/>
        <w:numPr>
          <w:ilvl w:val="2"/>
          <w:numId w:val="2"/>
        </w:numPr>
        <w:ind w:left="426" w:firstLine="0"/>
        <w:spacing w:line="360" w:lineRule="auto"/>
        <w:rPr>
          <w:rFonts w:ascii="宋体" w:hAnsi="宋体" w:cs="Arial"/>
          <w:sz w:val="24"/>
        </w:rPr>
      </w:pPr>
      <w:r>
        <w:rPr>
          <w:rFonts w:hint="eastAsia" w:ascii="宋体" w:hAnsi="宋体" w:cs="Arial"/>
          <w:sz w:val="24"/>
        </w:rPr>
        <w:t xml:space="preserve">如果以文字表示的数据与数字表示的有差别，应以文字为准修正数字。</w:t>
      </w:r>
      <w:r>
        <w:rPr>
          <w:rFonts w:ascii="宋体" w:hAnsi="宋体" w:cs="Arial"/>
          <w:sz w:val="24"/>
        </w:rPr>
      </w:r>
      <w:r/>
    </w:p>
    <w:p>
      <w:pPr>
        <w:pStyle w:val="886"/>
        <w:numPr>
          <w:ilvl w:val="2"/>
          <w:numId w:val="2"/>
        </w:numPr>
        <w:ind w:left="426" w:firstLine="0"/>
        <w:spacing w:line="360" w:lineRule="auto"/>
        <w:rPr>
          <w:rFonts w:ascii="宋体" w:hAnsi="宋体" w:cs="Arial"/>
          <w:sz w:val="24"/>
        </w:rPr>
      </w:pPr>
      <w:r>
        <w:rPr>
          <w:rFonts w:hint="eastAsia" w:ascii="宋体" w:hAnsi="宋体" w:cs="Arial"/>
          <w:sz w:val="24"/>
        </w:rPr>
        <w:t xml:space="preserve">对不同文字文本投标文件的解释发生异议的，以中文文本为准。</w:t>
      </w:r>
      <w:r>
        <w:rPr>
          <w:rFonts w:ascii="宋体" w:hAnsi="宋体" w:cs="Arial"/>
          <w:sz w:val="24"/>
        </w:rPr>
      </w:r>
      <w:r/>
    </w:p>
    <w:p>
      <w:pPr>
        <w:pStyle w:val="886"/>
        <w:numPr>
          <w:ilvl w:val="2"/>
          <w:numId w:val="2"/>
        </w:numPr>
        <w:ind w:left="426" w:firstLine="0"/>
        <w:spacing w:line="360" w:lineRule="auto"/>
        <w:rPr>
          <w:rFonts w:ascii="宋体" w:hAnsi="宋体" w:cs="Arial"/>
          <w:sz w:val="24"/>
        </w:rPr>
      </w:pPr>
      <w:r>
        <w:rPr>
          <w:rFonts w:hint="eastAsia" w:ascii="宋体" w:hAnsi="宋体" w:cs="Arial"/>
          <w:sz w:val="24"/>
        </w:rPr>
        <w:t xml:space="preserve">投标人不同意以上修正，则其投标为无效投标。</w:t>
      </w:r>
      <w:r>
        <w:rPr>
          <w:rFonts w:ascii="宋体" w:hAnsi="宋体" w:cs="Arial"/>
          <w:sz w:val="24"/>
        </w:rPr>
      </w:r>
      <w:r/>
    </w:p>
    <w:p>
      <w:pPr>
        <w:pStyle w:val="886"/>
        <w:numPr>
          <w:ilvl w:val="1"/>
          <w:numId w:val="2"/>
        </w:numPr>
        <w:ind w:left="0" w:firstLine="425"/>
        <w:spacing w:line="360" w:lineRule="auto"/>
        <w:rPr>
          <w:rFonts w:ascii="宋体" w:hAnsi="宋体" w:cs="Arial"/>
          <w:sz w:val="24"/>
        </w:rPr>
      </w:pPr>
      <w:r>
        <w:rPr>
          <w:rFonts w:hint="eastAsia" w:ascii="宋体" w:hAnsi="宋体" w:cs="Arial"/>
          <w:sz w:val="24"/>
        </w:rPr>
        <w:t xml:space="preserve">与招标文件有重大偏离的投标文件为无效投标。重大偏离系指系统和服务的质量、数量及交货期明显不能满足招标文件的要求。这些偏离不允许在开标后修正。但招标代理人将允许修改投标中不构成重大偏离的微小的、非正规、不一致或不规则的地方。</w:t>
      </w:r>
      <w:r>
        <w:rPr>
          <w:rFonts w:ascii="宋体" w:hAnsi="宋体" w:cs="Arial"/>
          <w:sz w:val="24"/>
        </w:rPr>
      </w:r>
      <w:r/>
    </w:p>
    <w:p>
      <w:pPr>
        <w:pStyle w:val="886"/>
        <w:numPr>
          <w:ilvl w:val="1"/>
          <w:numId w:val="2"/>
        </w:numPr>
        <w:ind w:left="0" w:firstLine="425"/>
        <w:spacing w:line="360" w:lineRule="auto"/>
        <w:rPr>
          <w:rFonts w:ascii="宋体" w:hAnsi="宋体" w:cs="Arial"/>
          <w:sz w:val="24"/>
        </w:rPr>
      </w:pPr>
      <w:r>
        <w:rPr>
          <w:rFonts w:hint="eastAsia" w:ascii="宋体" w:hAnsi="宋体" w:cs="Arial"/>
          <w:sz w:val="24"/>
        </w:rPr>
        <w:t xml:space="preserve">评标委员会对投标文件的判定，只依据投标内容本身，不依据开标后的任何外来证明。</w:t>
      </w:r>
      <w:r>
        <w:rPr>
          <w:rFonts w:ascii="宋体" w:hAnsi="宋体" w:cs="Arial"/>
          <w:sz w:val="24"/>
        </w:rPr>
      </w:r>
      <w:r/>
    </w:p>
    <w:p>
      <w:pPr>
        <w:pStyle w:val="886"/>
        <w:numPr>
          <w:ilvl w:val="1"/>
          <w:numId w:val="2"/>
        </w:numPr>
        <w:ind w:left="0" w:firstLine="425"/>
        <w:spacing w:line="360" w:lineRule="auto"/>
        <w:rPr>
          <w:rFonts w:ascii="宋体" w:hAnsi="宋体" w:cs="Arial"/>
          <w:sz w:val="24"/>
        </w:rPr>
      </w:pPr>
      <w:r>
        <w:rPr>
          <w:rFonts w:hint="eastAsia" w:ascii="宋体" w:hAnsi="宋体" w:cs="Arial"/>
          <w:sz w:val="24"/>
        </w:rPr>
        <w:t xml:space="preserve">下列投标文件为无效投标：</w:t>
      </w:r>
      <w:r>
        <w:rPr>
          <w:rFonts w:ascii="宋体" w:hAnsi="宋体" w:cs="Arial"/>
          <w:sz w:val="24"/>
        </w:rPr>
      </w:r>
      <w:r/>
    </w:p>
    <w:p>
      <w:pPr>
        <w:pStyle w:val="886"/>
        <w:numPr>
          <w:ilvl w:val="2"/>
          <w:numId w:val="2"/>
        </w:numPr>
        <w:ind w:left="426" w:firstLine="0"/>
        <w:spacing w:line="360" w:lineRule="auto"/>
        <w:rPr>
          <w:rFonts w:ascii="宋体" w:hAnsi="宋体" w:cs="Arial"/>
          <w:sz w:val="24"/>
        </w:rPr>
      </w:pPr>
      <w:r>
        <w:rPr>
          <w:rFonts w:hint="eastAsia" w:ascii="宋体" w:hAnsi="宋体" w:cs="Arial"/>
          <w:sz w:val="24"/>
        </w:rPr>
        <w:t xml:space="preserve">与招标文件有重大偏离。</w:t>
      </w:r>
      <w:r>
        <w:rPr>
          <w:rFonts w:ascii="宋体" w:hAnsi="宋体" w:cs="Arial"/>
          <w:sz w:val="24"/>
        </w:rPr>
      </w:r>
      <w:r/>
    </w:p>
    <w:p>
      <w:pPr>
        <w:pStyle w:val="886"/>
        <w:numPr>
          <w:ilvl w:val="2"/>
          <w:numId w:val="2"/>
        </w:numPr>
        <w:ind w:left="426" w:firstLine="0"/>
        <w:spacing w:line="360" w:lineRule="auto"/>
        <w:rPr>
          <w:rFonts w:ascii="宋体" w:hAnsi="宋体" w:cs="Arial"/>
          <w:sz w:val="24"/>
        </w:rPr>
      </w:pPr>
      <w:r>
        <w:rPr>
          <w:rFonts w:hint="eastAsia" w:ascii="宋体" w:hAnsi="宋体" w:cs="Arial"/>
          <w:sz w:val="24"/>
        </w:rPr>
        <w:t xml:space="preserve">投标人的报价是选择性的。</w:t>
      </w:r>
      <w:r>
        <w:rPr>
          <w:rFonts w:ascii="宋体" w:hAnsi="宋体" w:cs="Arial"/>
          <w:sz w:val="24"/>
        </w:rPr>
      </w:r>
      <w:r/>
    </w:p>
    <w:p>
      <w:pPr>
        <w:pStyle w:val="886"/>
        <w:numPr>
          <w:ilvl w:val="2"/>
          <w:numId w:val="2"/>
        </w:numPr>
        <w:ind w:left="426" w:firstLine="0"/>
        <w:spacing w:line="360" w:lineRule="auto"/>
        <w:rPr>
          <w:rFonts w:ascii="宋体" w:hAnsi="宋体" w:cs="Arial"/>
          <w:sz w:val="24"/>
        </w:rPr>
      </w:pPr>
      <w:r>
        <w:rPr>
          <w:rFonts w:hint="eastAsia" w:ascii="宋体" w:hAnsi="宋体" w:cs="Arial"/>
          <w:sz w:val="24"/>
        </w:rPr>
        <w:t xml:space="preserve">投标人的报价只报了部分内容。</w:t>
      </w:r>
      <w:r>
        <w:rPr>
          <w:rFonts w:ascii="宋体" w:hAnsi="宋体" w:cs="Arial"/>
          <w:sz w:val="24"/>
        </w:rPr>
      </w:r>
      <w:r/>
    </w:p>
    <w:p>
      <w:pPr>
        <w:pStyle w:val="886"/>
        <w:numPr>
          <w:ilvl w:val="2"/>
          <w:numId w:val="2"/>
        </w:numPr>
        <w:ind w:left="426" w:firstLine="0"/>
        <w:spacing w:line="360" w:lineRule="auto"/>
        <w:rPr>
          <w:rFonts w:ascii="宋体" w:hAnsi="宋体" w:cs="Arial"/>
          <w:sz w:val="24"/>
        </w:rPr>
      </w:pPr>
      <w:r>
        <w:rPr>
          <w:rFonts w:hint="eastAsia" w:ascii="宋体" w:hAnsi="宋体" w:cs="Arial"/>
          <w:sz w:val="24"/>
        </w:rPr>
        <w:t xml:space="preserve">投标报价超过预算的。</w:t>
      </w:r>
      <w:r>
        <w:rPr>
          <w:rFonts w:ascii="宋体" w:hAnsi="宋体" w:cs="Arial"/>
          <w:sz w:val="24"/>
        </w:rPr>
      </w:r>
      <w:r/>
    </w:p>
    <w:p>
      <w:pPr>
        <w:pStyle w:val="886"/>
        <w:numPr>
          <w:ilvl w:val="2"/>
          <w:numId w:val="2"/>
        </w:numPr>
        <w:ind w:left="426" w:firstLine="0"/>
        <w:spacing w:line="360" w:lineRule="auto"/>
        <w:rPr>
          <w:rFonts w:ascii="宋体" w:hAnsi="宋体" w:cs="Arial"/>
          <w:sz w:val="24"/>
        </w:rPr>
      </w:pPr>
      <w:r>
        <w:rPr>
          <w:rFonts w:hint="eastAsia" w:ascii="宋体" w:hAnsi="宋体" w:cs="Arial"/>
          <w:sz w:val="24"/>
        </w:rPr>
        <w:t xml:space="preserve">不具备招标文件中规定的资格要求。</w:t>
      </w:r>
      <w:r>
        <w:rPr>
          <w:rFonts w:ascii="宋体" w:hAnsi="宋体" w:cs="Arial"/>
          <w:sz w:val="24"/>
        </w:rPr>
      </w:r>
      <w:r/>
    </w:p>
    <w:p>
      <w:pPr>
        <w:pStyle w:val="886"/>
        <w:numPr>
          <w:ilvl w:val="2"/>
          <w:numId w:val="2"/>
        </w:numPr>
        <w:ind w:left="426" w:firstLine="0"/>
        <w:spacing w:line="360" w:lineRule="auto"/>
        <w:rPr>
          <w:rFonts w:ascii="宋体" w:hAnsi="宋体" w:cs="Arial"/>
          <w:sz w:val="24"/>
        </w:rPr>
      </w:pPr>
      <w:r>
        <w:rPr>
          <w:rFonts w:hint="eastAsia" w:ascii="宋体" w:hAnsi="宋体" w:cs="Arial"/>
          <w:sz w:val="24"/>
        </w:rPr>
        <w:t xml:space="preserve">不同供应商的投标文件由同一单位或者个人编制。</w:t>
      </w:r>
      <w:r>
        <w:rPr>
          <w:rFonts w:ascii="宋体" w:hAnsi="宋体" w:cs="Arial"/>
          <w:sz w:val="24"/>
        </w:rPr>
      </w:r>
      <w:r/>
    </w:p>
    <w:p>
      <w:pPr>
        <w:pStyle w:val="886"/>
        <w:numPr>
          <w:ilvl w:val="2"/>
          <w:numId w:val="2"/>
        </w:numPr>
        <w:ind w:left="426" w:firstLine="0"/>
        <w:spacing w:line="360" w:lineRule="auto"/>
        <w:rPr>
          <w:rFonts w:ascii="宋体" w:hAnsi="宋体" w:cs="Arial"/>
          <w:sz w:val="24"/>
        </w:rPr>
      </w:pPr>
      <w:r>
        <w:rPr>
          <w:rFonts w:hint="eastAsia" w:ascii="宋体" w:hAnsi="宋体" w:cs="Arial"/>
          <w:sz w:val="24"/>
        </w:rPr>
        <w:t xml:space="preserve">不同供应商委托同一单位或者个人办理投标事宜。</w:t>
      </w:r>
      <w:r>
        <w:rPr>
          <w:rFonts w:ascii="宋体" w:hAnsi="宋体" w:cs="Arial"/>
          <w:sz w:val="24"/>
        </w:rPr>
      </w:r>
      <w:r/>
    </w:p>
    <w:p>
      <w:pPr>
        <w:pStyle w:val="886"/>
        <w:numPr>
          <w:ilvl w:val="2"/>
          <w:numId w:val="2"/>
        </w:numPr>
        <w:ind w:left="426" w:firstLine="0"/>
        <w:spacing w:line="360" w:lineRule="auto"/>
        <w:rPr>
          <w:rFonts w:ascii="宋体" w:hAnsi="宋体" w:cs="Arial"/>
          <w:sz w:val="24"/>
        </w:rPr>
      </w:pPr>
      <w:r>
        <w:rPr>
          <w:rFonts w:hint="eastAsia" w:ascii="宋体" w:hAnsi="宋体" w:cs="Arial"/>
          <w:sz w:val="24"/>
        </w:rPr>
        <w:t xml:space="preserve">不同供应商的投标文件载明的项目管理成员为同一人。</w:t>
      </w:r>
      <w:r>
        <w:rPr>
          <w:rFonts w:ascii="宋体" w:hAnsi="宋体" w:cs="Arial"/>
          <w:sz w:val="24"/>
        </w:rPr>
      </w:r>
      <w:r/>
    </w:p>
    <w:p>
      <w:pPr>
        <w:pStyle w:val="886"/>
        <w:numPr>
          <w:ilvl w:val="2"/>
          <w:numId w:val="2"/>
        </w:numPr>
        <w:ind w:left="426" w:firstLine="0"/>
        <w:spacing w:line="360" w:lineRule="auto"/>
        <w:rPr>
          <w:rFonts w:ascii="宋体" w:hAnsi="宋体" w:cs="Arial"/>
          <w:sz w:val="24"/>
        </w:rPr>
      </w:pPr>
      <w:r>
        <w:rPr>
          <w:rFonts w:hint="eastAsia" w:ascii="宋体" w:hAnsi="宋体" w:cs="Arial"/>
          <w:sz w:val="24"/>
        </w:rPr>
        <w:t xml:space="preserve">不同供应商的投标文件异常一致。</w:t>
      </w:r>
      <w:r>
        <w:rPr>
          <w:rFonts w:ascii="宋体" w:hAnsi="宋体" w:cs="Arial"/>
          <w:sz w:val="24"/>
        </w:rPr>
      </w:r>
      <w:r/>
    </w:p>
    <w:p>
      <w:pPr>
        <w:pStyle w:val="886"/>
        <w:numPr>
          <w:ilvl w:val="2"/>
          <w:numId w:val="2"/>
        </w:numPr>
        <w:ind w:left="426" w:firstLine="0"/>
        <w:spacing w:line="360" w:lineRule="auto"/>
        <w:rPr>
          <w:rFonts w:ascii="宋体" w:hAnsi="宋体" w:cs="Arial"/>
          <w:sz w:val="24"/>
        </w:rPr>
      </w:pPr>
      <w:r>
        <w:rPr>
          <w:rFonts w:hint="eastAsia" w:ascii="宋体" w:hAnsi="宋体" w:cs="Arial"/>
          <w:sz w:val="24"/>
        </w:rPr>
        <w:t xml:space="preserve">不同供应商的投标文件相互混装。</w:t>
      </w:r>
      <w:r>
        <w:rPr>
          <w:rFonts w:ascii="宋体" w:hAnsi="宋体" w:cs="Arial"/>
          <w:sz w:val="24"/>
        </w:rPr>
      </w:r>
      <w:r/>
    </w:p>
    <w:p>
      <w:pPr>
        <w:pStyle w:val="886"/>
        <w:numPr>
          <w:ilvl w:val="2"/>
          <w:numId w:val="2"/>
        </w:numPr>
        <w:ind w:left="426" w:firstLine="0"/>
        <w:spacing w:line="360" w:lineRule="auto"/>
        <w:rPr>
          <w:rFonts w:ascii="宋体" w:hAnsi="宋体" w:cs="Arial"/>
          <w:sz w:val="24"/>
        </w:rPr>
      </w:pPr>
      <w:r>
        <w:rPr>
          <w:rFonts w:hint="eastAsia" w:ascii="宋体" w:hAnsi="宋体" w:cs="Arial"/>
          <w:sz w:val="24"/>
        </w:rPr>
        <w:t xml:space="preserve">不同供应商的法定代表人或委托代理人有夫妻、直系血亲关系的。</w:t>
      </w:r>
      <w:r>
        <w:rPr>
          <w:rFonts w:ascii="宋体" w:hAnsi="宋体" w:cs="Arial"/>
          <w:sz w:val="24"/>
        </w:rPr>
      </w:r>
      <w:r/>
    </w:p>
    <w:p>
      <w:pPr>
        <w:pStyle w:val="886"/>
        <w:numPr>
          <w:ilvl w:val="2"/>
          <w:numId w:val="2"/>
        </w:numPr>
        <w:ind w:left="426" w:firstLine="0"/>
        <w:spacing w:line="360" w:lineRule="auto"/>
        <w:rPr>
          <w:rFonts w:ascii="宋体" w:hAnsi="宋体" w:cs="Arial"/>
          <w:sz w:val="24"/>
        </w:rPr>
      </w:pPr>
      <w:r>
        <w:rPr>
          <w:rFonts w:hint="eastAsia" w:ascii="宋体" w:hAnsi="宋体" w:cs="Arial"/>
          <w:sz w:val="24"/>
        </w:rPr>
        <w:t xml:space="preserve">不同供应商的负责人为同一人或者存在控股、管理关系的。</w:t>
      </w:r>
      <w:r>
        <w:rPr>
          <w:rFonts w:ascii="宋体" w:hAnsi="宋体" w:cs="Arial"/>
          <w:sz w:val="24"/>
        </w:rPr>
      </w:r>
      <w:r/>
    </w:p>
    <w:p>
      <w:pPr>
        <w:pStyle w:val="886"/>
        <w:numPr>
          <w:ilvl w:val="2"/>
          <w:numId w:val="2"/>
        </w:numPr>
        <w:ind w:left="426" w:firstLine="0"/>
        <w:spacing w:line="360" w:lineRule="auto"/>
        <w:rPr>
          <w:rFonts w:ascii="宋体" w:hAnsi="宋体" w:cs="Arial"/>
          <w:sz w:val="24"/>
        </w:rPr>
      </w:pPr>
      <w:r>
        <w:rPr>
          <w:rFonts w:hint="eastAsia" w:ascii="宋体" w:hAnsi="宋体" w:cs="Arial"/>
          <w:sz w:val="24"/>
        </w:rPr>
        <w:t xml:space="preserve">不同供应商的委托代理人(或法定代表人、项目经理、项目总监、项目负责人等)在招标文件发布日上月至投标截止日当月在同一单位缴纳社会保险的。</w:t>
      </w:r>
      <w:r>
        <w:rPr>
          <w:rFonts w:ascii="宋体" w:hAnsi="宋体" w:cs="Arial"/>
          <w:sz w:val="24"/>
        </w:rPr>
      </w:r>
      <w:r/>
    </w:p>
    <w:p>
      <w:pPr>
        <w:pStyle w:val="886"/>
        <w:numPr>
          <w:ilvl w:val="2"/>
          <w:numId w:val="2"/>
        </w:numPr>
        <w:ind w:left="426" w:firstLine="0"/>
        <w:spacing w:line="360" w:lineRule="auto"/>
        <w:rPr>
          <w:rFonts w:hint="eastAsia" w:ascii="宋体" w:hAnsi="宋体" w:cs="Arial"/>
          <w:sz w:val="24"/>
        </w:rPr>
      </w:pPr>
      <w:r>
        <w:rPr>
          <w:rFonts w:hint="eastAsia" w:ascii="宋体" w:hAnsi="宋体" w:cs="Arial"/>
          <w:sz w:val="24"/>
        </w:rPr>
        <w:t xml:space="preserve">服务承诺和付款条件未响应招标要求的；</w:t>
      </w:r>
      <w:r/>
    </w:p>
    <w:p>
      <w:pPr>
        <w:pStyle w:val="886"/>
        <w:numPr>
          <w:ilvl w:val="2"/>
          <w:numId w:val="2"/>
        </w:numPr>
        <w:ind w:left="426" w:firstLine="0"/>
        <w:spacing w:line="360" w:lineRule="auto"/>
        <w:rPr>
          <w:rFonts w:ascii="宋体" w:hAnsi="宋体" w:cs="Arial"/>
          <w:sz w:val="24"/>
        </w:rPr>
      </w:pPr>
      <w:r>
        <w:rPr>
          <w:rFonts w:hint="eastAsia" w:ascii="宋体" w:hAnsi="宋体" w:cs="Arial"/>
          <w:sz w:val="24"/>
        </w:rPr>
        <w:t xml:space="preserve">特征码检查中，不同投标人上传采购文件所使用的电脑网卡信息一致的（如发现违法违规行为，将依法追究其法律责任）；</w:t>
      </w:r>
      <w:r>
        <w:rPr>
          <w:rFonts w:ascii="宋体" w:hAnsi="宋体" w:cs="Arial"/>
          <w:sz w:val="24"/>
        </w:rPr>
      </w:r>
      <w:r/>
    </w:p>
    <w:p>
      <w:pPr>
        <w:pStyle w:val="886"/>
        <w:numPr>
          <w:ilvl w:val="2"/>
          <w:numId w:val="2"/>
        </w:numPr>
        <w:ind w:left="426" w:firstLine="0"/>
        <w:spacing w:line="360" w:lineRule="auto"/>
        <w:rPr>
          <w:rFonts w:ascii="宋体" w:hAnsi="宋体" w:cs="Arial"/>
          <w:sz w:val="24"/>
        </w:rPr>
      </w:pPr>
      <w:r>
        <w:rPr>
          <w:rFonts w:hint="eastAsia" w:ascii="宋体" w:hAnsi="宋体" w:cs="Arial"/>
          <w:sz w:val="24"/>
        </w:rPr>
        <w:t xml:space="preserve">不符合法律法规和招标文件规定的其他实质性要求的。</w:t>
      </w:r>
      <w:r>
        <w:rPr>
          <w:rFonts w:ascii="宋体" w:hAnsi="宋体" w:cs="Arial"/>
          <w:sz w:val="24"/>
        </w:rPr>
      </w:r>
      <w:r/>
    </w:p>
    <w:p>
      <w:pPr>
        <w:pStyle w:val="886"/>
        <w:numPr>
          <w:ilvl w:val="2"/>
          <w:numId w:val="2"/>
        </w:numPr>
        <w:ind w:left="426" w:firstLine="0"/>
        <w:spacing w:line="360" w:lineRule="auto"/>
        <w:rPr>
          <w:rFonts w:ascii="宋体" w:hAnsi="宋体" w:cs="Arial"/>
          <w:sz w:val="24"/>
        </w:rPr>
      </w:pPr>
      <w:r>
        <w:rPr>
          <w:rFonts w:hint="eastAsia" w:ascii="宋体" w:hAnsi="宋体" w:cs="Arial"/>
          <w:sz w:val="24"/>
        </w:rPr>
        <w:t xml:space="preserve">评标委员会认定的其他为无效投标的事项。</w:t>
      </w:r>
      <w:r>
        <w:rPr>
          <w:rFonts w:ascii="宋体" w:hAnsi="宋体" w:cs="Arial"/>
          <w:sz w:val="24"/>
        </w:rPr>
      </w:r>
      <w:r/>
    </w:p>
    <w:p>
      <w:pPr>
        <w:pStyle w:val="886"/>
        <w:numPr>
          <w:ilvl w:val="0"/>
          <w:numId w:val="2"/>
        </w:numPr>
        <w:ind w:left="849" w:hanging="423"/>
        <w:spacing w:line="360" w:lineRule="auto"/>
        <w:rPr>
          <w:rFonts w:ascii="宋体" w:hAnsi="宋体" w:cs="Arial"/>
          <w:b/>
          <w:sz w:val="24"/>
        </w:rPr>
      </w:pPr>
      <w:r>
        <w:rPr>
          <w:rFonts w:hint="eastAsia" w:ascii="宋体" w:hAnsi="宋体" w:cs="Arial"/>
          <w:b/>
          <w:sz w:val="24"/>
        </w:rPr>
        <w:t xml:space="preserve">投标的澄清</w:t>
      </w:r>
      <w:r>
        <w:rPr>
          <w:rFonts w:ascii="宋体" w:hAnsi="宋体" w:cs="Arial"/>
          <w:b/>
          <w:sz w:val="24"/>
        </w:rPr>
      </w:r>
      <w:r/>
    </w:p>
    <w:p>
      <w:pPr>
        <w:pStyle w:val="886"/>
        <w:numPr>
          <w:ilvl w:val="1"/>
          <w:numId w:val="2"/>
        </w:numPr>
        <w:ind w:left="0" w:firstLine="425"/>
        <w:spacing w:line="360" w:lineRule="auto"/>
        <w:rPr>
          <w:rFonts w:ascii="宋体" w:hAnsi="宋体" w:cs="Arial"/>
          <w:sz w:val="24"/>
        </w:rPr>
      </w:pPr>
      <w:r>
        <w:rPr>
          <w:rFonts w:hint="eastAsia" w:ascii="宋体" w:hAnsi="宋体" w:cs="Arial"/>
          <w:sz w:val="24"/>
        </w:rPr>
        <w:t xml:space="preserve">评标委员会有权就投标文件中含混之处向投标人提出询问或澄清要求，投标人必须按照招标代理人通知的时间、地点派技术和商务人员进行澄清。</w:t>
      </w:r>
      <w:r>
        <w:rPr>
          <w:rFonts w:ascii="宋体" w:hAnsi="宋体" w:cs="Arial"/>
          <w:sz w:val="24"/>
        </w:rPr>
      </w:r>
      <w:r/>
    </w:p>
    <w:p>
      <w:pPr>
        <w:pStyle w:val="886"/>
        <w:numPr>
          <w:ilvl w:val="1"/>
          <w:numId w:val="2"/>
        </w:numPr>
        <w:ind w:left="0" w:firstLine="425"/>
        <w:spacing w:line="360" w:lineRule="auto"/>
        <w:rPr>
          <w:rFonts w:ascii="宋体" w:hAnsi="宋体" w:cs="Arial"/>
          <w:sz w:val="24"/>
        </w:rPr>
      </w:pPr>
      <w:r>
        <w:rPr>
          <w:rFonts w:hint="eastAsia" w:ascii="宋体" w:hAnsi="宋体" w:cs="Arial"/>
          <w:sz w:val="24"/>
        </w:rPr>
        <w:t xml:space="preserve">投标人对投标文件的澄清不得改变投标的价格及实质性内容。</w:t>
      </w:r>
      <w:r>
        <w:rPr>
          <w:rFonts w:ascii="宋体" w:hAnsi="宋体" w:cs="Arial"/>
          <w:sz w:val="24"/>
        </w:rPr>
      </w:r>
      <w:r/>
    </w:p>
    <w:p>
      <w:pPr>
        <w:pStyle w:val="886"/>
        <w:numPr>
          <w:ilvl w:val="0"/>
          <w:numId w:val="2"/>
        </w:numPr>
        <w:ind w:left="849" w:hanging="423"/>
        <w:spacing w:line="360" w:lineRule="auto"/>
        <w:rPr>
          <w:rFonts w:ascii="宋体" w:hAnsi="宋体" w:cs="Arial"/>
          <w:b/>
          <w:sz w:val="24"/>
        </w:rPr>
      </w:pPr>
      <w:r>
        <w:rPr>
          <w:rFonts w:hint="eastAsia" w:ascii="宋体" w:hAnsi="宋体" w:cs="Arial"/>
          <w:b/>
          <w:sz w:val="24"/>
        </w:rPr>
        <w:t xml:space="preserve">废标</w:t>
      </w:r>
      <w:r>
        <w:rPr>
          <w:rFonts w:ascii="宋体" w:hAnsi="宋体" w:cs="Arial"/>
          <w:b/>
          <w:sz w:val="24"/>
        </w:rPr>
      </w:r>
      <w:r/>
    </w:p>
    <w:p>
      <w:pPr>
        <w:pStyle w:val="886"/>
        <w:numPr>
          <w:ilvl w:val="1"/>
          <w:numId w:val="2"/>
        </w:numPr>
        <w:ind w:left="0" w:firstLine="425"/>
        <w:spacing w:line="360" w:lineRule="auto"/>
        <w:rPr>
          <w:rFonts w:ascii="宋体" w:hAnsi="宋体" w:cs="Arial"/>
          <w:sz w:val="24"/>
        </w:rPr>
      </w:pPr>
      <w:r>
        <w:rPr>
          <w:rFonts w:hint="eastAsia" w:ascii="宋体" w:hAnsi="宋体" w:cs="Arial"/>
          <w:sz w:val="24"/>
        </w:rPr>
        <w:t xml:space="preserve">在招标过程中，出现下列情况之一的，应予废标：</w:t>
      </w:r>
      <w:r>
        <w:rPr>
          <w:rFonts w:ascii="宋体" w:hAnsi="宋体" w:cs="Arial"/>
          <w:sz w:val="24"/>
        </w:rPr>
      </w:r>
      <w:r/>
    </w:p>
    <w:p>
      <w:pPr>
        <w:pStyle w:val="886"/>
        <w:numPr>
          <w:ilvl w:val="2"/>
          <w:numId w:val="2"/>
        </w:numPr>
        <w:ind w:left="426" w:firstLine="0"/>
        <w:spacing w:line="360" w:lineRule="auto"/>
        <w:rPr>
          <w:rFonts w:ascii="宋体" w:hAnsi="宋体" w:cs="Arial"/>
          <w:b/>
          <w:sz w:val="24"/>
        </w:rPr>
      </w:pPr>
      <w:r>
        <w:rPr>
          <w:rFonts w:hint="eastAsia" w:ascii="宋体" w:hAnsi="宋体" w:cs="Arial"/>
          <w:b/>
          <w:sz w:val="24"/>
        </w:rPr>
        <w:t xml:space="preserve">进入每个标段评审的实质性响应且具有得标权（已在前期各标段评审中获得了采购文件规定的得标上限数的供应商，不再具有该标段的得标权）的供应商少于3家的；</w:t>
      </w:r>
      <w:r>
        <w:rPr>
          <w:rFonts w:ascii="宋体" w:hAnsi="宋体" w:cs="Arial"/>
          <w:b/>
          <w:sz w:val="24"/>
        </w:rPr>
      </w:r>
      <w:r/>
    </w:p>
    <w:p>
      <w:pPr>
        <w:pStyle w:val="886"/>
        <w:numPr>
          <w:ilvl w:val="2"/>
          <w:numId w:val="2"/>
        </w:numPr>
        <w:ind w:left="426" w:firstLine="0"/>
        <w:spacing w:line="360" w:lineRule="auto"/>
        <w:rPr>
          <w:rFonts w:ascii="宋体" w:hAnsi="宋体" w:cs="Arial"/>
          <w:sz w:val="24"/>
        </w:rPr>
      </w:pPr>
      <w:r>
        <w:rPr>
          <w:rFonts w:hint="eastAsia" w:ascii="宋体" w:hAnsi="宋体" w:cs="Arial"/>
          <w:sz w:val="24"/>
        </w:rPr>
        <w:t xml:space="preserve">出现影响采购公正的违法、违规行为的；</w:t>
      </w:r>
      <w:r>
        <w:rPr>
          <w:rFonts w:ascii="宋体" w:hAnsi="宋体" w:cs="Arial"/>
          <w:sz w:val="24"/>
        </w:rPr>
      </w:r>
      <w:r/>
    </w:p>
    <w:p>
      <w:pPr>
        <w:pStyle w:val="886"/>
        <w:numPr>
          <w:ilvl w:val="2"/>
          <w:numId w:val="2"/>
        </w:numPr>
        <w:ind w:left="426" w:firstLine="0"/>
        <w:spacing w:line="360" w:lineRule="auto"/>
        <w:rPr>
          <w:rFonts w:ascii="宋体" w:hAnsi="宋体" w:cs="Arial"/>
          <w:sz w:val="24"/>
        </w:rPr>
      </w:pPr>
      <w:r>
        <w:rPr>
          <w:rFonts w:hint="eastAsia" w:ascii="宋体" w:hAnsi="宋体" w:cs="Arial"/>
          <w:sz w:val="24"/>
        </w:rPr>
        <w:t xml:space="preserve">投标人的报价均超过了采购预算，采购方不能支付的；</w:t>
      </w:r>
      <w:r>
        <w:rPr>
          <w:rFonts w:ascii="宋体" w:hAnsi="宋体" w:cs="Arial"/>
          <w:sz w:val="24"/>
        </w:rPr>
      </w:r>
      <w:r/>
    </w:p>
    <w:p>
      <w:pPr>
        <w:pStyle w:val="886"/>
        <w:numPr>
          <w:ilvl w:val="2"/>
          <w:numId w:val="2"/>
        </w:numPr>
        <w:ind w:left="426" w:firstLine="0"/>
        <w:spacing w:line="360" w:lineRule="auto"/>
        <w:rPr>
          <w:rFonts w:ascii="宋体" w:hAnsi="宋体" w:cs="Arial"/>
          <w:sz w:val="24"/>
        </w:rPr>
      </w:pPr>
      <w:r>
        <w:rPr>
          <w:rFonts w:hint="eastAsia" w:ascii="宋体" w:hAnsi="宋体" w:cs="Arial"/>
          <w:sz w:val="24"/>
        </w:rPr>
        <w:t xml:space="preserve">因重大变故，采购任务取消的。</w:t>
      </w:r>
      <w:r>
        <w:rPr>
          <w:rFonts w:ascii="宋体" w:hAnsi="宋体" w:cs="Arial"/>
          <w:sz w:val="24"/>
        </w:rPr>
      </w:r>
      <w:r/>
    </w:p>
    <w:p>
      <w:pPr>
        <w:pStyle w:val="886"/>
        <w:numPr>
          <w:ilvl w:val="1"/>
          <w:numId w:val="2"/>
        </w:numPr>
        <w:ind w:left="0" w:firstLine="425"/>
        <w:spacing w:line="360" w:lineRule="auto"/>
        <w:rPr>
          <w:rFonts w:ascii="宋体" w:hAnsi="宋体" w:cs="Arial"/>
          <w:sz w:val="24"/>
        </w:rPr>
      </w:pPr>
      <w:r>
        <w:rPr>
          <w:rFonts w:hint="eastAsia" w:ascii="宋体" w:hAnsi="宋体" w:cs="Arial"/>
          <w:sz w:val="24"/>
        </w:rPr>
        <w:t xml:space="preserve">废标后，招标人将把废标的理由通知所有投标人 。</w:t>
      </w:r>
      <w:r>
        <w:rPr>
          <w:rFonts w:ascii="宋体" w:hAnsi="宋体" w:cs="Arial"/>
          <w:sz w:val="24"/>
        </w:rPr>
      </w:r>
      <w:r/>
    </w:p>
    <w:p>
      <w:pPr>
        <w:pStyle w:val="886"/>
        <w:numPr>
          <w:ilvl w:val="0"/>
          <w:numId w:val="2"/>
        </w:numPr>
        <w:ind w:left="849" w:hanging="423"/>
        <w:spacing w:line="360" w:lineRule="auto"/>
        <w:rPr>
          <w:rFonts w:ascii="宋体" w:hAnsi="宋体" w:cs="Arial"/>
          <w:b/>
          <w:sz w:val="24"/>
        </w:rPr>
      </w:pPr>
      <w:r>
        <w:rPr>
          <w:rFonts w:hint="eastAsia" w:ascii="宋体" w:hAnsi="宋体" w:cs="Arial"/>
          <w:b/>
          <w:sz w:val="24"/>
        </w:rPr>
        <w:t xml:space="preserve">投标文件的评价和比较</w:t>
      </w:r>
      <w:r>
        <w:rPr>
          <w:rFonts w:ascii="宋体" w:hAnsi="宋体" w:cs="Arial"/>
          <w:b/>
          <w:sz w:val="24"/>
        </w:rPr>
      </w:r>
      <w:r/>
    </w:p>
    <w:p>
      <w:pPr>
        <w:pStyle w:val="886"/>
        <w:numPr>
          <w:ilvl w:val="1"/>
          <w:numId w:val="2"/>
        </w:numPr>
        <w:ind w:left="0" w:firstLine="425"/>
        <w:spacing w:line="360" w:lineRule="auto"/>
        <w:rPr>
          <w:rFonts w:ascii="宋体" w:hAnsi="宋体" w:cs="Arial"/>
          <w:sz w:val="24"/>
        </w:rPr>
      </w:pPr>
      <w:r>
        <w:rPr>
          <w:rFonts w:hint="eastAsia" w:ascii="宋体" w:hAnsi="宋体" w:cs="Arial"/>
          <w:sz w:val="24"/>
        </w:rPr>
        <w:t xml:space="preserve">评标委员会将仅对按照本须知有关规定确定为实质上响应招标文件要求的投标文件进行评价和比较。</w:t>
      </w:r>
      <w:r>
        <w:rPr>
          <w:rFonts w:ascii="宋体" w:hAnsi="宋体" w:cs="Arial"/>
          <w:sz w:val="24"/>
        </w:rPr>
      </w:r>
      <w:r/>
    </w:p>
    <w:p>
      <w:pPr>
        <w:pStyle w:val="886"/>
        <w:numPr>
          <w:ilvl w:val="1"/>
          <w:numId w:val="2"/>
        </w:numPr>
        <w:ind w:left="0" w:firstLine="425"/>
        <w:spacing w:line="360" w:lineRule="auto"/>
        <w:rPr>
          <w:rFonts w:ascii="宋体" w:hAnsi="宋体" w:cs="Arial"/>
          <w:sz w:val="24"/>
        </w:rPr>
      </w:pPr>
      <w:r>
        <w:rPr>
          <w:rFonts w:hint="eastAsia" w:ascii="宋体" w:hAnsi="宋体" w:cs="Arial"/>
          <w:sz w:val="24"/>
        </w:rPr>
        <w:t xml:space="preserve">评价和比较采用综合评分法，评标委员会严格按照招标文件的要求、条件、评分标准，对投标人所做的实质性响应内容进行比较。</w:t>
      </w:r>
      <w:r>
        <w:rPr>
          <w:rFonts w:ascii="宋体" w:hAnsi="宋体" w:cs="Arial"/>
          <w:sz w:val="24"/>
        </w:rPr>
      </w:r>
      <w:r/>
    </w:p>
    <w:p>
      <w:pPr>
        <w:pStyle w:val="886"/>
        <w:numPr>
          <w:ilvl w:val="0"/>
          <w:numId w:val="1"/>
        </w:numPr>
        <w:ind w:left="850" w:hanging="424"/>
        <w:spacing w:line="360" w:lineRule="auto"/>
        <w:rPr>
          <w:rFonts w:ascii="宋体" w:hAnsi="宋体" w:cs="Arial"/>
          <w:b/>
          <w:sz w:val="24"/>
        </w:rPr>
      </w:pPr>
      <w:r>
        <w:rPr>
          <w:rFonts w:hint="eastAsia" w:ascii="宋体" w:hAnsi="宋体" w:cs="Arial"/>
          <w:b/>
          <w:sz w:val="24"/>
        </w:rPr>
        <w:t xml:space="preserve">授予合同</w:t>
      </w:r>
      <w:r>
        <w:rPr>
          <w:rFonts w:ascii="宋体" w:hAnsi="宋体" w:cs="Arial"/>
          <w:b/>
          <w:sz w:val="24"/>
        </w:rPr>
      </w:r>
      <w:r/>
    </w:p>
    <w:p>
      <w:pPr>
        <w:pStyle w:val="886"/>
        <w:numPr>
          <w:ilvl w:val="0"/>
          <w:numId w:val="2"/>
        </w:numPr>
        <w:ind w:left="849" w:hanging="423"/>
        <w:spacing w:line="360" w:lineRule="auto"/>
        <w:rPr>
          <w:rFonts w:ascii="宋体" w:hAnsi="宋体" w:cs="Arial"/>
          <w:b/>
          <w:sz w:val="24"/>
        </w:rPr>
      </w:pPr>
      <w:r>
        <w:rPr>
          <w:rFonts w:hint="eastAsia" w:ascii="宋体" w:hAnsi="宋体" w:cs="Arial"/>
          <w:b/>
          <w:sz w:val="24"/>
        </w:rPr>
        <w:t xml:space="preserve">中标单位的确认</w:t>
      </w:r>
      <w:r>
        <w:rPr>
          <w:rFonts w:ascii="宋体" w:hAnsi="宋体" w:cs="Arial"/>
          <w:b/>
          <w:sz w:val="24"/>
        </w:rPr>
      </w:r>
      <w:r/>
    </w:p>
    <w:p>
      <w:pPr>
        <w:pStyle w:val="886"/>
        <w:numPr>
          <w:ilvl w:val="1"/>
          <w:numId w:val="2"/>
        </w:numPr>
        <w:ind w:left="0" w:firstLine="425"/>
        <w:spacing w:line="360" w:lineRule="auto"/>
        <w:rPr>
          <w:rFonts w:ascii="宋体" w:hAnsi="宋体" w:cs="Arial"/>
          <w:sz w:val="24"/>
        </w:rPr>
      </w:pPr>
      <w:r>
        <w:rPr>
          <w:rFonts w:hint="eastAsia" w:ascii="宋体" w:hAnsi="宋体" w:cs="Arial"/>
          <w:sz w:val="24"/>
        </w:rPr>
        <w:t xml:space="preserve">评标委员会根据投标人资格审查情况，对投标文件进行评价和比较，按照评标办法和标准进行评标，并按招标人的委托向招标人推荐中标候选单位。</w:t>
      </w:r>
      <w:r>
        <w:rPr>
          <w:rFonts w:ascii="宋体" w:hAnsi="宋体" w:cs="Arial"/>
          <w:sz w:val="24"/>
        </w:rPr>
      </w:r>
      <w:r/>
    </w:p>
    <w:p>
      <w:pPr>
        <w:pStyle w:val="886"/>
        <w:numPr>
          <w:ilvl w:val="1"/>
          <w:numId w:val="2"/>
        </w:numPr>
        <w:ind w:left="0" w:firstLine="425"/>
        <w:spacing w:line="360" w:lineRule="auto"/>
        <w:rPr>
          <w:rFonts w:ascii="宋体" w:hAnsi="宋体" w:cs="Arial"/>
          <w:sz w:val="24"/>
        </w:rPr>
      </w:pPr>
      <w:r>
        <w:rPr>
          <w:rFonts w:hint="eastAsia" w:ascii="宋体" w:hAnsi="宋体" w:cs="Arial"/>
          <w:sz w:val="24"/>
        </w:rPr>
        <w:t xml:space="preserve">政府采购合同履行中，采购人需追加与合同标的相同货物、工程或者服务的，在不改变合同其他条款的前提下，可以与供应商签订补充合同，但所有补充合同的采购金额不得超过原合同采购金额的10%。</w:t>
      </w:r>
      <w:r>
        <w:rPr>
          <w:rFonts w:ascii="宋体" w:hAnsi="宋体" w:cs="Arial"/>
          <w:sz w:val="24"/>
        </w:rPr>
      </w:r>
      <w:r/>
    </w:p>
    <w:p>
      <w:pPr>
        <w:pStyle w:val="886"/>
        <w:numPr>
          <w:ilvl w:val="0"/>
          <w:numId w:val="2"/>
        </w:numPr>
        <w:ind w:left="849" w:hanging="423"/>
        <w:spacing w:line="360" w:lineRule="auto"/>
        <w:rPr>
          <w:rFonts w:ascii="宋体" w:hAnsi="宋体" w:cs="Arial"/>
          <w:b/>
          <w:sz w:val="24"/>
        </w:rPr>
      </w:pPr>
      <w:r>
        <w:rPr>
          <w:rFonts w:hint="eastAsia" w:ascii="宋体" w:hAnsi="宋体" w:cs="Arial"/>
          <w:b/>
          <w:sz w:val="24"/>
        </w:rPr>
        <w:t xml:space="preserve">合同授予标准</w:t>
      </w:r>
      <w:r>
        <w:rPr>
          <w:rFonts w:ascii="宋体" w:hAnsi="宋体" w:cs="Arial"/>
          <w:b/>
          <w:sz w:val="24"/>
        </w:rPr>
      </w:r>
      <w:r/>
    </w:p>
    <w:p>
      <w:pPr>
        <w:pStyle w:val="886"/>
        <w:numPr>
          <w:ilvl w:val="1"/>
          <w:numId w:val="2"/>
        </w:numPr>
        <w:ind w:left="0" w:firstLine="425"/>
        <w:spacing w:line="360" w:lineRule="auto"/>
        <w:rPr>
          <w:rFonts w:ascii="宋体" w:hAnsi="宋体" w:cs="Arial"/>
          <w:sz w:val="24"/>
        </w:rPr>
      </w:pPr>
      <w:r>
        <w:rPr>
          <w:rFonts w:hint="eastAsia" w:ascii="宋体" w:hAnsi="宋体" w:cs="Arial"/>
          <w:sz w:val="24"/>
        </w:rPr>
        <w:t xml:space="preserve">确定为中标的投标人必须具有实施本合同的能力和资源。</w:t>
      </w:r>
      <w:r>
        <w:rPr>
          <w:rFonts w:ascii="宋体" w:hAnsi="宋体" w:cs="Arial"/>
          <w:sz w:val="24"/>
        </w:rPr>
      </w:r>
      <w:r/>
    </w:p>
    <w:p>
      <w:pPr>
        <w:pStyle w:val="886"/>
        <w:numPr>
          <w:ilvl w:val="0"/>
          <w:numId w:val="2"/>
        </w:numPr>
        <w:ind w:left="849" w:hanging="423"/>
        <w:spacing w:line="360" w:lineRule="auto"/>
        <w:rPr>
          <w:rFonts w:ascii="宋体" w:hAnsi="宋体" w:cs="Arial"/>
          <w:b/>
          <w:sz w:val="24"/>
        </w:rPr>
      </w:pPr>
      <w:r>
        <w:rPr>
          <w:rFonts w:hint="eastAsia" w:ascii="宋体" w:hAnsi="宋体" w:cs="Arial"/>
          <w:b/>
          <w:sz w:val="24"/>
        </w:rPr>
        <w:t xml:space="preserve">中标通知书</w:t>
      </w:r>
      <w:r>
        <w:rPr>
          <w:rFonts w:ascii="宋体" w:hAnsi="宋体" w:cs="Arial"/>
          <w:b/>
          <w:sz w:val="24"/>
        </w:rPr>
      </w:r>
      <w:r/>
    </w:p>
    <w:p>
      <w:pPr>
        <w:pStyle w:val="886"/>
        <w:numPr>
          <w:ilvl w:val="1"/>
          <w:numId w:val="2"/>
        </w:numPr>
        <w:ind w:left="0" w:firstLine="425"/>
        <w:spacing w:line="360" w:lineRule="auto"/>
        <w:rPr>
          <w:rFonts w:ascii="宋体" w:hAnsi="宋体" w:cs="Arial"/>
          <w:sz w:val="24"/>
        </w:rPr>
      </w:pPr>
      <w:r>
        <w:rPr>
          <w:rFonts w:hint="eastAsia" w:ascii="宋体" w:hAnsi="宋体" w:cs="Arial"/>
          <w:sz w:val="24"/>
        </w:rPr>
        <w:t xml:space="preserve">确定出中标单位后在投标有效期截止前，由苏采云系统发出，中标通知书将成为合同的组成部分。</w:t>
      </w:r>
      <w:r>
        <w:rPr>
          <w:rFonts w:ascii="宋体" w:hAnsi="宋体" w:cs="Arial"/>
          <w:sz w:val="24"/>
        </w:rPr>
      </w:r>
      <w:r/>
    </w:p>
    <w:p>
      <w:pPr>
        <w:pStyle w:val="886"/>
        <w:numPr>
          <w:ilvl w:val="0"/>
          <w:numId w:val="2"/>
        </w:numPr>
        <w:ind w:left="849" w:hanging="423"/>
        <w:spacing w:line="360" w:lineRule="auto"/>
        <w:rPr>
          <w:rFonts w:ascii="宋体" w:hAnsi="宋体" w:cs="Arial"/>
          <w:b/>
          <w:sz w:val="24"/>
        </w:rPr>
      </w:pPr>
      <w:r>
        <w:rPr>
          <w:rFonts w:hint="eastAsia" w:ascii="宋体" w:hAnsi="宋体" w:cs="Arial"/>
          <w:b/>
          <w:sz w:val="24"/>
        </w:rPr>
        <w:t xml:space="preserve">合同的签订</w:t>
      </w:r>
      <w:r>
        <w:rPr>
          <w:rFonts w:ascii="宋体" w:hAnsi="宋体" w:cs="Arial"/>
          <w:b/>
          <w:sz w:val="24"/>
        </w:rPr>
      </w:r>
      <w:r/>
    </w:p>
    <w:p>
      <w:pPr>
        <w:pStyle w:val="886"/>
        <w:numPr>
          <w:ilvl w:val="1"/>
          <w:numId w:val="2"/>
        </w:numPr>
        <w:ind w:left="0" w:firstLine="425"/>
        <w:spacing w:line="360" w:lineRule="auto"/>
        <w:rPr>
          <w:rFonts w:ascii="宋体" w:hAnsi="宋体" w:cs="Arial"/>
          <w:sz w:val="24"/>
        </w:rPr>
      </w:pPr>
      <w:r>
        <w:rPr>
          <w:rFonts w:ascii="宋体" w:hAnsi="宋体" w:cs="Arial"/>
          <w:sz w:val="24"/>
        </w:rPr>
        <w:t xml:space="preserve">采购人应当自中标通知书发出之日起30日内，按照招标文件和中标人投标文件的规定，与中标人签订书面合同。所签订的合同不得对招标文件确定的事项和中标人投标文件作实质性修改。</w:t>
      </w:r>
      <w:r/>
    </w:p>
    <w:p>
      <w:pPr>
        <w:pStyle w:val="886"/>
        <w:numPr>
          <w:ilvl w:val="1"/>
          <w:numId w:val="2"/>
        </w:numPr>
        <w:ind w:left="0" w:firstLine="425"/>
        <w:spacing w:line="360" w:lineRule="auto"/>
        <w:rPr>
          <w:rFonts w:ascii="宋体" w:hAnsi="宋体" w:cs="Arial"/>
          <w:sz w:val="24"/>
        </w:rPr>
      </w:pPr>
      <w:r>
        <w:rPr>
          <w:rFonts w:ascii="宋体" w:hAnsi="宋体" w:cs="Arial"/>
          <w:sz w:val="24"/>
        </w:rPr>
        <w:t xml:space="preserve">采购人不得向中标人提出任何不合理的要求作为签订合同的条件。</w:t>
      </w:r>
      <w:r/>
    </w:p>
    <w:p>
      <w:pPr>
        <w:pStyle w:val="886"/>
        <w:numPr>
          <w:ilvl w:val="1"/>
          <w:numId w:val="2"/>
        </w:numPr>
        <w:ind w:left="0" w:firstLine="425"/>
        <w:spacing w:line="360" w:lineRule="auto"/>
        <w:rPr>
          <w:rFonts w:hint="eastAsia" w:ascii="宋体" w:hAnsi="宋体" w:cs="Arial"/>
          <w:sz w:val="24"/>
        </w:rPr>
      </w:pPr>
      <w:r>
        <w:rPr>
          <w:rFonts w:hint="eastAsia" w:ascii="宋体" w:hAnsi="宋体" w:cs="Arial"/>
          <w:sz w:val="24"/>
        </w:rPr>
        <w:t xml:space="preserve">中标单位应按中标通知书中规定的时间和地点，由法定代表人或授权委托人与甲方代表签订合同。否则按放弃中标权处理。</w:t>
      </w:r>
      <w:r/>
    </w:p>
    <w:p>
      <w:pPr>
        <w:pStyle w:val="886"/>
        <w:numPr>
          <w:ilvl w:val="0"/>
          <w:numId w:val="2"/>
        </w:numPr>
        <w:ind w:left="849" w:hanging="423"/>
        <w:spacing w:line="360" w:lineRule="auto"/>
        <w:rPr>
          <w:rFonts w:ascii="宋体" w:hAnsi="宋体" w:cs="Arial"/>
          <w:b/>
          <w:sz w:val="24"/>
        </w:rPr>
      </w:pPr>
      <w:r>
        <w:rPr>
          <w:rFonts w:hint="eastAsia" w:ascii="宋体" w:hAnsi="宋体" w:cs="Arial"/>
          <w:b/>
          <w:sz w:val="24"/>
        </w:rPr>
        <w:t xml:space="preserve">履约保证金（如有）</w:t>
      </w:r>
      <w:r>
        <w:rPr>
          <w:rFonts w:ascii="宋体" w:hAnsi="宋体" w:cs="Arial"/>
          <w:b/>
          <w:sz w:val="24"/>
        </w:rPr>
      </w:r>
      <w:r/>
    </w:p>
    <w:p>
      <w:pPr>
        <w:pStyle w:val="886"/>
        <w:numPr>
          <w:ilvl w:val="1"/>
          <w:numId w:val="2"/>
        </w:numPr>
        <w:ind w:left="0" w:firstLine="425"/>
        <w:spacing w:line="360" w:lineRule="auto"/>
        <w:rPr>
          <w:rFonts w:ascii="宋体" w:hAnsi="宋体" w:cs="Arial"/>
          <w:sz w:val="24"/>
        </w:rPr>
      </w:pPr>
      <w:r>
        <w:rPr>
          <w:rFonts w:hint="eastAsia" w:ascii="宋体" w:hAnsi="宋体" w:cs="Arial"/>
          <w:sz w:val="24"/>
        </w:rPr>
        <w:t xml:space="preserve">中标的投标人应按《投标邀请函》中的规定提交履约保证金。</w:t>
      </w:r>
      <w:r>
        <w:rPr>
          <w:rFonts w:ascii="宋体" w:hAnsi="宋体" w:cs="Arial"/>
          <w:sz w:val="24"/>
        </w:rPr>
      </w:r>
      <w:r/>
    </w:p>
    <w:p>
      <w:pPr>
        <w:pStyle w:val="886"/>
        <w:numPr>
          <w:ilvl w:val="1"/>
          <w:numId w:val="2"/>
        </w:numPr>
        <w:ind w:left="0" w:firstLine="425"/>
        <w:spacing w:line="360" w:lineRule="auto"/>
        <w:rPr>
          <w:rFonts w:hint="eastAsia" w:ascii="宋体" w:hAnsi="宋体" w:cs="Arial"/>
          <w:sz w:val="24"/>
        </w:rPr>
      </w:pPr>
      <w:r>
        <w:rPr>
          <w:rFonts w:hint="eastAsia" w:ascii="宋体" w:hAnsi="宋体" w:cs="Arial"/>
          <w:sz w:val="24"/>
        </w:rPr>
        <w:t xml:space="preserve">履约保证金（无息）将在乙方履行完合同并经验收合格后，凭乙方的收款收据在五个工作日内退还乙方。</w:t>
      </w:r>
      <w:r/>
    </w:p>
    <w:p>
      <w:pPr>
        <w:pStyle w:val="886"/>
        <w:numPr>
          <w:ilvl w:val="0"/>
          <w:numId w:val="1"/>
        </w:numPr>
        <w:ind w:left="850" w:hanging="424"/>
        <w:spacing w:line="360" w:lineRule="auto"/>
        <w:rPr>
          <w:rFonts w:ascii="宋体" w:hAnsi="宋体" w:cs="Arial"/>
          <w:b/>
          <w:sz w:val="24"/>
        </w:rPr>
      </w:pPr>
      <w:r>
        <w:rPr>
          <w:rFonts w:hint="eastAsia" w:ascii="宋体" w:hAnsi="宋体" w:cs="Arial"/>
          <w:b/>
          <w:sz w:val="24"/>
        </w:rPr>
        <w:t xml:space="preserve">诚实信用</w:t>
      </w:r>
      <w:r>
        <w:rPr>
          <w:rFonts w:ascii="宋体" w:hAnsi="宋体" w:cs="Arial"/>
          <w:b/>
          <w:sz w:val="24"/>
        </w:rPr>
      </w:r>
      <w:r/>
    </w:p>
    <w:p>
      <w:pPr>
        <w:pStyle w:val="886"/>
        <w:numPr>
          <w:ilvl w:val="0"/>
          <w:numId w:val="2"/>
        </w:numPr>
        <w:ind w:left="849" w:hanging="423"/>
        <w:spacing w:line="360" w:lineRule="auto"/>
        <w:rPr>
          <w:rFonts w:ascii="宋体" w:hAnsi="宋体" w:cs="Arial"/>
          <w:b/>
          <w:sz w:val="24"/>
        </w:rPr>
      </w:pPr>
      <w:r>
        <w:rPr>
          <w:rFonts w:hint="eastAsia" w:ascii="宋体" w:hAnsi="宋体" w:cs="Arial"/>
          <w:b/>
          <w:sz w:val="24"/>
        </w:rPr>
        <w:t xml:space="preserve">诚实信用</w:t>
      </w:r>
      <w:r>
        <w:rPr>
          <w:rFonts w:ascii="宋体" w:hAnsi="宋体" w:cs="Arial"/>
          <w:b/>
          <w:sz w:val="24"/>
        </w:rPr>
      </w:r>
      <w:r/>
    </w:p>
    <w:p>
      <w:pPr>
        <w:pStyle w:val="886"/>
        <w:numPr>
          <w:ilvl w:val="1"/>
          <w:numId w:val="2"/>
        </w:numPr>
        <w:ind w:left="0" w:firstLine="425"/>
        <w:spacing w:line="360" w:lineRule="auto"/>
        <w:rPr>
          <w:rFonts w:ascii="宋体" w:hAnsi="宋体" w:cs="Arial"/>
          <w:sz w:val="24"/>
        </w:rPr>
      </w:pPr>
      <w:r>
        <w:rPr>
          <w:rFonts w:hint="eastAsia" w:ascii="宋体" w:hAnsi="宋体" w:cs="Arial"/>
          <w:sz w:val="24"/>
        </w:rPr>
        <w:t xml:space="preserve">供应商之间不得相互串通投标报价，不得妨碍其他供应商的公平竞争，不得损害采购人和其他供应商的合法权益。</w:t>
      </w:r>
      <w:r>
        <w:rPr>
          <w:rFonts w:ascii="宋体" w:hAnsi="宋体" w:cs="Arial"/>
          <w:sz w:val="24"/>
        </w:rPr>
      </w:r>
      <w:r/>
    </w:p>
    <w:p>
      <w:pPr>
        <w:pStyle w:val="886"/>
        <w:numPr>
          <w:ilvl w:val="1"/>
          <w:numId w:val="2"/>
        </w:numPr>
        <w:ind w:left="0" w:firstLine="425"/>
        <w:spacing w:line="360" w:lineRule="auto"/>
        <w:rPr>
          <w:rFonts w:ascii="宋体" w:hAnsi="宋体" w:cs="Arial"/>
          <w:sz w:val="24"/>
        </w:rPr>
      </w:pPr>
      <w:r>
        <w:rPr>
          <w:rFonts w:hint="eastAsia" w:ascii="宋体" w:hAnsi="宋体" w:cs="Arial"/>
          <w:sz w:val="24"/>
        </w:rPr>
        <w:t xml:space="preserve">供应商不得虚假承诺，否则，按照提供虚假材料谋取中标处理。</w:t>
      </w:r>
      <w:r>
        <w:rPr>
          <w:rFonts w:ascii="宋体" w:hAnsi="宋体" w:cs="Arial"/>
          <w:sz w:val="24"/>
        </w:rPr>
      </w:r>
      <w:r/>
    </w:p>
    <w:p>
      <w:pPr>
        <w:pStyle w:val="886"/>
        <w:numPr>
          <w:ilvl w:val="1"/>
          <w:numId w:val="2"/>
        </w:numPr>
        <w:ind w:left="0" w:firstLine="425"/>
        <w:spacing w:line="360" w:lineRule="auto"/>
        <w:rPr>
          <w:rFonts w:ascii="宋体" w:hAnsi="宋体" w:cs="Arial"/>
          <w:sz w:val="24"/>
        </w:rPr>
      </w:pPr>
      <w:r>
        <w:rPr>
          <w:rFonts w:hint="eastAsia" w:ascii="宋体" w:hAnsi="宋体" w:cs="Arial"/>
          <w:sz w:val="24"/>
        </w:rPr>
        <w:t xml:space="preserve">供应商应自觉遵守开标、评标纪律，扰乱现场秩序的，属于失信行为，根据《江苏省政府采购供应商监督管理暂行办法》和《昆山市政府采购供应商诚信管理暂行办法》，失信行为将被记入供应商诚信档案。</w:t>
      </w:r>
      <w:r>
        <w:rPr>
          <w:rFonts w:ascii="宋体" w:hAnsi="宋体" w:cs="Arial"/>
          <w:sz w:val="24"/>
        </w:rPr>
      </w:r>
      <w:r/>
    </w:p>
    <w:p>
      <w:pPr>
        <w:pStyle w:val="886"/>
        <w:numPr>
          <w:ilvl w:val="1"/>
          <w:numId w:val="2"/>
        </w:numPr>
        <w:ind w:left="0" w:firstLine="425"/>
        <w:spacing w:line="360" w:lineRule="auto"/>
        <w:rPr>
          <w:rFonts w:hint="eastAsia" w:ascii="宋体" w:hAnsi="宋体" w:cs="Arial"/>
          <w:sz w:val="24"/>
        </w:rPr>
      </w:pPr>
      <w:r>
        <w:rPr>
          <w:rFonts w:hint="eastAsia" w:ascii="宋体" w:hAnsi="宋体" w:cs="Arial"/>
          <w:sz w:val="24"/>
        </w:rPr>
        <w:t xml:space="preserve">供应商不得向工作人员、评标委员会成员行贿或者采取其他不正当手段谋取中标。经查实供应商有此行为的，</w:t>
      </w:r>
      <w:r>
        <w:rPr>
          <w:rFonts w:ascii="宋体" w:hAnsi="宋体" w:cs="Arial"/>
          <w:sz w:val="24"/>
        </w:rPr>
        <w:t xml:space="preserve">政府采购管理部门将供应商列入不良行为记录名单，按照《政府采购法》有关规定处理。</w:t>
      </w:r>
      <w:r>
        <w:rPr>
          <w:rFonts w:hint="eastAsia" w:ascii="宋体" w:hAnsi="宋体" w:cs="Arial"/>
          <w:sz w:val="24"/>
        </w:rPr>
      </w:r>
      <w:r/>
    </w:p>
    <w:p>
      <w:pPr>
        <w:pStyle w:val="886"/>
        <w:ind w:firstLine="482"/>
        <w:spacing w:line="360" w:lineRule="auto"/>
        <w:rPr>
          <w:rFonts w:ascii="宋体" w:hAnsi="宋体"/>
          <w:b/>
          <w:sz w:val="24"/>
        </w:rPr>
      </w:pPr>
      <w:r>
        <w:rPr>
          <w:rFonts w:hint="eastAsia" w:ascii="宋体" w:hAnsi="宋体"/>
          <w:b/>
          <w:sz w:val="24"/>
        </w:rPr>
        <w:t xml:space="preserve">为加强对政府采购供应商的监督管理，进一步规范供应商政府采购行为，促进供应商依法诚信经营，维护政府采购公平竞争环境和政府采购当事人的合法权益，供应商在参加政府采购活动时按《江苏省政府采购供应商监督管理暂行办法》《昆山市政府采购供应商诚信管理暂行办法》等规定执行。</w:t>
      </w:r>
      <w:r>
        <w:rPr>
          <w:rFonts w:ascii="宋体" w:hAnsi="宋体"/>
          <w:b/>
          <w:sz w:val="24"/>
        </w:rPr>
      </w:r>
      <w:r/>
    </w:p>
    <w:p>
      <w:pPr>
        <w:pStyle w:val="886"/>
        <w:numPr>
          <w:ilvl w:val="0"/>
          <w:numId w:val="1"/>
        </w:numPr>
        <w:ind w:left="850" w:hanging="424"/>
        <w:spacing w:line="360" w:lineRule="auto"/>
        <w:rPr>
          <w:rFonts w:ascii="宋体" w:hAnsi="宋体" w:cs="Arial"/>
          <w:b/>
          <w:sz w:val="24"/>
        </w:rPr>
      </w:pPr>
      <w:r>
        <w:rPr>
          <w:rFonts w:hint="eastAsia" w:ascii="宋体" w:hAnsi="宋体" w:cs="Arial"/>
          <w:b/>
          <w:sz w:val="24"/>
        </w:rPr>
        <w:t xml:space="preserve">其他事项</w:t>
      </w:r>
      <w:r>
        <w:rPr>
          <w:rFonts w:ascii="宋体" w:hAnsi="宋体" w:cs="Arial"/>
          <w:b/>
          <w:sz w:val="24"/>
        </w:rPr>
      </w:r>
      <w:r/>
    </w:p>
    <w:p>
      <w:pPr>
        <w:pStyle w:val="886"/>
        <w:numPr>
          <w:ilvl w:val="0"/>
          <w:numId w:val="2"/>
        </w:numPr>
        <w:ind w:left="849" w:hanging="423"/>
        <w:spacing w:line="360" w:lineRule="auto"/>
        <w:rPr>
          <w:rFonts w:ascii="宋体" w:hAnsi="宋体" w:cs="Arial"/>
          <w:b/>
          <w:sz w:val="24"/>
        </w:rPr>
      </w:pPr>
      <w:r>
        <w:rPr>
          <w:rFonts w:hint="eastAsia" w:ascii="宋体" w:hAnsi="宋体" w:cs="Arial"/>
          <w:b/>
          <w:sz w:val="24"/>
        </w:rPr>
        <w:t xml:space="preserve">中标服务费</w:t>
      </w:r>
      <w:r>
        <w:rPr>
          <w:rFonts w:ascii="宋体" w:hAnsi="宋体" w:cs="Arial"/>
          <w:b/>
          <w:sz w:val="24"/>
        </w:rPr>
      </w:r>
      <w:r/>
    </w:p>
    <w:p>
      <w:pPr>
        <w:pStyle w:val="886"/>
        <w:numPr>
          <w:ilvl w:val="1"/>
          <w:numId w:val="2"/>
        </w:numPr>
        <w:ind w:left="0" w:firstLine="425"/>
        <w:spacing w:line="360" w:lineRule="auto"/>
        <w:rPr>
          <w:rFonts w:ascii="宋体" w:hAnsi="宋体" w:cs="Arial"/>
          <w:sz w:val="24"/>
        </w:rPr>
      </w:pPr>
      <w:r>
        <w:rPr>
          <w:rFonts w:hint="eastAsia" w:ascii="宋体" w:hAnsi="宋体" w:cs="Arial"/>
          <w:sz w:val="24"/>
        </w:rPr>
        <w:t xml:space="preserve">中标单位须按规定支付中标服务费，该费用应在合同签订后三天内付清。</w:t>
      </w:r>
      <w:r>
        <w:rPr>
          <w:rFonts w:ascii="宋体" w:hAnsi="宋体" w:cs="Arial"/>
          <w:sz w:val="24"/>
        </w:rPr>
      </w:r>
      <w:r/>
    </w:p>
    <w:p>
      <w:pPr>
        <w:pStyle w:val="886"/>
        <w:numPr>
          <w:ilvl w:val="1"/>
          <w:numId w:val="2"/>
        </w:numPr>
        <w:ind w:left="0" w:firstLine="425"/>
        <w:spacing w:line="360" w:lineRule="auto"/>
        <w:rPr>
          <w:rFonts w:hint="eastAsia" w:ascii="宋体" w:hAnsi="宋体" w:cs="Arial"/>
          <w:b/>
          <w:sz w:val="24"/>
        </w:rPr>
      </w:pPr>
      <w:r>
        <w:rPr>
          <w:rFonts w:hint="eastAsia" w:ascii="宋体" w:hAnsi="宋体" w:cs="Arial"/>
          <w:b/>
          <w:sz w:val="24"/>
        </w:rPr>
        <w:t xml:space="preserve">按差额定率累进法计算收费: 按预算金额100万元以下，收取1.5%；100-500万元，收取1.1%；500-1000万元，收取0.8%；1000-5000万元，收取0.5%；5000-10000万元，收取0.25%；10000-100000万元，收取0.05%，最低不少于3000元；该费用由中标单位另行支付至我司中标服务费专用账户（</w:t>
      </w:r>
      <w:r>
        <w:rPr>
          <w:rFonts w:ascii="宋体" w:hAnsi="宋体" w:cs="Arial"/>
          <w:b/>
          <w:sz w:val="24"/>
        </w:rPr>
        <w:t xml:space="preserve">苏州公正建设咨询房地产评估有限公司</w:t>
      </w:r>
      <w:r>
        <w:rPr>
          <w:rFonts w:hint="eastAsia" w:ascii="宋体" w:hAnsi="宋体" w:cs="Arial"/>
          <w:b/>
          <w:sz w:val="24"/>
        </w:rPr>
        <w:t xml:space="preserve">  账  </w:t>
      </w:r>
      <w:r>
        <w:rPr>
          <w:rFonts w:ascii="宋体" w:hAnsi="宋体" w:cs="Arial"/>
          <w:b/>
          <w:sz w:val="24"/>
        </w:rPr>
        <w:t xml:space="preserve">号：</w:t>
      </w:r>
      <w:r>
        <w:rPr>
          <w:rFonts w:hint="eastAsia" w:ascii="宋体" w:hAnsi="宋体" w:cs="Arial"/>
          <w:b/>
          <w:sz w:val="24"/>
        </w:rPr>
        <w:t xml:space="preserve">3715 0188 0000 00965 </w:t>
      </w:r>
      <w:r>
        <w:rPr>
          <w:rFonts w:ascii="宋体" w:hAnsi="宋体" w:cs="Arial"/>
          <w:b/>
          <w:sz w:val="24"/>
        </w:rPr>
        <w:t xml:space="preserve">开户行</w:t>
      </w:r>
      <w:r>
        <w:rPr>
          <w:rFonts w:hint="eastAsia" w:ascii="宋体" w:hAnsi="宋体" w:cs="Arial"/>
          <w:b/>
          <w:sz w:val="24"/>
        </w:rPr>
        <w:t xml:space="preserve">：光大银行昆山高新技术产业园区支行）</w:t>
      </w:r>
      <w:r/>
    </w:p>
    <w:p>
      <w:pPr>
        <w:pStyle w:val="886"/>
        <w:numPr>
          <w:ilvl w:val="1"/>
          <w:numId w:val="2"/>
        </w:numPr>
        <w:ind w:left="0" w:firstLine="425"/>
        <w:spacing w:line="360" w:lineRule="auto"/>
        <w:rPr>
          <w:rFonts w:ascii="宋体" w:hAnsi="宋体" w:cs="Arial"/>
          <w:sz w:val="24"/>
        </w:rPr>
      </w:pPr>
      <w:r>
        <w:rPr>
          <w:rFonts w:hint="eastAsia" w:ascii="宋体" w:hAnsi="宋体" w:cs="Arial"/>
          <w:sz w:val="24"/>
        </w:rPr>
        <w:t xml:space="preserve">中标单位如果未按规定缴纳中标服务费，我单位保留诉讼的权利。</w:t>
      </w:r>
      <w:r>
        <w:rPr>
          <w:rFonts w:ascii="宋体" w:hAnsi="宋体" w:cs="Arial"/>
          <w:sz w:val="24"/>
        </w:rPr>
      </w:r>
      <w:r/>
    </w:p>
    <w:p>
      <w:pPr>
        <w:pStyle w:val="886"/>
        <w:numPr>
          <w:ilvl w:val="0"/>
          <w:numId w:val="2"/>
        </w:numPr>
        <w:ind w:left="849" w:hanging="423"/>
        <w:spacing w:line="360" w:lineRule="auto"/>
        <w:rPr>
          <w:rFonts w:ascii="宋体" w:hAnsi="宋体" w:cs="Arial"/>
          <w:b/>
          <w:sz w:val="24"/>
        </w:rPr>
      </w:pPr>
      <w:r>
        <w:rPr>
          <w:rFonts w:hint="eastAsia" w:ascii="宋体" w:hAnsi="宋体" w:cs="Arial"/>
          <w:b/>
          <w:sz w:val="24"/>
        </w:rPr>
        <w:t xml:space="preserve">监督</w:t>
      </w:r>
      <w:r>
        <w:rPr>
          <w:rFonts w:ascii="宋体" w:hAnsi="宋体" w:cs="Arial"/>
          <w:b/>
          <w:sz w:val="24"/>
        </w:rPr>
      </w:r>
      <w:r/>
    </w:p>
    <w:p>
      <w:pPr>
        <w:pStyle w:val="886"/>
        <w:numPr>
          <w:ilvl w:val="1"/>
          <w:numId w:val="2"/>
        </w:numPr>
        <w:ind w:left="0" w:firstLine="425"/>
        <w:spacing w:line="360" w:lineRule="auto"/>
        <w:rPr>
          <w:rFonts w:ascii="宋体" w:hAnsi="宋体" w:cs="Arial"/>
          <w:b/>
          <w:sz w:val="24"/>
        </w:rPr>
      </w:pPr>
      <w:r>
        <w:rPr>
          <w:rFonts w:hint="eastAsia" w:ascii="宋体" w:hAnsi="宋体" w:cs="Arial"/>
          <w:b/>
          <w:sz w:val="24"/>
        </w:rPr>
        <w:t xml:space="preserve">政府有关监督部门将对招投标全过程进行监督。</w:t>
      </w:r>
      <w:r>
        <w:rPr>
          <w:rFonts w:ascii="宋体" w:hAnsi="宋体" w:cs="Arial"/>
          <w:b/>
          <w:sz w:val="24"/>
        </w:rPr>
      </w:r>
      <w:r/>
    </w:p>
    <w:p>
      <w:pPr>
        <w:pStyle w:val="886"/>
        <w:numPr>
          <w:ilvl w:val="0"/>
          <w:numId w:val="2"/>
        </w:numPr>
        <w:ind w:left="849" w:hanging="423"/>
        <w:spacing w:line="360" w:lineRule="auto"/>
        <w:rPr>
          <w:rFonts w:ascii="宋体" w:hAnsi="宋体" w:cs="Arial"/>
          <w:b/>
          <w:sz w:val="24"/>
        </w:rPr>
      </w:pPr>
      <w:r>
        <w:rPr>
          <w:rFonts w:hint="eastAsia" w:ascii="宋体" w:hAnsi="宋体" w:cs="Arial"/>
          <w:b/>
          <w:sz w:val="24"/>
        </w:rPr>
        <w:t xml:space="preserve">未尽事宜</w:t>
      </w:r>
      <w:r>
        <w:rPr>
          <w:rFonts w:ascii="宋体" w:hAnsi="宋体" w:cs="Arial"/>
          <w:b/>
          <w:sz w:val="24"/>
        </w:rPr>
      </w:r>
      <w:r/>
    </w:p>
    <w:p>
      <w:pPr>
        <w:pStyle w:val="886"/>
        <w:numPr>
          <w:ilvl w:val="1"/>
          <w:numId w:val="2"/>
        </w:numPr>
        <w:ind w:left="0" w:firstLine="425"/>
        <w:spacing w:line="360" w:lineRule="auto"/>
        <w:rPr>
          <w:rFonts w:ascii="宋体" w:hAnsi="宋体" w:cs="Arial"/>
          <w:b/>
          <w:sz w:val="24"/>
        </w:rPr>
      </w:pPr>
      <w:r>
        <w:rPr>
          <w:rFonts w:hint="eastAsia" w:ascii="宋体" w:hAnsi="宋体" w:cs="Arial"/>
          <w:b/>
          <w:sz w:val="24"/>
        </w:rPr>
        <w:t xml:space="preserve">按《中华人民共和国政府采购法》及其他有关政府采购的法律法规的规定执行。</w:t>
      </w:r>
      <w:r>
        <w:rPr>
          <w:rFonts w:ascii="宋体" w:hAnsi="宋体" w:cs="Arial"/>
          <w:b/>
          <w:sz w:val="24"/>
        </w:rPr>
      </w:r>
      <w:r/>
    </w:p>
    <w:p>
      <w:pPr>
        <w:pStyle w:val="906"/>
      </w:pPr>
      <w:r/>
      <w:r/>
    </w:p>
    <w:p>
      <w:pPr>
        <w:pStyle w:val="886"/>
        <w:jc w:val="center"/>
        <w:spacing w:line="360" w:lineRule="auto"/>
        <w:rPr>
          <w:rFonts w:ascii="宋体" w:hAnsi="宋体"/>
          <w:sz w:val="24"/>
        </w:rPr>
      </w:pPr>
      <w:r>
        <w:rPr>
          <w:rFonts w:ascii="宋体" w:hAnsi="宋体"/>
          <w:szCs w:val="21"/>
        </w:rPr>
        <w:br w:type="page" w:clear="all"/>
      </w:r>
      <w:r>
        <w:rPr>
          <w:rFonts w:ascii="宋体" w:hAnsi="宋体"/>
          <w:sz w:val="24"/>
        </w:rPr>
      </w:r>
      <w:r/>
    </w:p>
    <w:p>
      <w:pPr>
        <w:pStyle w:val="959"/>
        <w:rPr>
          <w:b w:val="0"/>
        </w:rPr>
      </w:pPr>
      <w:r/>
      <w:bookmarkStart w:id="15" w:name="_Toc199168192"/>
      <w:r>
        <w:rPr>
          <w:rFonts w:hint="eastAsia"/>
          <w:b w:val="0"/>
        </w:rPr>
        <w:t xml:space="preserve">第三章  投标文件格式</w:t>
      </w:r>
      <w:bookmarkEnd w:id="15"/>
      <w:r/>
      <w:bookmarkStart w:id="16" w:name="gpcItem_SubmitDocStruct"/>
      <w:r>
        <w:rPr>
          <w:b w:val="0"/>
        </w:rPr>
        <w:t xml:space="preserve">  </w:t>
      </w:r>
      <w:bookmarkEnd w:id="16"/>
      <w:r>
        <w:rPr>
          <w:b w:val="0"/>
        </w:rPr>
      </w:r>
      <w:r/>
    </w:p>
    <w:p>
      <w:pPr>
        <w:pStyle w:val="906"/>
        <w:ind w:firstLine="0"/>
        <w:spacing w:line="360" w:lineRule="auto"/>
        <w:rPr>
          <w:rFonts w:ascii="宋体" w:hAnsi="宋体" w:eastAsia="宋体"/>
        </w:rPr>
      </w:pPr>
      <w:r>
        <w:rPr>
          <w:rFonts w:hint="eastAsia" w:ascii="宋体" w:hAnsi="宋体" w:eastAsia="宋体"/>
        </w:rPr>
        <w:t xml:space="preserve">说明：</w:t>
      </w:r>
      <w:r>
        <w:rPr>
          <w:rFonts w:ascii="宋体" w:hAnsi="宋体" w:eastAsia="宋体"/>
        </w:rPr>
      </w:r>
      <w:r/>
    </w:p>
    <w:p>
      <w:pPr>
        <w:pStyle w:val="906"/>
        <w:ind w:firstLine="480"/>
        <w:spacing w:line="360" w:lineRule="auto"/>
        <w:rPr>
          <w:rFonts w:hint="eastAsia" w:ascii="宋体" w:hAnsi="宋体" w:eastAsia="宋体"/>
        </w:rPr>
      </w:pPr>
      <w:r>
        <w:rPr>
          <w:rFonts w:hint="eastAsia" w:ascii="宋体" w:hAnsi="宋体" w:eastAsia="宋体"/>
        </w:rPr>
        <w:t xml:space="preserve">对本章所有的投标书格式</w:t>
      </w:r>
      <w:r>
        <w:rPr>
          <w:rFonts w:ascii="宋体" w:hAnsi="宋体" w:eastAsia="宋体"/>
        </w:rPr>
        <w:t xml:space="preserve"> ，投标方可根据自身情况进行补充和修改，但补充和修改不得造成与本格式内容有实质性的违背。</w:t>
      </w:r>
      <w:r>
        <w:rPr>
          <w:rFonts w:hint="eastAsia" w:ascii="宋体" w:hAnsi="宋体" w:eastAsia="宋体"/>
        </w:rPr>
      </w:r>
      <w:r/>
    </w:p>
    <w:p>
      <w:pPr>
        <w:pStyle w:val="888"/>
        <w:spacing w:line="416" w:lineRule="auto"/>
        <w:rPr>
          <w:rFonts w:ascii="宋体" w:hAnsi="宋体" w:eastAsia="宋体"/>
          <w:b w:val="0"/>
        </w:rPr>
      </w:pPr>
      <w:r/>
      <w:bookmarkStart w:id="17" w:name="_Ref180135336"/>
      <w:r/>
      <w:bookmarkStart w:id="18" w:name="_Ref501489497"/>
      <w:r/>
      <w:bookmarkStart w:id="19" w:name="_Toc199168193"/>
      <w:r>
        <w:rPr>
          <w:rFonts w:hint="eastAsia" w:ascii="宋体" w:hAnsi="宋体" w:eastAsia="宋体"/>
          <w:b w:val="0"/>
        </w:rPr>
        <w:t xml:space="preserve">1.投标</w:t>
      </w:r>
      <w:r>
        <w:rPr>
          <w:rFonts w:ascii="宋体" w:hAnsi="宋体" w:eastAsia="宋体"/>
          <w:b w:val="0"/>
        </w:rPr>
        <w:t xml:space="preserve">文件的声明函</w:t>
      </w:r>
      <w:bookmarkEnd w:id="17"/>
      <w:r/>
      <w:bookmarkEnd w:id="18"/>
      <w:r/>
      <w:bookmarkEnd w:id="19"/>
      <w:r>
        <w:rPr>
          <w:rFonts w:ascii="宋体" w:hAnsi="宋体" w:eastAsia="宋体"/>
          <w:b w:val="0"/>
        </w:rPr>
      </w:r>
      <w:r/>
    </w:p>
    <w:p>
      <w:pPr>
        <w:pStyle w:val="906"/>
        <w:jc w:val="center"/>
        <w:spacing w:line="360" w:lineRule="auto"/>
        <w:rPr>
          <w:rFonts w:ascii="宋体" w:hAnsi="宋体" w:eastAsia="宋体"/>
        </w:rPr>
      </w:pPr>
      <w:r>
        <w:rPr>
          <w:rFonts w:hint="eastAsia" w:ascii="宋体" w:hAnsi="宋体" w:eastAsia="宋体"/>
        </w:rPr>
        <w:t xml:space="preserve">投标文件的声明函</w:t>
      </w:r>
      <w:r>
        <w:rPr>
          <w:rFonts w:ascii="宋体" w:hAnsi="宋体" w:eastAsia="宋体"/>
        </w:rPr>
      </w:r>
      <w:r/>
    </w:p>
    <w:p>
      <w:pPr>
        <w:pStyle w:val="906"/>
        <w:jc w:val="center"/>
        <w:spacing w:line="360" w:lineRule="auto"/>
        <w:rPr>
          <w:rFonts w:ascii="宋体" w:hAnsi="宋体" w:eastAsia="宋体"/>
        </w:rPr>
      </w:pPr>
      <w:r>
        <w:rPr>
          <w:rFonts w:ascii="宋体" w:hAnsi="宋体" w:eastAsia="宋体"/>
        </w:rPr>
      </w:r>
      <w:r/>
    </w:p>
    <w:p>
      <w:pPr>
        <w:pStyle w:val="906"/>
        <w:ind w:firstLine="0"/>
        <w:spacing w:line="360" w:lineRule="auto"/>
        <w:rPr>
          <w:rFonts w:ascii="宋体" w:hAnsi="宋体" w:eastAsia="宋体"/>
        </w:rPr>
      </w:pPr>
      <w:r>
        <w:rPr>
          <w:rFonts w:ascii="宋体" w:hAnsi="宋体" w:eastAsia="宋体"/>
        </w:rPr>
        <w:t xml:space="preserve"> </w:t>
      </w:r>
      <w:r>
        <w:rPr>
          <w:rFonts w:ascii="宋体" w:hAnsi="宋体" w:eastAsia="宋体"/>
          <w:u w:val="single"/>
        </w:rPr>
        <w:t xml:space="preserve">  </w:t>
      </w:r>
      <w:r>
        <w:rPr>
          <w:rFonts w:hint="eastAsia" w:ascii="宋体" w:hAnsi="宋体" w:eastAsia="宋体"/>
          <w:u w:val="single"/>
        </w:rPr>
        <w:t xml:space="preserve">苏州公正建设咨询房地产评估有限公司</w:t>
      </w:r>
      <w:r>
        <w:rPr>
          <w:rFonts w:ascii="宋体" w:hAnsi="宋体" w:eastAsia="宋体"/>
          <w:u w:val="single"/>
        </w:rPr>
        <w:t xml:space="preserve">  </w:t>
      </w:r>
      <w:r>
        <w:rPr>
          <w:rFonts w:hint="eastAsia" w:ascii="宋体" w:hAnsi="宋体" w:eastAsia="宋体"/>
        </w:rPr>
        <w:t xml:space="preserve">：</w:t>
      </w:r>
      <w:r>
        <w:rPr>
          <w:rFonts w:ascii="宋体" w:hAnsi="宋体" w:eastAsia="宋体"/>
        </w:rPr>
      </w:r>
      <w:r/>
    </w:p>
    <w:p>
      <w:pPr>
        <w:pStyle w:val="906"/>
        <w:spacing w:line="360" w:lineRule="auto"/>
        <w:rPr>
          <w:rFonts w:ascii="宋体" w:hAnsi="宋体" w:eastAsia="宋体"/>
        </w:rPr>
      </w:pPr>
      <w:r>
        <w:rPr>
          <w:rFonts w:ascii="宋体" w:hAnsi="宋体" w:eastAsia="宋体"/>
        </w:rPr>
        <w:t xml:space="preserve"> </w:t>
      </w:r>
      <w:r>
        <w:rPr>
          <w:rFonts w:hint="eastAsia" w:ascii="宋体" w:hAnsi="宋体" w:eastAsia="宋体"/>
        </w:rPr>
        <w:t xml:space="preserve">本公司愿就由贵公司组织实施的编号为</w:t>
      </w:r>
      <w:r>
        <w:rPr>
          <w:rFonts w:ascii="宋体" w:hAnsi="宋体" w:eastAsia="宋体"/>
          <w:u w:val="single"/>
        </w:rPr>
        <w:t xml:space="preserve">       </w:t>
      </w:r>
      <w:r>
        <w:rPr>
          <w:rFonts w:hint="eastAsia" w:ascii="宋体" w:hAnsi="宋体" w:eastAsia="宋体"/>
          <w:u w:val="single"/>
        </w:rPr>
        <w:t xml:space="preserve">         </w:t>
      </w:r>
      <w:r>
        <w:rPr>
          <w:rFonts w:ascii="宋体" w:hAnsi="宋体" w:eastAsia="宋体"/>
          <w:u w:val="single"/>
        </w:rPr>
        <w:t xml:space="preserve">    </w:t>
      </w:r>
      <w:r>
        <w:rPr>
          <w:rFonts w:hint="eastAsia" w:ascii="宋体" w:hAnsi="宋体" w:eastAsia="宋体"/>
        </w:rPr>
        <w:t xml:space="preserve">号的招标活动进行投标。本公司所提交的投标资料均是真实的、准确的。若与真实情况不符，本公司愿意承担由此而产生的一切后果。</w:t>
      </w:r>
      <w:r>
        <w:rPr>
          <w:rFonts w:ascii="宋体" w:hAnsi="宋体" w:eastAsia="宋体"/>
        </w:rPr>
      </w:r>
      <w:r/>
    </w:p>
    <w:p>
      <w:pPr>
        <w:pStyle w:val="906"/>
        <w:spacing w:line="360" w:lineRule="auto"/>
        <w:rPr>
          <w:rFonts w:ascii="宋体" w:hAnsi="宋体" w:eastAsia="宋体"/>
        </w:rPr>
      </w:pPr>
      <w:r>
        <w:rPr>
          <w:rFonts w:ascii="宋体" w:hAnsi="宋体" w:eastAsia="宋体"/>
        </w:rPr>
      </w:r>
      <w:r/>
    </w:p>
    <w:p>
      <w:pPr>
        <w:pStyle w:val="906"/>
        <w:spacing w:line="360" w:lineRule="auto"/>
        <w:tabs>
          <w:tab w:val="left" w:pos="2940" w:leader="none"/>
        </w:tabs>
        <w:rPr>
          <w:rFonts w:ascii="宋体" w:hAnsi="宋体" w:eastAsia="宋体"/>
        </w:rPr>
      </w:pPr>
      <w:r>
        <w:rPr>
          <w:rFonts w:ascii="宋体" w:hAnsi="宋体" w:eastAsia="宋体"/>
        </w:rPr>
        <w:tab/>
      </w:r>
      <w:r>
        <w:rPr>
          <w:rFonts w:hint="eastAsia" w:ascii="宋体" w:hAnsi="宋体" w:eastAsia="宋体"/>
        </w:rPr>
        <w:t xml:space="preserve">投标人（公章）：</w:t>
      </w:r>
      <w:r>
        <w:rPr>
          <w:rFonts w:ascii="宋体" w:hAnsi="宋体" w:eastAsia="宋体"/>
        </w:rPr>
      </w:r>
      <w:r/>
    </w:p>
    <w:p>
      <w:pPr>
        <w:pStyle w:val="906"/>
        <w:spacing w:line="360" w:lineRule="auto"/>
        <w:rPr>
          <w:rFonts w:ascii="宋体" w:hAnsi="宋体" w:eastAsia="宋体"/>
        </w:rPr>
      </w:pPr>
      <w:r>
        <w:rPr>
          <w:rFonts w:ascii="宋体" w:hAnsi="宋体" w:eastAsia="宋体"/>
        </w:rPr>
        <w:t xml:space="preserve"> </w:t>
        <w:tab/>
        <w:tab/>
        <w:tab/>
        <w:tab/>
        <w:t xml:space="preserve">      </w:t>
      </w:r>
      <w:r>
        <w:rPr>
          <w:rFonts w:hint="eastAsia" w:ascii="宋体" w:hAnsi="宋体" w:eastAsia="宋体"/>
        </w:rPr>
        <w:t xml:space="preserve">法定代表人或被授权人签字：</w:t>
      </w:r>
      <w:r>
        <w:rPr>
          <w:rFonts w:ascii="宋体" w:hAnsi="宋体" w:eastAsia="宋体"/>
        </w:rPr>
      </w:r>
      <w:r/>
    </w:p>
    <w:p>
      <w:pPr>
        <w:pStyle w:val="906"/>
        <w:ind w:left="1700" w:firstLine="425"/>
        <w:spacing w:line="360" w:lineRule="auto"/>
        <w:rPr>
          <w:rFonts w:ascii="宋体" w:hAnsi="宋体" w:eastAsia="宋体"/>
        </w:rPr>
      </w:pPr>
      <w:r>
        <w:rPr>
          <w:rFonts w:ascii="宋体" w:hAnsi="宋体" w:eastAsia="宋体"/>
        </w:rPr>
        <w:t xml:space="preserve">       </w:t>
      </w:r>
      <w:r/>
    </w:p>
    <w:p>
      <w:pPr>
        <w:pStyle w:val="906"/>
        <w:ind w:left="4675" w:firstLine="425"/>
        <w:spacing w:line="360" w:lineRule="auto"/>
        <w:rPr>
          <w:rFonts w:ascii="宋体" w:hAnsi="宋体" w:eastAsia="宋体"/>
        </w:rPr>
      </w:pPr>
      <w:r>
        <w:rPr>
          <w:rFonts w:ascii="宋体" w:hAnsi="宋体" w:eastAsia="宋体"/>
        </w:rPr>
        <w:t xml:space="preserve">         </w:t>
      </w:r>
      <w:r>
        <w:rPr>
          <w:rFonts w:hint="eastAsia" w:ascii="宋体" w:hAnsi="宋体" w:eastAsia="宋体"/>
        </w:rPr>
        <w:t xml:space="preserve">年　</w:t>
      </w:r>
      <w:r>
        <w:rPr>
          <w:rFonts w:ascii="宋体" w:hAnsi="宋体" w:eastAsia="宋体"/>
        </w:rPr>
        <w:tab/>
        <w:t xml:space="preserve"> </w:t>
      </w:r>
      <w:r>
        <w:rPr>
          <w:rFonts w:hint="eastAsia" w:ascii="宋体" w:hAnsi="宋体" w:eastAsia="宋体"/>
        </w:rPr>
        <w:t xml:space="preserve">月</w:t>
      </w:r>
      <w:r>
        <w:rPr>
          <w:rFonts w:ascii="宋体" w:hAnsi="宋体" w:eastAsia="宋体"/>
        </w:rPr>
        <w:t xml:space="preserve"> </w:t>
        <w:tab/>
      </w:r>
      <w:r>
        <w:rPr>
          <w:rFonts w:hint="eastAsia" w:ascii="宋体" w:hAnsi="宋体" w:eastAsia="宋体"/>
        </w:rPr>
        <w:t xml:space="preserve">日</w:t>
      </w:r>
      <w:r>
        <w:rPr>
          <w:rFonts w:ascii="宋体" w:hAnsi="宋体" w:eastAsia="宋体"/>
        </w:rPr>
      </w:r>
      <w:r/>
    </w:p>
    <w:p>
      <w:pPr>
        <w:pStyle w:val="888"/>
        <w:rPr>
          <w:rFonts w:hint="eastAsia" w:ascii="宋体" w:hAnsi="宋体" w:eastAsia="宋体"/>
          <w:b w:val="0"/>
          <w:sz w:val="24"/>
          <w:szCs w:val="24"/>
        </w:rPr>
      </w:pPr>
      <w:r>
        <w:rPr>
          <w:rFonts w:ascii="宋体" w:hAnsi="宋体" w:eastAsia="宋体"/>
          <w:b w:val="0"/>
        </w:rPr>
        <w:br w:type="page" w:clear="all"/>
      </w:r>
      <w:bookmarkStart w:id="20" w:name="_Ref35851864"/>
      <w:r/>
      <w:bookmarkStart w:id="21" w:name="_Toc199168194"/>
      <w:r>
        <w:rPr>
          <w:rFonts w:hint="eastAsia" w:ascii="宋体" w:hAnsi="宋体" w:eastAsia="宋体"/>
          <w:b w:val="0"/>
        </w:rPr>
        <w:t xml:space="preserve">2.投标承诺函</w:t>
      </w:r>
      <w:bookmarkEnd w:id="20"/>
      <w:r/>
      <w:bookmarkEnd w:id="21"/>
      <w:r>
        <w:rPr>
          <w:rFonts w:hint="eastAsia" w:ascii="宋体" w:hAnsi="宋体" w:eastAsia="宋体"/>
          <w:b w:val="0"/>
          <w:sz w:val="24"/>
          <w:szCs w:val="24"/>
        </w:rPr>
      </w:r>
      <w:r/>
    </w:p>
    <w:p>
      <w:pPr>
        <w:pStyle w:val="886"/>
        <w:jc w:val="center"/>
        <w:rPr>
          <w:rFonts w:hint="eastAsia" w:ascii="宋体" w:hAnsi="宋体"/>
          <w:sz w:val="24"/>
        </w:rPr>
      </w:pPr>
      <w:r>
        <w:rPr>
          <w:rFonts w:hint="eastAsia" w:ascii="宋体" w:hAnsi="宋体"/>
          <w:sz w:val="24"/>
        </w:rPr>
        <w:t xml:space="preserve">投标承诺函</w:t>
      </w:r>
      <w:r/>
    </w:p>
    <w:p>
      <w:pPr>
        <w:pStyle w:val="886"/>
        <w:jc w:val="center"/>
        <w:rPr>
          <w:rFonts w:hint="eastAsia" w:ascii="宋体" w:hAnsi="宋体"/>
          <w:sz w:val="24"/>
        </w:rPr>
      </w:pPr>
      <w:r>
        <w:rPr>
          <w:rFonts w:hint="eastAsia" w:ascii="宋体" w:hAnsi="宋体"/>
          <w:sz w:val="24"/>
        </w:rPr>
      </w:r>
      <w:r/>
    </w:p>
    <w:p>
      <w:pPr>
        <w:pStyle w:val="906"/>
        <w:ind w:firstLine="0"/>
        <w:spacing w:line="360" w:lineRule="auto"/>
        <w:rPr>
          <w:rFonts w:ascii="宋体" w:hAnsi="宋体" w:eastAsia="宋体"/>
          <w:szCs w:val="24"/>
        </w:rPr>
      </w:pPr>
      <w:r>
        <w:rPr>
          <w:rFonts w:hint="eastAsia" w:ascii="宋体" w:hAnsi="宋体" w:eastAsia="宋体"/>
          <w:szCs w:val="24"/>
          <w:u w:val="single"/>
        </w:rPr>
        <w:t xml:space="preserve">苏州公正建设咨询房地产评估有限公司</w:t>
      </w:r>
      <w:r>
        <w:rPr>
          <w:rFonts w:ascii="宋体" w:hAnsi="宋体" w:eastAsia="宋体"/>
          <w:szCs w:val="24"/>
          <w:u w:val="single"/>
        </w:rPr>
        <w:t xml:space="preserve">  </w:t>
      </w:r>
      <w:r>
        <w:rPr>
          <w:rFonts w:hint="eastAsia" w:ascii="宋体" w:hAnsi="宋体" w:eastAsia="宋体"/>
          <w:szCs w:val="24"/>
        </w:rPr>
        <w:t xml:space="preserve">：</w:t>
      </w:r>
      <w:r>
        <w:rPr>
          <w:rFonts w:ascii="宋体" w:hAnsi="宋体" w:eastAsia="宋体"/>
          <w:szCs w:val="24"/>
        </w:rPr>
      </w:r>
      <w:r/>
    </w:p>
    <w:p>
      <w:pPr>
        <w:pStyle w:val="886"/>
        <w:contextualSpacing/>
        <w:ind w:right="-252" w:firstLine="480"/>
        <w:jc w:val="left"/>
        <w:spacing w:line="360" w:lineRule="auto"/>
        <w:rPr>
          <w:rFonts w:ascii="宋体" w:hAnsi="宋体"/>
          <w:sz w:val="24"/>
        </w:rPr>
      </w:pPr>
      <w:r>
        <w:rPr>
          <w:rFonts w:ascii="宋体" w:hAnsi="宋体"/>
          <w:sz w:val="24"/>
        </w:rPr>
        <w:t xml:space="preserve">经仔细阅读和研究</w:t>
      </w:r>
      <w:r>
        <w:rPr>
          <w:rFonts w:hint="eastAsia" w:ascii="宋体" w:hAnsi="宋体"/>
          <w:sz w:val="24"/>
        </w:rPr>
        <w:t xml:space="preserve">，</w:t>
      </w:r>
      <w:r>
        <w:rPr>
          <w:rFonts w:ascii="宋体" w:hAnsi="宋体"/>
          <w:sz w:val="24"/>
        </w:rPr>
        <w:t xml:space="preserve">我方同意招标文件（包括</w:t>
      </w:r>
      <w:r>
        <w:rPr>
          <w:rFonts w:hint="eastAsia" w:ascii="宋体" w:hAnsi="宋体"/>
          <w:sz w:val="24"/>
        </w:rPr>
        <w:t xml:space="preserve">补充文件</w:t>
      </w:r>
      <w:r>
        <w:rPr>
          <w:rFonts w:ascii="宋体" w:hAnsi="宋体"/>
          <w:sz w:val="24"/>
        </w:rPr>
        <w:t xml:space="preserve">）的各条款要求</w:t>
      </w:r>
      <w:r>
        <w:rPr>
          <w:rFonts w:hint="eastAsia" w:ascii="宋体" w:hAnsi="宋体"/>
          <w:sz w:val="24"/>
        </w:rPr>
        <w:t xml:space="preserve">，自愿参加（项目名称及项目编号）</w:t>
      </w:r>
      <w:r>
        <w:rPr>
          <w:rFonts w:ascii="宋体" w:hAnsi="宋体"/>
          <w:sz w:val="24"/>
        </w:rPr>
        <w:t xml:space="preserve"> </w:t>
      </w:r>
      <w:r>
        <w:rPr>
          <w:rFonts w:hint="eastAsia" w:ascii="宋体" w:hAnsi="宋体"/>
          <w:sz w:val="24"/>
        </w:rPr>
        <w:t xml:space="preserve">的投标活动，并做出如下承诺：</w:t>
      </w:r>
      <w:r>
        <w:rPr>
          <w:rFonts w:ascii="宋体" w:hAnsi="宋体"/>
          <w:sz w:val="24"/>
        </w:rPr>
      </w:r>
      <w:r/>
    </w:p>
    <w:p>
      <w:pPr>
        <w:pStyle w:val="886"/>
        <w:contextualSpacing/>
        <w:ind w:right="-252" w:firstLine="480"/>
        <w:jc w:val="left"/>
        <w:spacing w:line="360" w:lineRule="auto"/>
        <w:rPr>
          <w:rFonts w:ascii="宋体" w:hAnsi="宋体"/>
          <w:sz w:val="24"/>
        </w:rPr>
      </w:pPr>
      <w:r>
        <w:rPr>
          <w:rFonts w:hint="eastAsia" w:ascii="宋体" w:hAnsi="宋体"/>
          <w:sz w:val="24"/>
        </w:rPr>
        <w:t xml:space="preserve">1.我方</w:t>
      </w:r>
      <w:r>
        <w:rPr>
          <w:rFonts w:ascii="宋体" w:hAnsi="宋体"/>
          <w:sz w:val="24"/>
        </w:rPr>
        <w:t xml:space="preserve">同意提供与投标有关的一切数据或资料，并保证所提供的投标文件及相关资料均真实有效</w:t>
      </w:r>
      <w:r>
        <w:rPr>
          <w:rFonts w:hint="eastAsia" w:ascii="宋体" w:hAnsi="宋体"/>
          <w:sz w:val="24"/>
        </w:rPr>
        <w:t xml:space="preserve">，</w:t>
      </w:r>
      <w:r>
        <w:rPr>
          <w:rFonts w:ascii="宋体" w:hAnsi="宋体"/>
          <w:sz w:val="24"/>
        </w:rPr>
        <w:t xml:space="preserve">若有</w:t>
      </w:r>
      <w:r>
        <w:rPr>
          <w:rFonts w:hint="eastAsia" w:ascii="宋体" w:hAnsi="宋体"/>
          <w:sz w:val="24"/>
        </w:rPr>
        <w:t xml:space="preserve">不实</w:t>
      </w:r>
      <w:r>
        <w:rPr>
          <w:rFonts w:ascii="宋体" w:hAnsi="宋体"/>
          <w:sz w:val="24"/>
        </w:rPr>
        <w:t xml:space="preserve">，</w:t>
      </w:r>
      <w:r>
        <w:rPr>
          <w:rFonts w:hint="eastAsia" w:ascii="宋体" w:hAnsi="宋体"/>
          <w:sz w:val="24"/>
        </w:rPr>
        <w:t xml:space="preserve">由此产生的后果由我</w:t>
      </w:r>
      <w:r>
        <w:rPr>
          <w:rFonts w:ascii="宋体" w:hAnsi="宋体"/>
          <w:sz w:val="24"/>
        </w:rPr>
        <w:t xml:space="preserve">方承担</w:t>
      </w:r>
      <w:r>
        <w:rPr>
          <w:rFonts w:hint="eastAsia" w:ascii="宋体" w:hAnsi="宋体"/>
          <w:sz w:val="24"/>
        </w:rPr>
        <w:t xml:space="preserve">；</w:t>
      </w:r>
      <w:r>
        <w:rPr>
          <w:rFonts w:ascii="宋体" w:hAnsi="宋体"/>
          <w:sz w:val="24"/>
        </w:rPr>
      </w:r>
      <w:r/>
    </w:p>
    <w:p>
      <w:pPr>
        <w:pStyle w:val="886"/>
        <w:contextualSpacing/>
        <w:ind w:right="-252" w:firstLine="480"/>
        <w:jc w:val="left"/>
        <w:spacing w:line="360" w:lineRule="auto"/>
        <w:rPr>
          <w:rFonts w:ascii="宋体" w:hAnsi="宋体"/>
          <w:sz w:val="24"/>
        </w:rPr>
      </w:pPr>
      <w:r>
        <w:rPr>
          <w:rFonts w:hint="eastAsia" w:ascii="宋体" w:hAnsi="宋体"/>
          <w:sz w:val="24"/>
        </w:rPr>
        <w:t xml:space="preserve">2.我方愿意按照招标文件的要求，响应该项目的全部实质性内容。</w:t>
      </w:r>
      <w:r>
        <w:rPr>
          <w:rFonts w:ascii="宋体" w:hAnsi="宋体"/>
          <w:sz w:val="24"/>
        </w:rPr>
        <w:t xml:space="preserve"> </w:t>
      </w:r>
      <w:r/>
    </w:p>
    <w:p>
      <w:pPr>
        <w:pStyle w:val="886"/>
        <w:contextualSpacing/>
        <w:ind w:right="-252" w:firstLine="480"/>
        <w:jc w:val="left"/>
        <w:spacing w:line="360" w:lineRule="auto"/>
        <w:rPr>
          <w:rFonts w:ascii="宋体" w:hAnsi="宋体"/>
          <w:sz w:val="24"/>
        </w:rPr>
      </w:pPr>
      <w:r>
        <w:rPr>
          <w:rFonts w:ascii="宋体" w:hAnsi="宋体"/>
          <w:sz w:val="24"/>
        </w:rPr>
        <w:t xml:space="preserve">3.</w:t>
      </w:r>
      <w:r>
        <w:rPr>
          <w:rFonts w:hint="eastAsia" w:ascii="宋体" w:hAnsi="宋体"/>
          <w:sz w:val="24"/>
        </w:rPr>
        <w:t xml:space="preserve">我方具有良好的商业信誉和健全的财务会计制度；</w:t>
      </w:r>
      <w:r>
        <w:rPr>
          <w:rFonts w:ascii="宋体" w:hAnsi="宋体"/>
          <w:sz w:val="24"/>
        </w:rPr>
      </w:r>
      <w:r/>
    </w:p>
    <w:p>
      <w:pPr>
        <w:pStyle w:val="886"/>
        <w:contextualSpacing/>
        <w:ind w:right="-252" w:firstLine="480"/>
        <w:jc w:val="left"/>
        <w:spacing w:line="360" w:lineRule="auto"/>
        <w:rPr>
          <w:rFonts w:ascii="宋体" w:hAnsi="宋体"/>
          <w:sz w:val="24"/>
        </w:rPr>
      </w:pPr>
      <w:r>
        <w:rPr>
          <w:rFonts w:ascii="宋体" w:hAnsi="宋体"/>
          <w:sz w:val="24"/>
        </w:rPr>
        <w:t xml:space="preserve">4.我方具有依法缴纳税收和社会保障资金的良好记录</w:t>
      </w:r>
      <w:r>
        <w:rPr>
          <w:rFonts w:hint="eastAsia" w:ascii="宋体" w:hAnsi="宋体"/>
          <w:sz w:val="24"/>
        </w:rPr>
        <w:t xml:space="preserve">；</w:t>
      </w:r>
      <w:r>
        <w:rPr>
          <w:rFonts w:ascii="宋体" w:hAnsi="宋体"/>
          <w:sz w:val="24"/>
        </w:rPr>
      </w:r>
      <w:r/>
    </w:p>
    <w:p>
      <w:pPr>
        <w:pStyle w:val="886"/>
        <w:contextualSpacing/>
        <w:ind w:right="-252" w:firstLine="480"/>
        <w:jc w:val="left"/>
        <w:spacing w:line="360" w:lineRule="auto"/>
        <w:rPr>
          <w:rFonts w:ascii="宋体" w:hAnsi="宋体"/>
          <w:sz w:val="24"/>
        </w:rPr>
      </w:pPr>
      <w:r>
        <w:rPr>
          <w:rFonts w:ascii="宋体" w:hAnsi="宋体"/>
          <w:sz w:val="24"/>
        </w:rPr>
        <w:t xml:space="preserve">5.我方具有履行合同所必需的设备和专业技术能力；</w:t>
      </w:r>
      <w:r/>
    </w:p>
    <w:p>
      <w:pPr>
        <w:pStyle w:val="886"/>
        <w:contextualSpacing/>
        <w:ind w:right="-252" w:firstLine="480"/>
        <w:jc w:val="left"/>
        <w:spacing w:line="360" w:lineRule="auto"/>
        <w:rPr>
          <w:rFonts w:ascii="宋体" w:hAnsi="宋体"/>
          <w:sz w:val="24"/>
        </w:rPr>
      </w:pPr>
      <w:r>
        <w:rPr>
          <w:rFonts w:ascii="宋体" w:hAnsi="宋体"/>
          <w:sz w:val="24"/>
        </w:rPr>
        <w:t xml:space="preserve">6.我方参加本次政府采购活动前3年内在经营活动中无重大违法记录</w:t>
      </w:r>
      <w:r>
        <w:rPr>
          <w:rFonts w:hint="eastAsia" w:ascii="宋体" w:hAnsi="宋体"/>
          <w:sz w:val="24"/>
        </w:rPr>
        <w:t xml:space="preserve">；</w:t>
      </w:r>
      <w:r>
        <w:rPr>
          <w:rFonts w:ascii="宋体" w:hAnsi="宋体"/>
          <w:sz w:val="24"/>
        </w:rPr>
      </w:r>
      <w:r/>
    </w:p>
    <w:p>
      <w:pPr>
        <w:pStyle w:val="886"/>
        <w:contextualSpacing/>
        <w:ind w:right="-252" w:firstLine="480"/>
        <w:jc w:val="left"/>
        <w:spacing w:line="360" w:lineRule="auto"/>
        <w:rPr>
          <w:rFonts w:ascii="宋体" w:hAnsi="宋体"/>
          <w:sz w:val="24"/>
        </w:rPr>
      </w:pPr>
      <w:r>
        <w:rPr>
          <w:rFonts w:ascii="宋体" w:hAnsi="宋体"/>
          <w:sz w:val="24"/>
        </w:rPr>
        <w:t xml:space="preserve">7</w:t>
      </w:r>
      <w:r>
        <w:rPr>
          <w:rFonts w:hint="eastAsia" w:ascii="宋体" w:hAnsi="宋体"/>
          <w:sz w:val="24"/>
        </w:rPr>
        <w:t xml:space="preserve">.我方最后报价含服务过程所发生的全部费用。</w:t>
      </w:r>
      <w:r>
        <w:rPr>
          <w:rFonts w:ascii="宋体" w:hAnsi="宋体"/>
          <w:sz w:val="24"/>
        </w:rPr>
      </w:r>
      <w:r/>
    </w:p>
    <w:p>
      <w:pPr>
        <w:pStyle w:val="886"/>
        <w:contextualSpacing/>
        <w:ind w:right="-252" w:firstLine="480"/>
        <w:jc w:val="left"/>
        <w:spacing w:line="360" w:lineRule="auto"/>
        <w:rPr>
          <w:rFonts w:ascii="宋体" w:hAnsi="宋体"/>
          <w:sz w:val="24"/>
        </w:rPr>
      </w:pPr>
      <w:r>
        <w:rPr>
          <w:rFonts w:ascii="宋体" w:hAnsi="宋体"/>
          <w:sz w:val="24"/>
        </w:rPr>
        <w:t xml:space="preserve">8</w:t>
      </w:r>
      <w:r>
        <w:rPr>
          <w:rFonts w:hint="eastAsia" w:ascii="宋体" w:hAnsi="宋体"/>
          <w:sz w:val="24"/>
        </w:rPr>
        <w:t xml:space="preserve">.</w:t>
      </w:r>
      <w:r>
        <w:rPr>
          <w:rFonts w:ascii="宋体" w:hAnsi="宋体"/>
          <w:sz w:val="24"/>
        </w:rPr>
        <w:t xml:space="preserve">我方同意按</w:t>
      </w:r>
      <w:r>
        <w:rPr>
          <w:rFonts w:hint="eastAsia" w:ascii="宋体" w:hAnsi="宋体"/>
          <w:sz w:val="24"/>
        </w:rPr>
        <w:t xml:space="preserve">采购人</w:t>
      </w:r>
      <w:r>
        <w:rPr>
          <w:rFonts w:ascii="宋体" w:hAnsi="宋体"/>
          <w:sz w:val="24"/>
        </w:rPr>
        <w:t xml:space="preserve">确定的</w:t>
      </w:r>
      <w:r>
        <w:rPr>
          <w:rFonts w:hint="eastAsia" w:ascii="宋体" w:hAnsi="宋体"/>
          <w:sz w:val="24"/>
        </w:rPr>
        <w:t xml:space="preserve">评标办法及评标标准，由评标专家进行评审；</w:t>
      </w:r>
      <w:r>
        <w:rPr>
          <w:rFonts w:ascii="宋体" w:hAnsi="宋体"/>
          <w:sz w:val="24"/>
        </w:rPr>
      </w:r>
      <w:r/>
    </w:p>
    <w:p>
      <w:pPr>
        <w:pStyle w:val="886"/>
        <w:contextualSpacing/>
        <w:ind w:right="-252" w:firstLine="480"/>
        <w:jc w:val="left"/>
        <w:spacing w:line="360" w:lineRule="auto"/>
        <w:rPr>
          <w:rFonts w:ascii="宋体" w:hAnsi="宋体"/>
          <w:sz w:val="24"/>
        </w:rPr>
      </w:pPr>
      <w:r>
        <w:rPr>
          <w:rFonts w:ascii="宋体" w:hAnsi="宋体"/>
          <w:sz w:val="24"/>
        </w:rPr>
        <w:t xml:space="preserve">9.我方同意按</w:t>
      </w:r>
      <w:r>
        <w:rPr>
          <w:rFonts w:hint="eastAsia" w:ascii="宋体" w:hAnsi="宋体"/>
          <w:sz w:val="24"/>
        </w:rPr>
        <w:t xml:space="preserve">招标</w:t>
      </w:r>
      <w:r>
        <w:rPr>
          <w:rFonts w:ascii="宋体" w:hAnsi="宋体"/>
          <w:sz w:val="24"/>
        </w:rPr>
        <w:t xml:space="preserve">文件中的规定，</w:t>
      </w:r>
      <w:r>
        <w:rPr>
          <w:rFonts w:hint="eastAsia" w:ascii="宋体" w:hAnsi="宋体"/>
          <w:sz w:val="24"/>
        </w:rPr>
        <w:t xml:space="preserve">投标文件</w:t>
      </w:r>
      <w:r>
        <w:rPr>
          <w:rFonts w:ascii="宋体" w:hAnsi="宋体"/>
          <w:sz w:val="24"/>
        </w:rPr>
        <w:t xml:space="preserve">的有效期限为</w:t>
      </w:r>
      <w:r>
        <w:rPr>
          <w:rFonts w:hint="eastAsia" w:ascii="宋体" w:hAnsi="宋体"/>
          <w:sz w:val="24"/>
        </w:rPr>
        <w:t xml:space="preserve">自开标日起三个月内；</w:t>
      </w:r>
      <w:r>
        <w:rPr>
          <w:rFonts w:ascii="宋体" w:hAnsi="宋体"/>
          <w:sz w:val="24"/>
        </w:rPr>
      </w:r>
      <w:r/>
    </w:p>
    <w:p>
      <w:pPr>
        <w:pStyle w:val="886"/>
        <w:contextualSpacing/>
        <w:ind w:right="-252" w:firstLine="480"/>
        <w:jc w:val="left"/>
        <w:spacing w:line="360" w:lineRule="auto"/>
        <w:rPr>
          <w:rFonts w:ascii="宋体" w:hAnsi="宋体"/>
          <w:sz w:val="24"/>
        </w:rPr>
      </w:pPr>
      <w:r>
        <w:rPr>
          <w:rFonts w:ascii="宋体" w:hAnsi="宋体"/>
          <w:sz w:val="24"/>
        </w:rPr>
        <w:t xml:space="preserve">10.我方同意</w:t>
      </w:r>
      <w:r>
        <w:rPr>
          <w:rFonts w:hint="eastAsia" w:ascii="宋体" w:hAnsi="宋体"/>
          <w:sz w:val="24"/>
        </w:rPr>
        <w:t xml:space="preserve">采购人</w:t>
      </w:r>
      <w:r>
        <w:rPr>
          <w:rFonts w:ascii="宋体" w:hAnsi="宋体"/>
          <w:sz w:val="24"/>
        </w:rPr>
        <w:t xml:space="preserve">关于违约责任的认定方式和对违约责任的处罚；在</w:t>
      </w:r>
      <w:r>
        <w:rPr>
          <w:rFonts w:hint="eastAsia" w:ascii="宋体" w:hAnsi="宋体"/>
          <w:sz w:val="24"/>
        </w:rPr>
        <w:t xml:space="preserve">履约</w:t>
      </w:r>
      <w:r>
        <w:rPr>
          <w:rFonts w:ascii="宋体" w:hAnsi="宋体"/>
          <w:sz w:val="24"/>
        </w:rPr>
        <w:t xml:space="preserve">过程中，如我方违约，我方愿意承担相应违约责任</w:t>
      </w:r>
      <w:r>
        <w:rPr>
          <w:rFonts w:hint="eastAsia" w:ascii="宋体" w:hAnsi="宋体"/>
          <w:sz w:val="24"/>
        </w:rPr>
        <w:t xml:space="preserve">。</w:t>
      </w:r>
      <w:r>
        <w:rPr>
          <w:rFonts w:ascii="宋体" w:hAnsi="宋体"/>
          <w:sz w:val="24"/>
        </w:rPr>
      </w:r>
      <w:r/>
    </w:p>
    <w:p>
      <w:pPr>
        <w:pStyle w:val="886"/>
        <w:contextualSpacing/>
        <w:ind w:right="-252" w:firstLine="480"/>
        <w:jc w:val="left"/>
        <w:spacing w:line="360" w:lineRule="auto"/>
        <w:rPr>
          <w:rFonts w:ascii="宋体" w:hAnsi="宋体"/>
          <w:sz w:val="24"/>
        </w:rPr>
      </w:pPr>
      <w:r>
        <w:rPr>
          <w:rFonts w:ascii="宋体" w:hAnsi="宋体"/>
          <w:sz w:val="24"/>
        </w:rPr>
        <w:t xml:space="preserve">11.</w:t>
      </w:r>
      <w:r>
        <w:rPr>
          <w:rFonts w:hint="eastAsia" w:ascii="宋体" w:hAnsi="宋体"/>
          <w:sz w:val="24"/>
        </w:rPr>
        <w:t xml:space="preserve">除不可抗力外，我方如果发生以下行为，将在行为发生的10个工作日内，向采购人支付本招标文件公布的预算价的2%作为违约赔偿金。</w:t>
      </w:r>
      <w:r>
        <w:rPr>
          <w:rFonts w:ascii="宋体" w:hAnsi="宋体"/>
          <w:sz w:val="24"/>
        </w:rPr>
      </w:r>
      <w:r/>
    </w:p>
    <w:p>
      <w:pPr>
        <w:pStyle w:val="886"/>
        <w:contextualSpacing/>
        <w:ind w:right="-252" w:firstLine="480"/>
        <w:jc w:val="left"/>
        <w:spacing w:line="360" w:lineRule="auto"/>
        <w:rPr>
          <w:rFonts w:ascii="宋体" w:hAnsi="宋体"/>
          <w:sz w:val="24"/>
        </w:rPr>
      </w:pPr>
      <w:r>
        <w:rPr>
          <w:rFonts w:hint="eastAsia" w:ascii="宋体" w:hAnsi="宋体"/>
          <w:sz w:val="24"/>
        </w:rPr>
        <w:t xml:space="preserve">（1）在招标文件规定的投标有效期内进行实质上修改或撤回投标；</w:t>
      </w:r>
      <w:r>
        <w:rPr>
          <w:rFonts w:ascii="宋体" w:hAnsi="宋体"/>
          <w:sz w:val="24"/>
        </w:rPr>
      </w:r>
      <w:r/>
    </w:p>
    <w:p>
      <w:pPr>
        <w:pStyle w:val="886"/>
        <w:contextualSpacing/>
        <w:ind w:right="-252" w:firstLine="480"/>
        <w:jc w:val="left"/>
        <w:spacing w:line="360" w:lineRule="auto"/>
        <w:rPr>
          <w:rFonts w:ascii="宋体" w:hAnsi="宋体"/>
          <w:sz w:val="24"/>
        </w:rPr>
      </w:pPr>
      <w:r>
        <w:rPr>
          <w:rFonts w:hint="eastAsia" w:ascii="宋体" w:hAnsi="宋体"/>
          <w:sz w:val="24"/>
        </w:rPr>
        <w:t xml:space="preserve">（2）中标后不依法与采购人签订合同；</w:t>
      </w:r>
      <w:r>
        <w:rPr>
          <w:rFonts w:ascii="宋体" w:hAnsi="宋体"/>
          <w:sz w:val="24"/>
        </w:rPr>
      </w:r>
      <w:r/>
    </w:p>
    <w:p>
      <w:pPr>
        <w:pStyle w:val="886"/>
        <w:contextualSpacing/>
        <w:ind w:right="-252" w:firstLine="480"/>
        <w:jc w:val="left"/>
        <w:spacing w:line="360" w:lineRule="auto"/>
        <w:rPr>
          <w:rFonts w:ascii="宋体" w:hAnsi="宋体"/>
          <w:sz w:val="24"/>
        </w:rPr>
      </w:pPr>
      <w:r>
        <w:rPr>
          <w:rFonts w:hint="eastAsia" w:ascii="宋体" w:hAnsi="宋体"/>
          <w:sz w:val="24"/>
        </w:rPr>
        <w:t xml:space="preserve">（3）在投标文件中提供虚假材料；</w:t>
      </w:r>
      <w:r>
        <w:rPr>
          <w:rFonts w:ascii="宋体" w:hAnsi="宋体"/>
          <w:sz w:val="24"/>
        </w:rPr>
      </w:r>
      <w:r/>
    </w:p>
    <w:p>
      <w:pPr>
        <w:pStyle w:val="886"/>
        <w:contextualSpacing/>
        <w:ind w:right="-252" w:firstLine="480"/>
        <w:jc w:val="left"/>
        <w:spacing w:line="360" w:lineRule="auto"/>
        <w:rPr>
          <w:rFonts w:ascii="宋体" w:hAnsi="宋体"/>
          <w:sz w:val="24"/>
        </w:rPr>
      </w:pPr>
      <w:r>
        <w:rPr>
          <w:rFonts w:hint="eastAsia" w:ascii="宋体" w:hAnsi="宋体"/>
          <w:sz w:val="24"/>
        </w:rPr>
        <w:t xml:space="preserve">（4）</w:t>
      </w:r>
      <w:r>
        <w:rPr>
          <w:rFonts w:ascii="宋体" w:hAnsi="宋体"/>
          <w:sz w:val="24"/>
        </w:rPr>
        <w:t xml:space="preserve">恶意串通；</w:t>
      </w:r>
      <w:r/>
    </w:p>
    <w:p>
      <w:pPr>
        <w:pStyle w:val="886"/>
        <w:contextualSpacing/>
        <w:ind w:right="-252" w:firstLine="480"/>
        <w:jc w:val="left"/>
        <w:spacing w:line="360" w:lineRule="auto"/>
        <w:rPr>
          <w:rFonts w:ascii="宋体" w:hAnsi="宋体"/>
          <w:sz w:val="24"/>
        </w:rPr>
      </w:pPr>
      <w:r>
        <w:rPr>
          <w:rFonts w:hint="eastAsia" w:ascii="宋体" w:hAnsi="宋体"/>
          <w:sz w:val="24"/>
        </w:rPr>
        <w:t xml:space="preserve">（5）</w:t>
      </w:r>
      <w:r>
        <w:rPr>
          <w:rFonts w:ascii="宋体" w:hAnsi="宋体"/>
          <w:sz w:val="24"/>
        </w:rPr>
        <w:t xml:space="preserve">其他违法违规情形。</w:t>
      </w:r>
      <w:r/>
    </w:p>
    <w:p>
      <w:pPr>
        <w:pStyle w:val="886"/>
        <w:contextualSpacing/>
        <w:ind w:right="-252" w:firstLine="480"/>
        <w:jc w:val="left"/>
        <w:spacing w:line="360" w:lineRule="auto"/>
        <w:rPr>
          <w:rFonts w:ascii="宋体" w:hAnsi="宋体"/>
          <w:sz w:val="24"/>
        </w:rPr>
      </w:pPr>
      <w:r>
        <w:rPr>
          <w:rFonts w:ascii="宋体" w:hAnsi="宋体"/>
          <w:sz w:val="24"/>
        </w:rPr>
        <w:t xml:space="preserve">12</w:t>
      </w:r>
      <w:r>
        <w:rPr>
          <w:rFonts w:hint="eastAsia" w:ascii="宋体" w:hAnsi="宋体"/>
          <w:sz w:val="24"/>
        </w:rPr>
        <w:t xml:space="preserve">.我方知晓上述行为的法律后果，并认可本承诺函作为采购人要求我方履行违约赔偿的依据。</w:t>
      </w:r>
      <w:r>
        <w:rPr>
          <w:rFonts w:ascii="宋体" w:hAnsi="宋体"/>
          <w:sz w:val="24"/>
        </w:rPr>
      </w:r>
      <w:r/>
    </w:p>
    <w:p>
      <w:pPr>
        <w:pStyle w:val="886"/>
        <w:contextualSpacing/>
        <w:ind w:right="-252" w:firstLine="480"/>
        <w:jc w:val="left"/>
        <w:spacing w:line="360" w:lineRule="auto"/>
        <w:rPr>
          <w:rFonts w:ascii="宋体" w:hAnsi="宋体"/>
          <w:sz w:val="24"/>
        </w:rPr>
      </w:pPr>
      <w:r>
        <w:rPr>
          <w:rFonts w:hint="eastAsia" w:ascii="宋体" w:hAnsi="宋体"/>
          <w:sz w:val="24"/>
        </w:rPr>
        <w:t xml:space="preserve">1</w:t>
      </w:r>
      <w:r>
        <w:rPr>
          <w:rFonts w:ascii="宋体" w:hAnsi="宋体"/>
          <w:sz w:val="24"/>
        </w:rPr>
        <w:t xml:space="preserve">3</w:t>
      </w:r>
      <w:r>
        <w:rPr>
          <w:rFonts w:hint="eastAsia" w:ascii="宋体" w:hAnsi="宋体"/>
          <w:sz w:val="24"/>
        </w:rPr>
        <w:t xml:space="preserve">.我单位同意招标人关于违约责任的认定方式和对违约责任的处罚；在服务过程中，如我单位违约，我单位愿意承担相应违约责任。</w:t>
      </w:r>
      <w:r>
        <w:rPr>
          <w:rFonts w:ascii="宋体" w:hAnsi="宋体"/>
          <w:sz w:val="24"/>
        </w:rPr>
      </w:r>
      <w:r/>
    </w:p>
    <w:p>
      <w:pPr>
        <w:pStyle w:val="886"/>
        <w:ind w:firstLine="480"/>
        <w:spacing w:line="360" w:lineRule="auto"/>
        <w:rPr>
          <w:rFonts w:hint="eastAsia" w:ascii="宋体" w:hAnsi="宋体"/>
          <w:sz w:val="24"/>
        </w:rPr>
      </w:pPr>
      <w:r>
        <w:rPr>
          <w:rFonts w:hint="eastAsia" w:ascii="宋体" w:hAnsi="宋体"/>
          <w:sz w:val="24"/>
        </w:rPr>
      </w:r>
      <w:r/>
    </w:p>
    <w:p>
      <w:pPr>
        <w:pStyle w:val="886"/>
        <w:ind w:firstLine="480"/>
        <w:spacing w:line="360" w:lineRule="auto"/>
        <w:rPr>
          <w:rFonts w:hint="eastAsia" w:ascii="宋体" w:hAnsi="宋体"/>
          <w:sz w:val="24"/>
        </w:rPr>
      </w:pPr>
      <w:r>
        <w:rPr>
          <w:rFonts w:hint="eastAsia" w:ascii="宋体" w:hAnsi="宋体"/>
          <w:sz w:val="24"/>
        </w:rPr>
        <w:t xml:space="preserve">投标人（公章）：</w:t>
      </w:r>
      <w:r/>
    </w:p>
    <w:p>
      <w:pPr>
        <w:pStyle w:val="886"/>
        <w:ind w:firstLine="480"/>
        <w:spacing w:line="360" w:lineRule="auto"/>
        <w:rPr>
          <w:rFonts w:hint="eastAsia" w:ascii="宋体" w:hAnsi="宋体"/>
          <w:sz w:val="24"/>
        </w:rPr>
      </w:pPr>
      <w:r>
        <w:rPr>
          <w:rFonts w:hint="eastAsia" w:ascii="宋体" w:hAnsi="宋体"/>
          <w:sz w:val="24"/>
        </w:rPr>
        <w:t xml:space="preserve">法定代表人（签字）：</w:t>
      </w:r>
      <w:r/>
    </w:p>
    <w:p>
      <w:pPr>
        <w:pStyle w:val="886"/>
        <w:ind w:firstLine="480"/>
        <w:spacing w:line="360" w:lineRule="auto"/>
        <w:rPr>
          <w:rFonts w:hint="eastAsia" w:ascii="宋体" w:hAnsi="宋体"/>
          <w:sz w:val="24"/>
        </w:rPr>
      </w:pPr>
      <w:r>
        <w:rPr>
          <w:rFonts w:hint="eastAsia" w:ascii="宋体" w:hAnsi="宋体"/>
          <w:sz w:val="24"/>
        </w:rPr>
        <w:t xml:space="preserve">联系人：</w:t>
      </w:r>
      <w:r/>
    </w:p>
    <w:p>
      <w:pPr>
        <w:pStyle w:val="886"/>
        <w:ind w:firstLine="480"/>
        <w:spacing w:line="360" w:lineRule="auto"/>
        <w:rPr>
          <w:rFonts w:hint="eastAsia" w:ascii="宋体" w:hAnsi="宋体"/>
          <w:sz w:val="24"/>
        </w:rPr>
      </w:pPr>
      <w:r>
        <w:rPr>
          <w:rFonts w:hint="eastAsia" w:ascii="宋体" w:hAnsi="宋体"/>
          <w:sz w:val="24"/>
        </w:rPr>
        <w:t xml:space="preserve">联系电话：</w:t>
      </w:r>
      <w:r/>
    </w:p>
    <w:p>
      <w:pPr>
        <w:pStyle w:val="886"/>
        <w:ind w:firstLine="480"/>
        <w:spacing w:line="360" w:lineRule="auto"/>
        <w:rPr>
          <w:rFonts w:hint="eastAsia" w:ascii="宋体" w:hAnsi="宋体"/>
          <w:sz w:val="24"/>
        </w:rPr>
      </w:pPr>
      <w:r>
        <w:rPr>
          <w:rFonts w:hint="eastAsia" w:ascii="宋体" w:hAnsi="宋体"/>
          <w:sz w:val="24"/>
        </w:rPr>
        <w:t xml:space="preserve">日期：      年     月     日</w:t>
      </w:r>
      <w:r/>
    </w:p>
    <w:p>
      <w:pPr>
        <w:pStyle w:val="906"/>
        <w:ind w:left="4675" w:firstLine="425"/>
        <w:spacing w:line="360" w:lineRule="auto"/>
        <w:rPr>
          <w:rFonts w:ascii="宋体" w:hAnsi="宋体" w:eastAsia="宋体"/>
        </w:rPr>
      </w:pPr>
      <w:r>
        <w:rPr>
          <w:rFonts w:ascii="宋体" w:hAnsi="宋体" w:eastAsia="宋体"/>
        </w:rPr>
        <w:br w:type="page" w:clear="all"/>
      </w:r>
      <w:r/>
    </w:p>
    <w:p>
      <w:pPr>
        <w:pStyle w:val="888"/>
        <w:rPr>
          <w:rFonts w:ascii="宋体" w:hAnsi="宋体" w:eastAsia="宋体"/>
          <w:b w:val="0"/>
        </w:rPr>
      </w:pPr>
      <w:r/>
      <w:bookmarkStart w:id="22" w:name="_Ref79412893"/>
      <w:r/>
      <w:bookmarkStart w:id="23" w:name="_Toc199168195"/>
      <w:r>
        <w:rPr>
          <w:rFonts w:hint="eastAsia" w:ascii="宋体" w:hAnsi="宋体" w:eastAsia="宋体"/>
          <w:b w:val="0"/>
        </w:rPr>
        <w:t xml:space="preserve">3.无重大违法记录声明</w:t>
      </w:r>
      <w:bookmarkEnd w:id="22"/>
      <w:r/>
      <w:bookmarkEnd w:id="23"/>
      <w:r>
        <w:rPr>
          <w:rFonts w:ascii="宋体" w:hAnsi="宋体" w:eastAsia="宋体"/>
          <w:b w:val="0"/>
        </w:rPr>
      </w:r>
      <w:r/>
    </w:p>
    <w:p>
      <w:pPr>
        <w:pStyle w:val="886"/>
        <w:contextualSpacing/>
        <w:ind w:right="-252" w:firstLine="480"/>
        <w:jc w:val="center"/>
        <w:rPr>
          <w:rFonts w:ascii="宋体" w:hAnsi="宋体"/>
          <w:sz w:val="24"/>
        </w:rPr>
      </w:pPr>
      <w:r>
        <w:rPr>
          <w:rFonts w:ascii="宋体" w:hAnsi="宋体"/>
          <w:sz w:val="24"/>
        </w:rPr>
      </w:r>
      <w:r/>
    </w:p>
    <w:p>
      <w:pPr>
        <w:pStyle w:val="886"/>
        <w:contextualSpacing/>
        <w:ind w:right="-252" w:firstLine="480"/>
        <w:jc w:val="center"/>
        <w:spacing w:line="360" w:lineRule="auto"/>
        <w:rPr>
          <w:rFonts w:ascii="宋体" w:hAnsi="宋体"/>
          <w:sz w:val="24"/>
          <w:szCs w:val="20"/>
        </w:rPr>
      </w:pPr>
      <w:r>
        <w:rPr>
          <w:rFonts w:hint="eastAsia" w:ascii="宋体" w:hAnsi="宋体"/>
          <w:sz w:val="24"/>
          <w:szCs w:val="20"/>
        </w:rPr>
        <w:t xml:space="preserve">无重大违法记录声明</w:t>
      </w:r>
      <w:r>
        <w:rPr>
          <w:rFonts w:ascii="宋体" w:hAnsi="宋体"/>
          <w:sz w:val="24"/>
          <w:szCs w:val="20"/>
        </w:rPr>
      </w:r>
      <w:r/>
    </w:p>
    <w:p>
      <w:pPr>
        <w:pStyle w:val="886"/>
        <w:contextualSpacing/>
        <w:ind w:right="-252" w:firstLine="480"/>
        <w:jc w:val="center"/>
        <w:spacing w:line="360" w:lineRule="auto"/>
        <w:rPr>
          <w:rFonts w:ascii="宋体" w:hAnsi="宋体"/>
          <w:sz w:val="24"/>
        </w:rPr>
      </w:pPr>
      <w:r>
        <w:rPr>
          <w:rFonts w:ascii="宋体" w:hAnsi="宋体"/>
          <w:sz w:val="24"/>
        </w:rPr>
      </w:r>
      <w:r/>
    </w:p>
    <w:p>
      <w:pPr>
        <w:pStyle w:val="886"/>
        <w:contextualSpacing/>
        <w:ind w:right="-252" w:firstLine="480"/>
        <w:spacing w:line="360" w:lineRule="auto"/>
        <w:rPr>
          <w:rFonts w:ascii="宋体" w:hAnsi="宋体"/>
          <w:sz w:val="24"/>
        </w:rPr>
      </w:pPr>
      <w:r>
        <w:rPr>
          <w:rFonts w:hint="eastAsia" w:ascii="宋体" w:hAnsi="宋体"/>
          <w:sz w:val="24"/>
        </w:rPr>
        <w:t xml:space="preserve">苏州公正建设咨询房地产评估有限公司：</w:t>
      </w:r>
      <w:r>
        <w:rPr>
          <w:rFonts w:ascii="宋体" w:hAnsi="宋体"/>
          <w:sz w:val="24"/>
        </w:rPr>
      </w:r>
      <w:r/>
    </w:p>
    <w:p>
      <w:pPr>
        <w:pStyle w:val="886"/>
        <w:contextualSpacing/>
        <w:ind w:right="-252" w:firstLine="480"/>
        <w:spacing w:line="360" w:lineRule="auto"/>
        <w:rPr>
          <w:rFonts w:ascii="宋体" w:hAnsi="宋体"/>
          <w:sz w:val="24"/>
        </w:rPr>
      </w:pPr>
      <w:r>
        <w:rPr>
          <w:rFonts w:hint="eastAsia" w:ascii="宋体" w:hAnsi="宋体"/>
          <w:sz w:val="24"/>
        </w:rPr>
        <w:t xml:space="preserve">我单位 </w:t>
      </w:r>
      <w:r>
        <w:rPr>
          <w:rFonts w:hint="eastAsia" w:ascii="宋体" w:hAnsi="宋体"/>
          <w:sz w:val="24"/>
          <w:u w:val="single"/>
        </w:rPr>
        <w:t xml:space="preserve">                                      </w:t>
      </w:r>
      <w:r>
        <w:rPr>
          <w:rFonts w:hint="eastAsia" w:ascii="宋体" w:hAnsi="宋体"/>
          <w:sz w:val="24"/>
        </w:rPr>
        <w:t xml:space="preserve">（供应商名称）郑重声明：</w:t>
      </w:r>
      <w:r>
        <w:rPr>
          <w:rFonts w:ascii="宋体" w:hAnsi="宋体"/>
          <w:sz w:val="24"/>
        </w:rPr>
      </w:r>
      <w:r/>
    </w:p>
    <w:p>
      <w:pPr>
        <w:pStyle w:val="886"/>
        <w:contextualSpacing/>
        <w:ind w:right="-252" w:firstLine="480"/>
        <w:spacing w:line="360" w:lineRule="auto"/>
        <w:rPr>
          <w:rFonts w:ascii="宋体" w:hAnsi="宋体"/>
          <w:sz w:val="24"/>
        </w:rPr>
      </w:pPr>
      <w:r>
        <w:rPr>
          <w:rFonts w:hint="eastAsia" w:ascii="宋体" w:hAnsi="宋体"/>
          <w:sz w:val="24"/>
        </w:rPr>
        <w:t xml:space="preserve">参加政府采购活动前3年内在经营活动中</w:t>
      </w:r>
      <w:r>
        <w:rPr>
          <w:rFonts w:hint="eastAsia" w:ascii="宋体" w:hAnsi="宋体"/>
          <w:sz w:val="24"/>
          <w:u w:val="single"/>
        </w:rPr>
        <w:t xml:space="preserve">        </w:t>
      </w:r>
      <w:r>
        <w:rPr>
          <w:rFonts w:hint="eastAsia" w:ascii="宋体" w:hAnsi="宋体"/>
          <w:sz w:val="24"/>
        </w:rPr>
        <w:t xml:space="preserve">（在下划线上如实填写：有或没有）重大违法记录。</w:t>
      </w:r>
      <w:r>
        <w:rPr>
          <w:rFonts w:ascii="宋体" w:hAnsi="宋体"/>
          <w:sz w:val="24"/>
        </w:rPr>
      </w:r>
      <w:r/>
    </w:p>
    <w:p>
      <w:pPr>
        <w:pStyle w:val="886"/>
        <w:contextualSpacing/>
        <w:ind w:right="-252" w:firstLine="480"/>
        <w:spacing w:line="360" w:lineRule="auto"/>
        <w:rPr>
          <w:rFonts w:ascii="宋体" w:hAnsi="宋体"/>
          <w:sz w:val="24"/>
        </w:rPr>
      </w:pPr>
      <w:r>
        <w:rPr>
          <w:rFonts w:hint="eastAsia" w:ascii="宋体" w:hAnsi="宋体"/>
          <w:sz w:val="24"/>
        </w:rPr>
        <w:t xml:space="preserve">（说明：政府采购法第二十二条第一款第五项所称重大违法记录，是指供应商因违法经营受到刑事处罚或者责令停产停业、吊销许可证或者执照、较大数额罚款等行政处罚。） </w:t>
      </w:r>
      <w:r>
        <w:rPr>
          <w:rFonts w:ascii="宋体" w:hAnsi="宋体"/>
          <w:sz w:val="24"/>
        </w:rPr>
      </w:r>
      <w:r/>
    </w:p>
    <w:p>
      <w:pPr>
        <w:pStyle w:val="886"/>
        <w:contextualSpacing/>
        <w:ind w:firstLine="480"/>
        <w:jc w:val="right"/>
        <w:spacing w:line="360" w:lineRule="auto"/>
        <w:rPr>
          <w:rFonts w:ascii="宋体" w:hAnsi="宋体"/>
          <w:sz w:val="24"/>
        </w:rPr>
      </w:pPr>
      <w:r>
        <w:rPr>
          <w:rFonts w:hint="eastAsia" w:ascii="宋体" w:hAnsi="宋体"/>
          <w:sz w:val="24"/>
        </w:rPr>
        <w:t xml:space="preserve">声明人：（公章）</w:t>
      </w:r>
      <w:r>
        <w:rPr>
          <w:rFonts w:ascii="宋体" w:hAnsi="宋体"/>
          <w:sz w:val="24"/>
        </w:rPr>
      </w:r>
      <w:r/>
    </w:p>
    <w:p>
      <w:pPr>
        <w:pStyle w:val="886"/>
        <w:contextualSpacing/>
        <w:ind w:firstLine="480"/>
        <w:jc w:val="right"/>
        <w:spacing w:line="360" w:lineRule="auto"/>
        <w:rPr>
          <w:rFonts w:ascii="宋体" w:hAnsi="宋体"/>
          <w:sz w:val="24"/>
        </w:rPr>
      </w:pPr>
      <w:r>
        <w:rPr>
          <w:rFonts w:hint="eastAsia" w:ascii="宋体" w:hAnsi="宋体"/>
          <w:sz w:val="24"/>
        </w:rPr>
        <w:t xml:space="preserve">  日 期：         </w:t>
      </w:r>
      <w:r>
        <w:rPr>
          <w:rFonts w:ascii="宋体" w:hAnsi="宋体"/>
          <w:sz w:val="24"/>
        </w:rPr>
      </w:r>
      <w:r/>
    </w:p>
    <w:p>
      <w:pPr>
        <w:pStyle w:val="888"/>
        <w:ind w:left="567" w:hanging="567"/>
        <w:spacing w:line="416" w:lineRule="auto"/>
        <w:rPr>
          <w:rFonts w:ascii="宋体" w:hAnsi="宋体" w:eastAsia="宋体"/>
          <w:b w:val="0"/>
        </w:rPr>
      </w:pPr>
      <w:r/>
      <w:bookmarkStart w:id="24" w:name="_Ref366160082"/>
      <w:r/>
      <w:bookmarkStart w:id="25" w:name="_Toc497431308"/>
      <w:r/>
      <w:bookmarkStart w:id="26" w:name="_Ref343881923"/>
      <w:r>
        <w:rPr>
          <w:rFonts w:hint="eastAsia" w:ascii="宋体" w:hAnsi="宋体" w:eastAsia="宋体"/>
          <w:b w:val="0"/>
        </w:rPr>
        <w:br w:type="page" w:clear="all"/>
      </w:r>
      <w:bookmarkStart w:id="27" w:name="_Ref180135350"/>
      <w:r/>
      <w:bookmarkStart w:id="28" w:name="_Toc199168196"/>
      <w:r>
        <w:rPr>
          <w:rFonts w:hint="eastAsia" w:ascii="宋体" w:hAnsi="宋体" w:eastAsia="宋体"/>
          <w:b w:val="0"/>
        </w:rPr>
        <w:t xml:space="preserve">4.</w:t>
      </w:r>
      <w:r>
        <w:rPr>
          <w:rFonts w:ascii="宋体" w:hAnsi="宋体" w:eastAsia="宋体"/>
          <w:b w:val="0"/>
        </w:rPr>
        <w:t xml:space="preserve">投标函</w:t>
      </w:r>
      <w:bookmarkEnd w:id="24"/>
      <w:r/>
      <w:bookmarkEnd w:id="25"/>
      <w:r/>
      <w:bookmarkEnd w:id="26"/>
      <w:r/>
      <w:bookmarkEnd w:id="27"/>
      <w:r/>
      <w:bookmarkEnd w:id="28"/>
      <w:r>
        <w:rPr>
          <w:rFonts w:ascii="宋体" w:hAnsi="宋体" w:eastAsia="宋体"/>
          <w:b w:val="0"/>
        </w:rPr>
      </w:r>
      <w:r/>
    </w:p>
    <w:p>
      <w:pPr>
        <w:pStyle w:val="1058"/>
        <w:jc w:val="center"/>
        <w:rPr>
          <w:rFonts w:hAnsi="宋体" w:eastAsia="宋体"/>
          <w:sz w:val="32"/>
        </w:rPr>
      </w:pPr>
      <w:r>
        <w:rPr>
          <w:rFonts w:hAnsi="宋体" w:eastAsia="宋体"/>
          <w:sz w:val="32"/>
        </w:rPr>
        <w:t xml:space="preserve">投标函</w:t>
      </w:r>
      <w:r/>
    </w:p>
    <w:p>
      <w:pPr>
        <w:pStyle w:val="1058"/>
        <w:spacing w:line="400" w:lineRule="exact"/>
        <w:rPr>
          <w:rFonts w:hAnsi="宋体" w:eastAsia="宋体"/>
          <w:sz w:val="24"/>
        </w:rPr>
      </w:pPr>
      <w:r>
        <w:rPr>
          <w:rFonts w:hAnsi="宋体" w:eastAsia="宋体"/>
          <w:sz w:val="24"/>
        </w:rPr>
        <w:t xml:space="preserve"> </w:t>
      </w:r>
      <w:r>
        <w:rPr>
          <w:rFonts w:hAnsi="宋体" w:eastAsia="宋体"/>
          <w:sz w:val="24"/>
          <w:u w:val="single"/>
        </w:rPr>
        <w:t xml:space="preserve">                             </w:t>
      </w:r>
      <w:r>
        <w:rPr>
          <w:rFonts w:hAnsi="宋体" w:eastAsia="宋体"/>
          <w:sz w:val="24"/>
        </w:rPr>
        <w:t xml:space="preserve">：</w:t>
      </w:r>
      <w:r/>
    </w:p>
    <w:p>
      <w:pPr>
        <w:pStyle w:val="1058"/>
        <w:spacing w:line="400" w:lineRule="exact"/>
        <w:rPr>
          <w:rFonts w:hAnsi="宋体" w:eastAsia="宋体"/>
          <w:sz w:val="24"/>
        </w:rPr>
      </w:pPr>
      <w:r>
        <w:rPr>
          <w:rFonts w:hAnsi="宋体" w:eastAsia="宋体"/>
          <w:sz w:val="24"/>
        </w:rPr>
        <w:t xml:space="preserve">    我们收到贵公司 </w:t>
      </w:r>
      <w:r>
        <w:rPr>
          <w:rFonts w:hAnsi="宋体" w:eastAsia="宋体"/>
          <w:sz w:val="24"/>
          <w:u w:val="single"/>
        </w:rPr>
        <w:t xml:space="preserve">                  </w:t>
      </w:r>
      <w:r>
        <w:rPr>
          <w:rFonts w:hAnsi="宋体" w:eastAsia="宋体"/>
          <w:sz w:val="24"/>
        </w:rPr>
        <w:t xml:space="preserve">号招标文件，经仔细阅读和研究，我们同意招标文件的各条款要求并决定参加投标。</w:t>
      </w:r>
      <w:r/>
    </w:p>
    <w:p>
      <w:pPr>
        <w:pStyle w:val="886"/>
        <w:ind w:firstLine="240"/>
        <w:spacing w:line="400" w:lineRule="exact"/>
        <w:rPr>
          <w:rFonts w:ascii="宋体" w:hAnsi="宋体"/>
          <w:sz w:val="24"/>
          <w:szCs w:val="20"/>
        </w:rPr>
      </w:pPr>
      <w:r>
        <w:rPr>
          <w:rFonts w:ascii="宋体" w:hAnsi="宋体"/>
          <w:sz w:val="24"/>
        </w:rPr>
        <w:t xml:space="preserve">  </w:t>
      </w:r>
      <w:r>
        <w:rPr>
          <w:rFonts w:hint="eastAsia" w:ascii="宋体" w:hAnsi="宋体"/>
          <w:sz w:val="24"/>
        </w:rPr>
        <w:t xml:space="preserve">1、我们愿意按照招标文件的一切要求，提供包括招标书中要求的</w:t>
      </w:r>
      <w:r>
        <w:rPr>
          <w:rFonts w:ascii="宋体" w:hAnsi="宋体"/>
          <w:sz w:val="24"/>
          <w:u w:val="single"/>
        </w:rPr>
        <w:t xml:space="preserve">            </w:t>
      </w:r>
      <w:r>
        <w:rPr>
          <w:rFonts w:hint="eastAsia" w:ascii="宋体" w:hAnsi="宋体"/>
          <w:sz w:val="24"/>
        </w:rPr>
        <w:t xml:space="preserve">整个工程的安装或指导安装、人工、保险、劳保、各种税费以及质保期间的一切费用。明细见《投标报价表》。</w:t>
      </w:r>
      <w:r>
        <w:rPr>
          <w:rFonts w:ascii="宋体" w:hAnsi="宋体"/>
          <w:sz w:val="24"/>
          <w:szCs w:val="20"/>
        </w:rPr>
      </w:r>
      <w:r/>
    </w:p>
    <w:p>
      <w:pPr>
        <w:pStyle w:val="1058"/>
        <w:spacing w:line="400" w:lineRule="exact"/>
        <w:rPr>
          <w:rFonts w:hAnsi="宋体" w:eastAsia="宋体"/>
          <w:sz w:val="24"/>
        </w:rPr>
      </w:pPr>
      <w:r>
        <w:rPr>
          <w:rFonts w:hAnsi="宋体" w:eastAsia="宋体"/>
          <w:sz w:val="24"/>
        </w:rPr>
        <w:t xml:space="preserve">    2、如果我们的投标书被接受，我们将严格履行招标文件中规定的每一项要求，按期、按质、按量履行合同的义务。</w:t>
      </w:r>
      <w:r/>
    </w:p>
    <w:p>
      <w:pPr>
        <w:pStyle w:val="1058"/>
        <w:spacing w:line="400" w:lineRule="exact"/>
        <w:rPr>
          <w:rFonts w:hAnsi="宋体" w:eastAsia="宋体"/>
          <w:sz w:val="24"/>
        </w:rPr>
      </w:pPr>
      <w:r>
        <w:rPr>
          <w:rFonts w:hAnsi="宋体" w:eastAsia="宋体"/>
          <w:sz w:val="24"/>
        </w:rPr>
        <w:t xml:space="preserve">    3、我们同意按招标文件中的规定，本投标书的有效期限为开标后</w:t>
      </w:r>
      <w:r>
        <w:rPr>
          <w:rFonts w:hAnsi="宋体" w:eastAsia="宋体"/>
          <w:sz w:val="24"/>
          <w:u w:val="single"/>
        </w:rPr>
        <w:t xml:space="preserve"> </w:t>
      </w:r>
      <w:r>
        <w:rPr>
          <w:rFonts w:hint="eastAsia" w:hAnsi="宋体" w:eastAsia="宋体"/>
          <w:sz w:val="24"/>
          <w:u w:val="single"/>
        </w:rPr>
        <w:t xml:space="preserve">90</w:t>
      </w:r>
      <w:r>
        <w:rPr>
          <w:rFonts w:hAnsi="宋体" w:eastAsia="宋体"/>
          <w:sz w:val="24"/>
        </w:rPr>
        <w:t xml:space="preserve">天。</w:t>
      </w:r>
      <w:r/>
    </w:p>
    <w:p>
      <w:pPr>
        <w:pStyle w:val="1058"/>
        <w:spacing w:line="400" w:lineRule="exact"/>
        <w:rPr>
          <w:rFonts w:hAnsi="宋体" w:eastAsia="宋体"/>
          <w:sz w:val="24"/>
        </w:rPr>
      </w:pPr>
      <w:r>
        <w:rPr>
          <w:rFonts w:hAnsi="宋体" w:eastAsia="宋体"/>
          <w:sz w:val="24"/>
        </w:rPr>
        <w:t xml:space="preserve">    4、我们愿意提供招标代理人在招标文件中要求的所有资料。</w:t>
      </w:r>
      <w:r/>
    </w:p>
    <w:p>
      <w:pPr>
        <w:pStyle w:val="1058"/>
        <w:spacing w:line="400" w:lineRule="exact"/>
        <w:rPr>
          <w:rFonts w:hAnsi="宋体" w:eastAsia="宋体"/>
          <w:sz w:val="24"/>
        </w:rPr>
      </w:pPr>
      <w:r>
        <w:rPr>
          <w:rFonts w:hAnsi="宋体" w:eastAsia="宋体"/>
          <w:sz w:val="24"/>
        </w:rPr>
        <w:t xml:space="preserve">    5、我们认为你们有权决定中标者，还认为你们有权接受或拒绝所有的投标者。</w:t>
      </w:r>
      <w:r/>
    </w:p>
    <w:p>
      <w:pPr>
        <w:pStyle w:val="1058"/>
        <w:spacing w:line="400" w:lineRule="exact"/>
        <w:rPr>
          <w:rFonts w:hAnsi="宋体" w:eastAsia="宋体"/>
          <w:sz w:val="24"/>
        </w:rPr>
      </w:pPr>
      <w:r>
        <w:rPr>
          <w:rFonts w:hAnsi="宋体" w:eastAsia="宋体"/>
          <w:sz w:val="24"/>
        </w:rPr>
        <w:t xml:space="preserve">    6、我们承诺该项投标在开标后的全过程中保持有效，不</w:t>
      </w:r>
      <w:r>
        <w:rPr>
          <w:rFonts w:hint="eastAsia" w:hAnsi="宋体" w:eastAsia="宋体"/>
          <w:sz w:val="24"/>
        </w:rPr>
        <w:t xml:space="preserve">做</w:t>
      </w:r>
      <w:r>
        <w:rPr>
          <w:rFonts w:hAnsi="宋体" w:eastAsia="宋体"/>
          <w:sz w:val="24"/>
        </w:rPr>
        <w:t xml:space="preserve">任何更改和变动。</w:t>
      </w:r>
      <w:r/>
    </w:p>
    <w:p>
      <w:pPr>
        <w:pStyle w:val="1179"/>
        <w:ind w:firstLine="480"/>
        <w:jc w:val="both"/>
        <w:spacing w:line="400" w:lineRule="exact"/>
        <w:widowControl w:val="off"/>
        <w:rPr>
          <w:rFonts w:hAnsi="宋体" w:eastAsia="宋体"/>
          <w:sz w:val="24"/>
        </w:rPr>
      </w:pPr>
      <w:r>
        <w:rPr>
          <w:rFonts w:hint="eastAsia" w:hAnsi="宋体" w:eastAsia="宋体"/>
          <w:sz w:val="24"/>
        </w:rPr>
        <w:t xml:space="preserve">7</w:t>
      </w:r>
      <w:r>
        <w:rPr>
          <w:rFonts w:hAnsi="宋体" w:eastAsia="宋体"/>
          <w:sz w:val="24"/>
        </w:rPr>
        <w:t xml:space="preserve">、如果我们中标，我们愿意在签订合同时按</w:t>
      </w:r>
      <w:r>
        <w:rPr>
          <w:rFonts w:hint="eastAsia" w:hAnsi="宋体" w:eastAsia="宋体"/>
          <w:sz w:val="24"/>
        </w:rPr>
        <w:t xml:space="preserve">招标文件要求</w:t>
      </w:r>
      <w:r>
        <w:rPr>
          <w:rFonts w:hAnsi="宋体" w:eastAsia="宋体"/>
          <w:sz w:val="24"/>
        </w:rPr>
        <w:t xml:space="preserve">支付履约保证金。</w:t>
      </w:r>
      <w:r/>
    </w:p>
    <w:p>
      <w:pPr>
        <w:pStyle w:val="1058"/>
        <w:ind w:firstLine="540"/>
        <w:spacing w:line="400" w:lineRule="exact"/>
        <w:rPr>
          <w:rFonts w:hAnsi="宋体" w:eastAsia="宋体"/>
          <w:sz w:val="24"/>
        </w:rPr>
      </w:pPr>
      <w:r>
        <w:rPr>
          <w:rFonts w:hint="eastAsia" w:hAnsi="宋体" w:eastAsia="宋体"/>
          <w:sz w:val="24"/>
        </w:rPr>
        <w:t xml:space="preserve">8</w:t>
      </w:r>
      <w:r>
        <w:rPr>
          <w:rFonts w:hAnsi="宋体" w:eastAsia="宋体"/>
          <w:sz w:val="24"/>
        </w:rPr>
        <w:t xml:space="preserve">、综合说明：</w:t>
      </w:r>
      <w:r/>
    </w:p>
    <w:p>
      <w:pPr>
        <w:pStyle w:val="1058"/>
        <w:ind w:firstLine="420"/>
        <w:spacing w:line="400" w:lineRule="exact"/>
        <w:rPr>
          <w:rFonts w:hAnsi="宋体" w:eastAsia="宋体"/>
          <w:sz w:val="24"/>
        </w:rPr>
      </w:pPr>
      <w:r>
        <w:rPr>
          <w:rFonts w:hAnsi="宋体" w:eastAsia="宋体"/>
          <w:sz w:val="24"/>
        </w:rPr>
        <w:t xml:space="preserve">（1）伴随服务及配合措施；</w:t>
      </w:r>
      <w:r/>
    </w:p>
    <w:p>
      <w:pPr>
        <w:pStyle w:val="1058"/>
        <w:ind w:firstLine="420"/>
        <w:spacing w:line="400" w:lineRule="exact"/>
        <w:rPr>
          <w:rFonts w:hAnsi="宋体" w:eastAsia="宋体"/>
          <w:sz w:val="24"/>
        </w:rPr>
      </w:pPr>
      <w:r>
        <w:rPr>
          <w:rFonts w:hAnsi="宋体" w:eastAsia="宋体"/>
          <w:sz w:val="24"/>
        </w:rPr>
        <w:t xml:space="preserve">（2）要求甲方提供的配合；</w:t>
      </w:r>
      <w:r/>
    </w:p>
    <w:p>
      <w:pPr>
        <w:pStyle w:val="1058"/>
        <w:ind w:firstLine="420"/>
        <w:spacing w:line="400" w:lineRule="exact"/>
        <w:rPr>
          <w:rFonts w:hAnsi="宋体" w:eastAsia="宋体"/>
          <w:sz w:val="24"/>
        </w:rPr>
      </w:pPr>
      <w:r>
        <w:rPr>
          <w:rFonts w:hAnsi="宋体" w:eastAsia="宋体"/>
          <w:sz w:val="24"/>
        </w:rPr>
        <w:t xml:space="preserve">（3）对招标文件有不同意见的偏离说明；</w:t>
      </w:r>
      <w:r/>
    </w:p>
    <w:p>
      <w:pPr>
        <w:pStyle w:val="1058"/>
        <w:ind w:firstLine="420"/>
        <w:spacing w:line="400" w:lineRule="exact"/>
        <w:rPr>
          <w:rFonts w:hAnsi="宋体" w:eastAsia="宋体"/>
          <w:sz w:val="24"/>
        </w:rPr>
      </w:pPr>
      <w:r>
        <w:rPr>
          <w:rFonts w:hAnsi="宋体" w:eastAsia="宋体"/>
          <w:sz w:val="24"/>
        </w:rPr>
        <w:t xml:space="preserve">（4）其它说明。</w:t>
      </w:r>
      <w:r/>
    </w:p>
    <w:p>
      <w:pPr>
        <w:pStyle w:val="1058"/>
        <w:spacing w:line="400" w:lineRule="exact"/>
        <w:rPr>
          <w:rFonts w:hAnsi="宋体" w:eastAsia="宋体"/>
          <w:sz w:val="24"/>
        </w:rPr>
      </w:pPr>
      <w:r>
        <w:rPr>
          <w:rFonts w:hAnsi="宋体" w:eastAsia="宋体"/>
          <w:sz w:val="24"/>
        </w:rPr>
        <w:t xml:space="preserve">    所有有关标书的函电，请按下列地址联系：</w:t>
      </w:r>
      <w:r/>
    </w:p>
    <w:p>
      <w:pPr>
        <w:pStyle w:val="1058"/>
        <w:spacing w:line="400" w:lineRule="exact"/>
        <w:rPr>
          <w:rFonts w:hAnsi="宋体" w:eastAsia="宋体"/>
          <w:sz w:val="24"/>
        </w:rPr>
      </w:pPr>
      <w:r>
        <w:rPr>
          <w:rFonts w:hAnsi="宋体" w:eastAsia="宋体"/>
          <w:sz w:val="24"/>
        </w:rPr>
        <w:t xml:space="preserve">单位：</w:t>
      </w:r>
      <w:r/>
    </w:p>
    <w:p>
      <w:pPr>
        <w:pStyle w:val="1058"/>
        <w:spacing w:line="400" w:lineRule="exact"/>
        <w:rPr>
          <w:rFonts w:hAnsi="宋体" w:eastAsia="宋体"/>
          <w:sz w:val="24"/>
        </w:rPr>
      </w:pPr>
      <w:r>
        <w:rPr>
          <w:rFonts w:hAnsi="宋体" w:eastAsia="宋体"/>
          <w:sz w:val="24"/>
        </w:rPr>
        <w:t xml:space="preserve">联系人：</w:t>
      </w:r>
      <w:r/>
    </w:p>
    <w:p>
      <w:pPr>
        <w:pStyle w:val="1058"/>
        <w:spacing w:line="400" w:lineRule="exact"/>
        <w:rPr>
          <w:rFonts w:hAnsi="宋体" w:eastAsia="宋体"/>
          <w:sz w:val="24"/>
        </w:rPr>
      </w:pPr>
      <w:r>
        <w:rPr>
          <w:rFonts w:hAnsi="宋体" w:eastAsia="宋体"/>
          <w:sz w:val="24"/>
        </w:rPr>
        <w:t xml:space="preserve">地址：</w:t>
      </w:r>
      <w:r/>
    </w:p>
    <w:p>
      <w:pPr>
        <w:pStyle w:val="1058"/>
        <w:spacing w:line="400" w:lineRule="exact"/>
        <w:rPr>
          <w:rFonts w:hAnsi="宋体" w:eastAsia="宋体"/>
          <w:sz w:val="24"/>
        </w:rPr>
      </w:pPr>
      <w:r>
        <w:rPr>
          <w:rFonts w:hAnsi="宋体" w:eastAsia="宋体"/>
          <w:sz w:val="24"/>
        </w:rPr>
        <w:t xml:space="preserve">邮政编码：</w:t>
      </w:r>
      <w:r/>
    </w:p>
    <w:p>
      <w:pPr>
        <w:pStyle w:val="1058"/>
        <w:spacing w:line="400" w:lineRule="exact"/>
        <w:rPr>
          <w:rFonts w:hAnsi="宋体" w:eastAsia="宋体"/>
          <w:sz w:val="24"/>
        </w:rPr>
      </w:pPr>
      <w:r>
        <w:rPr>
          <w:rFonts w:hAnsi="宋体" w:eastAsia="宋体"/>
          <w:sz w:val="24"/>
        </w:rPr>
        <w:t xml:space="preserve">联系电话：</w:t>
      </w:r>
      <w:r/>
    </w:p>
    <w:p>
      <w:pPr>
        <w:pStyle w:val="1058"/>
        <w:spacing w:line="400" w:lineRule="exact"/>
        <w:rPr>
          <w:rFonts w:hAnsi="宋体" w:eastAsia="宋体"/>
          <w:sz w:val="24"/>
        </w:rPr>
      </w:pPr>
      <w:r>
        <w:rPr>
          <w:rFonts w:hAnsi="宋体" w:eastAsia="宋体"/>
          <w:sz w:val="24"/>
        </w:rPr>
        <w:t xml:space="preserve">传真：</w:t>
      </w:r>
      <w:r/>
    </w:p>
    <w:p>
      <w:pPr>
        <w:pStyle w:val="1058"/>
        <w:ind w:left="3400" w:firstLine="425"/>
        <w:spacing w:line="400" w:lineRule="exact"/>
        <w:rPr>
          <w:rFonts w:hAnsi="宋体" w:eastAsia="宋体"/>
          <w:sz w:val="24"/>
        </w:rPr>
      </w:pPr>
      <w:r>
        <w:rPr>
          <w:rFonts w:hAnsi="宋体" w:eastAsia="宋体"/>
          <w:sz w:val="24"/>
        </w:rPr>
        <w:t xml:space="preserve">投标人：（单位盖章）</w:t>
      </w:r>
      <w:r/>
    </w:p>
    <w:p>
      <w:pPr>
        <w:pStyle w:val="1058"/>
        <w:ind w:left="3825"/>
        <w:spacing w:line="400" w:lineRule="exact"/>
        <w:rPr>
          <w:rFonts w:hAnsi="宋体" w:eastAsia="宋体"/>
          <w:sz w:val="24"/>
        </w:rPr>
      </w:pPr>
      <w:r>
        <w:rPr>
          <w:rFonts w:hAnsi="宋体" w:eastAsia="宋体"/>
          <w:sz w:val="24"/>
        </w:rPr>
        <w:t xml:space="preserve">法定代表人或被授权人：（签字或盖章）</w:t>
      </w:r>
      <w:r/>
    </w:p>
    <w:p>
      <w:pPr>
        <w:pStyle w:val="1058"/>
        <w:ind w:firstLine="4620"/>
        <w:spacing w:line="400" w:lineRule="exact"/>
        <w:rPr>
          <w:rFonts w:hAnsi="宋体" w:eastAsia="宋体"/>
          <w:sz w:val="24"/>
        </w:rPr>
      </w:pPr>
      <w:r>
        <w:rPr>
          <w:rFonts w:hAnsi="宋体" w:eastAsia="宋体"/>
          <w:sz w:val="24"/>
        </w:rPr>
        <w:t xml:space="preserve">年     月     日</w:t>
      </w:r>
      <w:r/>
    </w:p>
    <w:p>
      <w:pPr>
        <w:pStyle w:val="1058"/>
        <w:ind w:firstLine="4620"/>
        <w:spacing w:line="400" w:lineRule="exact"/>
        <w:rPr>
          <w:rFonts w:hAnsi="宋体" w:eastAsia="宋体"/>
          <w:sz w:val="24"/>
        </w:rPr>
      </w:pPr>
      <w:r>
        <w:rPr>
          <w:rFonts w:hAnsi="宋体" w:eastAsia="宋体"/>
          <w:sz w:val="24"/>
        </w:rPr>
      </w:r>
      <w:r/>
    </w:p>
    <w:p>
      <w:pPr>
        <w:pStyle w:val="1058"/>
        <w:ind w:firstLine="4620"/>
        <w:spacing w:line="400" w:lineRule="exact"/>
        <w:rPr>
          <w:rFonts w:hAnsi="宋体" w:eastAsia="宋体"/>
          <w:sz w:val="24"/>
        </w:rPr>
      </w:pPr>
      <w:r>
        <w:rPr>
          <w:rFonts w:hAnsi="宋体" w:eastAsia="宋体"/>
          <w:sz w:val="24"/>
        </w:rPr>
      </w:r>
      <w:r/>
    </w:p>
    <w:p>
      <w:pPr>
        <w:pStyle w:val="888"/>
        <w:ind w:left="567" w:hanging="567"/>
        <w:spacing w:line="416" w:lineRule="auto"/>
        <w:rPr>
          <w:rFonts w:ascii="宋体" w:hAnsi="宋体" w:eastAsia="宋体"/>
          <w:b w:val="0"/>
        </w:rPr>
      </w:pPr>
      <w:r/>
      <w:bookmarkStart w:id="29" w:name="_Ref343881459"/>
      <w:r/>
      <w:bookmarkStart w:id="30" w:name="_Toc497431309"/>
      <w:r>
        <w:rPr>
          <w:rFonts w:hint="eastAsia" w:ascii="宋体" w:hAnsi="宋体" w:eastAsia="宋体"/>
          <w:b w:val="0"/>
        </w:rPr>
        <w:br w:type="page" w:clear="all"/>
      </w:r>
      <w:bookmarkStart w:id="31" w:name="_Ref180135355"/>
      <w:r/>
      <w:bookmarkStart w:id="32" w:name="_Toc199168197"/>
      <w:r>
        <w:rPr>
          <w:rFonts w:hint="eastAsia" w:ascii="宋体" w:hAnsi="宋体" w:eastAsia="宋体"/>
          <w:b w:val="0"/>
        </w:rPr>
        <w:t xml:space="preserve">5.</w:t>
      </w:r>
      <w:r>
        <w:rPr>
          <w:rFonts w:ascii="宋体" w:hAnsi="宋体" w:eastAsia="宋体"/>
          <w:b w:val="0"/>
        </w:rPr>
        <w:t xml:space="preserve">开标一览表</w:t>
      </w:r>
      <w:bookmarkEnd w:id="29"/>
      <w:r/>
      <w:bookmarkEnd w:id="30"/>
      <w:r/>
      <w:bookmarkEnd w:id="31"/>
      <w:r/>
      <w:bookmarkEnd w:id="32"/>
      <w:r>
        <w:rPr>
          <w:rFonts w:ascii="宋体" w:hAnsi="宋体" w:eastAsia="宋体"/>
          <w:b w:val="0"/>
        </w:rPr>
      </w:r>
      <w:r/>
    </w:p>
    <w:p>
      <w:pPr>
        <w:pStyle w:val="958"/>
        <w:jc w:val="center"/>
        <w:rPr>
          <w:rFonts w:hint="eastAsia"/>
          <w:b/>
        </w:rPr>
      </w:pPr>
      <w:r>
        <w:rPr>
          <w:rFonts w:hint="eastAsia"/>
          <w:b/>
        </w:rPr>
        <w:t xml:space="preserve">开标一览表</w:t>
      </w:r>
      <w:r/>
    </w:p>
    <w:p>
      <w:pPr>
        <w:pStyle w:val="958"/>
        <w:rPr>
          <w:rFonts w:hint="eastAsia"/>
        </w:rPr>
      </w:pPr>
      <w:r>
        <w:rPr>
          <w:rFonts w:hint="eastAsia"/>
        </w:rPr>
        <w:t xml:space="preserve">以</w:t>
      </w:r>
      <w:r>
        <w:t xml:space="preserve">苏采云系统为准</w:t>
      </w:r>
      <w:r>
        <w:rPr>
          <w:rFonts w:hint="eastAsia"/>
        </w:rPr>
      </w:r>
      <w:r/>
    </w:p>
    <w:p>
      <w:pPr>
        <w:pStyle w:val="958"/>
        <w:rPr>
          <w:rFonts w:ascii="Times New Roman" w:hAnsi="Times New Roman" w:cs="Times New Roman"/>
          <w:sz w:val="21"/>
          <w:szCs w:val="21"/>
        </w:rPr>
      </w:pPr>
      <w:r>
        <w:rPr>
          <w:rFonts w:ascii="Times New Roman" w:hAnsi="Times New Roman" w:cs="Times New Roman"/>
          <w:sz w:val="21"/>
          <w:szCs w:val="21"/>
        </w:rPr>
      </w:r>
      <w:r/>
    </w:p>
    <w:p>
      <w:pPr>
        <w:pStyle w:val="1058"/>
        <w:spacing w:line="360" w:lineRule="auto"/>
        <w:rPr>
          <w:rFonts w:ascii="Times New Roman" w:hAnsi="Times New Roman" w:eastAsia="宋体"/>
          <w:sz w:val="21"/>
          <w:szCs w:val="21"/>
        </w:rPr>
      </w:pPr>
      <w:r>
        <w:rPr>
          <w:rFonts w:ascii="Times New Roman" w:hAnsi="Times New Roman" w:eastAsia="宋体"/>
          <w:sz w:val="21"/>
          <w:szCs w:val="21"/>
        </w:rPr>
        <w:t xml:space="preserve">填写说明：</w:t>
      </w:r>
      <w:r/>
    </w:p>
    <w:p>
      <w:pPr>
        <w:pStyle w:val="1058"/>
        <w:spacing w:line="360" w:lineRule="auto"/>
        <w:rPr>
          <w:rFonts w:ascii="Times New Roman" w:hAnsi="Times New Roman" w:eastAsia="宋体"/>
          <w:b/>
          <w:bCs/>
          <w:sz w:val="21"/>
          <w:szCs w:val="21"/>
        </w:rPr>
      </w:pPr>
      <w:r>
        <w:rPr>
          <w:rFonts w:ascii="Times New Roman" w:hAnsi="Times New Roman" w:eastAsia="宋体"/>
          <w:b/>
          <w:bCs/>
          <w:sz w:val="21"/>
          <w:szCs w:val="21"/>
        </w:rPr>
        <w:t xml:space="preserve">1、开标一览表必须加盖投标人公章（复印件无效）。</w:t>
      </w:r>
      <w:r/>
    </w:p>
    <w:p>
      <w:pPr>
        <w:pStyle w:val="1058"/>
        <w:spacing w:line="360" w:lineRule="auto"/>
        <w:rPr>
          <w:rFonts w:hint="eastAsia" w:ascii="Times New Roman" w:hAnsi="Times New Roman" w:eastAsia="宋体"/>
          <w:b/>
          <w:bCs/>
          <w:sz w:val="21"/>
          <w:szCs w:val="21"/>
        </w:rPr>
      </w:pPr>
      <w:r>
        <w:rPr>
          <w:rFonts w:ascii="Times New Roman" w:hAnsi="Times New Roman" w:eastAsia="宋体"/>
          <w:b/>
          <w:bCs/>
          <w:sz w:val="21"/>
          <w:szCs w:val="21"/>
        </w:rPr>
        <w:t xml:space="preserve">2、如有分包，投标人投任何一个包的标的，都需单独填写开标一览表。</w:t>
      </w:r>
      <w:r>
        <w:rPr>
          <w:rFonts w:hint="eastAsia" w:ascii="Times New Roman" w:hAnsi="Times New Roman" w:eastAsia="宋体"/>
          <w:b/>
          <w:bCs/>
          <w:sz w:val="21"/>
          <w:szCs w:val="21"/>
        </w:rPr>
      </w:r>
      <w:r/>
    </w:p>
    <w:p>
      <w:pPr>
        <w:pStyle w:val="1058"/>
        <w:spacing w:line="360" w:lineRule="auto"/>
        <w:rPr>
          <w:rFonts w:hAnsi="宋体" w:eastAsia="宋体"/>
          <w:sz w:val="24"/>
          <w:szCs w:val="24"/>
        </w:rPr>
      </w:pPr>
      <w:r>
        <w:rPr>
          <w:rFonts w:hint="eastAsia" w:hAnsi="宋体" w:eastAsia="宋体"/>
          <w:sz w:val="24"/>
          <w:szCs w:val="24"/>
        </w:rPr>
        <w:t xml:space="preserve">注：</w:t>
      </w:r>
      <w:r>
        <w:rPr>
          <w:rFonts w:hAnsi="宋体" w:eastAsia="宋体"/>
          <w:sz w:val="24"/>
          <w:szCs w:val="24"/>
        </w:rPr>
      </w:r>
      <w:r/>
    </w:p>
    <w:p>
      <w:pPr>
        <w:pStyle w:val="1058"/>
        <w:spacing w:line="360" w:lineRule="auto"/>
        <w:rPr>
          <w:rFonts w:hint="eastAsia" w:hAnsi="宋体" w:eastAsia="宋体"/>
          <w:sz w:val="24"/>
          <w:szCs w:val="24"/>
        </w:rPr>
      </w:pPr>
      <w:r>
        <w:rPr>
          <w:rFonts w:hint="eastAsia" w:hAnsi="宋体" w:eastAsia="宋体"/>
          <w:sz w:val="24"/>
          <w:szCs w:val="24"/>
        </w:rPr>
        <w:t xml:space="preserve">1．本项目各标段（标段一至标段五）按照</w:t>
      </w:r>
      <w:r>
        <w:rPr>
          <w:rFonts w:hint="eastAsia" w:hAnsi="宋体" w:eastAsia="宋体"/>
          <w:b/>
          <w:sz w:val="24"/>
          <w:szCs w:val="24"/>
        </w:rPr>
        <w:t xml:space="preserve">优惠率</w:t>
      </w:r>
      <w:r>
        <w:rPr>
          <w:rFonts w:hint="eastAsia" w:hAnsi="宋体" w:eastAsia="宋体"/>
          <w:sz w:val="24"/>
          <w:szCs w:val="24"/>
        </w:rPr>
        <w:t xml:space="preserve">报价。</w:t>
      </w:r>
      <w:r/>
    </w:p>
    <w:p>
      <w:pPr>
        <w:pStyle w:val="1058"/>
        <w:spacing w:line="360" w:lineRule="auto"/>
        <w:rPr>
          <w:rFonts w:hint="eastAsia" w:eastAsia="宋体"/>
          <w:b/>
          <w:sz w:val="24"/>
          <w:szCs w:val="24"/>
        </w:rPr>
      </w:pPr>
      <w:r>
        <w:rPr>
          <w:rFonts w:hint="eastAsia" w:eastAsia="宋体"/>
          <w:b/>
          <w:sz w:val="24"/>
          <w:szCs w:val="24"/>
        </w:rPr>
        <w:t xml:space="preserve">2．投标报价的单位均为%。优惠率栏内请直接填数值，不必填%号。例如：优惠率（%）为10%，报价栏内填10即可。</w:t>
      </w:r>
      <w:r/>
    </w:p>
    <w:p>
      <w:pPr>
        <w:pStyle w:val="1058"/>
        <w:spacing w:line="360" w:lineRule="auto"/>
        <w:rPr>
          <w:rFonts w:ascii="Times New Roman" w:hAnsi="Times New Roman" w:eastAsia="宋体"/>
          <w:b/>
          <w:bCs/>
          <w:sz w:val="21"/>
          <w:szCs w:val="21"/>
        </w:rPr>
      </w:pPr>
      <w:r>
        <w:rPr>
          <w:rFonts w:ascii="Times New Roman" w:hAnsi="Times New Roman" w:eastAsia="宋体"/>
          <w:b/>
          <w:bCs/>
          <w:sz w:val="21"/>
          <w:szCs w:val="21"/>
        </w:rPr>
      </w:r>
      <w:r/>
    </w:p>
    <w:p>
      <w:pPr>
        <w:pStyle w:val="886"/>
        <w:ind w:firstLine="422"/>
        <w:spacing w:line="360" w:lineRule="auto"/>
        <w:rPr>
          <w:rFonts w:ascii="宋体"/>
          <w:b/>
          <w:szCs w:val="21"/>
        </w:rPr>
      </w:pPr>
      <w:r>
        <w:rPr>
          <w:rFonts w:ascii="宋体"/>
          <w:b/>
          <w:szCs w:val="21"/>
        </w:rPr>
      </w:r>
      <w:r/>
    </w:p>
    <w:p>
      <w:pPr>
        <w:pStyle w:val="888"/>
        <w:ind w:left="567" w:hanging="567"/>
        <w:spacing w:line="416" w:lineRule="auto"/>
        <w:rPr>
          <w:rFonts w:ascii="宋体" w:hAnsi="宋体" w:eastAsia="宋体"/>
          <w:b w:val="0"/>
          <w:bCs w:val="0"/>
        </w:rPr>
      </w:pPr>
      <w:r/>
      <w:bookmarkStart w:id="33" w:name="_Toc144370270"/>
      <w:r>
        <w:rPr>
          <w:rFonts w:hint="eastAsia" w:ascii="宋体"/>
          <w:b w:val="0"/>
          <w:szCs w:val="21"/>
        </w:rPr>
        <w:br w:type="page" w:clear="all"/>
      </w:r>
      <w:bookmarkStart w:id="34" w:name="_Ref180135359"/>
      <w:r/>
      <w:bookmarkStart w:id="35" w:name="_Toc199168198"/>
      <w:r>
        <w:rPr>
          <w:rFonts w:hint="eastAsia" w:ascii="宋体" w:hAnsi="宋体" w:eastAsia="宋体"/>
          <w:b w:val="0"/>
          <w:bCs w:val="0"/>
        </w:rPr>
        <w:t xml:space="preserve">6.投标报价表</w:t>
      </w:r>
      <w:bookmarkEnd w:id="33"/>
      <w:r/>
      <w:bookmarkEnd w:id="34"/>
      <w:r/>
      <w:bookmarkEnd w:id="35"/>
      <w:r>
        <w:rPr>
          <w:rFonts w:ascii="宋体" w:hAnsi="宋体" w:eastAsia="宋体"/>
          <w:b w:val="0"/>
          <w:bCs w:val="0"/>
        </w:rPr>
      </w:r>
      <w:r/>
    </w:p>
    <w:p>
      <w:pPr>
        <w:pStyle w:val="886"/>
        <w:jc w:val="center"/>
        <w:spacing w:line="360" w:lineRule="auto"/>
        <w:rPr>
          <w:rFonts w:hint="eastAsia" w:ascii="宋体" w:hAnsi="宋体"/>
          <w:b/>
          <w:bCs/>
          <w:sz w:val="24"/>
        </w:rPr>
      </w:pPr>
      <w:r>
        <w:rPr>
          <w:rFonts w:ascii="宋体" w:hAnsi="宋体"/>
          <w:b/>
          <w:bCs/>
          <w:sz w:val="24"/>
        </w:rPr>
        <w:t xml:space="preserve">公开分项报价</w:t>
      </w:r>
      <w:r>
        <w:rPr>
          <w:rFonts w:hint="eastAsia" w:ascii="宋体" w:hAnsi="宋体"/>
          <w:b/>
          <w:bCs/>
          <w:sz w:val="24"/>
        </w:rPr>
      </w:r>
      <w:r/>
    </w:p>
    <w:p>
      <w:pPr>
        <w:pStyle w:val="886"/>
        <w:jc w:val="center"/>
        <w:spacing w:line="360" w:lineRule="auto"/>
        <w:rPr>
          <w:rFonts w:ascii="宋体" w:hAnsi="宋体"/>
          <w:bCs/>
          <w:sz w:val="24"/>
        </w:rPr>
      </w:pPr>
      <w:r>
        <w:rPr>
          <w:rFonts w:ascii="宋体" w:hAnsi="宋体"/>
          <w:bCs/>
          <w:sz w:val="24"/>
        </w:rPr>
        <w:t xml:space="preserve"> </w:t>
      </w:r>
      <w:r/>
    </w:p>
    <w:p>
      <w:pPr>
        <w:pStyle w:val="886"/>
        <w:spacing w:line="360" w:lineRule="auto"/>
        <w:rPr>
          <w:rFonts w:hint="eastAsia" w:ascii="宋体" w:hAnsi="宋体"/>
          <w:b/>
          <w:sz w:val="24"/>
          <w:u w:val="single"/>
        </w:rPr>
      </w:pPr>
      <w:r>
        <w:rPr>
          <w:rFonts w:ascii="宋体" w:hAnsi="宋体"/>
          <w:b/>
          <w:sz w:val="24"/>
        </w:rPr>
        <w:t xml:space="preserve">  </w:t>
      </w:r>
      <w:r>
        <w:rPr>
          <w:rFonts w:hint="eastAsia" w:ascii="宋体" w:hAnsi="宋体"/>
          <w:b/>
          <w:sz w:val="24"/>
        </w:rPr>
        <w:t xml:space="preserve">项目名称：</w:t>
      </w:r>
      <w:r>
        <w:rPr>
          <w:rFonts w:ascii="宋体" w:hAnsi="宋体"/>
          <w:b/>
          <w:sz w:val="24"/>
          <w:u w:val="single"/>
        </w:rPr>
        <w:t xml:space="preserve">             </w:t>
      </w:r>
      <w:r>
        <w:rPr>
          <w:rFonts w:hint="eastAsia" w:ascii="宋体" w:hAnsi="宋体"/>
          <w:b/>
          <w:sz w:val="24"/>
          <w:u w:val="single"/>
        </w:rPr>
        <w:t xml:space="preserve">               </w:t>
      </w:r>
      <w:r>
        <w:rPr>
          <w:rFonts w:hint="eastAsia" w:ascii="宋体" w:hAnsi="宋体"/>
          <w:b/>
          <w:sz w:val="24"/>
        </w:rPr>
        <w:t xml:space="preserve">项目编号：</w:t>
      </w:r>
      <w:r>
        <w:rPr>
          <w:rFonts w:ascii="宋体" w:hAnsi="宋体"/>
          <w:b/>
          <w:sz w:val="24"/>
        </w:rPr>
        <w:t xml:space="preserve"> </w:t>
      </w:r>
      <w:r>
        <w:rPr>
          <w:rFonts w:hint="eastAsia" w:ascii="宋体" w:hAnsi="宋体"/>
          <w:b/>
          <w:sz w:val="24"/>
          <w:u w:val="single"/>
        </w:rPr>
      </w:r>
      <w:r/>
    </w:p>
    <w:p>
      <w:pPr>
        <w:pStyle w:val="886"/>
        <w:jc w:val="left"/>
        <w:rPr>
          <w:rFonts w:ascii="宋体" w:hAnsi="宋体"/>
          <w:szCs w:val="21"/>
        </w:rPr>
      </w:pPr>
      <w:r>
        <w:rPr>
          <w:rFonts w:ascii="宋体" w:hAnsi="宋体"/>
          <w:szCs w:val="21"/>
        </w:rPr>
      </w:r>
      <w:r/>
    </w:p>
    <w:p>
      <w:pPr>
        <w:pStyle w:val="886"/>
        <w:spacing w:line="360" w:lineRule="auto"/>
        <w:rPr>
          <w:rFonts w:hint="eastAsia" w:ascii="宋体" w:hAnsi="宋体"/>
          <w:sz w:val="24"/>
        </w:rPr>
      </w:pPr>
      <w:r>
        <w:rPr>
          <w:rFonts w:hint="eastAsia" w:ascii="宋体" w:hAnsi="宋体"/>
          <w:sz w:val="24"/>
        </w:rPr>
      </w:r>
      <w:r/>
    </w:p>
    <w:p>
      <w:pPr>
        <w:pStyle w:val="886"/>
        <w:spacing w:line="360" w:lineRule="auto"/>
        <w:rPr>
          <w:rFonts w:hint="eastAsia" w:ascii="宋体" w:hAnsi="宋体"/>
          <w:sz w:val="24"/>
        </w:rPr>
      </w:pPr>
      <w:r>
        <w:rPr>
          <w:rFonts w:hint="eastAsia" w:ascii="宋体" w:hAnsi="宋体"/>
          <w:sz w:val="24"/>
        </w:rPr>
      </w:r>
      <w:r/>
    </w:p>
    <w:p>
      <w:pPr>
        <w:pStyle w:val="886"/>
        <w:spacing w:line="360" w:lineRule="auto"/>
        <w:rPr>
          <w:rFonts w:ascii="宋体" w:hAnsi="宋体"/>
          <w:sz w:val="24"/>
        </w:rPr>
      </w:pPr>
      <w:r>
        <w:rPr>
          <w:rFonts w:ascii="宋体" w:hAnsi="宋体"/>
          <w:sz w:val="24"/>
        </w:rPr>
        <w:t xml:space="preserve">投标人：（单位盖章）</w:t>
      </w:r>
      <w:r/>
    </w:p>
    <w:p>
      <w:pPr>
        <w:pStyle w:val="886"/>
        <w:spacing w:line="360" w:lineRule="auto"/>
        <w:rPr>
          <w:rFonts w:ascii="宋体" w:hAnsi="宋体"/>
          <w:sz w:val="24"/>
          <w:szCs w:val="20"/>
        </w:rPr>
      </w:pPr>
      <w:r>
        <w:rPr>
          <w:rFonts w:ascii="宋体" w:hAnsi="宋体"/>
          <w:sz w:val="24"/>
          <w:szCs w:val="20"/>
        </w:rPr>
        <w:t xml:space="preserve">法定代表人或被授权人：（签字或签章）</w:t>
      </w:r>
      <w:r/>
    </w:p>
    <w:p>
      <w:pPr>
        <w:pStyle w:val="886"/>
        <w:spacing w:line="360" w:lineRule="auto"/>
        <w:rPr>
          <w:rFonts w:ascii="宋体" w:hAnsi="宋体"/>
          <w:sz w:val="24"/>
        </w:rPr>
      </w:pPr>
      <w:r>
        <w:rPr>
          <w:rFonts w:ascii="宋体" w:hAnsi="宋体"/>
          <w:sz w:val="24"/>
          <w:szCs w:val="20"/>
        </w:rPr>
        <w:t xml:space="preserve">日期：         年     月    日</w:t>
      </w:r>
      <w:r>
        <w:rPr>
          <w:rFonts w:ascii="宋体" w:hAnsi="宋体"/>
          <w:sz w:val="24"/>
        </w:rPr>
      </w:r>
      <w:r/>
    </w:p>
    <w:p>
      <w:pPr>
        <w:pStyle w:val="886"/>
      </w:pPr>
      <w:r/>
      <w:r/>
    </w:p>
    <w:p>
      <w:pPr>
        <w:pStyle w:val="1179"/>
        <w:rPr>
          <w:rFonts w:ascii="Arial" w:hAnsi="Arial" w:cs="Arial"/>
          <w:szCs w:val="21"/>
        </w:rPr>
      </w:pPr>
      <w:r>
        <w:rPr>
          <w:rFonts w:ascii="Arial" w:hAnsi="Arial" w:cs="Arial"/>
          <w:szCs w:val="21"/>
        </w:rPr>
      </w:r>
      <w:r/>
    </w:p>
    <w:p>
      <w:pPr>
        <w:pStyle w:val="886"/>
        <w:ind w:firstLine="422"/>
        <w:spacing w:line="360" w:lineRule="auto"/>
        <w:rPr>
          <w:rFonts w:ascii="宋体"/>
          <w:b/>
          <w:szCs w:val="21"/>
        </w:rPr>
      </w:pPr>
      <w:r>
        <w:rPr>
          <w:rFonts w:ascii="宋体"/>
          <w:b/>
          <w:szCs w:val="21"/>
        </w:rPr>
      </w:r>
      <w:r/>
    </w:p>
    <w:p>
      <w:pPr>
        <w:pStyle w:val="886"/>
        <w:spacing w:line="520" w:lineRule="exact"/>
        <w:rPr>
          <w:rFonts w:ascii="宋体" w:hAnsi="宋体"/>
          <w:sz w:val="24"/>
        </w:rPr>
      </w:pPr>
      <w:r>
        <w:rPr>
          <w:rFonts w:ascii="宋体" w:hAnsi="宋体"/>
          <w:sz w:val="24"/>
        </w:rPr>
      </w:r>
      <w:r/>
    </w:p>
    <w:p>
      <w:pPr>
        <w:pStyle w:val="1058"/>
        <w:spacing w:line="360" w:lineRule="auto"/>
        <w:rPr>
          <w:rFonts w:hAnsi="宋体" w:eastAsia="宋体"/>
          <w:sz w:val="24"/>
        </w:rPr>
      </w:pPr>
      <w:r>
        <w:rPr>
          <w:rFonts w:hAnsi="宋体" w:eastAsia="宋体"/>
          <w:sz w:val="24"/>
        </w:rPr>
      </w:r>
      <w:r/>
    </w:p>
    <w:p>
      <w:pPr>
        <w:pStyle w:val="888"/>
        <w:spacing w:line="416" w:lineRule="auto"/>
        <w:rPr>
          <w:rFonts w:eastAsia="宋体"/>
          <w:bCs w:val="0"/>
        </w:rPr>
      </w:pPr>
      <w:r/>
      <w:bookmarkStart w:id="36" w:name="_Toc497431310"/>
      <w:r/>
      <w:bookmarkStart w:id="37" w:name="_Ref378337104"/>
      <w:r>
        <w:rPr>
          <w:rFonts w:ascii="宋体" w:hAnsi="宋体" w:eastAsia="宋体"/>
          <w:b w:val="0"/>
        </w:rPr>
        <w:br w:type="page" w:clear="all"/>
      </w:r>
      <w:bookmarkEnd w:id="36"/>
      <w:r/>
      <w:bookmarkEnd w:id="37"/>
      <w:r/>
      <w:bookmarkStart w:id="38" w:name="_Ref127976287"/>
      <w:r/>
      <w:bookmarkStart w:id="39" w:name="_Ref180135364"/>
      <w:r/>
      <w:bookmarkStart w:id="40" w:name="_Ref501489757"/>
      <w:r/>
      <w:bookmarkStart w:id="41" w:name="_Toc199168199"/>
      <w:r>
        <w:rPr>
          <w:rFonts w:hint="eastAsia" w:ascii="宋体" w:hAnsi="宋体" w:eastAsia="宋体"/>
          <w:b w:val="0"/>
        </w:rPr>
        <w:t xml:space="preserve">7</w:t>
      </w:r>
      <w:r>
        <w:rPr>
          <w:rFonts w:ascii="宋体" w:hAnsi="宋体" w:eastAsia="宋体"/>
          <w:b w:val="0"/>
          <w:sz w:val="28"/>
          <w:szCs w:val="28"/>
        </w:rPr>
        <w:t xml:space="preserve">.</w:t>
      </w:r>
      <w:bookmarkEnd w:id="38"/>
      <w:r>
        <w:rPr>
          <w:rFonts w:hint="eastAsia" w:ascii="宋体" w:hAnsi="宋体" w:eastAsia="宋体"/>
          <w:b w:val="0"/>
          <w:sz w:val="28"/>
          <w:szCs w:val="28"/>
        </w:rPr>
        <w:t xml:space="preserve">人员配置表</w:t>
      </w:r>
      <w:bookmarkEnd w:id="39"/>
      <w:r/>
      <w:bookmarkEnd w:id="41"/>
      <w:r>
        <w:rPr>
          <w:rFonts w:eastAsia="宋体"/>
          <w:bCs w:val="0"/>
        </w:rPr>
      </w:r>
      <w:r/>
    </w:p>
    <w:p>
      <w:pPr>
        <w:pStyle w:val="886"/>
        <w:jc w:val="center"/>
        <w:rPr>
          <w:rFonts w:hint="eastAsia"/>
          <w:b/>
        </w:rPr>
      </w:pPr>
      <w:r>
        <w:rPr>
          <w:rFonts w:hint="eastAsia" w:ascii="宋体" w:hAnsi="宋体"/>
          <w:b/>
          <w:lang w:val="zh-CN"/>
        </w:rPr>
        <w:t xml:space="preserve">人员配备</w:t>
      </w:r>
      <w:r>
        <w:rPr>
          <w:rFonts w:hint="eastAsia" w:ascii="宋体" w:hAnsi="宋体"/>
          <w:b/>
        </w:rPr>
        <w:t xml:space="preserve">表</w:t>
      </w:r>
      <w:r>
        <w:rPr>
          <w:rFonts w:hint="eastAsia"/>
          <w:b/>
        </w:rPr>
      </w:r>
      <w:r/>
    </w:p>
    <w:tbl>
      <w:tblPr>
        <w:tblW w:w="9193"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24"/>
        <w:gridCol w:w="2338"/>
        <w:gridCol w:w="1167"/>
        <w:gridCol w:w="992"/>
        <w:gridCol w:w="993"/>
        <w:gridCol w:w="1134"/>
        <w:gridCol w:w="1845"/>
      </w:tblGrid>
      <w:tr>
        <w:trPr>
          <w:trHeight w:val="760"/>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pStyle w:val="886"/>
              <w:spacing w:line="400" w:lineRule="exact"/>
              <w:rPr>
                <w:rFonts w:ascii="宋体" w:hAnsi="宋体"/>
                <w:szCs w:val="21"/>
              </w:rPr>
            </w:pPr>
            <w:r>
              <w:rPr>
                <w:rFonts w:hint="eastAsia" w:ascii="宋体" w:hAnsi="宋体"/>
                <w:szCs w:val="21"/>
              </w:rPr>
              <w:t xml:space="preserve">序号</w:t>
            </w: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2338" w:type="dxa"/>
            <w:vAlign w:val="center"/>
            <w:textDirection w:val="lrTb"/>
            <w:noWrap w:val="false"/>
          </w:tcPr>
          <w:p>
            <w:pPr>
              <w:pStyle w:val="886"/>
              <w:spacing w:line="400" w:lineRule="exact"/>
              <w:rPr>
                <w:rFonts w:ascii="宋体" w:hAnsi="宋体"/>
                <w:szCs w:val="21"/>
              </w:rPr>
            </w:pPr>
            <w:r>
              <w:rPr>
                <w:rFonts w:hint="eastAsia" w:ascii="宋体" w:hAnsi="宋体"/>
                <w:szCs w:val="21"/>
              </w:rPr>
              <w:t xml:space="preserve">岗位</w:t>
            </w: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1167" w:type="dxa"/>
            <w:vAlign w:val="center"/>
            <w:textDirection w:val="lrTb"/>
            <w:noWrap w:val="false"/>
          </w:tcPr>
          <w:p>
            <w:pPr>
              <w:pStyle w:val="886"/>
              <w:spacing w:line="400" w:lineRule="exact"/>
              <w:rPr>
                <w:rFonts w:ascii="宋体" w:hAnsi="宋体"/>
                <w:szCs w:val="21"/>
              </w:rPr>
            </w:pPr>
            <w:r>
              <w:rPr>
                <w:rFonts w:hint="eastAsia" w:ascii="宋体" w:hAnsi="宋体"/>
                <w:szCs w:val="21"/>
              </w:rPr>
              <w:t xml:space="preserve">姓名</w:t>
            </w: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886"/>
              <w:spacing w:line="400" w:lineRule="exact"/>
              <w:rPr>
                <w:rFonts w:ascii="宋体" w:hAnsi="宋体"/>
                <w:szCs w:val="21"/>
              </w:rPr>
            </w:pPr>
            <w:r>
              <w:rPr>
                <w:rFonts w:hint="eastAsia" w:ascii="宋体" w:hAnsi="宋体"/>
                <w:szCs w:val="21"/>
              </w:rPr>
              <w:t xml:space="preserve">年龄</w:t>
            </w: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val="false"/>
          </w:tcPr>
          <w:p>
            <w:pPr>
              <w:pStyle w:val="886"/>
              <w:spacing w:line="400" w:lineRule="exact"/>
              <w:rPr>
                <w:rFonts w:ascii="宋体" w:hAnsi="宋体"/>
                <w:szCs w:val="21"/>
              </w:rPr>
            </w:pPr>
            <w:r>
              <w:rPr>
                <w:rFonts w:hint="eastAsia" w:ascii="宋体" w:hAnsi="宋体"/>
                <w:szCs w:val="21"/>
              </w:rPr>
              <w:t xml:space="preserve">学历</w:t>
            </w: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886"/>
              <w:spacing w:line="400" w:lineRule="exact"/>
              <w:rPr>
                <w:rFonts w:ascii="宋体" w:hAnsi="宋体"/>
                <w:szCs w:val="21"/>
              </w:rPr>
            </w:pPr>
            <w:r>
              <w:rPr>
                <w:rFonts w:hint="eastAsia" w:ascii="宋体" w:hAnsi="宋体"/>
                <w:szCs w:val="21"/>
              </w:rPr>
              <w:t xml:space="preserve">职称</w:t>
            </w: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1845" w:type="dxa"/>
            <w:vAlign w:val="center"/>
            <w:textDirection w:val="lrTb"/>
            <w:noWrap w:val="false"/>
          </w:tcPr>
          <w:p>
            <w:pPr>
              <w:pStyle w:val="886"/>
              <w:spacing w:line="400" w:lineRule="exact"/>
              <w:rPr>
                <w:rFonts w:ascii="宋体" w:hAnsi="宋体"/>
                <w:szCs w:val="21"/>
              </w:rPr>
            </w:pPr>
            <w:r>
              <w:rPr>
                <w:rFonts w:hint="eastAsia" w:ascii="宋体" w:hAnsi="宋体"/>
                <w:szCs w:val="21"/>
              </w:rPr>
              <w:t xml:space="preserve">相关执业证书</w:t>
            </w:r>
            <w:r>
              <w:rPr>
                <w:rFonts w:ascii="宋体" w:hAnsi="宋体"/>
                <w:szCs w:val="21"/>
              </w:rPr>
            </w:r>
            <w:r/>
          </w:p>
        </w:tc>
      </w:tr>
      <w:tr>
        <w:trPr>
          <w:cantSplit/>
          <w:trHeight w:val="495"/>
        </w:trPr>
        <w:tc>
          <w:tcPr>
            <w:tcBorders>
              <w:top w:val="single" w:color="000000" w:sz="4" w:space="0"/>
              <w:left w:val="single" w:color="000000" w:sz="4" w:space="0"/>
              <w:bottom w:val="single" w:color="000000" w:sz="4" w:space="0"/>
              <w:right w:val="single" w:color="000000" w:sz="4" w:space="0"/>
            </w:tcBorders>
            <w:tcW w:w="724" w:type="dxa"/>
            <w:vAlign w:val="top"/>
            <w:textDirection w:val="lrTb"/>
            <w:noWrap w:val="false"/>
          </w:tcPr>
          <w:p>
            <w:pPr>
              <w:pStyle w:val="886"/>
              <w:spacing w:line="400" w:lineRule="exact"/>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2338" w:type="dxa"/>
            <w:vAlign w:val="top"/>
            <w:textDirection w:val="lrTb"/>
            <w:noWrap w:val="false"/>
          </w:tcPr>
          <w:p>
            <w:pPr>
              <w:pStyle w:val="886"/>
              <w:spacing w:line="400" w:lineRule="exact"/>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1167" w:type="dxa"/>
            <w:vAlign w:val="top"/>
            <w:textDirection w:val="lrTb"/>
            <w:noWrap w:val="false"/>
          </w:tcPr>
          <w:p>
            <w:pPr>
              <w:pStyle w:val="886"/>
              <w:spacing w:line="400" w:lineRule="exact"/>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886"/>
              <w:spacing w:line="400" w:lineRule="exact"/>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val="false"/>
          </w:tcPr>
          <w:p>
            <w:pPr>
              <w:pStyle w:val="886"/>
              <w:spacing w:line="400" w:lineRule="exact"/>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886"/>
              <w:spacing w:line="400" w:lineRule="exact"/>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1845" w:type="dxa"/>
            <w:vAlign w:val="top"/>
            <w:textDirection w:val="lrTb"/>
            <w:noWrap w:val="false"/>
          </w:tcPr>
          <w:p>
            <w:pPr>
              <w:pStyle w:val="886"/>
              <w:spacing w:line="400" w:lineRule="exact"/>
              <w:rPr>
                <w:rFonts w:ascii="宋体" w:hAnsi="宋体"/>
                <w:szCs w:val="21"/>
              </w:rPr>
            </w:pPr>
            <w:r>
              <w:rPr>
                <w:rFonts w:ascii="宋体" w:hAnsi="宋体"/>
                <w:szCs w:val="21"/>
              </w:rPr>
            </w:r>
            <w:r/>
          </w:p>
        </w:tc>
      </w:tr>
      <w:tr>
        <w:trPr>
          <w:cantSplit/>
          <w:trHeight w:val="495"/>
        </w:trPr>
        <w:tc>
          <w:tcPr>
            <w:tcBorders>
              <w:top w:val="single" w:color="000000" w:sz="4" w:space="0"/>
              <w:left w:val="single" w:color="000000" w:sz="4" w:space="0"/>
              <w:bottom w:val="single" w:color="000000" w:sz="4" w:space="0"/>
              <w:right w:val="single" w:color="000000" w:sz="4" w:space="0"/>
            </w:tcBorders>
            <w:tcW w:w="724" w:type="dxa"/>
            <w:vAlign w:val="top"/>
            <w:textDirection w:val="lrTb"/>
            <w:noWrap w:val="false"/>
          </w:tcPr>
          <w:p>
            <w:pPr>
              <w:pStyle w:val="886"/>
              <w:spacing w:line="400" w:lineRule="exact"/>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2338" w:type="dxa"/>
            <w:vAlign w:val="center"/>
            <w:textDirection w:val="lrTb"/>
            <w:noWrap w:val="false"/>
          </w:tcPr>
          <w:p>
            <w:pPr>
              <w:pStyle w:val="886"/>
              <w:spacing w:line="400" w:lineRule="exact"/>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1167" w:type="dxa"/>
            <w:vAlign w:val="center"/>
            <w:textDirection w:val="lrTb"/>
            <w:noWrap w:val="false"/>
          </w:tcPr>
          <w:p>
            <w:pPr>
              <w:pStyle w:val="886"/>
              <w:spacing w:line="400" w:lineRule="exact"/>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886"/>
              <w:spacing w:line="400" w:lineRule="exact"/>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val="false"/>
          </w:tcPr>
          <w:p>
            <w:pPr>
              <w:pStyle w:val="886"/>
              <w:spacing w:line="400" w:lineRule="exact"/>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886"/>
              <w:spacing w:line="400" w:lineRule="exact"/>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1845" w:type="dxa"/>
            <w:vAlign w:val="top"/>
            <w:textDirection w:val="lrTb"/>
            <w:noWrap w:val="false"/>
          </w:tcPr>
          <w:p>
            <w:pPr>
              <w:pStyle w:val="886"/>
              <w:spacing w:line="400" w:lineRule="exact"/>
              <w:rPr>
                <w:rFonts w:ascii="宋体" w:hAnsi="宋体"/>
                <w:szCs w:val="21"/>
              </w:rPr>
            </w:pPr>
            <w:r>
              <w:rPr>
                <w:rFonts w:ascii="宋体" w:hAnsi="宋体"/>
                <w:szCs w:val="21"/>
              </w:rPr>
            </w:r>
            <w:r/>
          </w:p>
        </w:tc>
      </w:tr>
      <w:tr>
        <w:trPr>
          <w:cantSplit/>
          <w:trHeight w:val="495"/>
        </w:trPr>
        <w:tc>
          <w:tcPr>
            <w:tcBorders>
              <w:top w:val="single" w:color="000000" w:sz="4" w:space="0"/>
              <w:left w:val="single" w:color="000000" w:sz="4" w:space="0"/>
              <w:bottom w:val="single" w:color="000000" w:sz="4" w:space="0"/>
              <w:right w:val="single" w:color="000000" w:sz="4" w:space="0"/>
            </w:tcBorders>
            <w:tcW w:w="724" w:type="dxa"/>
            <w:vAlign w:val="top"/>
            <w:textDirection w:val="lrTb"/>
            <w:noWrap w:val="false"/>
          </w:tcPr>
          <w:p>
            <w:pPr>
              <w:pStyle w:val="886"/>
              <w:spacing w:line="400" w:lineRule="exact"/>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2338" w:type="dxa"/>
            <w:vAlign w:val="center"/>
            <w:textDirection w:val="lrTb"/>
            <w:noWrap w:val="false"/>
          </w:tcPr>
          <w:p>
            <w:pPr>
              <w:pStyle w:val="886"/>
              <w:spacing w:line="400" w:lineRule="exact"/>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1167" w:type="dxa"/>
            <w:vAlign w:val="center"/>
            <w:textDirection w:val="lrTb"/>
            <w:noWrap w:val="false"/>
          </w:tcPr>
          <w:p>
            <w:pPr>
              <w:pStyle w:val="886"/>
              <w:spacing w:line="400" w:lineRule="exact"/>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886"/>
              <w:spacing w:line="400" w:lineRule="exact"/>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val="false"/>
          </w:tcPr>
          <w:p>
            <w:pPr>
              <w:pStyle w:val="886"/>
              <w:spacing w:line="400" w:lineRule="exact"/>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886"/>
              <w:spacing w:line="400" w:lineRule="exact"/>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1845" w:type="dxa"/>
            <w:vAlign w:val="top"/>
            <w:textDirection w:val="lrTb"/>
            <w:noWrap w:val="false"/>
          </w:tcPr>
          <w:p>
            <w:pPr>
              <w:pStyle w:val="886"/>
              <w:spacing w:line="400" w:lineRule="exact"/>
              <w:rPr>
                <w:rFonts w:ascii="宋体" w:hAnsi="宋体"/>
                <w:szCs w:val="21"/>
              </w:rPr>
            </w:pPr>
            <w:r>
              <w:rPr>
                <w:rFonts w:ascii="宋体" w:hAnsi="宋体"/>
                <w:szCs w:val="21"/>
              </w:rPr>
            </w:r>
            <w:r/>
          </w:p>
        </w:tc>
      </w:tr>
      <w:tr>
        <w:trPr>
          <w:cantSplit/>
          <w:trHeight w:val="495"/>
        </w:trPr>
        <w:tc>
          <w:tcPr>
            <w:tcBorders>
              <w:top w:val="single" w:color="000000" w:sz="4" w:space="0"/>
              <w:left w:val="single" w:color="000000" w:sz="4" w:space="0"/>
              <w:bottom w:val="single" w:color="000000" w:sz="4" w:space="0"/>
              <w:right w:val="single" w:color="000000" w:sz="4" w:space="0"/>
            </w:tcBorders>
            <w:tcW w:w="724" w:type="dxa"/>
            <w:vAlign w:val="top"/>
            <w:textDirection w:val="lrTb"/>
            <w:noWrap w:val="false"/>
          </w:tcPr>
          <w:p>
            <w:pPr>
              <w:pStyle w:val="886"/>
              <w:spacing w:line="400" w:lineRule="exact"/>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2338" w:type="dxa"/>
            <w:vAlign w:val="center"/>
            <w:textDirection w:val="lrTb"/>
            <w:noWrap w:val="false"/>
          </w:tcPr>
          <w:p>
            <w:pPr>
              <w:pStyle w:val="886"/>
              <w:spacing w:line="400" w:lineRule="exact"/>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1167" w:type="dxa"/>
            <w:vAlign w:val="center"/>
            <w:textDirection w:val="lrTb"/>
            <w:noWrap w:val="false"/>
          </w:tcPr>
          <w:p>
            <w:pPr>
              <w:pStyle w:val="886"/>
              <w:spacing w:line="400" w:lineRule="exact"/>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886"/>
              <w:spacing w:line="400" w:lineRule="exact"/>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val="false"/>
          </w:tcPr>
          <w:p>
            <w:pPr>
              <w:pStyle w:val="886"/>
              <w:spacing w:line="400" w:lineRule="exact"/>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886"/>
              <w:spacing w:line="400" w:lineRule="exact"/>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1845" w:type="dxa"/>
            <w:vAlign w:val="top"/>
            <w:textDirection w:val="lrTb"/>
            <w:noWrap w:val="false"/>
          </w:tcPr>
          <w:p>
            <w:pPr>
              <w:pStyle w:val="886"/>
              <w:spacing w:line="400" w:lineRule="exact"/>
              <w:rPr>
                <w:rFonts w:ascii="宋体" w:hAnsi="宋体"/>
                <w:szCs w:val="21"/>
              </w:rPr>
            </w:pPr>
            <w:r>
              <w:rPr>
                <w:rFonts w:ascii="宋体" w:hAnsi="宋体"/>
                <w:szCs w:val="21"/>
              </w:rPr>
            </w:r>
            <w:r/>
          </w:p>
        </w:tc>
      </w:tr>
      <w:tr>
        <w:trPr>
          <w:cantSplit/>
          <w:trHeight w:val="495"/>
        </w:trPr>
        <w:tc>
          <w:tcPr>
            <w:tcBorders>
              <w:top w:val="single" w:color="000000" w:sz="4" w:space="0"/>
              <w:left w:val="single" w:color="000000" w:sz="4" w:space="0"/>
              <w:bottom w:val="single" w:color="000000" w:sz="4" w:space="0"/>
              <w:right w:val="single" w:color="000000" w:sz="4" w:space="0"/>
            </w:tcBorders>
            <w:tcW w:w="724" w:type="dxa"/>
            <w:vAlign w:val="top"/>
            <w:textDirection w:val="lrTb"/>
            <w:noWrap w:val="false"/>
          </w:tcPr>
          <w:p>
            <w:pPr>
              <w:pStyle w:val="886"/>
              <w:spacing w:line="400" w:lineRule="exact"/>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2338" w:type="dxa"/>
            <w:vAlign w:val="center"/>
            <w:textDirection w:val="lrTb"/>
            <w:noWrap w:val="false"/>
          </w:tcPr>
          <w:p>
            <w:pPr>
              <w:pStyle w:val="886"/>
              <w:spacing w:line="400" w:lineRule="exact"/>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1167" w:type="dxa"/>
            <w:vAlign w:val="center"/>
            <w:textDirection w:val="lrTb"/>
            <w:noWrap w:val="false"/>
          </w:tcPr>
          <w:p>
            <w:pPr>
              <w:pStyle w:val="886"/>
              <w:spacing w:line="400" w:lineRule="exact"/>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886"/>
              <w:spacing w:line="400" w:lineRule="exact"/>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val="false"/>
          </w:tcPr>
          <w:p>
            <w:pPr>
              <w:pStyle w:val="886"/>
              <w:spacing w:line="400" w:lineRule="exact"/>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886"/>
              <w:spacing w:line="400" w:lineRule="exact"/>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1845" w:type="dxa"/>
            <w:vAlign w:val="top"/>
            <w:textDirection w:val="lrTb"/>
            <w:noWrap w:val="false"/>
          </w:tcPr>
          <w:p>
            <w:pPr>
              <w:pStyle w:val="886"/>
              <w:spacing w:line="400" w:lineRule="exact"/>
              <w:rPr>
                <w:rFonts w:ascii="宋体" w:hAnsi="宋体"/>
                <w:szCs w:val="21"/>
              </w:rPr>
            </w:pPr>
            <w:r>
              <w:rPr>
                <w:rFonts w:ascii="宋体" w:hAnsi="宋体"/>
                <w:szCs w:val="21"/>
              </w:rPr>
            </w:r>
            <w:r/>
          </w:p>
        </w:tc>
      </w:tr>
      <w:tr>
        <w:trPr>
          <w:cantSplit/>
          <w:trHeight w:val="495"/>
        </w:trPr>
        <w:tc>
          <w:tcPr>
            <w:tcBorders>
              <w:top w:val="single" w:color="000000" w:sz="4" w:space="0"/>
              <w:left w:val="single" w:color="000000" w:sz="4" w:space="0"/>
              <w:bottom w:val="single" w:color="000000" w:sz="4" w:space="0"/>
              <w:right w:val="single" w:color="000000" w:sz="4" w:space="0"/>
            </w:tcBorders>
            <w:tcW w:w="724" w:type="dxa"/>
            <w:vAlign w:val="top"/>
            <w:textDirection w:val="lrTb"/>
            <w:noWrap w:val="false"/>
          </w:tcPr>
          <w:p>
            <w:pPr>
              <w:pStyle w:val="886"/>
              <w:spacing w:line="400" w:lineRule="exact"/>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2338" w:type="dxa"/>
            <w:vAlign w:val="center"/>
            <w:textDirection w:val="lrTb"/>
            <w:noWrap w:val="false"/>
          </w:tcPr>
          <w:p>
            <w:pPr>
              <w:pStyle w:val="886"/>
              <w:spacing w:line="400" w:lineRule="exact"/>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1167" w:type="dxa"/>
            <w:vAlign w:val="center"/>
            <w:textDirection w:val="lrTb"/>
            <w:noWrap w:val="false"/>
          </w:tcPr>
          <w:p>
            <w:pPr>
              <w:pStyle w:val="886"/>
              <w:spacing w:line="400" w:lineRule="exact"/>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886"/>
              <w:spacing w:line="400" w:lineRule="exact"/>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val="false"/>
          </w:tcPr>
          <w:p>
            <w:pPr>
              <w:pStyle w:val="886"/>
              <w:spacing w:line="400" w:lineRule="exact"/>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886"/>
              <w:spacing w:line="400" w:lineRule="exact"/>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1845" w:type="dxa"/>
            <w:vAlign w:val="top"/>
            <w:textDirection w:val="lrTb"/>
            <w:noWrap w:val="false"/>
          </w:tcPr>
          <w:p>
            <w:pPr>
              <w:pStyle w:val="886"/>
              <w:spacing w:line="400" w:lineRule="exact"/>
              <w:rPr>
                <w:rFonts w:ascii="宋体" w:hAnsi="宋体"/>
                <w:szCs w:val="21"/>
              </w:rPr>
            </w:pPr>
            <w:r>
              <w:rPr>
                <w:rFonts w:ascii="宋体" w:hAnsi="宋体"/>
                <w:szCs w:val="21"/>
              </w:rPr>
            </w:r>
            <w:r/>
          </w:p>
        </w:tc>
      </w:tr>
      <w:tr>
        <w:trPr>
          <w:cantSplit/>
          <w:trHeight w:val="495"/>
        </w:trPr>
        <w:tc>
          <w:tcPr>
            <w:tcBorders>
              <w:top w:val="single" w:color="000000" w:sz="4" w:space="0"/>
              <w:left w:val="single" w:color="000000" w:sz="4" w:space="0"/>
              <w:bottom w:val="single" w:color="000000" w:sz="4" w:space="0"/>
              <w:right w:val="single" w:color="000000" w:sz="4" w:space="0"/>
            </w:tcBorders>
            <w:tcW w:w="724" w:type="dxa"/>
            <w:vAlign w:val="top"/>
            <w:textDirection w:val="lrTb"/>
            <w:noWrap w:val="false"/>
          </w:tcPr>
          <w:p>
            <w:pPr>
              <w:pStyle w:val="886"/>
              <w:spacing w:line="400" w:lineRule="exact"/>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2338" w:type="dxa"/>
            <w:vAlign w:val="center"/>
            <w:textDirection w:val="lrTb"/>
            <w:noWrap w:val="false"/>
          </w:tcPr>
          <w:p>
            <w:pPr>
              <w:pStyle w:val="886"/>
              <w:spacing w:line="400" w:lineRule="exact"/>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1167" w:type="dxa"/>
            <w:vAlign w:val="center"/>
            <w:textDirection w:val="lrTb"/>
            <w:noWrap w:val="false"/>
          </w:tcPr>
          <w:p>
            <w:pPr>
              <w:pStyle w:val="886"/>
              <w:spacing w:line="400" w:lineRule="exact"/>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886"/>
              <w:spacing w:line="400" w:lineRule="exact"/>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val="false"/>
          </w:tcPr>
          <w:p>
            <w:pPr>
              <w:pStyle w:val="886"/>
              <w:spacing w:line="400" w:lineRule="exact"/>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886"/>
              <w:spacing w:line="400" w:lineRule="exact"/>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1845" w:type="dxa"/>
            <w:vAlign w:val="top"/>
            <w:textDirection w:val="lrTb"/>
            <w:noWrap w:val="false"/>
          </w:tcPr>
          <w:p>
            <w:pPr>
              <w:pStyle w:val="886"/>
              <w:spacing w:line="400" w:lineRule="exact"/>
              <w:rPr>
                <w:rFonts w:ascii="宋体" w:hAnsi="宋体"/>
                <w:szCs w:val="21"/>
              </w:rPr>
            </w:pPr>
            <w:r>
              <w:rPr>
                <w:rFonts w:ascii="宋体" w:hAnsi="宋体"/>
                <w:szCs w:val="21"/>
              </w:rPr>
            </w:r>
            <w:r/>
          </w:p>
        </w:tc>
      </w:tr>
      <w:tr>
        <w:trPr>
          <w:cantSplit/>
          <w:trHeight w:val="495"/>
        </w:trPr>
        <w:tc>
          <w:tcPr>
            <w:tcBorders>
              <w:top w:val="single" w:color="000000" w:sz="4" w:space="0"/>
              <w:left w:val="single" w:color="000000" w:sz="4" w:space="0"/>
              <w:bottom w:val="single" w:color="000000" w:sz="4" w:space="0"/>
              <w:right w:val="single" w:color="000000" w:sz="4" w:space="0"/>
            </w:tcBorders>
            <w:tcW w:w="724" w:type="dxa"/>
            <w:vAlign w:val="top"/>
            <w:textDirection w:val="lrTb"/>
            <w:noWrap w:val="false"/>
          </w:tcPr>
          <w:p>
            <w:pPr>
              <w:pStyle w:val="886"/>
              <w:spacing w:line="400" w:lineRule="exact"/>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2338" w:type="dxa"/>
            <w:vAlign w:val="center"/>
            <w:textDirection w:val="lrTb"/>
            <w:noWrap w:val="false"/>
          </w:tcPr>
          <w:p>
            <w:pPr>
              <w:pStyle w:val="886"/>
              <w:spacing w:line="400" w:lineRule="exact"/>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1167" w:type="dxa"/>
            <w:vAlign w:val="center"/>
            <w:textDirection w:val="lrTb"/>
            <w:noWrap w:val="false"/>
          </w:tcPr>
          <w:p>
            <w:pPr>
              <w:pStyle w:val="886"/>
              <w:spacing w:line="400" w:lineRule="exact"/>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886"/>
              <w:spacing w:line="400" w:lineRule="exact"/>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val="false"/>
          </w:tcPr>
          <w:p>
            <w:pPr>
              <w:pStyle w:val="886"/>
              <w:spacing w:line="400" w:lineRule="exact"/>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886"/>
              <w:spacing w:line="400" w:lineRule="exact"/>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1845" w:type="dxa"/>
            <w:vAlign w:val="top"/>
            <w:textDirection w:val="lrTb"/>
            <w:noWrap w:val="false"/>
          </w:tcPr>
          <w:p>
            <w:pPr>
              <w:pStyle w:val="886"/>
              <w:spacing w:line="400" w:lineRule="exact"/>
              <w:rPr>
                <w:rFonts w:ascii="宋体" w:hAnsi="宋体"/>
                <w:szCs w:val="21"/>
              </w:rPr>
            </w:pPr>
            <w:r>
              <w:rPr>
                <w:rFonts w:ascii="宋体" w:hAnsi="宋体"/>
                <w:szCs w:val="21"/>
              </w:rPr>
            </w:r>
            <w:r/>
          </w:p>
        </w:tc>
      </w:tr>
      <w:tr>
        <w:trPr>
          <w:cantSplit/>
          <w:trHeight w:val="495"/>
        </w:trPr>
        <w:tc>
          <w:tcPr>
            <w:tcBorders>
              <w:top w:val="single" w:color="000000" w:sz="4" w:space="0"/>
              <w:left w:val="single" w:color="000000" w:sz="4" w:space="0"/>
              <w:bottom w:val="single" w:color="000000" w:sz="4" w:space="0"/>
              <w:right w:val="single" w:color="000000" w:sz="4" w:space="0"/>
            </w:tcBorders>
            <w:tcW w:w="724" w:type="dxa"/>
            <w:vAlign w:val="top"/>
            <w:textDirection w:val="lrTb"/>
            <w:noWrap w:val="false"/>
          </w:tcPr>
          <w:p>
            <w:pPr>
              <w:pStyle w:val="886"/>
              <w:spacing w:line="400" w:lineRule="exact"/>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2338" w:type="dxa"/>
            <w:vAlign w:val="center"/>
            <w:textDirection w:val="lrTb"/>
            <w:noWrap w:val="false"/>
          </w:tcPr>
          <w:p>
            <w:pPr>
              <w:pStyle w:val="886"/>
              <w:spacing w:line="400" w:lineRule="exact"/>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1167" w:type="dxa"/>
            <w:vAlign w:val="center"/>
            <w:textDirection w:val="lrTb"/>
            <w:noWrap w:val="false"/>
          </w:tcPr>
          <w:p>
            <w:pPr>
              <w:pStyle w:val="886"/>
              <w:spacing w:line="400" w:lineRule="exact"/>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886"/>
              <w:spacing w:line="400" w:lineRule="exact"/>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val="false"/>
          </w:tcPr>
          <w:p>
            <w:pPr>
              <w:pStyle w:val="886"/>
              <w:spacing w:line="400" w:lineRule="exact"/>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886"/>
              <w:spacing w:line="400" w:lineRule="exact"/>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1845" w:type="dxa"/>
            <w:vAlign w:val="top"/>
            <w:textDirection w:val="lrTb"/>
            <w:noWrap w:val="false"/>
          </w:tcPr>
          <w:p>
            <w:pPr>
              <w:pStyle w:val="886"/>
              <w:spacing w:line="400" w:lineRule="exact"/>
              <w:rPr>
                <w:rFonts w:ascii="宋体" w:hAnsi="宋体"/>
                <w:szCs w:val="21"/>
              </w:rPr>
            </w:pPr>
            <w:r>
              <w:rPr>
                <w:rFonts w:ascii="宋体" w:hAnsi="宋体"/>
                <w:szCs w:val="21"/>
              </w:rPr>
            </w:r>
            <w:r/>
          </w:p>
        </w:tc>
      </w:tr>
    </w:tbl>
    <w:p>
      <w:pPr>
        <w:pStyle w:val="886"/>
        <w:rPr>
          <w:rFonts w:hint="eastAsia" w:ascii="宋体" w:hAnsi="宋体"/>
          <w:bCs/>
        </w:rPr>
      </w:pPr>
      <w:r>
        <w:rPr>
          <w:rFonts w:hint="eastAsia" w:ascii="宋体" w:hAnsi="宋体"/>
          <w:bCs/>
        </w:rPr>
      </w:r>
      <w:r/>
    </w:p>
    <w:p>
      <w:pPr>
        <w:pStyle w:val="886"/>
        <w:rPr>
          <w:rFonts w:hint="eastAsia" w:ascii="宋体" w:hAnsi="宋体"/>
          <w:bCs/>
          <w:lang w:val="zh-CN"/>
        </w:rPr>
      </w:pPr>
      <w:r>
        <w:rPr>
          <w:rFonts w:hint="eastAsia" w:ascii="宋体" w:hAnsi="宋体"/>
          <w:bCs/>
          <w:lang w:val="zh-CN"/>
        </w:rPr>
      </w:r>
      <w:r/>
    </w:p>
    <w:p>
      <w:pPr>
        <w:pStyle w:val="978"/>
        <w:ind w:firstLine="420"/>
        <w:rPr>
          <w:rFonts w:hint="eastAsia"/>
          <w:lang w:val="zh-CN"/>
        </w:rPr>
      </w:pPr>
      <w:r>
        <w:rPr>
          <w:rFonts w:hint="eastAsia"/>
          <w:lang w:val="zh-CN"/>
        </w:rPr>
      </w:r>
      <w:r/>
    </w:p>
    <w:p>
      <w:pPr>
        <w:pStyle w:val="1159"/>
        <w:ind w:left="3400" w:firstLine="425"/>
        <w:spacing w:line="360" w:lineRule="auto"/>
        <w:rPr>
          <w:rFonts w:hAnsi="宋体" w:eastAsia="宋体"/>
          <w:sz w:val="21"/>
          <w:szCs w:val="21"/>
        </w:rPr>
      </w:pPr>
      <w:r>
        <w:rPr>
          <w:rFonts w:hAnsi="宋体" w:eastAsia="宋体"/>
          <w:sz w:val="21"/>
          <w:szCs w:val="21"/>
        </w:rPr>
        <w:t xml:space="preserve">投标人：（单位盖章）</w:t>
      </w:r>
      <w:r/>
    </w:p>
    <w:p>
      <w:pPr>
        <w:pStyle w:val="1159"/>
        <w:ind w:left="3825"/>
        <w:spacing w:line="360" w:lineRule="auto"/>
        <w:rPr>
          <w:rFonts w:hAnsi="宋体" w:eastAsia="宋体"/>
          <w:sz w:val="21"/>
          <w:szCs w:val="21"/>
        </w:rPr>
      </w:pPr>
      <w:r>
        <w:rPr>
          <w:rFonts w:hAnsi="宋体" w:eastAsia="宋体"/>
          <w:sz w:val="21"/>
          <w:szCs w:val="21"/>
        </w:rPr>
        <w:t xml:space="preserve">法定代表人或代理人：（签字或盖章）</w:t>
      </w:r>
      <w:r/>
    </w:p>
    <w:p>
      <w:pPr>
        <w:pStyle w:val="1159"/>
        <w:ind w:right="-252" w:firstLine="3885"/>
        <w:spacing w:line="360" w:lineRule="auto"/>
        <w:rPr>
          <w:rFonts w:eastAsia="宋体"/>
          <w:sz w:val="21"/>
          <w:szCs w:val="21"/>
        </w:rPr>
      </w:pPr>
      <w:r>
        <w:rPr>
          <w:rFonts w:hAnsi="宋体" w:eastAsia="宋体"/>
          <w:sz w:val="21"/>
          <w:szCs w:val="21"/>
        </w:rPr>
        <w:t xml:space="preserve">年     月     日</w:t>
      </w:r>
      <w:r>
        <w:rPr>
          <w:rFonts w:eastAsia="宋体"/>
          <w:sz w:val="21"/>
          <w:szCs w:val="21"/>
        </w:rPr>
      </w:r>
      <w:r/>
    </w:p>
    <w:p>
      <w:pPr>
        <w:pStyle w:val="888"/>
        <w:spacing w:line="416" w:lineRule="auto"/>
        <w:rPr>
          <w:rFonts w:eastAsia="宋体"/>
          <w:sz w:val="21"/>
          <w:szCs w:val="21"/>
        </w:rPr>
      </w:pPr>
      <w:r>
        <w:rPr>
          <w:rFonts w:hAnsi="宋体" w:eastAsia="宋体"/>
          <w:b w:val="0"/>
          <w:szCs w:val="28"/>
        </w:rPr>
        <w:br w:type="page" w:clear="all"/>
      </w:r>
      <w:bookmarkStart w:id="42" w:name="_Ref180135368"/>
      <w:r/>
      <w:bookmarkStart w:id="43" w:name="_Toc199168200"/>
      <w:r>
        <w:rPr>
          <w:rFonts w:hint="eastAsia" w:ascii="宋体" w:hAnsi="宋体" w:eastAsia="宋体"/>
          <w:b w:val="0"/>
        </w:rPr>
        <w:t xml:space="preserve">8</w:t>
      </w:r>
      <w:r>
        <w:rPr>
          <w:rFonts w:ascii="宋体" w:hAnsi="宋体" w:eastAsia="宋体"/>
          <w:b w:val="0"/>
        </w:rPr>
        <w:t xml:space="preserve">.中小企业声明函</w:t>
      </w:r>
      <w:bookmarkEnd w:id="40"/>
      <w:r/>
      <w:bookmarkEnd w:id="42"/>
      <w:r/>
      <w:bookmarkEnd w:id="43"/>
      <w:r>
        <w:rPr>
          <w:rFonts w:eastAsia="宋体"/>
          <w:sz w:val="21"/>
          <w:szCs w:val="21"/>
        </w:rPr>
      </w:r>
      <w:r/>
    </w:p>
    <w:p>
      <w:pPr>
        <w:pStyle w:val="1286"/>
        <w:ind w:right="-210"/>
        <w:jc w:val="center"/>
        <w:spacing w:line="360" w:lineRule="auto"/>
        <w:rPr>
          <w:rFonts w:hAnsi="宋体" w:eastAsia="宋体"/>
          <w:sz w:val="21"/>
          <w:szCs w:val="21"/>
        </w:rPr>
      </w:pPr>
      <w:r>
        <w:rPr>
          <w:rFonts w:hAnsi="宋体" w:eastAsia="宋体"/>
          <w:sz w:val="21"/>
          <w:szCs w:val="21"/>
        </w:rPr>
        <w:t xml:space="preserve">中小企业声明函（服务）</w:t>
      </w:r>
      <w:r/>
    </w:p>
    <w:p>
      <w:pPr>
        <w:pStyle w:val="886"/>
        <w:ind w:firstLine="420"/>
        <w:spacing w:line="360" w:lineRule="auto"/>
        <w:rPr>
          <w:rFonts w:hint="eastAsia"/>
          <w:szCs w:val="21"/>
        </w:rPr>
      </w:pPr>
      <w:r>
        <w:rPr>
          <w:rFonts w:hint="eastAsia"/>
          <w:szCs w:val="21"/>
          <w:lang w:val="zh-CN"/>
        </w:rPr>
        <w:t xml:space="preserve">本公司（联合体）郑重声明，根据《政府采购促进中小企业发展管理办法》（财库﹝</w:t>
      </w:r>
      <w:r>
        <w:rPr>
          <w:szCs w:val="21"/>
          <w:lang w:val="zh-CN"/>
        </w:rPr>
        <w:t xml:space="preserve">2020</w:t>
      </w:r>
      <w:r>
        <w:rPr>
          <w:rFonts w:hint="eastAsia"/>
          <w:szCs w:val="21"/>
          <w:lang w:val="zh-CN"/>
        </w:rPr>
        <w:t xml:space="preserve">﹞</w:t>
      </w:r>
      <w:r>
        <w:rPr>
          <w:szCs w:val="21"/>
          <w:lang w:val="zh-CN"/>
        </w:rPr>
        <w:t xml:space="preserve">46 </w:t>
      </w:r>
      <w:r>
        <w:rPr>
          <w:rFonts w:hint="eastAsia"/>
          <w:szCs w:val="21"/>
          <w:lang w:val="zh-CN"/>
        </w:rPr>
        <w:t xml:space="preserve">号）的规定，本公司（联合体）参加</w:t>
      </w:r>
      <w:r>
        <w:rPr>
          <w:rFonts w:hint="eastAsia"/>
          <w:szCs w:val="21"/>
          <w:u w:val="single"/>
          <w:lang w:val="zh-CN"/>
        </w:rPr>
        <w:t xml:space="preserve">                 </w:t>
      </w:r>
      <w:r>
        <w:rPr>
          <w:rFonts w:hint="eastAsia"/>
          <w:szCs w:val="21"/>
          <w:lang w:val="zh-CN"/>
        </w:rPr>
        <w:t xml:space="preserve">的</w:t>
      </w:r>
      <w:r>
        <w:rPr>
          <w:rFonts w:hint="eastAsia"/>
          <w:szCs w:val="21"/>
          <w:u w:val="single"/>
          <w:lang w:val="zh-CN"/>
        </w:rPr>
        <w:t xml:space="preserve">                    </w:t>
      </w:r>
      <w:r>
        <w:rPr>
          <w:rFonts w:hint="eastAsia"/>
          <w:szCs w:val="21"/>
          <w:lang w:val="zh-CN"/>
        </w:rPr>
        <w:t xml:space="preserve">采购活动，工程的施工单位全部为符合政策要求的中小企业（或者：服务全部由符合政策要求的中小企业承接）。相关企业（含联合体中的中小企业、签订分包意向协议的中小企业）的具体情况如下：</w:t>
      </w:r>
      <w:r>
        <w:rPr>
          <w:rFonts w:hint="eastAsia"/>
          <w:szCs w:val="21"/>
        </w:rPr>
      </w:r>
      <w:r/>
    </w:p>
    <w:p>
      <w:pPr>
        <w:pStyle w:val="886"/>
        <w:ind w:firstLine="420"/>
        <w:spacing w:line="360" w:lineRule="auto"/>
        <w:rPr>
          <w:szCs w:val="21"/>
          <w:lang w:val="zh-CN"/>
        </w:rPr>
      </w:pPr>
      <w:r>
        <w:rPr>
          <w:rFonts w:hint="eastAsia"/>
          <w:szCs w:val="21"/>
          <w:lang w:val="zh-CN"/>
        </w:rPr>
        <w:t xml:space="preserve">1.</w:t>
      </w:r>
      <w:r>
        <w:rPr>
          <w:rFonts w:hint="eastAsia"/>
          <w:szCs w:val="21"/>
          <w:u w:val="single"/>
          <w:lang w:val="zh-CN"/>
        </w:rPr>
        <w:t xml:space="preserve">            </w:t>
      </w:r>
      <w:r>
        <w:rPr>
          <w:rFonts w:hint="eastAsia"/>
          <w:szCs w:val="21"/>
          <w:lang w:val="zh-CN"/>
        </w:rPr>
        <w:t xml:space="preserve">，属于其他未列明行业；承建（承接）企业为</w:t>
      </w:r>
      <w:r>
        <w:rPr>
          <w:rFonts w:hint="eastAsia"/>
          <w:szCs w:val="21"/>
          <w:u w:val="single"/>
          <w:lang w:val="zh-CN"/>
        </w:rPr>
        <w:t xml:space="preserve">        </w:t>
      </w:r>
      <w:r>
        <w:rPr>
          <w:rFonts w:hint="eastAsia"/>
          <w:szCs w:val="21"/>
          <w:lang w:val="zh-CN"/>
        </w:rPr>
        <w:t xml:space="preserve">（企业名称），从业人员</w:t>
      </w:r>
      <w:r>
        <w:rPr>
          <w:rFonts w:hint="eastAsia"/>
          <w:szCs w:val="21"/>
          <w:u w:val="single"/>
          <w:lang w:val="zh-CN"/>
        </w:rPr>
        <w:t xml:space="preserve">      </w:t>
      </w:r>
      <w:r>
        <w:rPr>
          <w:rFonts w:hint="eastAsia"/>
          <w:szCs w:val="21"/>
          <w:lang w:val="zh-CN"/>
        </w:rPr>
        <w:t xml:space="preserve">人，营业收入为</w:t>
      </w:r>
      <w:r>
        <w:rPr>
          <w:rFonts w:hint="eastAsia"/>
          <w:szCs w:val="21"/>
          <w:u w:val="single"/>
          <w:lang w:val="zh-CN"/>
        </w:rPr>
        <w:t xml:space="preserve">     </w:t>
      </w:r>
      <w:r>
        <w:rPr>
          <w:rFonts w:hint="eastAsia"/>
          <w:szCs w:val="21"/>
          <w:lang w:val="zh-CN"/>
        </w:rPr>
        <w:t xml:space="preserve">万元，资产总额为</w:t>
      </w:r>
      <w:r>
        <w:rPr>
          <w:rFonts w:hint="eastAsia"/>
          <w:szCs w:val="21"/>
          <w:u w:val="single"/>
          <w:lang w:val="zh-CN"/>
        </w:rPr>
        <w:t xml:space="preserve">     </w:t>
      </w:r>
      <w:r>
        <w:rPr>
          <w:rFonts w:hint="eastAsia"/>
          <w:szCs w:val="21"/>
          <w:lang w:val="zh-CN"/>
        </w:rPr>
        <w:t xml:space="preserve">万元，属于</w:t>
      </w:r>
      <w:r>
        <w:rPr>
          <w:rFonts w:hint="eastAsia"/>
          <w:szCs w:val="21"/>
          <w:u w:val="single"/>
          <w:lang w:val="zh-CN"/>
        </w:rPr>
        <w:t xml:space="preserve">    </w:t>
      </w:r>
      <w:r>
        <w:rPr>
          <w:rFonts w:hint="eastAsia"/>
          <w:szCs w:val="21"/>
          <w:lang w:val="zh-CN"/>
        </w:rPr>
        <w:t xml:space="preserve">（中型企业、小型企业、微型企业）；</w:t>
      </w:r>
      <w:r>
        <w:rPr>
          <w:szCs w:val="21"/>
          <w:lang w:val="zh-CN"/>
        </w:rPr>
      </w:r>
      <w:r/>
    </w:p>
    <w:p>
      <w:pPr>
        <w:pStyle w:val="886"/>
        <w:ind w:firstLine="420"/>
        <w:spacing w:line="360" w:lineRule="auto"/>
        <w:rPr>
          <w:rFonts w:hint="eastAsia"/>
          <w:szCs w:val="21"/>
        </w:rPr>
      </w:pPr>
      <w:r>
        <w:rPr>
          <w:rFonts w:hint="eastAsia"/>
          <w:szCs w:val="21"/>
        </w:rPr>
      </w:r>
      <w:r/>
    </w:p>
    <w:p>
      <w:pPr>
        <w:pStyle w:val="886"/>
        <w:ind w:firstLine="420"/>
        <w:spacing w:line="360" w:lineRule="auto"/>
        <w:rPr>
          <w:szCs w:val="21"/>
        </w:rPr>
      </w:pPr>
      <w:r>
        <w:rPr>
          <w:rFonts w:hint="eastAsia"/>
          <w:szCs w:val="21"/>
          <w:lang w:val="zh-CN"/>
        </w:rPr>
        <w:t xml:space="preserve">以上企业，不属于大企业的分支机构，不存在控股股东为大企业的情形，也不存在与大企业的负责人为同一人的情形。</w:t>
      </w:r>
      <w:r>
        <w:rPr>
          <w:szCs w:val="21"/>
        </w:rPr>
      </w:r>
      <w:r/>
    </w:p>
    <w:p>
      <w:pPr>
        <w:pStyle w:val="886"/>
        <w:ind w:firstLine="420"/>
        <w:spacing w:line="360" w:lineRule="auto"/>
        <w:rPr>
          <w:szCs w:val="21"/>
        </w:rPr>
      </w:pPr>
      <w:r>
        <w:rPr>
          <w:rFonts w:hint="eastAsia"/>
          <w:szCs w:val="21"/>
          <w:lang w:val="zh-CN"/>
        </w:rPr>
        <w:t xml:space="preserve">本企业对上述声明内容的真实性负责。如有虚假，将依法承担相应责任。</w:t>
      </w:r>
      <w:r>
        <w:rPr>
          <w:szCs w:val="21"/>
        </w:rPr>
      </w:r>
      <w:r/>
    </w:p>
    <w:p>
      <w:pPr>
        <w:pStyle w:val="886"/>
        <w:ind w:firstLine="480"/>
        <w:spacing w:line="276" w:lineRule="auto"/>
        <w:rPr>
          <w:rFonts w:ascii="宋体" w:hAnsi="宋体"/>
          <w:sz w:val="24"/>
        </w:rPr>
      </w:pPr>
      <w:r>
        <w:rPr>
          <w:rFonts w:ascii="宋体" w:hAnsi="宋体"/>
          <w:sz w:val="24"/>
        </w:rPr>
      </w:r>
      <w:r/>
    </w:p>
    <w:p>
      <w:pPr>
        <w:pStyle w:val="886"/>
        <w:ind w:firstLine="480"/>
        <w:spacing w:line="276" w:lineRule="auto"/>
        <w:rPr>
          <w:rFonts w:ascii="宋体" w:hAnsi="宋体"/>
          <w:szCs w:val="21"/>
        </w:rPr>
      </w:pPr>
      <w:r>
        <w:rPr>
          <w:rFonts w:ascii="宋体" w:hAnsi="宋体"/>
          <w:szCs w:val="21"/>
        </w:rPr>
        <w:t xml:space="preserve">注：1.从业人员、营业收入、资产总额填报上一年度数据，无上一年度数据的新成立企业可不填报。</w:t>
      </w:r>
      <w:r/>
    </w:p>
    <w:p>
      <w:pPr>
        <w:pStyle w:val="886"/>
        <w:ind w:firstLine="480"/>
        <w:spacing w:line="276" w:lineRule="auto"/>
        <w:rPr>
          <w:rFonts w:ascii="宋体" w:hAnsi="宋体"/>
          <w:szCs w:val="21"/>
        </w:rPr>
      </w:pPr>
      <w:r>
        <w:rPr>
          <w:rFonts w:ascii="宋体" w:hAnsi="宋体"/>
          <w:szCs w:val="21"/>
        </w:rPr>
        <w:t xml:space="preserve">2.本项目所属行业为其他未列明行业。中小微企业划型标准请根据《中小企业划型标准规定》（工信部联企业〔2011〕300号）</w:t>
      </w:r>
      <w:r/>
    </w:p>
    <w:p>
      <w:pPr>
        <w:pStyle w:val="886"/>
        <w:jc w:val="left"/>
        <w:spacing w:line="360" w:lineRule="auto"/>
        <w:rPr>
          <w:rFonts w:hint="eastAsia" w:ascii="宋体" w:hAnsi="宋体"/>
          <w:sz w:val="24"/>
        </w:rPr>
      </w:pPr>
      <w:r>
        <w:rPr>
          <w:rFonts w:hint="eastAsia" w:ascii="宋体" w:hAnsi="宋体"/>
          <w:sz w:val="24"/>
        </w:rPr>
      </w:r>
      <w:r/>
    </w:p>
    <w:p>
      <w:pPr>
        <w:pStyle w:val="886"/>
        <w:jc w:val="left"/>
        <w:spacing w:line="360" w:lineRule="auto"/>
        <w:rPr>
          <w:rFonts w:hint="eastAsia" w:ascii="宋体" w:hAnsi="宋体"/>
          <w:sz w:val="24"/>
        </w:rPr>
      </w:pPr>
      <w:r>
        <w:rPr>
          <w:rFonts w:hint="eastAsia" w:ascii="宋体" w:hAnsi="宋体"/>
          <w:sz w:val="24"/>
        </w:rPr>
        <w:t xml:space="preserve">投标人（公章）：</w:t>
      </w:r>
      <w:r/>
    </w:p>
    <w:p>
      <w:pPr>
        <w:pStyle w:val="886"/>
        <w:jc w:val="left"/>
        <w:spacing w:line="360" w:lineRule="auto"/>
        <w:rPr>
          <w:rFonts w:hint="eastAsia" w:ascii="宋体" w:hAnsi="宋体"/>
          <w:sz w:val="24"/>
        </w:rPr>
      </w:pPr>
      <w:r>
        <w:rPr>
          <w:rFonts w:hint="eastAsia" w:ascii="宋体" w:hAnsi="宋体"/>
          <w:sz w:val="24"/>
        </w:rPr>
        <w:t xml:space="preserve">日  期：：      年</w:t>
      </w:r>
      <w:r>
        <w:rPr>
          <w:rFonts w:ascii="宋体" w:hAnsi="宋体"/>
          <w:sz w:val="24"/>
        </w:rPr>
        <w:t xml:space="preserve"> </w:t>
      </w:r>
      <w:r>
        <w:rPr>
          <w:rFonts w:hint="eastAsia" w:ascii="宋体" w:hAnsi="宋体"/>
          <w:sz w:val="24"/>
        </w:rPr>
        <w:t xml:space="preserve">    </w:t>
      </w:r>
      <w:r>
        <w:rPr>
          <w:rFonts w:ascii="宋体" w:hAnsi="宋体"/>
          <w:sz w:val="24"/>
        </w:rPr>
        <w:t xml:space="preserve"> 月 </w:t>
      </w:r>
      <w:r>
        <w:rPr>
          <w:rFonts w:hint="eastAsia" w:ascii="宋体" w:hAnsi="宋体"/>
          <w:sz w:val="24"/>
        </w:rPr>
        <w:t xml:space="preserve">    </w:t>
      </w:r>
      <w:r>
        <w:rPr>
          <w:rFonts w:ascii="宋体" w:hAnsi="宋体"/>
          <w:sz w:val="24"/>
        </w:rPr>
        <w:t xml:space="preserve"> 日</w:t>
      </w:r>
      <w:r>
        <w:rPr>
          <w:rFonts w:hint="eastAsia" w:ascii="宋体" w:hAnsi="宋体"/>
          <w:sz w:val="24"/>
        </w:rPr>
      </w:r>
      <w:r/>
    </w:p>
    <w:p>
      <w:pPr>
        <w:pStyle w:val="886"/>
        <w:rPr>
          <w:rFonts w:hint="eastAsia"/>
        </w:rPr>
      </w:pPr>
      <w:r>
        <w:rPr>
          <w:rFonts w:hint="eastAsia"/>
        </w:rPr>
      </w:r>
      <w:r/>
    </w:p>
    <w:p>
      <w:pPr>
        <w:pStyle w:val="886"/>
        <w:rPr>
          <w:rFonts w:hint="eastAsia"/>
        </w:rPr>
      </w:pPr>
      <w:r>
        <w:rPr>
          <w:rFonts w:hint="eastAsia"/>
        </w:rPr>
      </w:r>
      <w:r/>
    </w:p>
    <w:p>
      <w:pPr>
        <w:pStyle w:val="1286"/>
        <w:spacing w:line="360" w:lineRule="auto"/>
        <w:rPr>
          <w:rFonts w:hAnsi="宋体" w:eastAsia="宋体"/>
          <w:b/>
          <w:sz w:val="21"/>
          <w:szCs w:val="21"/>
        </w:rPr>
      </w:pPr>
      <w:r>
        <w:rPr>
          <w:rFonts w:hAnsi="宋体" w:eastAsia="宋体"/>
          <w:b/>
          <w:sz w:val="21"/>
          <w:szCs w:val="21"/>
        </w:rPr>
      </w:r>
      <w:r/>
    </w:p>
    <w:p>
      <w:pPr>
        <w:pStyle w:val="886"/>
        <w:ind w:firstLine="420"/>
        <w:spacing w:line="360" w:lineRule="exact"/>
        <w:rPr>
          <w:rFonts w:hint="eastAsia" w:ascii="宋体" w:hAnsi="宋体" w:cs="宋体"/>
          <w:bCs/>
          <w:szCs w:val="21"/>
        </w:rPr>
      </w:pPr>
      <w:r>
        <w:rPr>
          <w:rFonts w:hint="eastAsia" w:ascii="宋体" w:hAnsi="宋体" w:cs="宋体"/>
          <w:bCs/>
          <w:szCs w:val="21"/>
        </w:rPr>
        <w:br w:type="page" w:clear="all"/>
        <w:t xml:space="preserve">附件</w:t>
      </w:r>
      <w:r/>
    </w:p>
    <w:p>
      <w:pPr>
        <w:pStyle w:val="886"/>
        <w:spacing w:before="100" w:beforeAutospacing="1" w:after="100" w:afterAutospacing="1" w:line="360" w:lineRule="auto"/>
        <w:widowControl/>
        <w:rPr>
          <w:rFonts w:hint="eastAsia" w:ascii="宋体" w:hAnsi="宋体" w:cs="宋体"/>
          <w:bCs/>
          <w:szCs w:val="21"/>
        </w:rPr>
      </w:pPr>
      <w:r>
        <w:rPr>
          <w:rFonts w:hint="eastAsia" w:ascii="宋体" w:hAnsi="宋体" w:cs="宋体"/>
          <w:bCs/>
          <w:szCs w:val="21"/>
        </w:rPr>
        <w:t xml:space="preserve">关于印发中小企业划型标准规定的通知</w:t>
      </w:r>
      <w:r/>
    </w:p>
    <w:p>
      <w:pPr>
        <w:pStyle w:val="886"/>
        <w:spacing w:before="100" w:beforeAutospacing="1" w:after="100" w:afterAutospacing="1" w:line="360" w:lineRule="auto"/>
        <w:widowControl/>
        <w:rPr>
          <w:rFonts w:ascii="宋体" w:hAnsi="宋体" w:cs="宋体"/>
          <w:bCs/>
          <w:szCs w:val="21"/>
        </w:rPr>
      </w:pPr>
      <w:r>
        <w:rPr>
          <w:rFonts w:hint="eastAsia" w:ascii="宋体" w:hAnsi="宋体" w:cs="宋体"/>
          <w:bCs/>
          <w:szCs w:val="21"/>
        </w:rPr>
        <w:t xml:space="preserve">工信部联企业〔2011〕300号</w:t>
      </w:r>
      <w:r>
        <w:rPr>
          <w:rFonts w:ascii="宋体" w:hAnsi="宋体" w:cs="宋体"/>
          <w:bCs/>
          <w:szCs w:val="21"/>
        </w:rPr>
      </w:r>
      <w:r/>
    </w:p>
    <w:p>
      <w:pPr>
        <w:pStyle w:val="886"/>
        <w:spacing w:before="100" w:beforeAutospacing="1" w:after="100" w:afterAutospacing="1" w:line="360" w:lineRule="auto"/>
        <w:widowControl/>
        <w:rPr>
          <w:rFonts w:hint="eastAsia" w:ascii="宋体" w:hAnsi="宋体" w:cs="宋体"/>
          <w:szCs w:val="21"/>
        </w:rPr>
      </w:pPr>
      <w:r>
        <w:rPr>
          <w:rFonts w:hint="eastAsia" w:ascii="宋体" w:hAnsi="宋体" w:cs="宋体"/>
          <w:szCs w:val="21"/>
        </w:rPr>
        <w:t xml:space="preserve">各省、自治区、直辖市人民政府，国务院各部委、各直属机构及有关单位：</w:t>
      </w:r>
      <w:r/>
    </w:p>
    <w:p>
      <w:pPr>
        <w:pStyle w:val="886"/>
        <w:spacing w:before="100" w:beforeAutospacing="1" w:after="100" w:afterAutospacing="1" w:line="360" w:lineRule="auto"/>
        <w:widowControl/>
        <w:rPr>
          <w:rFonts w:hint="eastAsia" w:ascii="宋体" w:hAnsi="宋体" w:cs="宋体"/>
          <w:szCs w:val="21"/>
        </w:rPr>
      </w:pPr>
      <w:r>
        <w:rPr>
          <w:rFonts w:hint="eastAsia" w:ascii="宋体" w:hAnsi="宋体" w:cs="宋体"/>
          <w:szCs w:val="21"/>
        </w:rPr>
        <w:t xml:space="preserve">　　为贯彻落实《中华人民共和国中小企业促进法》和《国务院关于进一步促进中小企业发展的若干意见》（国发〔2009〕36号），工业和信息化部、国家统计局、发展改革委、财政部研究制定了《中小企业划型标准规定》。经国务院同意，现印发给你们，请遵照执行。</w:t>
      </w:r>
      <w:r/>
    </w:p>
    <w:p>
      <w:pPr>
        <w:pStyle w:val="886"/>
        <w:spacing w:before="100" w:beforeAutospacing="1" w:after="100" w:afterAutospacing="1" w:line="360" w:lineRule="auto"/>
        <w:widowControl/>
        <w:rPr>
          <w:rFonts w:hint="eastAsia" w:ascii="宋体" w:hAnsi="宋体" w:cs="宋体"/>
          <w:szCs w:val="21"/>
        </w:rPr>
      </w:pPr>
      <w:r>
        <w:rPr>
          <w:rFonts w:hint="eastAsia" w:ascii="宋体" w:hAnsi="宋体" w:cs="宋体"/>
          <w:szCs w:val="21"/>
        </w:rPr>
        <w:t xml:space="preserve">　　　　　　　　　　　　　　　　　　　　　　 工业和信息化部　国家统计局</w:t>
      </w:r>
      <w:r/>
    </w:p>
    <w:p>
      <w:pPr>
        <w:pStyle w:val="886"/>
        <w:spacing w:before="100" w:beforeAutospacing="1" w:after="100" w:afterAutospacing="1" w:line="360" w:lineRule="auto"/>
        <w:widowControl/>
        <w:rPr>
          <w:rFonts w:hint="eastAsia" w:ascii="宋体" w:hAnsi="宋体" w:cs="宋体"/>
          <w:szCs w:val="21"/>
        </w:rPr>
      </w:pPr>
      <w:r>
        <w:rPr>
          <w:rFonts w:hint="eastAsia" w:ascii="宋体" w:hAnsi="宋体" w:cs="宋体"/>
          <w:szCs w:val="21"/>
        </w:rPr>
        <w:t xml:space="preserve">　　　　　　　　　　　　　　　　　　　　　　国家发展和改革委员会　财政部</w:t>
      </w:r>
      <w:r/>
    </w:p>
    <w:p>
      <w:pPr>
        <w:pStyle w:val="886"/>
        <w:spacing w:before="100" w:beforeAutospacing="1" w:after="100" w:afterAutospacing="1" w:line="360" w:lineRule="auto"/>
        <w:widowControl/>
        <w:rPr>
          <w:rFonts w:ascii="宋体" w:hAnsi="宋体" w:cs="宋体"/>
          <w:szCs w:val="21"/>
        </w:rPr>
      </w:pPr>
      <w:r>
        <w:rPr>
          <w:rFonts w:hint="eastAsia" w:ascii="宋体" w:hAnsi="宋体" w:cs="宋体"/>
          <w:szCs w:val="21"/>
        </w:rPr>
        <w:t xml:space="preserve">　　　　　　　　　　　　　　　　　　　　　　　　二○一一年六月十八日</w:t>
      </w:r>
      <w:r>
        <w:rPr>
          <w:rFonts w:ascii="宋体" w:hAnsi="宋体" w:cs="宋体"/>
          <w:szCs w:val="21"/>
        </w:rPr>
      </w:r>
      <w:r/>
    </w:p>
    <w:p>
      <w:pPr>
        <w:pStyle w:val="886"/>
        <w:spacing w:before="100" w:beforeAutospacing="1" w:after="100" w:afterAutospacing="1" w:line="360" w:lineRule="auto"/>
        <w:widowControl/>
        <w:rPr>
          <w:rFonts w:ascii="宋体" w:hAnsi="宋体" w:cs="宋体"/>
          <w:szCs w:val="21"/>
        </w:rPr>
      </w:pPr>
      <w:r>
        <w:rPr>
          <w:rFonts w:hint="eastAsia" w:ascii="宋体" w:hAnsi="宋体" w:cs="宋体"/>
          <w:bCs/>
          <w:szCs w:val="21"/>
        </w:rPr>
        <w:t xml:space="preserve">中小企业划型标准规定</w:t>
      </w:r>
      <w:r>
        <w:rPr>
          <w:rFonts w:ascii="宋体" w:hAnsi="宋体" w:cs="宋体"/>
          <w:szCs w:val="21"/>
        </w:rPr>
      </w:r>
      <w:r/>
    </w:p>
    <w:p>
      <w:pPr>
        <w:pStyle w:val="906"/>
        <w:rPr>
          <w:rFonts w:hint="eastAsia" w:ascii="宋体" w:hAnsi="宋体" w:eastAsia="宋体" w:cs="宋体"/>
          <w:szCs w:val="21"/>
        </w:rPr>
      </w:pPr>
      <w:r>
        <w:rPr>
          <w:rFonts w:hint="eastAsia" w:ascii="宋体" w:hAnsi="宋体" w:eastAsia="宋体" w:cs="宋体"/>
          <w:szCs w:val="21"/>
        </w:rPr>
        <w:t xml:space="preserve">一、根据《中华人民共和国中小企业促进法》和《国务院关于进一步促进中小企业发展的若干意见》(国发〔2009〕36号)，制定本规定。</w:t>
      </w:r>
      <w:r/>
    </w:p>
    <w:p>
      <w:pPr>
        <w:pStyle w:val="906"/>
        <w:rPr>
          <w:rFonts w:hint="eastAsia" w:ascii="宋体" w:hAnsi="宋体" w:eastAsia="宋体" w:cs="宋体"/>
          <w:szCs w:val="21"/>
        </w:rPr>
      </w:pPr>
      <w:r>
        <w:rPr>
          <w:rFonts w:hint="eastAsia" w:ascii="宋体" w:hAnsi="宋体" w:eastAsia="宋体" w:cs="宋体"/>
          <w:szCs w:val="21"/>
        </w:rPr>
        <w:t xml:space="preserve">　　二、中小企业划分为中型、小型、微型三种类型，具体标准根据企业从业人员、营业收入、资产总额等指标，结合行业特点制定。</w:t>
      </w:r>
      <w:r/>
    </w:p>
    <w:p>
      <w:pPr>
        <w:pStyle w:val="906"/>
        <w:rPr>
          <w:rFonts w:hint="eastAsia" w:ascii="宋体" w:hAnsi="宋体" w:eastAsia="宋体" w:cs="宋体"/>
          <w:szCs w:val="21"/>
        </w:rPr>
      </w:pPr>
      <w:r>
        <w:rPr>
          <w:rFonts w:hint="eastAsia" w:ascii="宋体" w:hAnsi="宋体" w:eastAsia="宋体" w:cs="宋体"/>
          <w:szCs w:val="21"/>
        </w:rPr>
        <w:t xml:space="preserve">　　三、本规定适用的行业包括：农、林、牧、渔业，工业（包括采矿业，制造业，电力、热力、燃气及水生产和供应业），建筑业，批发业，零售业，交通运输业（不含铁路运输业），仓储业，邮政业，住宿业，餐饮业，信息传输业（包括电信、互联网和相关服务），软件和信息技术服务业，房地产开发经营，物业管理，租赁和商务服务业，其他未列明行业（包括科学研究和技术服务业，水利、环境和公共设施管理业，居民服务、修理和其他服务业，社会工作，文化、体育和娱乐业等）。</w:t>
      </w:r>
      <w:r/>
    </w:p>
    <w:p>
      <w:pPr>
        <w:pStyle w:val="906"/>
        <w:rPr>
          <w:rFonts w:hint="eastAsia" w:ascii="宋体" w:hAnsi="宋体" w:eastAsia="宋体" w:cs="宋体"/>
          <w:szCs w:val="21"/>
        </w:rPr>
      </w:pPr>
      <w:r>
        <w:rPr>
          <w:rFonts w:hint="eastAsia" w:ascii="宋体" w:hAnsi="宋体" w:eastAsia="宋体" w:cs="宋体"/>
          <w:szCs w:val="21"/>
        </w:rPr>
        <w:t xml:space="preserve">　　四、各行业划型标准为：</w:t>
      </w:r>
      <w:r/>
    </w:p>
    <w:p>
      <w:pPr>
        <w:pStyle w:val="906"/>
        <w:rPr>
          <w:rFonts w:hint="eastAsia" w:ascii="宋体" w:hAnsi="宋体" w:eastAsia="宋体" w:cs="宋体"/>
          <w:szCs w:val="21"/>
        </w:rPr>
      </w:pPr>
      <w:r>
        <w:rPr>
          <w:rFonts w:hint="eastAsia" w:ascii="宋体" w:hAnsi="宋体" w:eastAsia="宋体" w:cs="宋体"/>
          <w:szCs w:val="21"/>
        </w:rPr>
        <w:t xml:space="preserve">　　（一）农、林、牧、渔业。营业收入20000万元以下的为中小微型企业。其中，营业收入500万元及以上的为中型企业，营业收入50万元及以上的为小型企业，营业收入50万元以下的为微型企业。</w:t>
      </w:r>
      <w:r/>
    </w:p>
    <w:p>
      <w:pPr>
        <w:pStyle w:val="906"/>
        <w:rPr>
          <w:rFonts w:hint="eastAsia" w:ascii="宋体" w:hAnsi="宋体" w:eastAsia="宋体" w:cs="宋体"/>
          <w:szCs w:val="21"/>
        </w:rPr>
      </w:pPr>
      <w:r>
        <w:rPr>
          <w:rFonts w:hint="eastAsia" w:ascii="宋体" w:hAnsi="宋体" w:eastAsia="宋体" w:cs="宋体"/>
          <w:szCs w:val="21"/>
        </w:rPr>
        <w:t xml:space="preserve">　　（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pStyle w:val="906"/>
        <w:rPr>
          <w:rFonts w:hint="eastAsia" w:ascii="宋体" w:hAnsi="宋体" w:eastAsia="宋体" w:cs="宋体"/>
          <w:szCs w:val="21"/>
        </w:rPr>
      </w:pPr>
      <w:r>
        <w:rPr>
          <w:rFonts w:hint="eastAsia" w:ascii="宋体" w:hAnsi="宋体" w:eastAsia="宋体" w:cs="宋体"/>
          <w:szCs w:val="21"/>
        </w:rPr>
        <w:t xml:space="preserve">　　（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pStyle w:val="906"/>
        <w:rPr>
          <w:rFonts w:hint="eastAsia" w:ascii="宋体" w:hAnsi="宋体" w:eastAsia="宋体" w:cs="宋体"/>
          <w:szCs w:val="21"/>
        </w:rPr>
      </w:pPr>
      <w:r>
        <w:rPr>
          <w:rFonts w:hint="eastAsia" w:ascii="宋体" w:hAnsi="宋体" w:eastAsia="宋体" w:cs="宋体"/>
          <w:szCs w:val="21"/>
        </w:rPr>
        <w:t xml:space="preserve">　　（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pStyle w:val="906"/>
        <w:rPr>
          <w:rFonts w:hint="eastAsia" w:ascii="宋体" w:hAnsi="宋体" w:eastAsia="宋体" w:cs="宋体"/>
          <w:szCs w:val="21"/>
        </w:rPr>
      </w:pPr>
      <w:r>
        <w:rPr>
          <w:rFonts w:hint="eastAsia" w:ascii="宋体" w:hAnsi="宋体" w:eastAsia="宋体" w:cs="宋体"/>
          <w:szCs w:val="21"/>
        </w:rPr>
        <w:t xml:space="preserve">　　（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pStyle w:val="906"/>
        <w:rPr>
          <w:rFonts w:hint="eastAsia" w:ascii="宋体" w:hAnsi="宋体" w:eastAsia="宋体" w:cs="宋体"/>
          <w:szCs w:val="21"/>
        </w:rPr>
      </w:pPr>
      <w:r>
        <w:rPr>
          <w:rFonts w:hint="eastAsia" w:ascii="宋体" w:hAnsi="宋体" w:eastAsia="宋体" w:cs="宋体"/>
          <w:szCs w:val="21"/>
        </w:rPr>
        <w:t xml:space="preserve">　　（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pStyle w:val="906"/>
        <w:rPr>
          <w:rFonts w:hint="eastAsia" w:ascii="宋体" w:hAnsi="宋体" w:eastAsia="宋体" w:cs="宋体"/>
          <w:szCs w:val="21"/>
        </w:rPr>
      </w:pPr>
      <w:r>
        <w:rPr>
          <w:rFonts w:hint="eastAsia" w:ascii="宋体" w:hAnsi="宋体" w:eastAsia="宋体" w:cs="宋体"/>
          <w:szCs w:val="21"/>
        </w:rPr>
        <w:t xml:space="preserve">　　（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pStyle w:val="906"/>
        <w:rPr>
          <w:rFonts w:hint="eastAsia" w:ascii="宋体" w:hAnsi="宋体" w:eastAsia="宋体" w:cs="宋体"/>
          <w:szCs w:val="21"/>
        </w:rPr>
      </w:pPr>
      <w:r>
        <w:rPr>
          <w:rFonts w:hint="eastAsia" w:ascii="宋体" w:hAnsi="宋体" w:eastAsia="宋体" w:cs="宋体"/>
          <w:szCs w:val="21"/>
        </w:rPr>
        <w:t xml:space="preserve">　　（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pStyle w:val="906"/>
        <w:rPr>
          <w:rFonts w:hint="eastAsia" w:ascii="宋体" w:hAnsi="宋体" w:eastAsia="宋体" w:cs="宋体"/>
          <w:szCs w:val="21"/>
        </w:rPr>
      </w:pPr>
      <w:r>
        <w:rPr>
          <w:rFonts w:hint="eastAsia" w:ascii="宋体" w:hAnsi="宋体" w:eastAsia="宋体" w:cs="宋体"/>
          <w:szCs w:val="21"/>
        </w:rPr>
        <w:t xml:space="preserve">　　（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pStyle w:val="906"/>
        <w:rPr>
          <w:rFonts w:hint="eastAsia" w:ascii="宋体" w:hAnsi="宋体" w:eastAsia="宋体" w:cs="宋体"/>
          <w:szCs w:val="21"/>
        </w:rPr>
      </w:pPr>
      <w:r>
        <w:rPr>
          <w:rFonts w:hint="eastAsia" w:ascii="宋体" w:hAnsi="宋体" w:eastAsia="宋体" w:cs="宋体"/>
          <w:szCs w:val="21"/>
        </w:rPr>
        <w:t xml:space="preserve">　　（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pStyle w:val="906"/>
        <w:rPr>
          <w:rFonts w:hint="eastAsia" w:ascii="宋体" w:hAnsi="宋体" w:eastAsia="宋体" w:cs="宋体"/>
          <w:szCs w:val="21"/>
        </w:rPr>
      </w:pPr>
      <w:r>
        <w:rPr>
          <w:rFonts w:hint="eastAsia" w:ascii="宋体" w:hAnsi="宋体" w:eastAsia="宋体" w:cs="宋体"/>
          <w:szCs w:val="21"/>
        </w:rPr>
        <w:t xml:space="preserve">　　（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pStyle w:val="906"/>
        <w:rPr>
          <w:rFonts w:hint="eastAsia" w:ascii="宋体" w:hAnsi="宋体" w:eastAsia="宋体" w:cs="宋体"/>
          <w:szCs w:val="21"/>
        </w:rPr>
      </w:pPr>
      <w:r>
        <w:rPr>
          <w:rFonts w:hint="eastAsia" w:ascii="宋体" w:hAnsi="宋体" w:eastAsia="宋体" w:cs="宋体"/>
          <w:szCs w:val="21"/>
        </w:rPr>
        <w:t xml:space="preserve">　　（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pStyle w:val="906"/>
        <w:rPr>
          <w:rFonts w:hint="eastAsia" w:ascii="宋体" w:hAnsi="宋体" w:eastAsia="宋体" w:cs="宋体"/>
          <w:szCs w:val="21"/>
        </w:rPr>
      </w:pPr>
      <w:r>
        <w:rPr>
          <w:rFonts w:hint="eastAsia" w:ascii="宋体" w:hAnsi="宋体" w:eastAsia="宋体" w:cs="宋体"/>
          <w:szCs w:val="21"/>
        </w:rPr>
        <w:t xml:space="preserve">　　（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pStyle w:val="906"/>
        <w:rPr>
          <w:rFonts w:hint="eastAsia" w:ascii="宋体" w:hAnsi="宋体" w:eastAsia="宋体" w:cs="宋体"/>
          <w:szCs w:val="21"/>
        </w:rPr>
      </w:pPr>
      <w:r>
        <w:rPr>
          <w:rFonts w:hint="eastAsia" w:ascii="宋体" w:hAnsi="宋体" w:eastAsia="宋体" w:cs="宋体"/>
          <w:szCs w:val="21"/>
        </w:rPr>
        <w:t xml:space="preserve">　　（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p>
    <w:p>
      <w:pPr>
        <w:pStyle w:val="906"/>
        <w:rPr>
          <w:rFonts w:hint="eastAsia" w:ascii="宋体" w:hAnsi="宋体" w:eastAsia="宋体" w:cs="宋体"/>
          <w:szCs w:val="21"/>
        </w:rPr>
      </w:pPr>
      <w:r>
        <w:rPr>
          <w:rFonts w:hint="eastAsia" w:ascii="宋体" w:hAnsi="宋体" w:eastAsia="宋体" w:cs="宋体"/>
          <w:szCs w:val="21"/>
        </w:rPr>
        <w:t xml:space="preserve">　　（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pStyle w:val="906"/>
        <w:rPr>
          <w:rFonts w:hint="eastAsia" w:ascii="宋体" w:hAnsi="宋体" w:eastAsia="宋体" w:cs="宋体"/>
          <w:szCs w:val="21"/>
        </w:rPr>
      </w:pPr>
      <w:r>
        <w:rPr>
          <w:rFonts w:hint="eastAsia" w:ascii="宋体" w:hAnsi="宋体" w:eastAsia="宋体" w:cs="宋体"/>
          <w:szCs w:val="21"/>
        </w:rPr>
        <w:t xml:space="preserve">　　（十六）其他未列明行业。从业人员300人以下的为中小微型企业。其中，从业人员100人及以上的为中型企业；从业人员10人及以上的为小型企业；从业人员10人以下的为微型企业。</w:t>
      </w:r>
      <w:r/>
    </w:p>
    <w:p>
      <w:pPr>
        <w:pStyle w:val="906"/>
        <w:rPr>
          <w:rFonts w:hint="eastAsia" w:ascii="宋体" w:hAnsi="宋体" w:eastAsia="宋体" w:cs="宋体"/>
          <w:szCs w:val="21"/>
        </w:rPr>
      </w:pPr>
      <w:r>
        <w:rPr>
          <w:rFonts w:hint="eastAsia" w:ascii="宋体" w:hAnsi="宋体" w:eastAsia="宋体" w:cs="宋体"/>
          <w:szCs w:val="21"/>
        </w:rPr>
        <w:t xml:space="preserve">　　五、企业类型的划分以统计部门的统计数据为依据。</w:t>
      </w:r>
      <w:r/>
    </w:p>
    <w:p>
      <w:pPr>
        <w:pStyle w:val="906"/>
        <w:rPr>
          <w:rFonts w:hint="eastAsia" w:ascii="宋体" w:hAnsi="宋体" w:eastAsia="宋体" w:cs="宋体"/>
          <w:szCs w:val="21"/>
        </w:rPr>
      </w:pPr>
      <w:r>
        <w:rPr>
          <w:rFonts w:hint="eastAsia" w:ascii="宋体" w:hAnsi="宋体" w:eastAsia="宋体" w:cs="宋体"/>
          <w:szCs w:val="21"/>
        </w:rPr>
        <w:t xml:space="preserve">　　六、本规定适用于在中华人民共和国境内依法设立的各类所有制和各种组织形式的企业。个体工商户和本规定以外的行业，参照本规定进行划型。</w:t>
      </w:r>
      <w:r/>
    </w:p>
    <w:p>
      <w:pPr>
        <w:pStyle w:val="906"/>
        <w:rPr>
          <w:rFonts w:hint="eastAsia" w:ascii="宋体" w:hAnsi="宋体" w:eastAsia="宋体" w:cs="宋体"/>
          <w:szCs w:val="21"/>
        </w:rPr>
      </w:pPr>
      <w:r>
        <w:rPr>
          <w:rFonts w:hint="eastAsia" w:ascii="宋体" w:hAnsi="宋体" w:eastAsia="宋体" w:cs="宋体"/>
          <w:szCs w:val="21"/>
        </w:rPr>
        <w:t xml:space="preserve">　　七、本规定的中型企业标准上限即为大型企业标准的下限，国家统计部门据此制定大中小微型企业的统计分类。国务院有关部门据此进行相关数据分析，不得制定与本规定不一致的企业划型标准。</w:t>
      </w:r>
      <w:r/>
    </w:p>
    <w:p>
      <w:pPr>
        <w:pStyle w:val="906"/>
      </w:pPr>
      <w:r>
        <w:rPr>
          <w:rFonts w:hint="eastAsia" w:ascii="宋体" w:hAnsi="宋体" w:eastAsia="宋体" w:cs="宋体"/>
          <w:szCs w:val="21"/>
        </w:rPr>
        <w:t xml:space="preserve">　　八、本规定由工业和信息化部、国家统计局会同有关部门根据《国民经济行业分类》修订情况和企业发展变化情况适时修订。</w:t>
      </w:r>
      <w:r/>
    </w:p>
    <w:p>
      <w:pPr>
        <w:pStyle w:val="906"/>
        <w:rPr>
          <w:rFonts w:hint="eastAsia" w:ascii="宋体" w:hAnsi="宋体" w:eastAsia="宋体" w:cs="宋体"/>
          <w:szCs w:val="21"/>
        </w:rPr>
      </w:pPr>
      <w:r>
        <w:rPr>
          <w:rFonts w:hint="eastAsia" w:ascii="宋体" w:hAnsi="宋体" w:eastAsia="宋体" w:cs="宋体"/>
          <w:szCs w:val="21"/>
        </w:rPr>
        <w:t xml:space="preserve">　　九、本规定由工业和信息化部、国家统计局会同有关部门负责解释。</w:t>
      </w:r>
      <w:r/>
    </w:p>
    <w:p>
      <w:pPr>
        <w:pStyle w:val="906"/>
        <w:rPr>
          <w:rFonts w:hint="eastAsia" w:ascii="宋体" w:hAnsi="宋体" w:eastAsia="宋体"/>
        </w:rPr>
      </w:pPr>
      <w:r>
        <w:rPr>
          <w:rFonts w:hint="eastAsia" w:ascii="宋体" w:hAnsi="宋体" w:eastAsia="宋体" w:cs="宋体"/>
          <w:szCs w:val="21"/>
        </w:rPr>
        <w:t xml:space="preserve">　　十、本规定自发布之日起执行，原国家经贸委、原国家计委、财政部和国家统计局2003年颁布的《中小企业标准暂行规定》同时废止。</w:t>
      </w:r>
      <w:r>
        <w:rPr>
          <w:rFonts w:hint="eastAsia" w:ascii="宋体" w:hAnsi="宋体" w:eastAsia="宋体"/>
        </w:rPr>
      </w:r>
      <w:r/>
    </w:p>
    <w:p>
      <w:pPr>
        <w:pStyle w:val="886"/>
        <w:ind w:firstLine="420"/>
        <w:spacing w:line="360" w:lineRule="auto"/>
        <w:rPr>
          <w:rFonts w:ascii="宋体" w:hAnsi="宋体"/>
          <w:szCs w:val="21"/>
        </w:rPr>
      </w:pPr>
      <w:r>
        <w:rPr>
          <w:rFonts w:ascii="宋体" w:hAnsi="宋体" w:cs="宋体"/>
          <w:szCs w:val="21"/>
        </w:rPr>
        <w:br w:type="page" w:clear="all"/>
      </w:r>
      <w:r>
        <w:rPr>
          <w:rFonts w:ascii="宋体" w:hAnsi="宋体"/>
          <w:szCs w:val="21"/>
        </w:rPr>
      </w:r>
      <w:r/>
    </w:p>
    <w:p>
      <w:pPr>
        <w:pStyle w:val="888"/>
        <w:spacing w:line="416" w:lineRule="auto"/>
        <w:rPr>
          <w:rFonts w:hint="eastAsia" w:ascii="宋体" w:hAnsi="宋体" w:eastAsia="宋体"/>
          <w:b w:val="0"/>
        </w:rPr>
      </w:pPr>
      <w:r/>
      <w:bookmarkStart w:id="44" w:name="_企业从业人员情况表"/>
      <w:r/>
      <w:bookmarkEnd w:id="44"/>
      <w:r/>
      <w:bookmarkStart w:id="45" w:name="_Ref180135372"/>
      <w:r/>
      <w:bookmarkStart w:id="46" w:name="_Ref79412921"/>
      <w:r/>
      <w:bookmarkStart w:id="47" w:name="_Ref343881462"/>
      <w:r/>
      <w:bookmarkStart w:id="48" w:name="_Toc497431311"/>
      <w:r/>
      <w:bookmarkStart w:id="49" w:name="_Toc199168201"/>
      <w:r>
        <w:rPr>
          <w:rFonts w:hint="eastAsia" w:ascii="宋体" w:hAnsi="宋体" w:eastAsia="宋体"/>
          <w:b w:val="0"/>
        </w:rPr>
        <w:t xml:space="preserve">9.残疾人福利性单位声明函</w:t>
      </w:r>
      <w:bookmarkEnd w:id="45"/>
      <w:r/>
      <w:bookmarkEnd w:id="46"/>
      <w:r/>
      <w:bookmarkEnd w:id="49"/>
      <w:r>
        <w:rPr>
          <w:rFonts w:hint="eastAsia" w:ascii="宋体" w:hAnsi="宋体" w:eastAsia="宋体"/>
          <w:b w:val="0"/>
        </w:rPr>
      </w:r>
      <w:r/>
    </w:p>
    <w:p>
      <w:pPr>
        <w:pStyle w:val="886"/>
        <w:spacing w:line="580" w:lineRule="exact"/>
        <w:rPr>
          <w:rFonts w:hint="eastAsia" w:ascii="宋体" w:hAnsi="宋体"/>
          <w:spacing w:val="6"/>
          <w:szCs w:val="32"/>
        </w:rPr>
      </w:pPr>
      <w:r>
        <w:rPr>
          <w:rFonts w:hint="eastAsia" w:ascii="宋体" w:hAnsi="宋体"/>
          <w:spacing w:val="6"/>
          <w:szCs w:val="32"/>
        </w:rPr>
      </w:r>
      <w:r/>
    </w:p>
    <w:p>
      <w:pPr>
        <w:pStyle w:val="886"/>
        <w:jc w:val="center"/>
        <w:spacing w:line="580" w:lineRule="exact"/>
        <w:rPr>
          <w:rFonts w:hint="eastAsia" w:ascii="宋体" w:hAnsi="宋体"/>
          <w:spacing w:val="6"/>
          <w:szCs w:val="21"/>
        </w:rPr>
      </w:pPr>
      <w:r>
        <w:rPr>
          <w:rFonts w:hint="eastAsia" w:ascii="宋体" w:hAnsi="宋体"/>
          <w:spacing w:val="6"/>
          <w:szCs w:val="21"/>
        </w:rPr>
        <w:t xml:space="preserve">残疾人福利性单位声明函</w:t>
      </w:r>
      <w:r/>
    </w:p>
    <w:p>
      <w:pPr>
        <w:pStyle w:val="886"/>
        <w:spacing w:line="580" w:lineRule="exact"/>
        <w:rPr>
          <w:rFonts w:hint="eastAsia" w:ascii="宋体" w:hAnsi="宋体"/>
          <w:spacing w:val="6"/>
          <w:szCs w:val="21"/>
        </w:rPr>
      </w:pPr>
      <w:r>
        <w:rPr>
          <w:rFonts w:hint="eastAsia" w:ascii="宋体" w:hAnsi="宋体"/>
          <w:spacing w:val="6"/>
          <w:szCs w:val="21"/>
        </w:rPr>
      </w:r>
      <w:r/>
    </w:p>
    <w:p>
      <w:pPr>
        <w:pStyle w:val="886"/>
        <w:ind w:firstLine="444"/>
        <w:spacing w:line="580" w:lineRule="exact"/>
        <w:rPr>
          <w:rFonts w:hint="eastAsia" w:ascii="宋体" w:hAnsi="宋体"/>
          <w:spacing w:val="6"/>
          <w:szCs w:val="21"/>
        </w:rPr>
      </w:pPr>
      <w:r>
        <w:rPr>
          <w:rFonts w:hint="eastAsia" w:ascii="宋体" w:hAnsi="宋体"/>
          <w:spacing w:val="6"/>
          <w:szCs w:val="21"/>
        </w:rPr>
        <w:t xml:space="preserve">本单位郑重声明，根据《财政部  民政部  中国残疾人联合会关于促进残疾人就业政府采购政策的通知》（财库</w:t>
      </w:r>
      <w:r>
        <w:rPr>
          <w:rFonts w:hint="eastAsia" w:ascii="宋体" w:hAnsi="宋体"/>
          <w:szCs w:val="21"/>
        </w:rPr>
        <w:t xml:space="preserve">〔2017〕141</w:t>
      </w:r>
      <w:r>
        <w:rPr>
          <w:rFonts w:hint="eastAsia" w:ascii="宋体" w:hAnsi="宋体"/>
          <w:spacing w:val="6"/>
          <w:szCs w:val="21"/>
        </w:rPr>
        <w:t xml:space="preserve">号）的规定，本单位为符合条件的残疾人福利性单位，且本单位参加</w:t>
      </w:r>
      <w:r>
        <w:rPr>
          <w:rFonts w:hint="eastAsia" w:ascii="宋体" w:hAnsi="宋体"/>
          <w:spacing w:val="6"/>
          <w:szCs w:val="21"/>
          <w:u w:val="single"/>
        </w:rPr>
        <w:t xml:space="preserve">______</w:t>
      </w:r>
      <w:r>
        <w:rPr>
          <w:rFonts w:hint="eastAsia" w:ascii="宋体" w:hAnsi="宋体"/>
          <w:spacing w:val="6"/>
          <w:szCs w:val="21"/>
        </w:rPr>
        <w:t xml:space="preserve">单位的</w:t>
      </w:r>
      <w:r>
        <w:rPr>
          <w:rFonts w:hint="eastAsia" w:ascii="宋体" w:hAnsi="宋体"/>
          <w:spacing w:val="6"/>
          <w:szCs w:val="21"/>
          <w:u w:val="single"/>
        </w:rPr>
        <w:t xml:space="preserve">______</w:t>
      </w:r>
      <w:r>
        <w:rPr>
          <w:rFonts w:hint="eastAsia" w:ascii="宋体" w:hAnsi="宋体"/>
          <w:spacing w:val="6"/>
          <w:szCs w:val="21"/>
        </w:rPr>
        <w:t xml:space="preserve">项目采购活动提供本单位制造的货物（由本单位承担工程/提供服务），或者提供其他残疾人福利性单位制造的货物（不包括使用非残疾人福利性单位注册商标的货物）。</w:t>
      </w:r>
      <w:r/>
    </w:p>
    <w:p>
      <w:pPr>
        <w:pStyle w:val="886"/>
        <w:ind w:firstLine="444"/>
        <w:spacing w:line="580" w:lineRule="exact"/>
        <w:rPr>
          <w:rFonts w:hint="eastAsia" w:ascii="宋体" w:hAnsi="宋体"/>
          <w:spacing w:val="6"/>
          <w:szCs w:val="21"/>
        </w:rPr>
      </w:pPr>
      <w:r>
        <w:rPr>
          <w:rFonts w:hint="eastAsia" w:ascii="宋体" w:hAnsi="宋体"/>
          <w:spacing w:val="6"/>
          <w:szCs w:val="21"/>
        </w:rPr>
        <w:t xml:space="preserve">本单位对上述声明的真实性负责。如有虚假，将依法承担相应责任。</w:t>
      </w:r>
      <w:r/>
    </w:p>
    <w:p>
      <w:pPr>
        <w:pStyle w:val="886"/>
        <w:ind w:firstLine="444"/>
        <w:spacing w:line="580" w:lineRule="exact"/>
        <w:rPr>
          <w:rFonts w:hint="eastAsia" w:ascii="宋体" w:hAnsi="宋体"/>
          <w:spacing w:val="6"/>
          <w:szCs w:val="21"/>
        </w:rPr>
      </w:pPr>
      <w:r>
        <w:rPr>
          <w:rFonts w:hint="eastAsia" w:ascii="宋体" w:hAnsi="宋体"/>
          <w:spacing w:val="6"/>
          <w:szCs w:val="21"/>
        </w:rPr>
      </w:r>
      <w:r/>
    </w:p>
    <w:p>
      <w:pPr>
        <w:pStyle w:val="886"/>
        <w:ind w:firstLine="444"/>
        <w:spacing w:line="580" w:lineRule="exact"/>
        <w:rPr>
          <w:rFonts w:hint="eastAsia" w:ascii="宋体" w:hAnsi="宋体"/>
          <w:spacing w:val="6"/>
          <w:szCs w:val="21"/>
        </w:rPr>
      </w:pPr>
      <w:r>
        <w:rPr>
          <w:rFonts w:hint="eastAsia" w:ascii="宋体" w:hAnsi="宋体"/>
          <w:spacing w:val="6"/>
          <w:szCs w:val="21"/>
        </w:rPr>
      </w:r>
      <w:r/>
    </w:p>
    <w:p>
      <w:pPr>
        <w:pStyle w:val="886"/>
        <w:ind w:right="1560" w:firstLine="444"/>
        <w:jc w:val="right"/>
        <w:spacing w:line="580" w:lineRule="exact"/>
        <w:tabs>
          <w:tab w:val="left" w:pos="4860" w:leader="none"/>
        </w:tabs>
        <w:rPr>
          <w:rFonts w:hint="eastAsia" w:ascii="宋体" w:hAnsi="宋体"/>
          <w:spacing w:val="6"/>
          <w:szCs w:val="21"/>
        </w:rPr>
      </w:pPr>
      <w:r>
        <w:rPr>
          <w:rFonts w:hint="eastAsia" w:ascii="宋体" w:hAnsi="宋体"/>
          <w:spacing w:val="6"/>
          <w:szCs w:val="21"/>
        </w:rPr>
        <w:t xml:space="preserve">                    单位名称（盖章）：</w:t>
      </w:r>
      <w:r/>
    </w:p>
    <w:p>
      <w:pPr>
        <w:pStyle w:val="886"/>
        <w:ind w:right="1560" w:firstLine="444"/>
        <w:jc w:val="right"/>
        <w:spacing w:line="580" w:lineRule="exact"/>
        <w:tabs>
          <w:tab w:val="left" w:pos="4860" w:leader="none"/>
        </w:tabs>
        <w:rPr>
          <w:rFonts w:hint="eastAsia" w:ascii="宋体" w:hAnsi="宋体"/>
          <w:spacing w:val="6"/>
          <w:szCs w:val="21"/>
        </w:rPr>
      </w:pPr>
      <w:r>
        <w:rPr>
          <w:rFonts w:hint="eastAsia" w:ascii="宋体" w:hAnsi="宋体"/>
          <w:spacing w:val="6"/>
          <w:szCs w:val="21"/>
        </w:rPr>
        <w:t xml:space="preserve">                 日  期：</w:t>
      </w:r>
      <w:r/>
    </w:p>
    <w:p>
      <w:pPr>
        <w:pStyle w:val="886"/>
        <w:ind w:right="1560" w:firstLine="444"/>
        <w:jc w:val="right"/>
        <w:spacing w:line="580" w:lineRule="exact"/>
        <w:tabs>
          <w:tab w:val="left" w:pos="4860" w:leader="none"/>
        </w:tabs>
        <w:rPr>
          <w:rFonts w:hint="eastAsia" w:ascii="宋体" w:hAnsi="宋体"/>
          <w:spacing w:val="6"/>
          <w:szCs w:val="21"/>
        </w:rPr>
      </w:pPr>
      <w:r>
        <w:rPr>
          <w:rFonts w:ascii="宋体" w:hAnsi="宋体"/>
          <w:spacing w:val="6"/>
          <w:szCs w:val="21"/>
        </w:rPr>
        <w:br w:type="page" w:clear="all"/>
      </w:r>
      <w:r>
        <w:rPr>
          <w:rFonts w:hint="eastAsia" w:ascii="宋体" w:hAnsi="宋体"/>
          <w:spacing w:val="6"/>
          <w:szCs w:val="21"/>
        </w:rPr>
      </w:r>
      <w:r/>
    </w:p>
    <w:p>
      <w:pPr>
        <w:pStyle w:val="886"/>
        <w:ind w:right="-252" w:firstLine="420"/>
        <w:jc w:val="center"/>
        <w:spacing w:line="360" w:lineRule="auto"/>
        <w:tabs>
          <w:tab w:val="left" w:pos="360" w:leader="none"/>
        </w:tabs>
        <w:rPr>
          <w:rFonts w:hint="eastAsia" w:ascii="宋体" w:hAnsi="宋体" w:cs="Arial"/>
          <w:szCs w:val="21"/>
        </w:rPr>
      </w:pPr>
      <w:r>
        <w:rPr>
          <w:rFonts w:ascii="宋体" w:hAnsi="宋体" w:cs="Arial"/>
          <w:szCs w:val="21"/>
        </w:rPr>
        <w:t xml:space="preserve">关于促进残疾人就业政府采购政策的通知</w:t>
      </w:r>
      <w:r>
        <w:rPr>
          <w:rFonts w:hint="eastAsia" w:ascii="宋体" w:hAnsi="宋体" w:cs="Arial"/>
          <w:szCs w:val="21"/>
        </w:rPr>
      </w:r>
      <w:r/>
    </w:p>
    <w:p>
      <w:pPr>
        <w:pStyle w:val="886"/>
        <w:ind w:right="-252" w:firstLine="420"/>
        <w:jc w:val="center"/>
        <w:spacing w:line="360" w:lineRule="auto"/>
        <w:tabs>
          <w:tab w:val="left" w:pos="360" w:leader="none"/>
        </w:tabs>
        <w:rPr>
          <w:rFonts w:ascii="宋体" w:hAnsi="宋体" w:cs="Arial"/>
          <w:szCs w:val="21"/>
        </w:rPr>
      </w:pPr>
      <w:r>
        <w:rPr>
          <w:rFonts w:ascii="宋体" w:hAnsi="宋体" w:cs="Arial"/>
          <w:szCs w:val="21"/>
        </w:rPr>
        <w:t xml:space="preserve">财库</w:t>
      </w:r>
      <w:r>
        <w:rPr>
          <w:rFonts w:hint="eastAsia" w:ascii="宋体" w:hAnsi="宋体" w:cs="Arial"/>
          <w:szCs w:val="21"/>
        </w:rPr>
        <w:t xml:space="preserve">〔</w:t>
      </w:r>
      <w:r>
        <w:rPr>
          <w:rFonts w:ascii="宋体" w:hAnsi="宋体" w:cs="Arial"/>
          <w:szCs w:val="21"/>
        </w:rPr>
        <w:t xml:space="preserve">2017</w:t>
      </w:r>
      <w:r>
        <w:rPr>
          <w:rFonts w:hint="eastAsia" w:ascii="宋体" w:hAnsi="宋体" w:cs="Arial"/>
          <w:szCs w:val="21"/>
        </w:rPr>
        <w:t xml:space="preserve">〕</w:t>
      </w:r>
      <w:r>
        <w:rPr>
          <w:rFonts w:ascii="宋体" w:hAnsi="宋体" w:cs="Arial"/>
          <w:szCs w:val="21"/>
        </w:rPr>
        <w:t xml:space="preserve">141号</w:t>
      </w:r>
      <w:r/>
    </w:p>
    <w:p>
      <w:pPr>
        <w:pStyle w:val="886"/>
        <w:ind w:right="-252" w:firstLine="420"/>
        <w:spacing w:line="360" w:lineRule="auto"/>
        <w:tabs>
          <w:tab w:val="left" w:pos="360" w:leader="none"/>
        </w:tabs>
        <w:rPr>
          <w:rFonts w:ascii="宋体" w:hAnsi="宋体" w:cs="Arial"/>
          <w:szCs w:val="21"/>
        </w:rPr>
      </w:pPr>
      <w:r>
        <w:rPr>
          <w:rFonts w:ascii="宋体" w:hAnsi="宋体" w:cs="Arial"/>
          <w:szCs w:val="21"/>
        </w:rPr>
        <w:t xml:space="preserve">党中央有关部门，国务院各部委、各直属机构，全国人大常委会办公厅，全国政协办公厅，高法院，高检院，各民主党派中央，有关人民团体，各省、自治区、直辖市、计划单列市财政厅（局）、民政厅（局）、残疾人联合会，新疆生产建设兵团财务局、民政局、残疾人联合会：</w:t>
      </w:r>
      <w:r/>
    </w:p>
    <w:p>
      <w:pPr>
        <w:pStyle w:val="886"/>
        <w:ind w:right="-252" w:firstLine="420"/>
        <w:spacing w:line="360" w:lineRule="auto"/>
        <w:tabs>
          <w:tab w:val="left" w:pos="360" w:leader="none"/>
        </w:tabs>
        <w:rPr>
          <w:rFonts w:ascii="宋体" w:hAnsi="宋体" w:cs="Arial"/>
          <w:szCs w:val="21"/>
        </w:rPr>
      </w:pPr>
      <w:r>
        <w:rPr>
          <w:rFonts w:ascii="宋体" w:hAnsi="宋体" w:cs="Arial"/>
          <w:szCs w:val="21"/>
        </w:rPr>
        <w:t xml:space="preserve">为了发挥政府采购促进残疾人就业的作用，进一步保障残疾人权益，依照《政府采购法》、《残疾人保障法》等法律法规及相关规定，现就促进残疾人就业政府采购政策通知如下：</w:t>
      </w:r>
      <w:r/>
    </w:p>
    <w:p>
      <w:pPr>
        <w:pStyle w:val="886"/>
        <w:ind w:right="-252" w:firstLine="420"/>
        <w:spacing w:line="360" w:lineRule="auto"/>
        <w:tabs>
          <w:tab w:val="left" w:pos="360" w:leader="none"/>
        </w:tabs>
        <w:rPr>
          <w:rFonts w:ascii="宋体" w:hAnsi="宋体" w:cs="Arial"/>
          <w:szCs w:val="21"/>
        </w:rPr>
      </w:pPr>
      <w:r>
        <w:rPr>
          <w:rFonts w:ascii="宋体" w:hAnsi="宋体" w:cs="Arial"/>
          <w:szCs w:val="21"/>
        </w:rPr>
        <w:t xml:space="preserve">一、享受政府采购支持政策的残疾人福利性单位应当同时满足以下条件：</w:t>
      </w:r>
      <w:r/>
    </w:p>
    <w:p>
      <w:pPr>
        <w:pStyle w:val="886"/>
        <w:ind w:right="-252" w:firstLine="420"/>
        <w:spacing w:line="360" w:lineRule="auto"/>
        <w:tabs>
          <w:tab w:val="left" w:pos="360" w:leader="none"/>
        </w:tabs>
        <w:rPr>
          <w:rFonts w:ascii="宋体" w:hAnsi="宋体" w:cs="Arial"/>
          <w:szCs w:val="21"/>
        </w:rPr>
      </w:pPr>
      <w:r>
        <w:rPr>
          <w:rFonts w:ascii="宋体" w:hAnsi="宋体" w:cs="Arial"/>
          <w:szCs w:val="21"/>
        </w:rPr>
        <w:t xml:space="preserve">（一）安置的残疾人占本单位在职职工人数的比例不低于25%（含25%），并且安置的残疾人人数不少于10人（含10人）；</w:t>
      </w:r>
      <w:r/>
    </w:p>
    <w:p>
      <w:pPr>
        <w:pStyle w:val="886"/>
        <w:ind w:right="-252" w:firstLine="420"/>
        <w:spacing w:line="360" w:lineRule="auto"/>
        <w:tabs>
          <w:tab w:val="left" w:pos="360" w:leader="none"/>
        </w:tabs>
        <w:rPr>
          <w:rFonts w:ascii="宋体" w:hAnsi="宋体" w:cs="Arial"/>
          <w:szCs w:val="21"/>
        </w:rPr>
      </w:pPr>
      <w:r>
        <w:rPr>
          <w:rFonts w:ascii="宋体" w:hAnsi="宋体" w:cs="Arial"/>
          <w:szCs w:val="21"/>
        </w:rPr>
        <w:t xml:space="preserve">（二）依法与安置的每位残疾人签订了一年以上（含一年）的劳动合同或服务协议；</w:t>
      </w:r>
      <w:r/>
    </w:p>
    <w:p>
      <w:pPr>
        <w:pStyle w:val="886"/>
        <w:ind w:right="-252" w:firstLine="420"/>
        <w:spacing w:line="360" w:lineRule="auto"/>
        <w:tabs>
          <w:tab w:val="left" w:pos="360" w:leader="none"/>
        </w:tabs>
        <w:rPr>
          <w:rFonts w:ascii="宋体" w:hAnsi="宋体" w:cs="Arial"/>
          <w:szCs w:val="21"/>
        </w:rPr>
      </w:pPr>
      <w:r>
        <w:rPr>
          <w:rFonts w:ascii="宋体" w:hAnsi="宋体" w:cs="Arial"/>
          <w:szCs w:val="21"/>
        </w:rPr>
        <w:t xml:space="preserve">（三）为安置的每位残疾人按月足额缴纳了基本养老保险、基本医疗保险、失业保险、工伤保险和生育保险等社会保险费；</w:t>
      </w:r>
      <w:r/>
    </w:p>
    <w:p>
      <w:pPr>
        <w:pStyle w:val="886"/>
        <w:ind w:right="-252" w:firstLine="420"/>
        <w:spacing w:line="360" w:lineRule="auto"/>
        <w:tabs>
          <w:tab w:val="left" w:pos="360" w:leader="none"/>
        </w:tabs>
        <w:rPr>
          <w:rFonts w:ascii="宋体" w:hAnsi="宋体" w:cs="Arial"/>
          <w:szCs w:val="21"/>
        </w:rPr>
      </w:pPr>
      <w:r>
        <w:rPr>
          <w:rFonts w:ascii="宋体" w:hAnsi="宋体" w:cs="Arial"/>
          <w:szCs w:val="21"/>
        </w:rPr>
        <w:t xml:space="preserve">（四）通过银行等金融机构向安置的每位残疾人，按月支付了不低于单位所在区县适用的经省级人民政府批准的月最低工资标准的工资；</w:t>
      </w:r>
      <w:r/>
    </w:p>
    <w:p>
      <w:pPr>
        <w:pStyle w:val="886"/>
        <w:ind w:right="-252" w:firstLine="420"/>
        <w:spacing w:line="360" w:lineRule="auto"/>
        <w:tabs>
          <w:tab w:val="left" w:pos="360" w:leader="none"/>
        </w:tabs>
        <w:rPr>
          <w:rFonts w:ascii="宋体" w:hAnsi="宋体" w:cs="Arial"/>
          <w:szCs w:val="21"/>
        </w:rPr>
      </w:pPr>
      <w:r>
        <w:rPr>
          <w:rFonts w:ascii="宋体" w:hAnsi="宋体" w:cs="Arial"/>
          <w:szCs w:val="21"/>
        </w:rPr>
        <w:t xml:space="preserve">（五）提供本单位制造的货物、承担的工程或者服务（以下简称产品），或者提供其他残疾人福利性单位制造的货物（不包括使用非残疾人福利性单位注册商标的货物）。</w:t>
      </w:r>
      <w:r/>
    </w:p>
    <w:p>
      <w:pPr>
        <w:pStyle w:val="886"/>
        <w:ind w:right="-252" w:firstLine="420"/>
        <w:spacing w:line="360" w:lineRule="auto"/>
        <w:tabs>
          <w:tab w:val="left" w:pos="360" w:leader="none"/>
        </w:tabs>
        <w:rPr>
          <w:rFonts w:ascii="宋体" w:hAnsi="宋体" w:cs="Arial"/>
          <w:szCs w:val="21"/>
        </w:rPr>
      </w:pPr>
      <w:r>
        <w:rPr>
          <w:rFonts w:ascii="宋体" w:hAnsi="宋体" w:cs="Arial"/>
          <w:szCs w:val="21"/>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pStyle w:val="886"/>
        <w:ind w:right="-252" w:firstLine="420"/>
        <w:spacing w:line="360" w:lineRule="auto"/>
        <w:tabs>
          <w:tab w:val="left" w:pos="360" w:leader="none"/>
        </w:tabs>
        <w:rPr>
          <w:rFonts w:ascii="宋体" w:hAnsi="宋体" w:cs="Arial"/>
          <w:szCs w:val="21"/>
        </w:rPr>
      </w:pPr>
      <w:r>
        <w:rPr>
          <w:rFonts w:ascii="宋体" w:hAnsi="宋体" w:cs="Arial"/>
          <w:szCs w:val="21"/>
        </w:rPr>
        <w:t xml:space="preserve">二、符合条件的残疾人福利性单位在参加政府采购活动时，应当提供本通知规定的《残疾人福利性单位声明函》（见附件），并对声明的真实性负责。任何单位或者个人在政府采购活动中均不得要求残疾人福利性单位提供其他证明声明函内容的材料。</w:t>
      </w:r>
      <w:r/>
    </w:p>
    <w:p>
      <w:pPr>
        <w:pStyle w:val="886"/>
        <w:ind w:right="-252" w:firstLine="420"/>
        <w:spacing w:line="360" w:lineRule="auto"/>
        <w:tabs>
          <w:tab w:val="left" w:pos="360" w:leader="none"/>
        </w:tabs>
        <w:rPr>
          <w:rFonts w:ascii="宋体" w:hAnsi="宋体" w:cs="Arial"/>
          <w:szCs w:val="21"/>
        </w:rPr>
      </w:pPr>
      <w:r>
        <w:rPr>
          <w:rFonts w:ascii="宋体" w:hAnsi="宋体" w:cs="Arial"/>
          <w:szCs w:val="21"/>
        </w:rPr>
        <w:t xml:space="preserve">中标、成交供应商为残疾人福利性单位的，采购人或者其委托的采购代理机构应当随中标、成交结果同时公告其《残疾人福利性单位声明函》，接受社会监督。</w:t>
      </w:r>
      <w:r/>
    </w:p>
    <w:p>
      <w:pPr>
        <w:pStyle w:val="886"/>
        <w:ind w:right="-252" w:firstLine="420"/>
        <w:spacing w:line="360" w:lineRule="auto"/>
        <w:tabs>
          <w:tab w:val="left" w:pos="360" w:leader="none"/>
        </w:tabs>
        <w:rPr>
          <w:rFonts w:ascii="宋体" w:hAnsi="宋体" w:cs="Arial"/>
          <w:szCs w:val="21"/>
        </w:rPr>
      </w:pPr>
      <w:r>
        <w:rPr>
          <w:rFonts w:ascii="宋体" w:hAnsi="宋体" w:cs="Arial"/>
          <w:szCs w:val="21"/>
        </w:rPr>
        <w:t xml:space="preserve">供应商提供的《残疾人福利性单位声明函》与事实不符的，依照《政府采购法》第七十七条第一款的规定追究法律责任。</w:t>
      </w:r>
      <w:r/>
    </w:p>
    <w:p>
      <w:pPr>
        <w:pStyle w:val="886"/>
        <w:ind w:right="-252" w:firstLine="420"/>
        <w:spacing w:line="360" w:lineRule="auto"/>
        <w:tabs>
          <w:tab w:val="left" w:pos="360" w:leader="none"/>
        </w:tabs>
        <w:rPr>
          <w:rFonts w:ascii="宋体" w:hAnsi="宋体" w:cs="Arial"/>
          <w:szCs w:val="21"/>
        </w:rPr>
      </w:pPr>
      <w:r>
        <w:rPr>
          <w:rFonts w:ascii="宋体" w:hAnsi="宋体" w:cs="Arial"/>
          <w:szCs w:val="21"/>
        </w:rPr>
        <w:t xml:space="preserve">三、在政府采购活动中，残疾人福利性单位视同小型、微型企业，享受预留份额、评审中价格扣除等促进中小企业发展的政府采购政策。向残疾人福利性单位采购的金额，计入面向中小企业采购的统计数据。残疾人福利性单位属于小型、微型企业的，不重复享受政策。</w:t>
      </w:r>
      <w:r/>
    </w:p>
    <w:p>
      <w:pPr>
        <w:pStyle w:val="886"/>
        <w:ind w:right="-252" w:firstLine="420"/>
        <w:spacing w:line="360" w:lineRule="auto"/>
        <w:tabs>
          <w:tab w:val="left" w:pos="360" w:leader="none"/>
        </w:tabs>
        <w:rPr>
          <w:rFonts w:ascii="宋体" w:hAnsi="宋体" w:cs="Arial"/>
          <w:szCs w:val="21"/>
        </w:rPr>
      </w:pPr>
      <w:r>
        <w:rPr>
          <w:rFonts w:ascii="宋体" w:hAnsi="宋体" w:cs="Arial"/>
          <w:szCs w:val="21"/>
        </w:rPr>
        <w:t xml:space="preserve">四、采购人采购公开招标数额标准以上的货物或者服务，因落实促进残疾人就业政策的需要，依法履行有关报批程序后，可采用公开招标以外的采购方式。</w:t>
      </w:r>
      <w:r/>
    </w:p>
    <w:p>
      <w:pPr>
        <w:pStyle w:val="886"/>
        <w:ind w:right="-252" w:firstLine="420"/>
        <w:spacing w:line="360" w:lineRule="auto"/>
        <w:tabs>
          <w:tab w:val="left" w:pos="360" w:leader="none"/>
        </w:tabs>
        <w:rPr>
          <w:rFonts w:ascii="宋体" w:hAnsi="宋体" w:cs="Arial"/>
          <w:szCs w:val="21"/>
        </w:rPr>
      </w:pPr>
      <w:r>
        <w:rPr>
          <w:rFonts w:ascii="宋体" w:hAnsi="宋体" w:cs="Arial"/>
          <w:szCs w:val="21"/>
        </w:rPr>
        <w:t xml:space="preserve">五、对于满足要求的残疾人福利性单位产品，集中采购机构可直接纳入协议供货或者定点采购范围。各地区建设的政府采购电子卖场、电子商城、网上超市等应当设立残疾人福利性单位产品专栏。鼓励采购人优先选择残疾人福利性单位的产品。</w:t>
      </w:r>
      <w:r/>
    </w:p>
    <w:p>
      <w:pPr>
        <w:pStyle w:val="886"/>
        <w:ind w:right="-252" w:firstLine="420"/>
        <w:spacing w:line="360" w:lineRule="auto"/>
        <w:tabs>
          <w:tab w:val="left" w:pos="360" w:leader="none"/>
        </w:tabs>
        <w:rPr>
          <w:rFonts w:ascii="宋体" w:hAnsi="宋体" w:cs="Arial"/>
          <w:szCs w:val="21"/>
        </w:rPr>
      </w:pPr>
      <w:r>
        <w:rPr>
          <w:rFonts w:ascii="宋体" w:hAnsi="宋体" w:cs="Arial"/>
          <w:szCs w:val="21"/>
        </w:rPr>
        <w:t xml:space="preserve">六、省级财政部门可以结合本地区残疾人生产、经营的实际情况，细化政府采购支持措施。对符合国家有关部门规定条件的残疾人辅助性就业机构，可通过上述措施予以支持。各地制定的有关文件应当报财政部备案。</w:t>
      </w:r>
      <w:r/>
    </w:p>
    <w:p>
      <w:pPr>
        <w:pStyle w:val="886"/>
        <w:ind w:right="-252" w:firstLine="420"/>
        <w:spacing w:line="360" w:lineRule="auto"/>
        <w:tabs>
          <w:tab w:val="left" w:pos="360" w:leader="none"/>
        </w:tabs>
        <w:rPr>
          <w:rFonts w:ascii="宋体" w:hAnsi="宋体" w:cs="Arial"/>
          <w:szCs w:val="21"/>
        </w:rPr>
      </w:pPr>
      <w:r>
        <w:rPr>
          <w:rFonts w:ascii="宋体" w:hAnsi="宋体" w:cs="Arial"/>
          <w:szCs w:val="21"/>
        </w:rPr>
        <w:t xml:space="preserve">七、本通知自2017年10月1日起执行。</w:t>
      </w:r>
      <w:r/>
    </w:p>
    <w:p>
      <w:pPr>
        <w:pStyle w:val="886"/>
        <w:ind w:right="-252" w:firstLine="420"/>
        <w:jc w:val="right"/>
        <w:spacing w:line="360" w:lineRule="auto"/>
        <w:tabs>
          <w:tab w:val="left" w:pos="360" w:leader="none"/>
        </w:tabs>
        <w:rPr>
          <w:rFonts w:ascii="宋体" w:hAnsi="宋体" w:cs="Arial"/>
          <w:szCs w:val="21"/>
        </w:rPr>
      </w:pPr>
      <w:r>
        <w:rPr>
          <w:rFonts w:ascii="宋体" w:hAnsi="宋体" w:cs="Arial"/>
          <w:szCs w:val="21"/>
        </w:rPr>
        <w:t xml:space="preserve">　　财政部 民政部 中国残疾人联合会</w:t>
      </w:r>
      <w:r/>
    </w:p>
    <w:p>
      <w:pPr>
        <w:pStyle w:val="886"/>
        <w:ind w:right="-252" w:firstLine="420"/>
        <w:jc w:val="right"/>
        <w:spacing w:line="360" w:lineRule="auto"/>
        <w:tabs>
          <w:tab w:val="left" w:pos="360" w:leader="none"/>
        </w:tabs>
        <w:rPr>
          <w:rFonts w:hint="eastAsia" w:ascii="宋体" w:hAnsi="宋体" w:cs="Arial"/>
          <w:szCs w:val="21"/>
        </w:rPr>
      </w:pPr>
      <w:r>
        <w:rPr>
          <w:rFonts w:ascii="宋体" w:hAnsi="宋体" w:cs="Arial"/>
          <w:szCs w:val="21"/>
        </w:rPr>
        <w:t xml:space="preserve"> 2017年8月22日</w:t>
      </w:r>
      <w:r>
        <w:rPr>
          <w:rFonts w:hint="eastAsia" w:ascii="宋体" w:hAnsi="宋体" w:cs="Arial"/>
          <w:szCs w:val="21"/>
        </w:rPr>
      </w:r>
      <w:r/>
    </w:p>
    <w:p>
      <w:pPr>
        <w:pStyle w:val="886"/>
        <w:ind w:right="1560" w:firstLine="420"/>
        <w:jc w:val="right"/>
        <w:spacing w:line="580" w:lineRule="exact"/>
        <w:tabs>
          <w:tab w:val="left" w:pos="4860" w:leader="none"/>
        </w:tabs>
        <w:rPr>
          <w:rFonts w:hint="eastAsia" w:ascii="宋体" w:hAnsi="宋体" w:cs="宋体"/>
          <w:szCs w:val="21"/>
        </w:rPr>
      </w:pPr>
      <w:r>
        <w:rPr>
          <w:rFonts w:ascii="宋体" w:hAnsi="宋体" w:cs="宋体"/>
          <w:szCs w:val="21"/>
        </w:rPr>
        <w:br w:type="page" w:clear="all"/>
      </w:r>
      <w:r>
        <w:rPr>
          <w:rFonts w:hint="eastAsia" w:ascii="宋体" w:hAnsi="宋体" w:cs="宋体"/>
          <w:szCs w:val="21"/>
        </w:rPr>
      </w:r>
      <w:r/>
    </w:p>
    <w:p>
      <w:pPr>
        <w:pStyle w:val="888"/>
        <w:spacing w:line="416" w:lineRule="auto"/>
        <w:rPr>
          <w:rFonts w:ascii="宋体" w:hAnsi="宋体" w:eastAsia="宋体"/>
          <w:b w:val="0"/>
        </w:rPr>
      </w:pPr>
      <w:r/>
      <w:bookmarkStart w:id="50" w:name="_Ref22898688"/>
      <w:r/>
      <w:bookmarkStart w:id="51" w:name="_Ref180135376"/>
      <w:r/>
      <w:bookmarkStart w:id="52" w:name="_Toc199168202"/>
      <w:r>
        <w:rPr>
          <w:rFonts w:hint="eastAsia" w:ascii="宋体" w:hAnsi="宋体" w:eastAsia="宋体"/>
          <w:b w:val="0"/>
        </w:rPr>
        <w:t xml:space="preserve">10.偏离表（商务）：</w:t>
      </w:r>
      <w:bookmarkEnd w:id="47"/>
      <w:r/>
      <w:bookmarkEnd w:id="48"/>
      <w:r/>
      <w:bookmarkEnd w:id="50"/>
      <w:r/>
      <w:bookmarkEnd w:id="51"/>
      <w:r/>
      <w:bookmarkEnd w:id="52"/>
      <w:r>
        <w:rPr>
          <w:rFonts w:ascii="宋体" w:hAnsi="宋体" w:eastAsia="宋体"/>
          <w:b w:val="0"/>
        </w:rPr>
      </w:r>
      <w:r/>
    </w:p>
    <w:tbl>
      <w:tblPr>
        <w:tblW w:w="0" w:type="auto"/>
        <w:tblInd w:w="-1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130"/>
        <w:gridCol w:w="2130"/>
        <w:gridCol w:w="1944"/>
        <w:gridCol w:w="2318"/>
      </w:tblGrid>
      <w:tr>
        <w:trPr/>
        <w:tc>
          <w:tcPr>
            <w:tcW w:w="2130" w:type="dxa"/>
            <w:vAlign w:val="top"/>
            <w:textDirection w:val="lrTb"/>
            <w:noWrap w:val="false"/>
          </w:tcPr>
          <w:p>
            <w:pPr>
              <w:pStyle w:val="906"/>
              <w:ind w:firstLine="0"/>
              <w:jc w:val="center"/>
              <w:spacing w:line="360" w:lineRule="auto"/>
              <w:rPr>
                <w:rFonts w:ascii="宋体" w:hAnsi="宋体" w:eastAsia="宋体"/>
              </w:rPr>
            </w:pPr>
            <w:r>
              <w:rPr>
                <w:rFonts w:hint="eastAsia" w:ascii="宋体" w:hAnsi="宋体" w:eastAsia="宋体"/>
              </w:rPr>
              <w:t xml:space="preserve">项      目</w:t>
            </w:r>
            <w:r>
              <w:rPr>
                <w:rFonts w:ascii="宋体" w:hAnsi="宋体" w:eastAsia="宋体"/>
              </w:rPr>
            </w:r>
            <w:r/>
          </w:p>
        </w:tc>
        <w:tc>
          <w:tcPr>
            <w:tcW w:w="2130" w:type="dxa"/>
            <w:vAlign w:val="top"/>
            <w:textDirection w:val="lrTb"/>
            <w:noWrap w:val="false"/>
          </w:tcPr>
          <w:p>
            <w:pPr>
              <w:pStyle w:val="906"/>
              <w:ind w:firstLine="0"/>
              <w:jc w:val="center"/>
              <w:spacing w:line="360" w:lineRule="auto"/>
              <w:rPr>
                <w:rFonts w:ascii="宋体" w:hAnsi="宋体" w:eastAsia="宋体"/>
              </w:rPr>
            </w:pPr>
            <w:r>
              <w:rPr>
                <w:rFonts w:hint="eastAsia" w:ascii="宋体" w:hAnsi="宋体" w:eastAsia="宋体"/>
              </w:rPr>
              <w:t xml:space="preserve">招标要求（详见招标文件）</w:t>
            </w:r>
            <w:r>
              <w:rPr>
                <w:rFonts w:ascii="宋体" w:hAnsi="宋体" w:eastAsia="宋体"/>
              </w:rPr>
            </w:r>
            <w:r/>
          </w:p>
        </w:tc>
        <w:tc>
          <w:tcPr>
            <w:tcW w:w="1944" w:type="dxa"/>
            <w:vAlign w:val="top"/>
            <w:textDirection w:val="lrTb"/>
            <w:noWrap w:val="false"/>
          </w:tcPr>
          <w:p>
            <w:pPr>
              <w:pStyle w:val="906"/>
              <w:ind w:firstLine="0"/>
              <w:jc w:val="center"/>
              <w:spacing w:line="360" w:lineRule="auto"/>
              <w:rPr>
                <w:rFonts w:ascii="宋体" w:hAnsi="宋体" w:eastAsia="宋体"/>
              </w:rPr>
            </w:pPr>
            <w:r>
              <w:rPr>
                <w:rFonts w:hint="eastAsia" w:ascii="宋体" w:hAnsi="宋体" w:eastAsia="宋体"/>
              </w:rPr>
              <w:t xml:space="preserve">投标内容（响应情况）</w:t>
            </w:r>
            <w:r>
              <w:rPr>
                <w:rFonts w:ascii="宋体" w:hAnsi="宋体" w:eastAsia="宋体"/>
              </w:rPr>
            </w:r>
            <w:r/>
          </w:p>
        </w:tc>
        <w:tc>
          <w:tcPr>
            <w:tcW w:w="2318" w:type="dxa"/>
            <w:vAlign w:val="top"/>
            <w:textDirection w:val="lrTb"/>
            <w:noWrap w:val="false"/>
          </w:tcPr>
          <w:p>
            <w:pPr>
              <w:pStyle w:val="906"/>
              <w:ind w:firstLine="0"/>
              <w:jc w:val="center"/>
              <w:spacing w:line="360" w:lineRule="auto"/>
              <w:rPr>
                <w:rFonts w:ascii="宋体" w:hAnsi="宋体" w:eastAsia="宋体"/>
              </w:rPr>
            </w:pPr>
            <w:r>
              <w:rPr>
                <w:rFonts w:hint="eastAsia" w:ascii="宋体" w:hAnsi="宋体" w:eastAsia="宋体"/>
              </w:rPr>
              <w:t xml:space="preserve">偏离说明（正偏离、无偏离、负偏离）</w:t>
            </w:r>
            <w:r>
              <w:rPr>
                <w:rFonts w:ascii="宋体" w:hAnsi="宋体" w:eastAsia="宋体"/>
              </w:rPr>
            </w:r>
            <w:r/>
          </w:p>
        </w:tc>
      </w:tr>
      <w:tr>
        <w:trPr/>
        <w:tc>
          <w:tcPr>
            <w:tcW w:w="2130" w:type="dxa"/>
            <w:vAlign w:val="top"/>
            <w:textDirection w:val="lrTb"/>
            <w:noWrap w:val="false"/>
          </w:tcPr>
          <w:p>
            <w:pPr>
              <w:pStyle w:val="906"/>
              <w:ind w:firstLine="0"/>
              <w:jc w:val="center"/>
              <w:spacing w:line="360" w:lineRule="auto"/>
              <w:rPr>
                <w:rFonts w:ascii="宋体" w:hAnsi="宋体" w:eastAsia="宋体"/>
              </w:rPr>
            </w:pPr>
            <w:r>
              <w:rPr>
                <w:rFonts w:hint="eastAsia" w:ascii="宋体" w:hAnsi="宋体" w:eastAsia="宋体"/>
              </w:rPr>
              <w:t xml:space="preserve">工期（服务期）</w:t>
            </w:r>
            <w:r>
              <w:rPr>
                <w:rFonts w:ascii="宋体" w:hAnsi="宋体" w:eastAsia="宋体"/>
              </w:rPr>
            </w:r>
            <w:r/>
          </w:p>
        </w:tc>
        <w:tc>
          <w:tcPr>
            <w:tcW w:w="2130" w:type="dxa"/>
            <w:vAlign w:val="top"/>
            <w:textDirection w:val="lrTb"/>
            <w:noWrap w:val="false"/>
          </w:tcPr>
          <w:p>
            <w:pPr>
              <w:pStyle w:val="906"/>
              <w:ind w:firstLine="0"/>
              <w:spacing w:line="360" w:lineRule="auto"/>
              <w:rPr>
                <w:rFonts w:ascii="宋体" w:hAnsi="宋体" w:eastAsia="宋体"/>
              </w:rPr>
            </w:pPr>
            <w:r>
              <w:rPr>
                <w:rFonts w:ascii="宋体" w:hAnsi="宋体" w:eastAsia="宋体"/>
              </w:rPr>
            </w:r>
            <w:r/>
          </w:p>
        </w:tc>
        <w:tc>
          <w:tcPr>
            <w:tcW w:w="1944" w:type="dxa"/>
            <w:vAlign w:val="top"/>
            <w:textDirection w:val="lrTb"/>
            <w:noWrap w:val="false"/>
          </w:tcPr>
          <w:p>
            <w:pPr>
              <w:pStyle w:val="906"/>
              <w:ind w:firstLine="0"/>
              <w:spacing w:line="360" w:lineRule="auto"/>
              <w:rPr>
                <w:rFonts w:ascii="宋体" w:hAnsi="宋体" w:eastAsia="宋体"/>
              </w:rPr>
            </w:pPr>
            <w:r>
              <w:rPr>
                <w:rFonts w:ascii="宋体" w:hAnsi="宋体" w:eastAsia="宋体"/>
              </w:rPr>
            </w:r>
            <w:r/>
          </w:p>
        </w:tc>
        <w:tc>
          <w:tcPr>
            <w:tcW w:w="2318" w:type="dxa"/>
            <w:vAlign w:val="top"/>
            <w:textDirection w:val="lrTb"/>
            <w:noWrap w:val="false"/>
          </w:tcPr>
          <w:p>
            <w:pPr>
              <w:pStyle w:val="906"/>
              <w:ind w:firstLine="0"/>
              <w:spacing w:line="360" w:lineRule="auto"/>
              <w:rPr>
                <w:rFonts w:ascii="宋体" w:hAnsi="宋体" w:eastAsia="宋体"/>
              </w:rPr>
            </w:pPr>
            <w:r>
              <w:rPr>
                <w:rFonts w:ascii="宋体" w:hAnsi="宋体" w:eastAsia="宋体"/>
              </w:rPr>
            </w:r>
            <w:r/>
          </w:p>
        </w:tc>
      </w:tr>
      <w:tr>
        <w:trPr/>
        <w:tc>
          <w:tcPr>
            <w:tcW w:w="2130" w:type="dxa"/>
            <w:vAlign w:val="top"/>
            <w:textDirection w:val="lrTb"/>
            <w:noWrap w:val="false"/>
          </w:tcPr>
          <w:p>
            <w:pPr>
              <w:pStyle w:val="906"/>
              <w:ind w:firstLine="0"/>
              <w:spacing w:line="360" w:lineRule="auto"/>
              <w:rPr>
                <w:rFonts w:ascii="宋体" w:hAnsi="宋体" w:eastAsia="宋体"/>
              </w:rPr>
            </w:pPr>
            <w:r>
              <w:rPr>
                <w:rFonts w:hint="eastAsia" w:ascii="宋体" w:hAnsi="宋体" w:eastAsia="宋体"/>
              </w:rPr>
              <w:t xml:space="preserve">响应时间</w:t>
            </w:r>
            <w:r>
              <w:rPr>
                <w:rFonts w:ascii="宋体" w:hAnsi="宋体" w:eastAsia="宋体"/>
              </w:rPr>
            </w:r>
            <w:r/>
          </w:p>
        </w:tc>
        <w:tc>
          <w:tcPr>
            <w:tcW w:w="2130" w:type="dxa"/>
            <w:vAlign w:val="top"/>
            <w:textDirection w:val="lrTb"/>
            <w:noWrap w:val="false"/>
          </w:tcPr>
          <w:p>
            <w:pPr>
              <w:pStyle w:val="906"/>
              <w:ind w:firstLine="0"/>
              <w:spacing w:line="360" w:lineRule="auto"/>
              <w:rPr>
                <w:rFonts w:ascii="宋体" w:hAnsi="宋体" w:eastAsia="宋体"/>
              </w:rPr>
            </w:pPr>
            <w:r>
              <w:rPr>
                <w:rFonts w:ascii="宋体" w:hAnsi="宋体" w:eastAsia="宋体"/>
              </w:rPr>
            </w:r>
            <w:r/>
          </w:p>
        </w:tc>
        <w:tc>
          <w:tcPr>
            <w:tcW w:w="1944" w:type="dxa"/>
            <w:vAlign w:val="top"/>
            <w:textDirection w:val="lrTb"/>
            <w:noWrap w:val="false"/>
          </w:tcPr>
          <w:p>
            <w:pPr>
              <w:pStyle w:val="906"/>
              <w:ind w:firstLine="0"/>
              <w:spacing w:line="360" w:lineRule="auto"/>
              <w:rPr>
                <w:rFonts w:ascii="宋体" w:hAnsi="宋体" w:eastAsia="宋体"/>
              </w:rPr>
            </w:pPr>
            <w:r>
              <w:rPr>
                <w:rFonts w:ascii="宋体" w:hAnsi="宋体" w:eastAsia="宋体"/>
              </w:rPr>
            </w:r>
            <w:r/>
          </w:p>
        </w:tc>
        <w:tc>
          <w:tcPr>
            <w:tcW w:w="2318" w:type="dxa"/>
            <w:vAlign w:val="top"/>
            <w:textDirection w:val="lrTb"/>
            <w:noWrap w:val="false"/>
          </w:tcPr>
          <w:p>
            <w:pPr>
              <w:pStyle w:val="906"/>
              <w:ind w:firstLine="0"/>
              <w:spacing w:line="360" w:lineRule="auto"/>
              <w:rPr>
                <w:rFonts w:ascii="宋体" w:hAnsi="宋体" w:eastAsia="宋体"/>
              </w:rPr>
            </w:pPr>
            <w:r>
              <w:rPr>
                <w:rFonts w:ascii="宋体" w:hAnsi="宋体" w:eastAsia="宋体"/>
              </w:rPr>
            </w:r>
            <w:r/>
          </w:p>
        </w:tc>
      </w:tr>
      <w:tr>
        <w:trPr/>
        <w:tc>
          <w:tcPr>
            <w:tcW w:w="2130" w:type="dxa"/>
            <w:vAlign w:val="top"/>
            <w:textDirection w:val="lrTb"/>
            <w:noWrap w:val="false"/>
          </w:tcPr>
          <w:p>
            <w:pPr>
              <w:pStyle w:val="906"/>
              <w:ind w:firstLine="0"/>
              <w:spacing w:line="360" w:lineRule="auto"/>
              <w:rPr>
                <w:rFonts w:ascii="宋体" w:hAnsi="宋体" w:eastAsia="宋体"/>
              </w:rPr>
            </w:pPr>
            <w:r>
              <w:rPr>
                <w:rFonts w:hint="eastAsia" w:ascii="宋体" w:hAnsi="宋体" w:eastAsia="宋体"/>
              </w:rPr>
              <w:t xml:space="preserve">质保期（如有）</w:t>
            </w:r>
            <w:r>
              <w:rPr>
                <w:rFonts w:ascii="宋体" w:hAnsi="宋体" w:eastAsia="宋体"/>
              </w:rPr>
            </w:r>
            <w:r/>
          </w:p>
        </w:tc>
        <w:tc>
          <w:tcPr>
            <w:tcW w:w="2130" w:type="dxa"/>
            <w:vAlign w:val="top"/>
            <w:textDirection w:val="lrTb"/>
            <w:noWrap w:val="false"/>
          </w:tcPr>
          <w:p>
            <w:pPr>
              <w:pStyle w:val="906"/>
              <w:ind w:firstLine="0"/>
              <w:spacing w:line="360" w:lineRule="auto"/>
              <w:rPr>
                <w:rFonts w:ascii="宋体" w:hAnsi="宋体" w:eastAsia="宋体"/>
              </w:rPr>
            </w:pPr>
            <w:r>
              <w:rPr>
                <w:rFonts w:ascii="宋体" w:hAnsi="宋体" w:eastAsia="宋体"/>
              </w:rPr>
            </w:r>
            <w:r/>
          </w:p>
        </w:tc>
        <w:tc>
          <w:tcPr>
            <w:tcW w:w="1944" w:type="dxa"/>
            <w:vAlign w:val="top"/>
            <w:textDirection w:val="lrTb"/>
            <w:noWrap w:val="false"/>
          </w:tcPr>
          <w:p>
            <w:pPr>
              <w:pStyle w:val="906"/>
              <w:ind w:firstLine="0"/>
              <w:spacing w:line="360" w:lineRule="auto"/>
              <w:rPr>
                <w:rFonts w:ascii="宋体" w:hAnsi="宋体" w:eastAsia="宋体"/>
              </w:rPr>
            </w:pPr>
            <w:r>
              <w:rPr>
                <w:rFonts w:ascii="宋体" w:hAnsi="宋体" w:eastAsia="宋体"/>
              </w:rPr>
            </w:r>
            <w:r/>
          </w:p>
        </w:tc>
        <w:tc>
          <w:tcPr>
            <w:tcW w:w="2318" w:type="dxa"/>
            <w:vAlign w:val="top"/>
            <w:textDirection w:val="lrTb"/>
            <w:noWrap w:val="false"/>
          </w:tcPr>
          <w:p>
            <w:pPr>
              <w:pStyle w:val="906"/>
              <w:ind w:firstLine="0"/>
              <w:spacing w:line="360" w:lineRule="auto"/>
              <w:rPr>
                <w:rFonts w:ascii="宋体" w:hAnsi="宋体" w:eastAsia="宋体"/>
              </w:rPr>
            </w:pPr>
            <w:r>
              <w:rPr>
                <w:rFonts w:ascii="宋体" w:hAnsi="宋体" w:eastAsia="宋体"/>
              </w:rPr>
            </w:r>
            <w:r/>
          </w:p>
        </w:tc>
      </w:tr>
      <w:tr>
        <w:trPr/>
        <w:tc>
          <w:tcPr>
            <w:tcW w:w="2130" w:type="dxa"/>
            <w:vAlign w:val="top"/>
            <w:textDirection w:val="lrTb"/>
            <w:noWrap w:val="false"/>
          </w:tcPr>
          <w:p>
            <w:pPr>
              <w:pStyle w:val="906"/>
              <w:ind w:firstLine="0"/>
              <w:spacing w:line="360" w:lineRule="auto"/>
              <w:rPr>
                <w:rFonts w:ascii="宋体" w:hAnsi="宋体" w:eastAsia="宋体"/>
              </w:rPr>
            </w:pPr>
            <w:r>
              <w:rPr>
                <w:rFonts w:hint="eastAsia" w:ascii="宋体" w:hAnsi="宋体" w:eastAsia="宋体"/>
              </w:rPr>
              <w:t xml:space="preserve">付款方式</w:t>
            </w:r>
            <w:r>
              <w:rPr>
                <w:rFonts w:ascii="宋体" w:hAnsi="宋体" w:eastAsia="宋体"/>
              </w:rPr>
            </w:r>
            <w:r/>
          </w:p>
        </w:tc>
        <w:tc>
          <w:tcPr>
            <w:tcW w:w="2130" w:type="dxa"/>
            <w:vAlign w:val="top"/>
            <w:textDirection w:val="lrTb"/>
            <w:noWrap w:val="false"/>
          </w:tcPr>
          <w:p>
            <w:pPr>
              <w:pStyle w:val="906"/>
              <w:ind w:firstLine="0"/>
              <w:spacing w:line="360" w:lineRule="auto"/>
              <w:rPr>
                <w:rFonts w:ascii="宋体" w:hAnsi="宋体" w:eastAsia="宋体"/>
              </w:rPr>
            </w:pPr>
            <w:r>
              <w:rPr>
                <w:rFonts w:ascii="宋体" w:hAnsi="宋体" w:eastAsia="宋体"/>
              </w:rPr>
            </w:r>
            <w:r/>
          </w:p>
        </w:tc>
        <w:tc>
          <w:tcPr>
            <w:tcW w:w="1944" w:type="dxa"/>
            <w:vAlign w:val="top"/>
            <w:textDirection w:val="lrTb"/>
            <w:noWrap w:val="false"/>
          </w:tcPr>
          <w:p>
            <w:pPr>
              <w:pStyle w:val="906"/>
              <w:ind w:firstLine="0"/>
              <w:spacing w:line="360" w:lineRule="auto"/>
              <w:rPr>
                <w:rFonts w:ascii="宋体" w:hAnsi="宋体" w:eastAsia="宋体"/>
              </w:rPr>
            </w:pPr>
            <w:r>
              <w:rPr>
                <w:rFonts w:ascii="宋体" w:hAnsi="宋体" w:eastAsia="宋体"/>
              </w:rPr>
            </w:r>
            <w:r/>
          </w:p>
        </w:tc>
        <w:tc>
          <w:tcPr>
            <w:tcW w:w="2318" w:type="dxa"/>
            <w:vAlign w:val="top"/>
            <w:textDirection w:val="lrTb"/>
            <w:noWrap w:val="false"/>
          </w:tcPr>
          <w:p>
            <w:pPr>
              <w:pStyle w:val="906"/>
              <w:ind w:firstLine="0"/>
              <w:spacing w:line="360" w:lineRule="auto"/>
              <w:rPr>
                <w:rFonts w:ascii="宋体" w:hAnsi="宋体" w:eastAsia="宋体"/>
              </w:rPr>
            </w:pPr>
            <w:r>
              <w:rPr>
                <w:rFonts w:ascii="宋体" w:hAnsi="宋体" w:eastAsia="宋体"/>
              </w:rPr>
            </w:r>
            <w:r/>
          </w:p>
        </w:tc>
      </w:tr>
      <w:tr>
        <w:trPr/>
        <w:tc>
          <w:tcPr>
            <w:tcW w:w="2130" w:type="dxa"/>
            <w:vAlign w:val="top"/>
            <w:textDirection w:val="lrTb"/>
            <w:noWrap w:val="false"/>
          </w:tcPr>
          <w:p>
            <w:pPr>
              <w:pStyle w:val="906"/>
              <w:ind w:firstLine="0"/>
              <w:spacing w:line="360" w:lineRule="auto"/>
              <w:rPr>
                <w:rFonts w:ascii="宋体" w:hAnsi="宋体" w:eastAsia="宋体"/>
              </w:rPr>
            </w:pPr>
            <w:r>
              <w:rPr>
                <w:rFonts w:ascii="宋体" w:hAnsi="宋体" w:eastAsia="宋体"/>
              </w:rPr>
            </w:r>
            <w:r/>
          </w:p>
        </w:tc>
        <w:tc>
          <w:tcPr>
            <w:tcW w:w="2130" w:type="dxa"/>
            <w:vAlign w:val="top"/>
            <w:textDirection w:val="lrTb"/>
            <w:noWrap w:val="false"/>
          </w:tcPr>
          <w:p>
            <w:pPr>
              <w:pStyle w:val="906"/>
              <w:ind w:firstLine="0"/>
              <w:spacing w:line="360" w:lineRule="auto"/>
              <w:rPr>
                <w:rFonts w:ascii="宋体" w:hAnsi="宋体" w:eastAsia="宋体"/>
              </w:rPr>
            </w:pPr>
            <w:r>
              <w:rPr>
                <w:rFonts w:ascii="宋体" w:hAnsi="宋体" w:eastAsia="宋体"/>
              </w:rPr>
            </w:r>
            <w:r/>
          </w:p>
        </w:tc>
        <w:tc>
          <w:tcPr>
            <w:tcW w:w="1944" w:type="dxa"/>
            <w:vAlign w:val="top"/>
            <w:textDirection w:val="lrTb"/>
            <w:noWrap w:val="false"/>
          </w:tcPr>
          <w:p>
            <w:pPr>
              <w:pStyle w:val="906"/>
              <w:ind w:firstLine="0"/>
              <w:spacing w:line="360" w:lineRule="auto"/>
              <w:rPr>
                <w:rFonts w:ascii="宋体" w:hAnsi="宋体" w:eastAsia="宋体"/>
              </w:rPr>
            </w:pPr>
            <w:r>
              <w:rPr>
                <w:rFonts w:ascii="宋体" w:hAnsi="宋体" w:eastAsia="宋体"/>
              </w:rPr>
            </w:r>
            <w:r/>
          </w:p>
        </w:tc>
        <w:tc>
          <w:tcPr>
            <w:tcW w:w="2318" w:type="dxa"/>
            <w:vAlign w:val="top"/>
            <w:textDirection w:val="lrTb"/>
            <w:noWrap w:val="false"/>
          </w:tcPr>
          <w:p>
            <w:pPr>
              <w:pStyle w:val="906"/>
              <w:ind w:firstLine="0"/>
              <w:spacing w:line="360" w:lineRule="auto"/>
              <w:rPr>
                <w:rFonts w:ascii="宋体" w:hAnsi="宋体" w:eastAsia="宋体"/>
              </w:rPr>
            </w:pPr>
            <w:r>
              <w:rPr>
                <w:rFonts w:ascii="宋体" w:hAnsi="宋体" w:eastAsia="宋体"/>
              </w:rPr>
            </w:r>
            <w:r/>
          </w:p>
        </w:tc>
      </w:tr>
    </w:tbl>
    <w:p>
      <w:pPr>
        <w:pStyle w:val="906"/>
        <w:ind w:firstLine="0"/>
        <w:spacing w:line="360" w:lineRule="auto"/>
        <w:rPr>
          <w:rFonts w:ascii="宋体" w:hAnsi="宋体" w:eastAsia="宋体"/>
        </w:rPr>
      </w:pPr>
      <w:r>
        <w:rPr>
          <w:rFonts w:hint="eastAsia" w:ascii="宋体" w:hAnsi="宋体" w:eastAsia="宋体"/>
        </w:rPr>
        <w:t xml:space="preserve">投标人（单位盖章）：</w:t>
      </w:r>
      <w:r>
        <w:rPr>
          <w:rFonts w:ascii="宋体" w:hAnsi="宋体" w:eastAsia="宋体"/>
        </w:rPr>
      </w:r>
      <w:r/>
    </w:p>
    <w:p>
      <w:pPr>
        <w:pStyle w:val="906"/>
        <w:ind w:firstLine="0"/>
        <w:spacing w:line="360" w:lineRule="auto"/>
        <w:rPr>
          <w:rFonts w:ascii="宋体" w:hAnsi="宋体" w:eastAsia="宋体"/>
        </w:rPr>
      </w:pPr>
      <w:r>
        <w:rPr>
          <w:rFonts w:hint="eastAsia" w:ascii="宋体" w:hAnsi="宋体" w:eastAsia="宋体"/>
        </w:rPr>
        <w:t xml:space="preserve">法定代表人或被授权人（签字或盖章）：                         年  月  日</w:t>
      </w:r>
      <w:r>
        <w:rPr>
          <w:rFonts w:ascii="宋体" w:hAnsi="宋体" w:eastAsia="宋体"/>
        </w:rPr>
      </w:r>
      <w:r/>
    </w:p>
    <w:p>
      <w:pPr>
        <w:pStyle w:val="888"/>
        <w:spacing w:line="416" w:lineRule="auto"/>
        <w:rPr>
          <w:rFonts w:ascii="宋体" w:hAnsi="宋体" w:eastAsia="宋体"/>
          <w:b w:val="0"/>
        </w:rPr>
      </w:pPr>
      <w:r/>
      <w:bookmarkStart w:id="53" w:name="_Ref501489596"/>
      <w:r/>
      <w:bookmarkStart w:id="54" w:name="_Toc199168203"/>
      <w:r>
        <w:rPr>
          <w:rFonts w:hint="eastAsia" w:ascii="宋体" w:hAnsi="宋体" w:eastAsia="宋体"/>
          <w:b w:val="0"/>
        </w:rPr>
        <w:t xml:space="preserve">11.偏离表（技术）：</w:t>
      </w:r>
      <w:bookmarkEnd w:id="53"/>
      <w:r/>
      <w:bookmarkEnd w:id="54"/>
      <w:r>
        <w:rPr>
          <w:rFonts w:ascii="宋体" w:hAnsi="宋体" w:eastAsia="宋体"/>
          <w:b w:val="0"/>
        </w:rPr>
      </w:r>
      <w:r/>
    </w:p>
    <w:tbl>
      <w:tblPr>
        <w:tblW w:w="0" w:type="auto"/>
        <w:tblInd w:w="-1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130"/>
        <w:gridCol w:w="2130"/>
        <w:gridCol w:w="1944"/>
        <w:gridCol w:w="2318"/>
      </w:tblGrid>
      <w:tr>
        <w:trPr/>
        <w:tc>
          <w:tcPr>
            <w:tcW w:w="2130" w:type="dxa"/>
            <w:vAlign w:val="top"/>
            <w:textDirection w:val="lrTb"/>
            <w:noWrap w:val="false"/>
          </w:tcPr>
          <w:p>
            <w:pPr>
              <w:pStyle w:val="906"/>
              <w:ind w:firstLine="0"/>
              <w:jc w:val="center"/>
              <w:spacing w:line="360" w:lineRule="auto"/>
              <w:rPr>
                <w:rFonts w:ascii="宋体" w:hAnsi="宋体" w:eastAsia="宋体"/>
              </w:rPr>
            </w:pPr>
            <w:r>
              <w:rPr>
                <w:rFonts w:hint="eastAsia" w:ascii="宋体" w:hAnsi="宋体" w:eastAsia="宋体"/>
              </w:rPr>
              <w:t xml:space="preserve">项      目</w:t>
            </w:r>
            <w:r>
              <w:rPr>
                <w:rFonts w:ascii="宋体" w:hAnsi="宋体" w:eastAsia="宋体"/>
              </w:rPr>
            </w:r>
            <w:r/>
          </w:p>
        </w:tc>
        <w:tc>
          <w:tcPr>
            <w:tcW w:w="2130" w:type="dxa"/>
            <w:vAlign w:val="top"/>
            <w:textDirection w:val="lrTb"/>
            <w:noWrap w:val="false"/>
          </w:tcPr>
          <w:p>
            <w:pPr>
              <w:pStyle w:val="906"/>
              <w:ind w:firstLine="0"/>
              <w:jc w:val="center"/>
              <w:spacing w:line="360" w:lineRule="auto"/>
              <w:rPr>
                <w:rFonts w:ascii="宋体" w:hAnsi="宋体" w:eastAsia="宋体"/>
              </w:rPr>
            </w:pPr>
            <w:r>
              <w:rPr>
                <w:rFonts w:hint="eastAsia" w:ascii="宋体" w:hAnsi="宋体" w:eastAsia="宋体"/>
              </w:rPr>
              <w:t xml:space="preserve">招标要求（详见招标文件）</w:t>
            </w:r>
            <w:r>
              <w:rPr>
                <w:rFonts w:ascii="宋体" w:hAnsi="宋体" w:eastAsia="宋体"/>
              </w:rPr>
            </w:r>
            <w:r/>
          </w:p>
        </w:tc>
        <w:tc>
          <w:tcPr>
            <w:tcW w:w="1944" w:type="dxa"/>
            <w:vAlign w:val="top"/>
            <w:textDirection w:val="lrTb"/>
            <w:noWrap w:val="false"/>
          </w:tcPr>
          <w:p>
            <w:pPr>
              <w:pStyle w:val="906"/>
              <w:ind w:firstLine="0"/>
              <w:jc w:val="center"/>
              <w:spacing w:line="360" w:lineRule="auto"/>
              <w:rPr>
                <w:rFonts w:ascii="宋体" w:hAnsi="宋体" w:eastAsia="宋体"/>
              </w:rPr>
            </w:pPr>
            <w:r>
              <w:rPr>
                <w:rFonts w:hint="eastAsia" w:ascii="宋体" w:hAnsi="宋体" w:eastAsia="宋体"/>
              </w:rPr>
              <w:t xml:space="preserve">投标内容（响应情况）</w:t>
            </w:r>
            <w:r>
              <w:rPr>
                <w:rFonts w:ascii="宋体" w:hAnsi="宋体" w:eastAsia="宋体"/>
              </w:rPr>
            </w:r>
            <w:r/>
          </w:p>
        </w:tc>
        <w:tc>
          <w:tcPr>
            <w:tcW w:w="2318" w:type="dxa"/>
            <w:vAlign w:val="top"/>
            <w:textDirection w:val="lrTb"/>
            <w:noWrap w:val="false"/>
          </w:tcPr>
          <w:p>
            <w:pPr>
              <w:pStyle w:val="906"/>
              <w:ind w:firstLine="0"/>
              <w:jc w:val="center"/>
              <w:spacing w:line="360" w:lineRule="auto"/>
              <w:rPr>
                <w:rFonts w:ascii="宋体" w:hAnsi="宋体" w:eastAsia="宋体"/>
              </w:rPr>
            </w:pPr>
            <w:r>
              <w:rPr>
                <w:rFonts w:hint="eastAsia" w:ascii="宋体" w:hAnsi="宋体" w:eastAsia="宋体"/>
              </w:rPr>
              <w:t xml:space="preserve">偏离说明（正偏离、无偏离、负偏离）</w:t>
            </w:r>
            <w:r>
              <w:rPr>
                <w:rFonts w:ascii="宋体" w:hAnsi="宋体" w:eastAsia="宋体"/>
              </w:rPr>
            </w:r>
            <w:r/>
          </w:p>
        </w:tc>
      </w:tr>
      <w:tr>
        <w:trPr/>
        <w:tc>
          <w:tcPr>
            <w:tcW w:w="2130" w:type="dxa"/>
            <w:vAlign w:val="top"/>
            <w:textDirection w:val="lrTb"/>
            <w:noWrap w:val="false"/>
          </w:tcPr>
          <w:p>
            <w:pPr>
              <w:pStyle w:val="906"/>
              <w:ind w:firstLine="0"/>
              <w:jc w:val="center"/>
              <w:spacing w:line="360" w:lineRule="auto"/>
              <w:rPr>
                <w:rFonts w:ascii="宋体" w:hAnsi="宋体" w:eastAsia="宋体"/>
              </w:rPr>
            </w:pPr>
            <w:r>
              <w:rPr>
                <w:rFonts w:hint="eastAsia" w:ascii="宋体" w:hAnsi="宋体" w:eastAsia="宋体"/>
              </w:rPr>
              <w:t xml:space="preserve">标的物</w:t>
            </w:r>
            <w:r>
              <w:rPr>
                <w:rFonts w:ascii="宋体" w:hAnsi="宋体" w:eastAsia="宋体"/>
              </w:rPr>
            </w:r>
            <w:r/>
          </w:p>
        </w:tc>
        <w:tc>
          <w:tcPr>
            <w:tcW w:w="2130" w:type="dxa"/>
            <w:vAlign w:val="top"/>
            <w:textDirection w:val="lrTb"/>
            <w:noWrap w:val="false"/>
          </w:tcPr>
          <w:p>
            <w:pPr>
              <w:pStyle w:val="906"/>
              <w:ind w:firstLine="0"/>
              <w:spacing w:line="360" w:lineRule="auto"/>
              <w:rPr>
                <w:rFonts w:ascii="宋体" w:hAnsi="宋体" w:eastAsia="宋体"/>
              </w:rPr>
            </w:pPr>
            <w:r>
              <w:rPr>
                <w:rFonts w:ascii="宋体" w:hAnsi="宋体" w:eastAsia="宋体"/>
              </w:rPr>
            </w:r>
            <w:r/>
          </w:p>
        </w:tc>
        <w:tc>
          <w:tcPr>
            <w:tcW w:w="1944" w:type="dxa"/>
            <w:vAlign w:val="top"/>
            <w:textDirection w:val="lrTb"/>
            <w:noWrap w:val="false"/>
          </w:tcPr>
          <w:p>
            <w:pPr>
              <w:pStyle w:val="906"/>
              <w:ind w:firstLine="0"/>
              <w:spacing w:line="360" w:lineRule="auto"/>
              <w:rPr>
                <w:rFonts w:ascii="宋体" w:hAnsi="宋体" w:eastAsia="宋体"/>
              </w:rPr>
            </w:pPr>
            <w:r>
              <w:rPr>
                <w:rFonts w:ascii="宋体" w:hAnsi="宋体" w:eastAsia="宋体"/>
              </w:rPr>
            </w:r>
            <w:r/>
          </w:p>
        </w:tc>
        <w:tc>
          <w:tcPr>
            <w:tcW w:w="2318" w:type="dxa"/>
            <w:vAlign w:val="top"/>
            <w:textDirection w:val="lrTb"/>
            <w:noWrap w:val="false"/>
          </w:tcPr>
          <w:p>
            <w:pPr>
              <w:pStyle w:val="906"/>
              <w:ind w:firstLine="0"/>
              <w:spacing w:line="360" w:lineRule="auto"/>
              <w:rPr>
                <w:rFonts w:ascii="宋体" w:hAnsi="宋体" w:eastAsia="宋体"/>
              </w:rPr>
            </w:pPr>
            <w:r>
              <w:rPr>
                <w:rFonts w:ascii="宋体" w:hAnsi="宋体" w:eastAsia="宋体"/>
              </w:rPr>
            </w:r>
            <w:r/>
          </w:p>
        </w:tc>
      </w:tr>
      <w:tr>
        <w:trPr/>
        <w:tc>
          <w:tcPr>
            <w:tcW w:w="2130" w:type="dxa"/>
            <w:vAlign w:val="top"/>
            <w:textDirection w:val="lrTb"/>
            <w:noWrap w:val="false"/>
          </w:tcPr>
          <w:p>
            <w:pPr>
              <w:pStyle w:val="906"/>
              <w:ind w:firstLine="0"/>
              <w:spacing w:line="360" w:lineRule="auto"/>
              <w:rPr>
                <w:rFonts w:hint="eastAsia" w:ascii="宋体" w:hAnsi="宋体" w:eastAsia="宋体"/>
              </w:rPr>
            </w:pPr>
            <w:r>
              <w:rPr>
                <w:rFonts w:hint="eastAsia" w:ascii="宋体" w:hAnsi="宋体" w:eastAsia="宋体"/>
              </w:rPr>
              <w:t xml:space="preserve">…………</w:t>
            </w:r>
            <w:r/>
          </w:p>
        </w:tc>
        <w:tc>
          <w:tcPr>
            <w:tcW w:w="2130" w:type="dxa"/>
            <w:vAlign w:val="top"/>
            <w:textDirection w:val="lrTb"/>
            <w:noWrap w:val="false"/>
          </w:tcPr>
          <w:p>
            <w:pPr>
              <w:pStyle w:val="906"/>
              <w:ind w:firstLine="0"/>
              <w:spacing w:line="360" w:lineRule="auto"/>
              <w:rPr>
                <w:rFonts w:ascii="宋体" w:hAnsi="宋体" w:eastAsia="宋体"/>
              </w:rPr>
            </w:pPr>
            <w:r>
              <w:rPr>
                <w:rFonts w:ascii="宋体" w:hAnsi="宋体" w:eastAsia="宋体"/>
              </w:rPr>
            </w:r>
            <w:r/>
          </w:p>
        </w:tc>
        <w:tc>
          <w:tcPr>
            <w:tcW w:w="1944" w:type="dxa"/>
            <w:vAlign w:val="top"/>
            <w:textDirection w:val="lrTb"/>
            <w:noWrap w:val="false"/>
          </w:tcPr>
          <w:p>
            <w:pPr>
              <w:pStyle w:val="906"/>
              <w:ind w:firstLine="0"/>
              <w:spacing w:line="360" w:lineRule="auto"/>
              <w:rPr>
                <w:rFonts w:ascii="宋体" w:hAnsi="宋体" w:eastAsia="宋体"/>
              </w:rPr>
            </w:pPr>
            <w:r>
              <w:rPr>
                <w:rFonts w:ascii="宋体" w:hAnsi="宋体" w:eastAsia="宋体"/>
              </w:rPr>
            </w:r>
            <w:r/>
          </w:p>
        </w:tc>
        <w:tc>
          <w:tcPr>
            <w:tcW w:w="2318" w:type="dxa"/>
            <w:vAlign w:val="top"/>
            <w:textDirection w:val="lrTb"/>
            <w:noWrap w:val="false"/>
          </w:tcPr>
          <w:p>
            <w:pPr>
              <w:pStyle w:val="906"/>
              <w:ind w:firstLine="0"/>
              <w:spacing w:line="360" w:lineRule="auto"/>
              <w:rPr>
                <w:rFonts w:ascii="宋体" w:hAnsi="宋体" w:eastAsia="宋体"/>
              </w:rPr>
            </w:pPr>
            <w:r>
              <w:rPr>
                <w:rFonts w:ascii="宋体" w:hAnsi="宋体" w:eastAsia="宋体"/>
              </w:rPr>
            </w:r>
            <w:r/>
          </w:p>
        </w:tc>
      </w:tr>
      <w:tr>
        <w:trPr/>
        <w:tc>
          <w:tcPr>
            <w:tcW w:w="2130" w:type="dxa"/>
            <w:vAlign w:val="top"/>
            <w:textDirection w:val="lrTb"/>
            <w:noWrap w:val="false"/>
          </w:tcPr>
          <w:p>
            <w:pPr>
              <w:pStyle w:val="906"/>
              <w:ind w:firstLine="0"/>
              <w:spacing w:line="360" w:lineRule="auto"/>
              <w:rPr>
                <w:rFonts w:ascii="宋体" w:hAnsi="宋体" w:eastAsia="宋体"/>
              </w:rPr>
            </w:pPr>
            <w:r>
              <w:rPr>
                <w:rFonts w:hint="eastAsia" w:ascii="宋体" w:hAnsi="宋体" w:eastAsia="宋体"/>
              </w:rPr>
              <w:t xml:space="preserve">…………</w:t>
            </w:r>
            <w:r>
              <w:rPr>
                <w:rFonts w:ascii="宋体" w:hAnsi="宋体" w:eastAsia="宋体"/>
              </w:rPr>
            </w:r>
            <w:r/>
          </w:p>
        </w:tc>
        <w:tc>
          <w:tcPr>
            <w:tcW w:w="2130" w:type="dxa"/>
            <w:vAlign w:val="top"/>
            <w:textDirection w:val="lrTb"/>
            <w:noWrap w:val="false"/>
          </w:tcPr>
          <w:p>
            <w:pPr>
              <w:pStyle w:val="906"/>
              <w:ind w:firstLine="0"/>
              <w:spacing w:line="360" w:lineRule="auto"/>
              <w:rPr>
                <w:rFonts w:ascii="宋体" w:hAnsi="宋体" w:eastAsia="宋体"/>
              </w:rPr>
            </w:pPr>
            <w:r>
              <w:rPr>
                <w:rFonts w:ascii="宋体" w:hAnsi="宋体" w:eastAsia="宋体"/>
              </w:rPr>
            </w:r>
            <w:r/>
          </w:p>
        </w:tc>
        <w:tc>
          <w:tcPr>
            <w:tcW w:w="1944" w:type="dxa"/>
            <w:vAlign w:val="top"/>
            <w:textDirection w:val="lrTb"/>
            <w:noWrap w:val="false"/>
          </w:tcPr>
          <w:p>
            <w:pPr>
              <w:pStyle w:val="906"/>
              <w:ind w:firstLine="0"/>
              <w:spacing w:line="360" w:lineRule="auto"/>
              <w:rPr>
                <w:rFonts w:ascii="宋体" w:hAnsi="宋体" w:eastAsia="宋体"/>
              </w:rPr>
            </w:pPr>
            <w:r>
              <w:rPr>
                <w:rFonts w:ascii="宋体" w:hAnsi="宋体" w:eastAsia="宋体"/>
              </w:rPr>
            </w:r>
            <w:r/>
          </w:p>
        </w:tc>
        <w:tc>
          <w:tcPr>
            <w:tcW w:w="2318" w:type="dxa"/>
            <w:vAlign w:val="top"/>
            <w:textDirection w:val="lrTb"/>
            <w:noWrap w:val="false"/>
          </w:tcPr>
          <w:p>
            <w:pPr>
              <w:pStyle w:val="906"/>
              <w:ind w:firstLine="0"/>
              <w:spacing w:line="360" w:lineRule="auto"/>
              <w:rPr>
                <w:rFonts w:ascii="宋体" w:hAnsi="宋体" w:eastAsia="宋体"/>
              </w:rPr>
            </w:pPr>
            <w:r>
              <w:rPr>
                <w:rFonts w:ascii="宋体" w:hAnsi="宋体" w:eastAsia="宋体"/>
              </w:rPr>
            </w:r>
            <w:r/>
          </w:p>
        </w:tc>
      </w:tr>
      <w:tr>
        <w:trPr/>
        <w:tc>
          <w:tcPr>
            <w:tcW w:w="2130" w:type="dxa"/>
            <w:vAlign w:val="top"/>
            <w:textDirection w:val="lrTb"/>
            <w:noWrap w:val="false"/>
          </w:tcPr>
          <w:p>
            <w:pPr>
              <w:pStyle w:val="906"/>
              <w:ind w:firstLine="0"/>
              <w:spacing w:line="360" w:lineRule="auto"/>
              <w:rPr>
                <w:rFonts w:ascii="宋体" w:hAnsi="宋体" w:eastAsia="宋体"/>
              </w:rPr>
            </w:pPr>
            <w:r>
              <w:rPr>
                <w:rFonts w:hint="eastAsia" w:ascii="宋体" w:hAnsi="宋体" w:eastAsia="宋体"/>
              </w:rPr>
              <w:t xml:space="preserve">…………</w:t>
            </w:r>
            <w:r>
              <w:rPr>
                <w:rFonts w:ascii="宋体" w:hAnsi="宋体" w:eastAsia="宋体"/>
              </w:rPr>
            </w:r>
            <w:r/>
          </w:p>
        </w:tc>
        <w:tc>
          <w:tcPr>
            <w:tcW w:w="2130" w:type="dxa"/>
            <w:vAlign w:val="top"/>
            <w:textDirection w:val="lrTb"/>
            <w:noWrap w:val="false"/>
          </w:tcPr>
          <w:p>
            <w:pPr>
              <w:pStyle w:val="906"/>
              <w:ind w:firstLine="0"/>
              <w:spacing w:line="360" w:lineRule="auto"/>
              <w:rPr>
                <w:rFonts w:ascii="宋体" w:hAnsi="宋体" w:eastAsia="宋体"/>
              </w:rPr>
            </w:pPr>
            <w:r>
              <w:rPr>
                <w:rFonts w:ascii="宋体" w:hAnsi="宋体" w:eastAsia="宋体"/>
              </w:rPr>
            </w:r>
            <w:r/>
          </w:p>
        </w:tc>
        <w:tc>
          <w:tcPr>
            <w:tcW w:w="1944" w:type="dxa"/>
            <w:vAlign w:val="top"/>
            <w:textDirection w:val="lrTb"/>
            <w:noWrap w:val="false"/>
          </w:tcPr>
          <w:p>
            <w:pPr>
              <w:pStyle w:val="906"/>
              <w:ind w:firstLine="0"/>
              <w:spacing w:line="360" w:lineRule="auto"/>
              <w:rPr>
                <w:rFonts w:ascii="宋体" w:hAnsi="宋体" w:eastAsia="宋体"/>
              </w:rPr>
            </w:pPr>
            <w:r>
              <w:rPr>
                <w:rFonts w:ascii="宋体" w:hAnsi="宋体" w:eastAsia="宋体"/>
              </w:rPr>
            </w:r>
            <w:r/>
          </w:p>
        </w:tc>
        <w:tc>
          <w:tcPr>
            <w:tcW w:w="2318" w:type="dxa"/>
            <w:vAlign w:val="top"/>
            <w:textDirection w:val="lrTb"/>
            <w:noWrap w:val="false"/>
          </w:tcPr>
          <w:p>
            <w:pPr>
              <w:pStyle w:val="906"/>
              <w:ind w:firstLine="0"/>
              <w:spacing w:line="360" w:lineRule="auto"/>
              <w:rPr>
                <w:rFonts w:ascii="宋体" w:hAnsi="宋体" w:eastAsia="宋体"/>
              </w:rPr>
            </w:pPr>
            <w:r>
              <w:rPr>
                <w:rFonts w:ascii="宋体" w:hAnsi="宋体" w:eastAsia="宋体"/>
              </w:rPr>
            </w:r>
            <w:r/>
          </w:p>
        </w:tc>
      </w:tr>
      <w:tr>
        <w:trPr/>
        <w:tc>
          <w:tcPr>
            <w:tcW w:w="2130" w:type="dxa"/>
            <w:vAlign w:val="top"/>
            <w:textDirection w:val="lrTb"/>
            <w:noWrap w:val="false"/>
          </w:tcPr>
          <w:p>
            <w:pPr>
              <w:pStyle w:val="906"/>
              <w:ind w:firstLine="0"/>
              <w:spacing w:line="360" w:lineRule="auto"/>
              <w:rPr>
                <w:rFonts w:ascii="宋体" w:hAnsi="宋体" w:eastAsia="宋体"/>
              </w:rPr>
            </w:pPr>
            <w:r>
              <w:rPr>
                <w:rFonts w:hint="eastAsia" w:ascii="宋体" w:hAnsi="宋体" w:eastAsia="宋体"/>
              </w:rPr>
              <w:t xml:space="preserve">…………（根据采购内容自行列明）</w:t>
            </w:r>
            <w:r>
              <w:rPr>
                <w:rFonts w:ascii="宋体" w:hAnsi="宋体" w:eastAsia="宋体"/>
              </w:rPr>
            </w:r>
            <w:r/>
          </w:p>
        </w:tc>
        <w:tc>
          <w:tcPr>
            <w:tcW w:w="2130" w:type="dxa"/>
            <w:vAlign w:val="top"/>
            <w:textDirection w:val="lrTb"/>
            <w:noWrap w:val="false"/>
          </w:tcPr>
          <w:p>
            <w:pPr>
              <w:pStyle w:val="906"/>
              <w:ind w:firstLine="0"/>
              <w:spacing w:line="360" w:lineRule="auto"/>
              <w:rPr>
                <w:rFonts w:ascii="宋体" w:hAnsi="宋体" w:eastAsia="宋体"/>
              </w:rPr>
            </w:pPr>
            <w:r>
              <w:rPr>
                <w:rFonts w:ascii="宋体" w:hAnsi="宋体" w:eastAsia="宋体"/>
              </w:rPr>
            </w:r>
            <w:r/>
          </w:p>
        </w:tc>
        <w:tc>
          <w:tcPr>
            <w:tcW w:w="1944" w:type="dxa"/>
            <w:vAlign w:val="top"/>
            <w:textDirection w:val="lrTb"/>
            <w:noWrap w:val="false"/>
          </w:tcPr>
          <w:p>
            <w:pPr>
              <w:pStyle w:val="906"/>
              <w:ind w:firstLine="0"/>
              <w:spacing w:line="360" w:lineRule="auto"/>
              <w:rPr>
                <w:rFonts w:ascii="宋体" w:hAnsi="宋体" w:eastAsia="宋体"/>
              </w:rPr>
            </w:pPr>
            <w:r>
              <w:rPr>
                <w:rFonts w:ascii="宋体" w:hAnsi="宋体" w:eastAsia="宋体"/>
              </w:rPr>
            </w:r>
            <w:r/>
          </w:p>
        </w:tc>
        <w:tc>
          <w:tcPr>
            <w:tcW w:w="2318" w:type="dxa"/>
            <w:vAlign w:val="top"/>
            <w:textDirection w:val="lrTb"/>
            <w:noWrap w:val="false"/>
          </w:tcPr>
          <w:p>
            <w:pPr>
              <w:pStyle w:val="906"/>
              <w:ind w:firstLine="0"/>
              <w:spacing w:line="360" w:lineRule="auto"/>
              <w:rPr>
                <w:rFonts w:ascii="宋体" w:hAnsi="宋体" w:eastAsia="宋体"/>
              </w:rPr>
            </w:pPr>
            <w:r>
              <w:rPr>
                <w:rFonts w:ascii="宋体" w:hAnsi="宋体" w:eastAsia="宋体"/>
              </w:rPr>
            </w:r>
            <w:r/>
          </w:p>
        </w:tc>
      </w:tr>
    </w:tbl>
    <w:p>
      <w:pPr>
        <w:pStyle w:val="906"/>
        <w:ind w:firstLine="0"/>
        <w:spacing w:line="360" w:lineRule="auto"/>
        <w:rPr>
          <w:rFonts w:ascii="宋体" w:hAnsi="宋体" w:eastAsia="宋体"/>
        </w:rPr>
      </w:pPr>
      <w:r>
        <w:rPr>
          <w:rFonts w:hint="eastAsia" w:ascii="宋体" w:hAnsi="宋体" w:eastAsia="宋体"/>
        </w:rPr>
        <w:t xml:space="preserve">投标人（单位盖章）：</w:t>
      </w:r>
      <w:r>
        <w:rPr>
          <w:rFonts w:ascii="宋体" w:hAnsi="宋体" w:eastAsia="宋体"/>
        </w:rPr>
      </w:r>
      <w:r/>
    </w:p>
    <w:p>
      <w:pPr>
        <w:pStyle w:val="906"/>
        <w:ind w:firstLine="0"/>
        <w:spacing w:line="360" w:lineRule="auto"/>
        <w:rPr>
          <w:rFonts w:hint="eastAsia"/>
        </w:rPr>
      </w:pPr>
      <w:r>
        <w:rPr>
          <w:rFonts w:hint="eastAsia" w:ascii="宋体" w:hAnsi="宋体" w:eastAsia="宋体"/>
        </w:rPr>
        <w:t xml:space="preserve">法定代表人或被授权人（签字或盖章）：                         年  月  日</w:t>
      </w:r>
      <w:r>
        <w:br w:type="page" w:clear="all"/>
      </w:r>
      <w:r>
        <w:rPr>
          <w:rFonts w:hint="eastAsia"/>
        </w:rPr>
      </w:r>
      <w:r/>
    </w:p>
    <w:p>
      <w:pPr>
        <w:pStyle w:val="888"/>
        <w:spacing w:line="416" w:lineRule="auto"/>
        <w:rPr>
          <w:rFonts w:ascii="宋体" w:hAnsi="宋体" w:eastAsia="宋体"/>
          <w:b w:val="0"/>
        </w:rPr>
      </w:pPr>
      <w:r/>
      <w:bookmarkStart w:id="55" w:name="_Ref180135391"/>
      <w:r/>
      <w:bookmarkStart w:id="56" w:name="_Ref79412931"/>
      <w:r/>
      <w:bookmarkStart w:id="57" w:name="_Toc199168204"/>
      <w:r>
        <w:rPr>
          <w:rFonts w:hint="eastAsia" w:ascii="宋体" w:hAnsi="宋体" w:eastAsia="宋体"/>
          <w:b w:val="0"/>
        </w:rPr>
        <w:t xml:space="preserve">12.</w:t>
      </w:r>
      <w:r>
        <w:rPr>
          <w:rFonts w:ascii="宋体" w:hAnsi="宋体" w:eastAsia="宋体"/>
          <w:b w:val="0"/>
        </w:rPr>
        <w:t xml:space="preserve">投标单位情况表</w:t>
      </w:r>
      <w:bookmarkEnd w:id="55"/>
      <w:r/>
      <w:bookmarkEnd w:id="56"/>
      <w:r/>
      <w:bookmarkEnd w:id="57"/>
      <w:r>
        <w:rPr>
          <w:rFonts w:ascii="宋体" w:hAnsi="宋体" w:eastAsia="宋体"/>
          <w:b w:val="0"/>
        </w:rPr>
      </w:r>
      <w:r/>
    </w:p>
    <w:p>
      <w:pPr>
        <w:pStyle w:val="906"/>
        <w:rPr>
          <w:rFonts w:ascii="宋体" w:hAnsi="宋体" w:eastAsia="宋体"/>
        </w:rPr>
      </w:pPr>
      <w:r>
        <w:rPr>
          <w:rFonts w:ascii="宋体" w:hAnsi="宋体" w:eastAsia="宋体"/>
        </w:rPr>
        <w:t xml:space="preserve">                          </w:t>
      </w:r>
      <w:r>
        <w:rPr>
          <w:rFonts w:hint="eastAsia" w:ascii="宋体" w:hAnsi="宋体" w:eastAsia="宋体"/>
        </w:rPr>
        <w:t xml:space="preserve">投标单位情况表</w:t>
      </w:r>
      <w:r>
        <w:rPr>
          <w:rFonts w:ascii="宋体" w:hAnsi="宋体" w:eastAsia="宋体"/>
        </w:rPr>
      </w:r>
      <w:r/>
    </w:p>
    <w:p>
      <w:pPr>
        <w:pStyle w:val="906"/>
        <w:rPr>
          <w:rFonts w:ascii="宋体" w:hAnsi="宋体" w:eastAsia="宋体"/>
        </w:rPr>
      </w:pPr>
      <w:r>
        <w:rPr>
          <w:rFonts w:hint="eastAsia" w:ascii="宋体" w:hAnsi="宋体" w:eastAsia="宋体"/>
        </w:rPr>
        <w:t xml:space="preserve">单位名称（盖章）</w:t>
      </w:r>
      <w:r>
        <w:rPr>
          <w:rFonts w:ascii="宋体" w:hAnsi="宋体" w:eastAsia="宋体"/>
        </w:rPr>
      </w:r>
      <w:r/>
    </w:p>
    <w:tbl>
      <w:tblPr>
        <w:tblW w:w="0" w:type="auto"/>
        <w:tblInd w:w="-8"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2510"/>
        <w:gridCol w:w="2259"/>
        <w:gridCol w:w="1757"/>
        <w:gridCol w:w="1366"/>
        <w:gridCol w:w="1235"/>
      </w:tblGrid>
      <w:tr>
        <w:trPr/>
        <w:tc>
          <w:tcPr>
            <w:tcBorders>
              <w:top w:val="single" w:color="000000" w:sz="6" w:space="0"/>
              <w:left w:val="single" w:color="000000" w:sz="6" w:space="0"/>
              <w:bottom w:val="single" w:color="000000" w:sz="6" w:space="0"/>
              <w:right w:val="single" w:color="000000" w:sz="6" w:space="0"/>
            </w:tcBorders>
            <w:tcW w:w="2510" w:type="dxa"/>
            <w:vAlign w:val="top"/>
            <w:textDirection w:val="lrTb"/>
            <w:noWrap w:val="false"/>
          </w:tcPr>
          <w:p>
            <w:pPr>
              <w:pStyle w:val="906"/>
              <w:ind w:firstLine="0"/>
              <w:spacing w:line="400" w:lineRule="exact"/>
              <w:rPr>
                <w:rFonts w:ascii="宋体" w:hAnsi="宋体" w:eastAsia="宋体"/>
                <w:sz w:val="21"/>
              </w:rPr>
            </w:pPr>
            <w:r>
              <w:rPr>
                <w:rFonts w:hint="eastAsia" w:ascii="宋体" w:hAnsi="宋体" w:eastAsia="宋体"/>
                <w:sz w:val="21"/>
              </w:rPr>
              <w:t xml:space="preserve">法定代表人</w:t>
            </w:r>
            <w:r>
              <w:rPr>
                <w:rFonts w:ascii="宋体" w:hAnsi="宋体" w:eastAsia="宋体"/>
                <w:sz w:val="21"/>
              </w:rPr>
            </w:r>
            <w:r/>
          </w:p>
        </w:tc>
        <w:tc>
          <w:tcPr>
            <w:tcBorders>
              <w:top w:val="single" w:color="000000" w:sz="6" w:space="0"/>
              <w:left w:val="single" w:color="000000" w:sz="6" w:space="0"/>
              <w:bottom w:val="single" w:color="000000" w:sz="6" w:space="0"/>
              <w:right w:val="single" w:color="000000" w:sz="6" w:space="0"/>
            </w:tcBorders>
            <w:tcW w:w="2259" w:type="dxa"/>
            <w:vAlign w:val="top"/>
            <w:textDirection w:val="lrTb"/>
            <w:noWrap w:val="false"/>
          </w:tcPr>
          <w:p>
            <w:pPr>
              <w:pStyle w:val="906"/>
              <w:ind w:firstLine="0"/>
              <w:spacing w:line="400" w:lineRule="exact"/>
              <w:rPr>
                <w:rFonts w:ascii="宋体" w:hAnsi="宋体" w:eastAsia="宋体"/>
                <w:sz w:val="21"/>
              </w:rPr>
            </w:pPr>
            <w:r>
              <w:rPr>
                <w:rFonts w:ascii="宋体" w:hAnsi="宋体" w:eastAsia="宋体"/>
                <w:sz w:val="21"/>
              </w:rPr>
            </w:r>
            <w:r/>
          </w:p>
        </w:tc>
        <w:tc>
          <w:tcPr>
            <w:tcBorders>
              <w:top w:val="single" w:color="000000" w:sz="6" w:space="0"/>
              <w:left w:val="single" w:color="000000" w:sz="6" w:space="0"/>
              <w:bottom w:val="single" w:color="000000" w:sz="6" w:space="0"/>
              <w:right w:val="single" w:color="000000" w:sz="6" w:space="0"/>
            </w:tcBorders>
            <w:tcW w:w="1757" w:type="dxa"/>
            <w:vAlign w:val="top"/>
            <w:textDirection w:val="lrTb"/>
            <w:noWrap w:val="false"/>
          </w:tcPr>
          <w:p>
            <w:pPr>
              <w:pStyle w:val="906"/>
              <w:ind w:firstLine="0"/>
              <w:spacing w:line="400" w:lineRule="exact"/>
              <w:rPr>
                <w:rFonts w:ascii="宋体" w:hAnsi="宋体" w:eastAsia="宋体"/>
                <w:sz w:val="21"/>
              </w:rPr>
            </w:pPr>
            <w:r>
              <w:rPr>
                <w:rFonts w:hint="eastAsia" w:ascii="宋体" w:hAnsi="宋体" w:eastAsia="宋体"/>
                <w:sz w:val="21"/>
              </w:rPr>
              <w:t xml:space="preserve">成立日期</w:t>
            </w:r>
            <w:r>
              <w:rPr>
                <w:rFonts w:ascii="宋体" w:hAnsi="宋体" w:eastAsia="宋体"/>
                <w:sz w:val="21"/>
              </w:rPr>
            </w:r>
            <w:r/>
          </w:p>
        </w:tc>
        <w:tc>
          <w:tcPr>
            <w:gridSpan w:val="2"/>
            <w:tcBorders>
              <w:top w:val="single" w:color="000000" w:sz="6" w:space="0"/>
              <w:left w:val="single" w:color="000000" w:sz="6" w:space="0"/>
              <w:bottom w:val="single" w:color="000000" w:sz="6" w:space="0"/>
              <w:right w:val="single" w:color="000000" w:sz="6" w:space="0"/>
            </w:tcBorders>
            <w:tcW w:w="2601" w:type="dxa"/>
            <w:vAlign w:val="top"/>
            <w:textDirection w:val="lrTb"/>
            <w:noWrap w:val="false"/>
          </w:tcPr>
          <w:p>
            <w:pPr>
              <w:pStyle w:val="906"/>
              <w:ind w:firstLine="0"/>
              <w:spacing w:line="400" w:lineRule="exact"/>
              <w:rPr>
                <w:rFonts w:ascii="宋体" w:hAnsi="宋体" w:eastAsia="宋体"/>
                <w:sz w:val="21"/>
              </w:rPr>
            </w:pPr>
            <w:r>
              <w:rPr>
                <w:rFonts w:ascii="宋体" w:hAnsi="宋体" w:eastAsia="宋体"/>
                <w:sz w:val="21"/>
              </w:rPr>
            </w:r>
            <w:r/>
          </w:p>
        </w:tc>
      </w:tr>
      <w:tr>
        <w:trPr/>
        <w:tc>
          <w:tcPr>
            <w:tcBorders>
              <w:top w:val="single" w:color="000000" w:sz="6" w:space="0"/>
              <w:left w:val="single" w:color="000000" w:sz="6" w:space="0"/>
              <w:bottom w:val="single" w:color="000000" w:sz="6" w:space="0"/>
              <w:right w:val="single" w:color="000000" w:sz="6" w:space="0"/>
            </w:tcBorders>
            <w:tcW w:w="2510" w:type="dxa"/>
            <w:vAlign w:val="top"/>
            <w:textDirection w:val="lrTb"/>
            <w:noWrap w:val="false"/>
          </w:tcPr>
          <w:p>
            <w:pPr>
              <w:pStyle w:val="906"/>
              <w:ind w:firstLine="0"/>
              <w:spacing w:line="400" w:lineRule="exact"/>
              <w:rPr>
                <w:rFonts w:ascii="宋体" w:hAnsi="宋体" w:eastAsia="宋体"/>
                <w:sz w:val="21"/>
              </w:rPr>
            </w:pPr>
            <w:r>
              <w:rPr>
                <w:rFonts w:hint="eastAsia" w:ascii="宋体" w:hAnsi="宋体" w:eastAsia="宋体"/>
                <w:sz w:val="21"/>
              </w:rPr>
              <w:t xml:space="preserve">企业地址</w:t>
            </w:r>
            <w:r>
              <w:rPr>
                <w:rFonts w:ascii="宋体" w:hAnsi="宋体" w:eastAsia="宋体"/>
                <w:sz w:val="21"/>
              </w:rPr>
            </w:r>
            <w:r/>
          </w:p>
        </w:tc>
        <w:tc>
          <w:tcPr>
            <w:tcBorders>
              <w:top w:val="single" w:color="000000" w:sz="6" w:space="0"/>
              <w:left w:val="single" w:color="000000" w:sz="6" w:space="0"/>
              <w:bottom w:val="single" w:color="000000" w:sz="6" w:space="0"/>
              <w:right w:val="single" w:color="000000" w:sz="6" w:space="0"/>
            </w:tcBorders>
            <w:tcW w:w="2259" w:type="dxa"/>
            <w:vAlign w:val="top"/>
            <w:textDirection w:val="lrTb"/>
            <w:noWrap w:val="false"/>
          </w:tcPr>
          <w:p>
            <w:pPr>
              <w:pStyle w:val="906"/>
              <w:ind w:firstLine="0"/>
              <w:spacing w:line="400" w:lineRule="exact"/>
              <w:rPr>
                <w:rFonts w:ascii="宋体" w:hAnsi="宋体" w:eastAsia="宋体"/>
                <w:sz w:val="21"/>
              </w:rPr>
            </w:pPr>
            <w:r>
              <w:rPr>
                <w:rFonts w:ascii="宋体" w:hAnsi="宋体" w:eastAsia="宋体"/>
                <w:sz w:val="21"/>
              </w:rPr>
            </w:r>
            <w:r/>
          </w:p>
        </w:tc>
        <w:tc>
          <w:tcPr>
            <w:tcBorders>
              <w:top w:val="single" w:color="000000" w:sz="6" w:space="0"/>
              <w:left w:val="single" w:color="000000" w:sz="6" w:space="0"/>
              <w:bottom w:val="single" w:color="000000" w:sz="6" w:space="0"/>
              <w:right w:val="single" w:color="000000" w:sz="6" w:space="0"/>
            </w:tcBorders>
            <w:tcW w:w="1757" w:type="dxa"/>
            <w:vAlign w:val="top"/>
            <w:textDirection w:val="lrTb"/>
            <w:noWrap w:val="false"/>
          </w:tcPr>
          <w:p>
            <w:pPr>
              <w:pStyle w:val="906"/>
              <w:ind w:firstLine="0"/>
              <w:spacing w:line="400" w:lineRule="exact"/>
              <w:rPr>
                <w:rFonts w:ascii="宋体" w:hAnsi="宋体" w:eastAsia="宋体"/>
                <w:sz w:val="21"/>
              </w:rPr>
            </w:pPr>
            <w:r>
              <w:rPr>
                <w:rFonts w:hint="eastAsia" w:ascii="宋体" w:hAnsi="宋体" w:eastAsia="宋体"/>
                <w:sz w:val="21"/>
              </w:rPr>
              <w:t xml:space="preserve">注册资本</w:t>
            </w:r>
            <w:r>
              <w:rPr>
                <w:rFonts w:ascii="宋体" w:hAnsi="宋体" w:eastAsia="宋体"/>
                <w:sz w:val="21"/>
              </w:rPr>
            </w:r>
            <w:r/>
          </w:p>
        </w:tc>
        <w:tc>
          <w:tcPr>
            <w:gridSpan w:val="2"/>
            <w:tcBorders>
              <w:top w:val="single" w:color="000000" w:sz="6" w:space="0"/>
              <w:left w:val="single" w:color="000000" w:sz="6" w:space="0"/>
              <w:bottom w:val="single" w:color="000000" w:sz="6" w:space="0"/>
              <w:right w:val="single" w:color="000000" w:sz="6" w:space="0"/>
            </w:tcBorders>
            <w:tcW w:w="2601" w:type="dxa"/>
            <w:vAlign w:val="top"/>
            <w:textDirection w:val="lrTb"/>
            <w:noWrap w:val="false"/>
          </w:tcPr>
          <w:p>
            <w:pPr>
              <w:pStyle w:val="906"/>
              <w:ind w:firstLine="1680"/>
              <w:spacing w:line="400" w:lineRule="exact"/>
              <w:rPr>
                <w:rFonts w:ascii="宋体" w:hAnsi="宋体" w:eastAsia="宋体"/>
                <w:sz w:val="21"/>
              </w:rPr>
            </w:pPr>
            <w:r>
              <w:rPr>
                <w:rFonts w:hint="eastAsia" w:ascii="宋体" w:hAnsi="宋体" w:eastAsia="宋体"/>
                <w:sz w:val="21"/>
              </w:rPr>
              <w:t xml:space="preserve">万元</w:t>
            </w:r>
            <w:r>
              <w:rPr>
                <w:rFonts w:ascii="宋体" w:hAnsi="宋体" w:eastAsia="宋体"/>
                <w:sz w:val="21"/>
              </w:rPr>
            </w:r>
            <w:r/>
          </w:p>
        </w:tc>
      </w:tr>
      <w:tr>
        <w:trPr/>
        <w:tc>
          <w:tcPr>
            <w:tcBorders>
              <w:top w:val="single" w:color="000000" w:sz="6" w:space="0"/>
              <w:left w:val="single" w:color="000000" w:sz="6" w:space="0"/>
              <w:bottom w:val="single" w:color="000000" w:sz="6" w:space="0"/>
              <w:right w:val="single" w:color="000000" w:sz="6" w:space="0"/>
            </w:tcBorders>
            <w:tcW w:w="2510" w:type="dxa"/>
            <w:vAlign w:val="top"/>
            <w:textDirection w:val="lrTb"/>
            <w:noWrap w:val="false"/>
          </w:tcPr>
          <w:p>
            <w:pPr>
              <w:pStyle w:val="906"/>
              <w:ind w:firstLine="0"/>
              <w:spacing w:line="400" w:lineRule="exact"/>
              <w:rPr>
                <w:rFonts w:ascii="宋体" w:hAnsi="宋体" w:eastAsia="宋体"/>
                <w:sz w:val="21"/>
              </w:rPr>
            </w:pPr>
            <w:r>
              <w:rPr>
                <w:rFonts w:hint="eastAsia" w:ascii="宋体" w:hAnsi="宋体" w:eastAsia="宋体"/>
                <w:sz w:val="21"/>
              </w:rPr>
              <w:t xml:space="preserve">经营范围</w:t>
            </w:r>
            <w:r>
              <w:rPr>
                <w:rFonts w:ascii="宋体" w:hAnsi="宋体" w:eastAsia="宋体"/>
                <w:sz w:val="21"/>
              </w:rPr>
            </w:r>
            <w:r/>
          </w:p>
        </w:tc>
        <w:tc>
          <w:tcPr>
            <w:gridSpan w:val="4"/>
            <w:tcBorders>
              <w:top w:val="single" w:color="000000" w:sz="6" w:space="0"/>
              <w:left w:val="single" w:color="000000" w:sz="6" w:space="0"/>
              <w:bottom w:val="single" w:color="000000" w:sz="6" w:space="0"/>
              <w:right w:val="single" w:color="000000" w:sz="6" w:space="0"/>
            </w:tcBorders>
            <w:tcW w:w="6617" w:type="dxa"/>
            <w:vAlign w:val="top"/>
            <w:textDirection w:val="lrTb"/>
            <w:noWrap w:val="false"/>
          </w:tcPr>
          <w:p>
            <w:pPr>
              <w:pStyle w:val="906"/>
              <w:ind w:firstLine="0"/>
              <w:spacing w:line="400" w:lineRule="exact"/>
              <w:rPr>
                <w:rFonts w:ascii="宋体" w:hAnsi="宋体" w:eastAsia="宋体"/>
                <w:sz w:val="21"/>
              </w:rPr>
            </w:pPr>
            <w:r>
              <w:rPr>
                <w:rFonts w:ascii="宋体" w:hAnsi="宋体" w:eastAsia="宋体"/>
                <w:sz w:val="21"/>
              </w:rPr>
            </w:r>
            <w:r/>
          </w:p>
        </w:tc>
      </w:tr>
      <w:tr>
        <w:trPr/>
        <w:tc>
          <w:tcPr>
            <w:tcBorders>
              <w:top w:val="single" w:color="000000" w:sz="6" w:space="0"/>
              <w:left w:val="single" w:color="000000" w:sz="6" w:space="0"/>
              <w:bottom w:val="single" w:color="000000" w:sz="6" w:space="0"/>
              <w:right w:val="single" w:color="000000" w:sz="6" w:space="0"/>
            </w:tcBorders>
            <w:tcW w:w="2510" w:type="dxa"/>
            <w:vAlign w:val="top"/>
            <w:textDirection w:val="lrTb"/>
            <w:noWrap w:val="false"/>
          </w:tcPr>
          <w:p>
            <w:pPr>
              <w:pStyle w:val="906"/>
              <w:ind w:firstLine="0"/>
              <w:spacing w:line="400" w:lineRule="exact"/>
              <w:rPr>
                <w:rFonts w:ascii="宋体" w:hAnsi="宋体" w:eastAsia="宋体"/>
                <w:sz w:val="21"/>
              </w:rPr>
            </w:pPr>
            <w:r>
              <w:rPr>
                <w:rFonts w:hint="eastAsia" w:ascii="宋体" w:hAnsi="宋体" w:eastAsia="宋体"/>
                <w:sz w:val="21"/>
              </w:rPr>
              <w:t xml:space="preserve">职工人数</w:t>
            </w:r>
            <w:r>
              <w:rPr>
                <w:rFonts w:ascii="宋体" w:hAnsi="宋体" w:eastAsia="宋体"/>
                <w:sz w:val="21"/>
              </w:rPr>
            </w:r>
            <w:r/>
          </w:p>
        </w:tc>
        <w:tc>
          <w:tcPr>
            <w:tcBorders>
              <w:top w:val="single" w:color="000000" w:sz="6" w:space="0"/>
              <w:left w:val="single" w:color="000000" w:sz="6" w:space="0"/>
              <w:bottom w:val="single" w:color="000000" w:sz="6" w:space="0"/>
              <w:right w:val="single" w:color="000000" w:sz="6" w:space="0"/>
            </w:tcBorders>
            <w:tcW w:w="2259" w:type="dxa"/>
            <w:vAlign w:val="top"/>
            <w:textDirection w:val="lrTb"/>
            <w:noWrap w:val="false"/>
          </w:tcPr>
          <w:p>
            <w:pPr>
              <w:pStyle w:val="906"/>
              <w:ind w:firstLine="0"/>
              <w:spacing w:line="400" w:lineRule="exact"/>
              <w:rPr>
                <w:rFonts w:ascii="宋体" w:hAnsi="宋体" w:eastAsia="宋体"/>
                <w:sz w:val="21"/>
              </w:rPr>
            </w:pPr>
            <w:r>
              <w:rPr>
                <w:rFonts w:ascii="宋体" w:hAnsi="宋体" w:eastAsia="宋体"/>
                <w:sz w:val="21"/>
              </w:rPr>
            </w:r>
            <w:r/>
          </w:p>
        </w:tc>
        <w:tc>
          <w:tcPr>
            <w:gridSpan w:val="2"/>
            <w:tcBorders>
              <w:top w:val="single" w:color="000000" w:sz="6" w:space="0"/>
              <w:left w:val="single" w:color="000000" w:sz="6" w:space="0"/>
              <w:bottom w:val="single" w:color="000000" w:sz="6" w:space="0"/>
              <w:right w:val="single" w:color="000000" w:sz="6" w:space="0"/>
            </w:tcBorders>
            <w:tcW w:w="3123" w:type="dxa"/>
            <w:vAlign w:val="top"/>
            <w:textDirection w:val="lrTb"/>
            <w:noWrap w:val="false"/>
          </w:tcPr>
          <w:p>
            <w:pPr>
              <w:pStyle w:val="906"/>
              <w:ind w:firstLine="0"/>
              <w:spacing w:line="400" w:lineRule="exact"/>
              <w:rPr>
                <w:rFonts w:ascii="宋体" w:hAnsi="宋体" w:eastAsia="宋体"/>
                <w:sz w:val="21"/>
              </w:rPr>
            </w:pPr>
            <w:r>
              <w:rPr>
                <w:rFonts w:hint="eastAsia" w:ascii="宋体" w:hAnsi="宋体" w:eastAsia="宋体"/>
                <w:sz w:val="21"/>
              </w:rPr>
              <w:t xml:space="preserve">其中：有中高级以上职称的人数</w:t>
            </w:r>
            <w:r>
              <w:rPr>
                <w:rFonts w:ascii="宋体" w:hAnsi="宋体" w:eastAsia="宋体"/>
                <w:sz w:val="21"/>
              </w:rPr>
            </w:r>
            <w:r/>
          </w:p>
        </w:tc>
        <w:tc>
          <w:tcPr>
            <w:tcBorders>
              <w:top w:val="single" w:color="000000" w:sz="6" w:space="0"/>
              <w:left w:val="single" w:color="000000" w:sz="6" w:space="0"/>
              <w:bottom w:val="single" w:color="000000" w:sz="6" w:space="0"/>
              <w:right w:val="single" w:color="000000" w:sz="6" w:space="0"/>
            </w:tcBorders>
            <w:tcW w:w="1235" w:type="dxa"/>
            <w:vAlign w:val="top"/>
            <w:textDirection w:val="lrTb"/>
            <w:noWrap w:val="false"/>
          </w:tcPr>
          <w:p>
            <w:pPr>
              <w:pStyle w:val="906"/>
              <w:ind w:firstLine="0"/>
              <w:spacing w:line="400" w:lineRule="exact"/>
              <w:rPr>
                <w:rFonts w:ascii="宋体" w:hAnsi="宋体" w:eastAsia="宋体"/>
                <w:sz w:val="21"/>
              </w:rPr>
            </w:pPr>
            <w:r>
              <w:rPr>
                <w:rFonts w:ascii="宋体" w:hAnsi="宋体" w:eastAsia="宋体"/>
                <w:sz w:val="21"/>
              </w:rPr>
            </w:r>
            <w:r/>
          </w:p>
        </w:tc>
      </w:tr>
      <w:tr>
        <w:trPr/>
        <w:tc>
          <w:tcPr>
            <w:tcBorders>
              <w:top w:val="single" w:color="000000" w:sz="6" w:space="0"/>
              <w:left w:val="single" w:color="000000" w:sz="6" w:space="0"/>
              <w:bottom w:val="single" w:color="000000" w:sz="6" w:space="0"/>
              <w:right w:val="single" w:color="000000" w:sz="6" w:space="0"/>
            </w:tcBorders>
            <w:tcW w:w="2510" w:type="dxa"/>
            <w:vAlign w:val="top"/>
            <w:textDirection w:val="lrTb"/>
            <w:noWrap w:val="false"/>
          </w:tcPr>
          <w:p>
            <w:pPr>
              <w:pStyle w:val="906"/>
              <w:ind w:firstLine="0"/>
              <w:spacing w:line="400" w:lineRule="exact"/>
              <w:rPr>
                <w:rFonts w:ascii="宋体" w:hAnsi="宋体" w:eastAsia="宋体"/>
                <w:sz w:val="21"/>
              </w:rPr>
            </w:pPr>
            <w:r>
              <w:rPr>
                <w:rFonts w:hint="eastAsia" w:ascii="宋体" w:hAnsi="宋体" w:eastAsia="宋体"/>
                <w:sz w:val="21"/>
              </w:rPr>
              <w:t xml:space="preserve">资产总额</w:t>
            </w:r>
            <w:r>
              <w:rPr>
                <w:rFonts w:ascii="宋体" w:hAnsi="宋体" w:eastAsia="宋体"/>
                <w:sz w:val="21"/>
              </w:rPr>
            </w:r>
            <w:r/>
          </w:p>
        </w:tc>
        <w:tc>
          <w:tcPr>
            <w:tcBorders>
              <w:top w:val="single" w:color="000000" w:sz="6" w:space="0"/>
              <w:left w:val="single" w:color="000000" w:sz="6" w:space="0"/>
              <w:bottom w:val="single" w:color="000000" w:sz="6" w:space="0"/>
              <w:right w:val="single" w:color="000000" w:sz="6" w:space="0"/>
            </w:tcBorders>
            <w:tcW w:w="2259" w:type="dxa"/>
            <w:vAlign w:val="top"/>
            <w:textDirection w:val="lrTb"/>
            <w:noWrap w:val="false"/>
          </w:tcPr>
          <w:p>
            <w:pPr>
              <w:pStyle w:val="906"/>
              <w:ind w:firstLine="0"/>
              <w:spacing w:line="400" w:lineRule="exact"/>
              <w:rPr>
                <w:rFonts w:ascii="宋体" w:hAnsi="宋体" w:eastAsia="宋体"/>
                <w:sz w:val="21"/>
              </w:rPr>
            </w:pPr>
            <w:r>
              <w:rPr>
                <w:rFonts w:ascii="宋体" w:hAnsi="宋体" w:eastAsia="宋体"/>
                <w:sz w:val="21"/>
              </w:rPr>
              <w:t xml:space="preserve">           </w:t>
            </w:r>
            <w:r>
              <w:rPr>
                <w:rFonts w:hint="eastAsia" w:ascii="宋体" w:hAnsi="宋体" w:eastAsia="宋体"/>
                <w:sz w:val="21"/>
              </w:rPr>
              <w:t xml:space="preserve">  万元</w:t>
            </w:r>
            <w:r>
              <w:rPr>
                <w:rFonts w:ascii="宋体" w:hAnsi="宋体" w:eastAsia="宋体"/>
                <w:sz w:val="21"/>
              </w:rPr>
            </w:r>
            <w:r/>
          </w:p>
        </w:tc>
        <w:tc>
          <w:tcPr>
            <w:tcBorders>
              <w:top w:val="single" w:color="000000" w:sz="6" w:space="0"/>
              <w:left w:val="single" w:color="000000" w:sz="6" w:space="0"/>
              <w:bottom w:val="single" w:color="000000" w:sz="6" w:space="0"/>
              <w:right w:val="single" w:color="000000" w:sz="6" w:space="0"/>
            </w:tcBorders>
            <w:tcW w:w="1757" w:type="dxa"/>
            <w:vAlign w:val="top"/>
            <w:textDirection w:val="lrTb"/>
            <w:noWrap w:val="false"/>
          </w:tcPr>
          <w:p>
            <w:pPr>
              <w:pStyle w:val="906"/>
              <w:ind w:firstLine="0"/>
              <w:spacing w:line="400" w:lineRule="exact"/>
              <w:rPr>
                <w:rFonts w:ascii="宋体" w:hAnsi="宋体" w:eastAsia="宋体"/>
                <w:sz w:val="21"/>
              </w:rPr>
            </w:pPr>
            <w:r>
              <w:rPr>
                <w:rFonts w:hint="eastAsia" w:ascii="宋体" w:hAnsi="宋体" w:eastAsia="宋体"/>
                <w:sz w:val="21"/>
              </w:rPr>
              <w:t xml:space="preserve">净资产</w:t>
            </w:r>
            <w:r>
              <w:rPr>
                <w:rFonts w:ascii="宋体" w:hAnsi="宋体" w:eastAsia="宋体"/>
                <w:sz w:val="21"/>
              </w:rPr>
            </w:r>
            <w:r/>
          </w:p>
        </w:tc>
        <w:tc>
          <w:tcPr>
            <w:gridSpan w:val="2"/>
            <w:tcBorders>
              <w:top w:val="single" w:color="000000" w:sz="6" w:space="0"/>
              <w:left w:val="single" w:color="000000" w:sz="6" w:space="0"/>
              <w:bottom w:val="single" w:color="000000" w:sz="6" w:space="0"/>
              <w:right w:val="single" w:color="000000" w:sz="6" w:space="0"/>
            </w:tcBorders>
            <w:tcW w:w="2601" w:type="dxa"/>
            <w:vAlign w:val="top"/>
            <w:textDirection w:val="lrTb"/>
            <w:noWrap w:val="false"/>
          </w:tcPr>
          <w:p>
            <w:pPr>
              <w:pStyle w:val="906"/>
              <w:ind w:firstLine="0"/>
              <w:spacing w:line="400" w:lineRule="exact"/>
              <w:rPr>
                <w:rFonts w:ascii="宋体" w:hAnsi="宋体" w:eastAsia="宋体"/>
                <w:sz w:val="21"/>
              </w:rPr>
            </w:pPr>
            <w:r>
              <w:rPr>
                <w:rFonts w:ascii="宋体" w:hAnsi="宋体" w:eastAsia="宋体"/>
                <w:sz w:val="21"/>
              </w:rPr>
              <w:t xml:space="preserve">                </w:t>
            </w:r>
            <w:r>
              <w:rPr>
                <w:rFonts w:hint="eastAsia" w:ascii="宋体" w:hAnsi="宋体" w:eastAsia="宋体"/>
                <w:sz w:val="21"/>
              </w:rPr>
              <w:t xml:space="preserve">万元</w:t>
            </w:r>
            <w:r>
              <w:rPr>
                <w:rFonts w:ascii="宋体" w:hAnsi="宋体" w:eastAsia="宋体"/>
                <w:sz w:val="21"/>
              </w:rPr>
            </w:r>
            <w:r/>
          </w:p>
        </w:tc>
      </w:tr>
      <w:tr>
        <w:trPr/>
        <w:tc>
          <w:tcPr>
            <w:tcBorders>
              <w:top w:val="single" w:color="000000" w:sz="6" w:space="0"/>
              <w:left w:val="single" w:color="000000" w:sz="6" w:space="0"/>
              <w:bottom w:val="single" w:color="000000" w:sz="6" w:space="0"/>
              <w:right w:val="single" w:color="000000" w:sz="6" w:space="0"/>
            </w:tcBorders>
            <w:tcW w:w="2510" w:type="dxa"/>
            <w:vAlign w:val="top"/>
            <w:textDirection w:val="lrTb"/>
            <w:noWrap w:val="false"/>
          </w:tcPr>
          <w:p>
            <w:pPr>
              <w:pStyle w:val="906"/>
              <w:ind w:firstLine="0"/>
              <w:spacing w:line="400" w:lineRule="exact"/>
              <w:rPr>
                <w:rFonts w:ascii="宋体" w:hAnsi="宋体" w:eastAsia="宋体"/>
                <w:sz w:val="21"/>
              </w:rPr>
            </w:pPr>
            <w:r>
              <w:rPr>
                <w:rFonts w:hint="eastAsia" w:ascii="宋体" w:hAnsi="宋体" w:eastAsia="宋体"/>
                <w:sz w:val="21"/>
              </w:rPr>
              <w:t xml:space="preserve">股东权益</w:t>
            </w:r>
            <w:r>
              <w:rPr>
                <w:rFonts w:ascii="宋体" w:hAnsi="宋体" w:eastAsia="宋体"/>
                <w:sz w:val="21"/>
              </w:rPr>
            </w:r>
            <w:r/>
          </w:p>
        </w:tc>
        <w:tc>
          <w:tcPr>
            <w:tcBorders>
              <w:top w:val="single" w:color="000000" w:sz="6" w:space="0"/>
              <w:left w:val="single" w:color="000000" w:sz="6" w:space="0"/>
              <w:bottom w:val="single" w:color="000000" w:sz="6" w:space="0"/>
              <w:right w:val="single" w:color="000000" w:sz="6" w:space="0"/>
            </w:tcBorders>
            <w:tcW w:w="2259" w:type="dxa"/>
            <w:vAlign w:val="top"/>
            <w:textDirection w:val="lrTb"/>
            <w:noWrap w:val="false"/>
          </w:tcPr>
          <w:p>
            <w:pPr>
              <w:pStyle w:val="906"/>
              <w:ind w:firstLine="0"/>
              <w:spacing w:line="400" w:lineRule="exact"/>
              <w:rPr>
                <w:rFonts w:ascii="宋体" w:hAnsi="宋体" w:eastAsia="宋体"/>
                <w:sz w:val="21"/>
              </w:rPr>
            </w:pPr>
            <w:r>
              <w:rPr>
                <w:rFonts w:ascii="宋体" w:hAnsi="宋体" w:eastAsia="宋体"/>
                <w:sz w:val="21"/>
              </w:rPr>
              <w:t xml:space="preserve">            </w:t>
            </w:r>
            <w:r>
              <w:rPr>
                <w:rFonts w:hint="eastAsia" w:ascii="宋体" w:hAnsi="宋体" w:eastAsia="宋体"/>
                <w:sz w:val="21"/>
              </w:rPr>
              <w:t xml:space="preserve"> 万元</w:t>
            </w:r>
            <w:r>
              <w:rPr>
                <w:rFonts w:ascii="宋体" w:hAnsi="宋体" w:eastAsia="宋体"/>
                <w:sz w:val="21"/>
              </w:rPr>
            </w:r>
            <w:r/>
          </w:p>
        </w:tc>
        <w:tc>
          <w:tcPr>
            <w:tcBorders>
              <w:top w:val="single" w:color="000000" w:sz="6" w:space="0"/>
              <w:left w:val="single" w:color="000000" w:sz="6" w:space="0"/>
              <w:bottom w:val="single" w:color="000000" w:sz="6" w:space="0"/>
              <w:right w:val="single" w:color="000000" w:sz="6" w:space="0"/>
            </w:tcBorders>
            <w:tcW w:w="1757" w:type="dxa"/>
            <w:vAlign w:val="top"/>
            <w:textDirection w:val="lrTb"/>
            <w:noWrap w:val="false"/>
          </w:tcPr>
          <w:p>
            <w:pPr>
              <w:pStyle w:val="906"/>
              <w:ind w:firstLine="0"/>
              <w:spacing w:line="400" w:lineRule="exact"/>
              <w:rPr>
                <w:rFonts w:ascii="宋体" w:hAnsi="宋体" w:eastAsia="宋体"/>
                <w:sz w:val="21"/>
              </w:rPr>
            </w:pPr>
            <w:r>
              <w:rPr>
                <w:rFonts w:hint="eastAsia" w:ascii="宋体" w:hAnsi="宋体" w:eastAsia="宋体"/>
                <w:sz w:val="21"/>
              </w:rPr>
              <w:t xml:space="preserve">销售收入</w:t>
            </w:r>
            <w:r>
              <w:rPr>
                <w:rFonts w:ascii="宋体" w:hAnsi="宋体" w:eastAsia="宋体"/>
                <w:sz w:val="21"/>
              </w:rPr>
            </w:r>
            <w:r/>
          </w:p>
        </w:tc>
        <w:tc>
          <w:tcPr>
            <w:gridSpan w:val="2"/>
            <w:tcBorders>
              <w:top w:val="single" w:color="000000" w:sz="6" w:space="0"/>
              <w:left w:val="single" w:color="000000" w:sz="6" w:space="0"/>
              <w:bottom w:val="single" w:color="000000" w:sz="6" w:space="0"/>
              <w:right w:val="single" w:color="000000" w:sz="6" w:space="0"/>
            </w:tcBorders>
            <w:tcW w:w="2601" w:type="dxa"/>
            <w:vAlign w:val="top"/>
            <w:textDirection w:val="lrTb"/>
            <w:noWrap w:val="false"/>
          </w:tcPr>
          <w:p>
            <w:pPr>
              <w:pStyle w:val="906"/>
              <w:ind w:firstLine="0"/>
              <w:spacing w:line="400" w:lineRule="exact"/>
              <w:rPr>
                <w:rFonts w:ascii="宋体" w:hAnsi="宋体" w:eastAsia="宋体"/>
                <w:sz w:val="21"/>
              </w:rPr>
            </w:pPr>
            <w:r>
              <w:rPr>
                <w:rFonts w:hint="eastAsia" w:ascii="宋体" w:hAnsi="宋体" w:eastAsia="宋体"/>
                <w:sz w:val="21"/>
              </w:rPr>
              <w:t xml:space="preserve">  </w:t>
            </w:r>
            <w:r>
              <w:rPr>
                <w:rFonts w:ascii="宋体" w:hAnsi="宋体" w:eastAsia="宋体"/>
                <w:sz w:val="21"/>
              </w:rPr>
              <w:t xml:space="preserve">年          </w:t>
            </w:r>
            <w:r>
              <w:rPr>
                <w:rFonts w:hint="eastAsia" w:ascii="宋体" w:hAnsi="宋体" w:eastAsia="宋体"/>
                <w:sz w:val="21"/>
              </w:rPr>
              <w:t xml:space="preserve">万元</w:t>
            </w:r>
            <w:r>
              <w:rPr>
                <w:rFonts w:ascii="宋体" w:hAnsi="宋体" w:eastAsia="宋体"/>
                <w:sz w:val="21"/>
              </w:rPr>
            </w:r>
            <w:r/>
          </w:p>
        </w:tc>
      </w:tr>
      <w:tr>
        <w:trPr/>
        <w:tc>
          <w:tcPr>
            <w:tcBorders>
              <w:top w:val="single" w:color="000000" w:sz="6" w:space="0"/>
              <w:left w:val="single" w:color="000000" w:sz="6" w:space="0"/>
              <w:bottom w:val="single" w:color="000000" w:sz="6" w:space="0"/>
              <w:right w:val="single" w:color="000000" w:sz="6" w:space="0"/>
            </w:tcBorders>
            <w:tcW w:w="2510" w:type="dxa"/>
            <w:vAlign w:val="top"/>
            <w:textDirection w:val="lrTb"/>
            <w:noWrap w:val="false"/>
          </w:tcPr>
          <w:p>
            <w:pPr>
              <w:pStyle w:val="906"/>
              <w:ind w:firstLine="0"/>
              <w:spacing w:line="400" w:lineRule="exact"/>
              <w:rPr>
                <w:rFonts w:ascii="宋体" w:hAnsi="宋体" w:eastAsia="宋体"/>
                <w:sz w:val="21"/>
              </w:rPr>
            </w:pPr>
            <w:r>
              <w:rPr>
                <w:rFonts w:hint="eastAsia" w:ascii="宋体" w:hAnsi="宋体" w:eastAsia="宋体"/>
                <w:sz w:val="21"/>
              </w:rPr>
              <w:t xml:space="preserve">实现利润</w:t>
            </w:r>
            <w:r>
              <w:rPr>
                <w:rFonts w:ascii="宋体" w:hAnsi="宋体" w:eastAsia="宋体"/>
                <w:sz w:val="21"/>
              </w:rPr>
            </w:r>
            <w:r/>
          </w:p>
        </w:tc>
        <w:tc>
          <w:tcPr>
            <w:tcBorders>
              <w:top w:val="single" w:color="000000" w:sz="6" w:space="0"/>
              <w:left w:val="single" w:color="000000" w:sz="6" w:space="0"/>
              <w:bottom w:val="single" w:color="000000" w:sz="6" w:space="0"/>
              <w:right w:val="single" w:color="000000" w:sz="6" w:space="0"/>
            </w:tcBorders>
            <w:tcW w:w="2259" w:type="dxa"/>
            <w:vAlign w:val="top"/>
            <w:textDirection w:val="lrTb"/>
            <w:noWrap w:val="false"/>
          </w:tcPr>
          <w:p>
            <w:pPr>
              <w:pStyle w:val="906"/>
              <w:ind w:firstLine="0"/>
              <w:spacing w:line="400" w:lineRule="exact"/>
              <w:rPr>
                <w:rFonts w:ascii="宋体" w:hAnsi="宋体" w:eastAsia="宋体"/>
                <w:sz w:val="21"/>
              </w:rPr>
            </w:pPr>
            <w:r>
              <w:rPr>
                <w:rFonts w:hint="eastAsia" w:ascii="宋体" w:hAnsi="宋体" w:eastAsia="宋体"/>
                <w:sz w:val="21"/>
              </w:rPr>
              <w:t xml:space="preserve">  </w:t>
            </w:r>
            <w:r>
              <w:rPr>
                <w:rFonts w:ascii="宋体" w:hAnsi="宋体" w:eastAsia="宋体"/>
                <w:sz w:val="21"/>
              </w:rPr>
              <w:t xml:space="preserve">年  </w:t>
            </w:r>
            <w:r>
              <w:rPr>
                <w:rFonts w:hint="eastAsia" w:ascii="宋体" w:hAnsi="宋体" w:eastAsia="宋体"/>
                <w:sz w:val="21"/>
              </w:rPr>
              <w:t xml:space="preserve">    万元</w:t>
            </w:r>
            <w:r>
              <w:rPr>
                <w:rFonts w:ascii="宋体" w:hAnsi="宋体" w:eastAsia="宋体"/>
                <w:sz w:val="21"/>
              </w:rPr>
            </w:r>
            <w:r/>
          </w:p>
        </w:tc>
        <w:tc>
          <w:tcPr>
            <w:tcBorders>
              <w:top w:val="single" w:color="000000" w:sz="6" w:space="0"/>
              <w:left w:val="single" w:color="000000" w:sz="6" w:space="0"/>
              <w:bottom w:val="single" w:color="000000" w:sz="6" w:space="0"/>
              <w:right w:val="single" w:color="000000" w:sz="6" w:space="0"/>
            </w:tcBorders>
            <w:tcW w:w="1757" w:type="dxa"/>
            <w:vAlign w:val="top"/>
            <w:textDirection w:val="lrTb"/>
            <w:noWrap w:val="false"/>
          </w:tcPr>
          <w:p>
            <w:pPr>
              <w:pStyle w:val="906"/>
              <w:ind w:firstLine="0"/>
              <w:spacing w:line="400" w:lineRule="exact"/>
              <w:rPr>
                <w:rFonts w:ascii="宋体" w:hAnsi="宋体" w:eastAsia="宋体"/>
                <w:sz w:val="21"/>
              </w:rPr>
            </w:pPr>
            <w:r>
              <w:rPr>
                <w:rFonts w:ascii="宋体" w:hAnsi="宋体" w:eastAsia="宋体"/>
                <w:sz w:val="21"/>
              </w:rPr>
            </w:r>
            <w:r/>
          </w:p>
        </w:tc>
        <w:tc>
          <w:tcPr>
            <w:gridSpan w:val="2"/>
            <w:tcBorders>
              <w:top w:val="single" w:color="000000" w:sz="6" w:space="0"/>
              <w:left w:val="single" w:color="000000" w:sz="6" w:space="0"/>
              <w:bottom w:val="single" w:color="000000" w:sz="6" w:space="0"/>
              <w:right w:val="single" w:color="000000" w:sz="6" w:space="0"/>
            </w:tcBorders>
            <w:tcW w:w="2601" w:type="dxa"/>
            <w:vAlign w:val="top"/>
            <w:textDirection w:val="lrTb"/>
            <w:noWrap w:val="false"/>
          </w:tcPr>
          <w:p>
            <w:pPr>
              <w:pStyle w:val="906"/>
              <w:ind w:firstLine="0"/>
              <w:spacing w:line="400" w:lineRule="exact"/>
              <w:rPr>
                <w:rFonts w:ascii="宋体" w:hAnsi="宋体" w:eastAsia="宋体"/>
                <w:sz w:val="21"/>
              </w:rPr>
            </w:pPr>
            <w:r>
              <w:rPr>
                <w:rFonts w:ascii="宋体" w:hAnsi="宋体" w:eastAsia="宋体"/>
                <w:sz w:val="21"/>
              </w:rPr>
            </w:r>
            <w:r/>
          </w:p>
        </w:tc>
      </w:tr>
      <w:tr>
        <w:trPr/>
        <w:tc>
          <w:tcPr>
            <w:tcBorders>
              <w:top w:val="single" w:color="000000" w:sz="6" w:space="0"/>
              <w:left w:val="single" w:color="000000" w:sz="6" w:space="0"/>
              <w:bottom w:val="single" w:color="000000" w:sz="6" w:space="0"/>
              <w:right w:val="single" w:color="000000" w:sz="6" w:space="0"/>
            </w:tcBorders>
            <w:tcW w:w="2510" w:type="dxa"/>
            <w:vAlign w:val="top"/>
            <w:textDirection w:val="lrTb"/>
            <w:noWrap w:val="false"/>
          </w:tcPr>
          <w:p>
            <w:pPr>
              <w:pStyle w:val="906"/>
              <w:ind w:firstLine="0"/>
              <w:spacing w:line="400" w:lineRule="exact"/>
              <w:rPr>
                <w:rFonts w:ascii="宋体" w:hAnsi="宋体" w:eastAsia="宋体"/>
                <w:sz w:val="21"/>
              </w:rPr>
            </w:pPr>
            <w:r>
              <w:rPr>
                <w:rFonts w:hint="eastAsia" w:ascii="宋体" w:hAnsi="宋体" w:eastAsia="宋体"/>
                <w:sz w:val="21"/>
              </w:rPr>
              <w:t xml:space="preserve">营业面积</w:t>
            </w:r>
            <w:r>
              <w:rPr>
                <w:rFonts w:ascii="宋体" w:hAnsi="宋体" w:eastAsia="宋体"/>
                <w:sz w:val="21"/>
              </w:rPr>
            </w:r>
            <w:r/>
          </w:p>
          <w:p>
            <w:pPr>
              <w:pStyle w:val="906"/>
              <w:ind w:firstLine="0"/>
              <w:spacing w:line="400" w:lineRule="exact"/>
              <w:rPr>
                <w:rFonts w:ascii="宋体" w:hAnsi="宋体" w:eastAsia="宋体"/>
                <w:sz w:val="21"/>
              </w:rPr>
            </w:pPr>
            <w:r>
              <w:rPr>
                <w:rFonts w:hint="eastAsia" w:ascii="宋体" w:hAnsi="宋体" w:eastAsia="宋体"/>
                <w:sz w:val="21"/>
              </w:rPr>
              <w:t xml:space="preserve">（含厂房面积）</w:t>
            </w:r>
            <w:r>
              <w:rPr>
                <w:rFonts w:ascii="宋体" w:hAnsi="宋体" w:eastAsia="宋体"/>
                <w:sz w:val="21"/>
              </w:rPr>
            </w:r>
            <w:r/>
          </w:p>
        </w:tc>
        <w:tc>
          <w:tcPr>
            <w:tcBorders>
              <w:top w:val="single" w:color="000000" w:sz="6" w:space="0"/>
              <w:left w:val="single" w:color="000000" w:sz="6" w:space="0"/>
              <w:bottom w:val="single" w:color="000000" w:sz="6" w:space="0"/>
              <w:right w:val="single" w:color="000000" w:sz="6" w:space="0"/>
            </w:tcBorders>
            <w:tcW w:w="2259" w:type="dxa"/>
            <w:vAlign w:val="top"/>
            <w:textDirection w:val="lrTb"/>
            <w:noWrap w:val="false"/>
          </w:tcPr>
          <w:p>
            <w:pPr>
              <w:pStyle w:val="906"/>
              <w:ind w:firstLine="0"/>
              <w:spacing w:line="400" w:lineRule="exact"/>
              <w:rPr>
                <w:rFonts w:ascii="宋体" w:hAnsi="宋体" w:eastAsia="宋体"/>
                <w:sz w:val="21"/>
              </w:rPr>
            </w:pPr>
            <w:r>
              <w:rPr>
                <w:rFonts w:ascii="宋体" w:hAnsi="宋体" w:eastAsia="宋体"/>
                <w:sz w:val="21"/>
              </w:rPr>
              <w:t xml:space="preserve">          </w:t>
            </w:r>
            <w:r>
              <w:rPr>
                <w:rFonts w:hint="eastAsia" w:ascii="宋体" w:hAnsi="宋体" w:eastAsia="宋体"/>
                <w:sz w:val="21"/>
              </w:rPr>
              <w:t xml:space="preserve">平方米</w:t>
            </w:r>
            <w:r>
              <w:rPr>
                <w:rFonts w:ascii="宋体" w:hAnsi="宋体" w:eastAsia="宋体"/>
                <w:sz w:val="21"/>
              </w:rPr>
            </w:r>
            <w:r/>
          </w:p>
        </w:tc>
        <w:tc>
          <w:tcPr>
            <w:tcBorders>
              <w:top w:val="single" w:color="000000" w:sz="6" w:space="0"/>
              <w:left w:val="single" w:color="000000" w:sz="6" w:space="0"/>
              <w:bottom w:val="single" w:color="000000" w:sz="6" w:space="0"/>
              <w:right w:val="single" w:color="000000" w:sz="6" w:space="0"/>
            </w:tcBorders>
            <w:tcW w:w="1757" w:type="dxa"/>
            <w:vAlign w:val="top"/>
            <w:textDirection w:val="lrTb"/>
            <w:noWrap w:val="false"/>
          </w:tcPr>
          <w:p>
            <w:pPr>
              <w:pStyle w:val="906"/>
              <w:ind w:firstLine="0"/>
              <w:spacing w:line="400" w:lineRule="exact"/>
              <w:rPr>
                <w:rFonts w:ascii="宋体" w:hAnsi="宋体" w:eastAsia="宋体"/>
                <w:sz w:val="21"/>
              </w:rPr>
            </w:pPr>
            <w:r>
              <w:rPr>
                <w:rFonts w:hint="eastAsia" w:ascii="宋体" w:hAnsi="宋体" w:eastAsia="宋体"/>
                <w:sz w:val="21"/>
              </w:rPr>
              <w:t xml:space="preserve">其中：</w:t>
            </w:r>
            <w:r>
              <w:rPr>
                <w:rFonts w:ascii="宋体" w:hAnsi="宋体" w:eastAsia="宋体"/>
                <w:sz w:val="21"/>
              </w:rPr>
            </w:r>
            <w:r/>
          </w:p>
        </w:tc>
        <w:tc>
          <w:tcPr>
            <w:gridSpan w:val="2"/>
            <w:tcBorders>
              <w:top w:val="single" w:color="000000" w:sz="6" w:space="0"/>
              <w:left w:val="single" w:color="000000" w:sz="6" w:space="0"/>
              <w:bottom w:val="single" w:color="000000" w:sz="6" w:space="0"/>
              <w:right w:val="single" w:color="000000" w:sz="6" w:space="0"/>
            </w:tcBorders>
            <w:tcW w:w="2601" w:type="dxa"/>
            <w:vAlign w:val="top"/>
            <w:textDirection w:val="lrTb"/>
            <w:noWrap w:val="false"/>
          </w:tcPr>
          <w:p>
            <w:pPr>
              <w:pStyle w:val="906"/>
              <w:ind w:firstLine="0"/>
              <w:spacing w:line="400" w:lineRule="exact"/>
              <w:rPr>
                <w:rFonts w:ascii="宋体" w:hAnsi="宋体" w:eastAsia="宋体"/>
                <w:sz w:val="21"/>
              </w:rPr>
            </w:pPr>
            <w:r>
              <w:rPr>
                <w:rFonts w:hint="eastAsia" w:ascii="宋体" w:hAnsi="宋体" w:eastAsia="宋体"/>
                <w:sz w:val="21"/>
              </w:rPr>
              <w:t xml:space="preserve">自有面积</w:t>
            </w:r>
            <w:r>
              <w:rPr>
                <w:rFonts w:ascii="宋体" w:hAnsi="宋体" w:eastAsia="宋体"/>
                <w:sz w:val="21"/>
              </w:rPr>
              <w:t xml:space="preserve">       平方米</w:t>
            </w:r>
            <w:r/>
          </w:p>
          <w:p>
            <w:pPr>
              <w:pStyle w:val="906"/>
              <w:ind w:firstLine="0"/>
              <w:spacing w:line="400" w:lineRule="exact"/>
              <w:rPr>
                <w:rFonts w:ascii="宋体" w:hAnsi="宋体" w:eastAsia="宋体"/>
                <w:sz w:val="21"/>
              </w:rPr>
            </w:pPr>
            <w:r>
              <w:rPr>
                <w:rFonts w:hint="eastAsia" w:ascii="宋体" w:hAnsi="宋体" w:eastAsia="宋体"/>
                <w:sz w:val="21"/>
              </w:rPr>
              <w:t xml:space="preserve">承租面积</w:t>
            </w:r>
            <w:r>
              <w:rPr>
                <w:rFonts w:ascii="宋体" w:hAnsi="宋体" w:eastAsia="宋体"/>
                <w:sz w:val="21"/>
              </w:rPr>
              <w:t xml:space="preserve">       平方米</w:t>
            </w:r>
            <w:r/>
          </w:p>
        </w:tc>
      </w:tr>
      <w:tr>
        <w:trPr/>
        <w:tc>
          <w:tcPr>
            <w:tcBorders>
              <w:top w:val="single" w:color="000000" w:sz="6" w:space="0"/>
              <w:left w:val="single" w:color="000000" w:sz="6" w:space="0"/>
              <w:bottom w:val="single" w:color="000000" w:sz="6" w:space="0"/>
              <w:right w:val="single" w:color="000000" w:sz="6" w:space="0"/>
            </w:tcBorders>
            <w:tcW w:w="2510" w:type="dxa"/>
            <w:vAlign w:val="top"/>
            <w:textDirection w:val="lrTb"/>
            <w:noWrap w:val="false"/>
          </w:tcPr>
          <w:p>
            <w:pPr>
              <w:pStyle w:val="906"/>
              <w:ind w:firstLine="0"/>
              <w:spacing w:line="400" w:lineRule="exact"/>
              <w:rPr>
                <w:rFonts w:ascii="宋体" w:hAnsi="宋体" w:eastAsia="宋体"/>
                <w:sz w:val="21"/>
              </w:rPr>
            </w:pPr>
            <w:r>
              <w:rPr>
                <w:rFonts w:hint="eastAsia" w:ascii="宋体" w:hAnsi="宋体" w:eastAsia="宋体"/>
                <w:sz w:val="21"/>
              </w:rPr>
              <w:t xml:space="preserve">单位简历及内设机构情况</w:t>
            </w:r>
            <w:r>
              <w:rPr>
                <w:rFonts w:ascii="宋体" w:hAnsi="宋体" w:eastAsia="宋体"/>
                <w:sz w:val="21"/>
              </w:rPr>
            </w:r>
            <w:r/>
          </w:p>
        </w:tc>
        <w:tc>
          <w:tcPr>
            <w:gridSpan w:val="4"/>
            <w:tcBorders>
              <w:top w:val="single" w:color="000000" w:sz="6" w:space="0"/>
              <w:left w:val="single" w:color="000000" w:sz="6" w:space="0"/>
              <w:bottom w:val="single" w:color="000000" w:sz="6" w:space="0"/>
              <w:right w:val="single" w:color="000000" w:sz="6" w:space="0"/>
            </w:tcBorders>
            <w:tcW w:w="6617" w:type="dxa"/>
            <w:vAlign w:val="top"/>
            <w:textDirection w:val="lrTb"/>
            <w:noWrap w:val="false"/>
          </w:tcPr>
          <w:p>
            <w:pPr>
              <w:pStyle w:val="906"/>
              <w:ind w:firstLine="0"/>
              <w:spacing w:line="400" w:lineRule="exact"/>
              <w:rPr>
                <w:rFonts w:ascii="宋体" w:hAnsi="宋体" w:eastAsia="宋体"/>
                <w:sz w:val="21"/>
              </w:rPr>
            </w:pPr>
            <w:r>
              <w:rPr>
                <w:rFonts w:ascii="宋体" w:hAnsi="宋体" w:eastAsia="宋体"/>
                <w:sz w:val="21"/>
              </w:rPr>
            </w:r>
            <w:r/>
          </w:p>
        </w:tc>
      </w:tr>
      <w:tr>
        <w:trPr/>
        <w:tc>
          <w:tcPr>
            <w:tcBorders>
              <w:top w:val="single" w:color="000000" w:sz="6" w:space="0"/>
              <w:left w:val="single" w:color="000000" w:sz="6" w:space="0"/>
              <w:bottom w:val="single" w:color="000000" w:sz="6" w:space="0"/>
              <w:right w:val="single" w:color="000000" w:sz="6" w:space="0"/>
            </w:tcBorders>
            <w:tcW w:w="2510" w:type="dxa"/>
            <w:vAlign w:val="top"/>
            <w:textDirection w:val="lrTb"/>
            <w:noWrap w:val="false"/>
          </w:tcPr>
          <w:p>
            <w:pPr>
              <w:pStyle w:val="906"/>
              <w:ind w:firstLine="0"/>
              <w:spacing w:line="400" w:lineRule="exact"/>
              <w:rPr>
                <w:rFonts w:ascii="宋体" w:hAnsi="宋体" w:eastAsia="宋体"/>
                <w:sz w:val="21"/>
              </w:rPr>
            </w:pPr>
            <w:r>
              <w:rPr>
                <w:rFonts w:hint="eastAsia" w:ascii="宋体" w:hAnsi="宋体" w:eastAsia="宋体"/>
                <w:sz w:val="21"/>
              </w:rPr>
              <w:t xml:space="preserve">单位优势及特长</w:t>
            </w:r>
            <w:r>
              <w:rPr>
                <w:rFonts w:ascii="宋体" w:hAnsi="宋体" w:eastAsia="宋体"/>
                <w:sz w:val="21"/>
              </w:rPr>
            </w:r>
            <w:r/>
          </w:p>
        </w:tc>
        <w:tc>
          <w:tcPr>
            <w:gridSpan w:val="4"/>
            <w:tcBorders>
              <w:top w:val="single" w:color="000000" w:sz="6" w:space="0"/>
              <w:left w:val="single" w:color="000000" w:sz="6" w:space="0"/>
              <w:bottom w:val="single" w:color="000000" w:sz="6" w:space="0"/>
              <w:right w:val="single" w:color="000000" w:sz="6" w:space="0"/>
            </w:tcBorders>
            <w:tcW w:w="6617" w:type="dxa"/>
            <w:vAlign w:val="top"/>
            <w:textDirection w:val="lrTb"/>
            <w:noWrap w:val="false"/>
          </w:tcPr>
          <w:p>
            <w:pPr>
              <w:pStyle w:val="906"/>
              <w:ind w:firstLine="0"/>
              <w:spacing w:line="400" w:lineRule="exact"/>
              <w:rPr>
                <w:rFonts w:ascii="宋体" w:hAnsi="宋体" w:eastAsia="宋体"/>
                <w:sz w:val="21"/>
              </w:rPr>
            </w:pPr>
            <w:r>
              <w:rPr>
                <w:rFonts w:ascii="宋体" w:hAnsi="宋体" w:eastAsia="宋体"/>
                <w:sz w:val="21"/>
              </w:rPr>
            </w:r>
            <w:r/>
          </w:p>
        </w:tc>
      </w:tr>
      <w:tr>
        <w:trPr/>
        <w:tc>
          <w:tcPr>
            <w:tcBorders>
              <w:top w:val="single" w:color="000000" w:sz="6" w:space="0"/>
              <w:left w:val="single" w:color="000000" w:sz="6" w:space="0"/>
              <w:bottom w:val="single" w:color="000000" w:sz="6" w:space="0"/>
              <w:right w:val="single" w:color="000000" w:sz="6" w:space="0"/>
            </w:tcBorders>
            <w:tcW w:w="2510" w:type="dxa"/>
            <w:vAlign w:val="top"/>
            <w:textDirection w:val="lrTb"/>
            <w:noWrap w:val="false"/>
          </w:tcPr>
          <w:p>
            <w:pPr>
              <w:pStyle w:val="906"/>
              <w:ind w:firstLine="0"/>
              <w:spacing w:line="400" w:lineRule="exact"/>
              <w:rPr>
                <w:rFonts w:ascii="宋体" w:hAnsi="宋体" w:eastAsia="宋体"/>
                <w:sz w:val="21"/>
              </w:rPr>
            </w:pPr>
            <w:r>
              <w:rPr>
                <w:rFonts w:hint="eastAsia" w:ascii="宋体" w:hAnsi="宋体" w:eastAsia="宋体"/>
                <w:sz w:val="21"/>
              </w:rPr>
              <w:t xml:space="preserve">职工“三险”缴纳情况</w:t>
            </w:r>
            <w:r>
              <w:rPr>
                <w:rFonts w:ascii="宋体" w:hAnsi="宋体" w:eastAsia="宋体"/>
                <w:sz w:val="21"/>
              </w:rPr>
            </w:r>
            <w:r/>
          </w:p>
        </w:tc>
        <w:tc>
          <w:tcPr>
            <w:gridSpan w:val="4"/>
            <w:tcBorders>
              <w:top w:val="single" w:color="000000" w:sz="6" w:space="0"/>
              <w:left w:val="single" w:color="000000" w:sz="6" w:space="0"/>
              <w:bottom w:val="single" w:color="000000" w:sz="6" w:space="0"/>
              <w:right w:val="single" w:color="000000" w:sz="6" w:space="0"/>
            </w:tcBorders>
            <w:tcW w:w="6617" w:type="dxa"/>
            <w:vAlign w:val="top"/>
            <w:textDirection w:val="lrTb"/>
            <w:noWrap w:val="false"/>
          </w:tcPr>
          <w:p>
            <w:pPr>
              <w:pStyle w:val="906"/>
              <w:ind w:firstLine="0"/>
              <w:spacing w:line="400" w:lineRule="exact"/>
              <w:rPr>
                <w:rFonts w:ascii="宋体" w:hAnsi="宋体" w:eastAsia="宋体"/>
                <w:sz w:val="21"/>
              </w:rPr>
            </w:pPr>
            <w:r>
              <w:rPr>
                <w:rFonts w:ascii="宋体" w:hAnsi="宋体" w:eastAsia="宋体"/>
                <w:sz w:val="21"/>
              </w:rPr>
            </w:r>
            <w:r/>
          </w:p>
        </w:tc>
      </w:tr>
      <w:tr>
        <w:trPr/>
        <w:tc>
          <w:tcPr>
            <w:tcBorders>
              <w:top w:val="single" w:color="000000" w:sz="6" w:space="0"/>
              <w:left w:val="single" w:color="000000" w:sz="6" w:space="0"/>
              <w:bottom w:val="single" w:color="000000" w:sz="6" w:space="0"/>
              <w:right w:val="single" w:color="000000" w:sz="6" w:space="0"/>
            </w:tcBorders>
            <w:tcW w:w="2510" w:type="dxa"/>
            <w:vAlign w:val="top"/>
            <w:textDirection w:val="lrTb"/>
            <w:noWrap w:val="false"/>
          </w:tcPr>
          <w:p>
            <w:pPr>
              <w:pStyle w:val="906"/>
              <w:ind w:firstLine="0"/>
              <w:spacing w:line="400" w:lineRule="exact"/>
              <w:rPr>
                <w:rFonts w:ascii="宋体" w:hAnsi="宋体" w:eastAsia="宋体"/>
                <w:sz w:val="21"/>
              </w:rPr>
            </w:pPr>
            <w:r>
              <w:rPr>
                <w:rFonts w:hint="eastAsia" w:ascii="宋体" w:hAnsi="宋体" w:eastAsia="宋体"/>
                <w:sz w:val="21"/>
              </w:rPr>
              <w:t xml:space="preserve">近三年来完成或正在履行的重大合同情况</w:t>
            </w:r>
            <w:r>
              <w:rPr>
                <w:rFonts w:ascii="宋体" w:hAnsi="宋体" w:eastAsia="宋体"/>
                <w:sz w:val="21"/>
              </w:rPr>
            </w:r>
            <w:r/>
          </w:p>
        </w:tc>
        <w:tc>
          <w:tcPr>
            <w:gridSpan w:val="4"/>
            <w:tcBorders>
              <w:top w:val="single" w:color="000000" w:sz="6" w:space="0"/>
              <w:left w:val="single" w:color="000000" w:sz="6" w:space="0"/>
              <w:bottom w:val="single" w:color="000000" w:sz="6" w:space="0"/>
              <w:right w:val="single" w:color="000000" w:sz="6" w:space="0"/>
            </w:tcBorders>
            <w:tcW w:w="6617" w:type="dxa"/>
            <w:vAlign w:val="top"/>
            <w:textDirection w:val="lrTb"/>
            <w:noWrap w:val="false"/>
          </w:tcPr>
          <w:p>
            <w:pPr>
              <w:pStyle w:val="906"/>
              <w:ind w:firstLine="0"/>
              <w:spacing w:line="400" w:lineRule="exact"/>
              <w:rPr>
                <w:rFonts w:ascii="宋体" w:hAnsi="宋体" w:eastAsia="宋体"/>
                <w:sz w:val="21"/>
              </w:rPr>
            </w:pPr>
            <w:r>
              <w:rPr>
                <w:rFonts w:ascii="宋体" w:hAnsi="宋体" w:eastAsia="宋体"/>
                <w:sz w:val="21"/>
              </w:rPr>
            </w:r>
            <w:r/>
          </w:p>
        </w:tc>
      </w:tr>
      <w:tr>
        <w:trPr/>
        <w:tc>
          <w:tcPr>
            <w:tcBorders>
              <w:top w:val="single" w:color="000000" w:sz="6" w:space="0"/>
              <w:left w:val="single" w:color="000000" w:sz="6" w:space="0"/>
              <w:bottom w:val="single" w:color="000000" w:sz="6" w:space="0"/>
              <w:right w:val="single" w:color="000000" w:sz="6" w:space="0"/>
            </w:tcBorders>
            <w:tcW w:w="2510" w:type="dxa"/>
            <w:vAlign w:val="top"/>
            <w:textDirection w:val="lrTb"/>
            <w:noWrap w:val="false"/>
          </w:tcPr>
          <w:p>
            <w:pPr>
              <w:pStyle w:val="906"/>
              <w:ind w:firstLine="0"/>
              <w:spacing w:line="400" w:lineRule="exact"/>
              <w:rPr>
                <w:rFonts w:ascii="宋体" w:hAnsi="宋体" w:eastAsia="宋体"/>
                <w:sz w:val="21"/>
              </w:rPr>
            </w:pPr>
            <w:r>
              <w:rPr>
                <w:rFonts w:hint="eastAsia" w:ascii="宋体" w:hAnsi="宋体" w:eastAsia="宋体"/>
                <w:sz w:val="21"/>
              </w:rPr>
              <w:t xml:space="preserve">最近</w:t>
            </w:r>
            <w:r>
              <w:rPr>
                <w:rFonts w:ascii="宋体" w:hAnsi="宋体" w:eastAsia="宋体"/>
                <w:sz w:val="21"/>
              </w:rPr>
              <w:t xml:space="preserve">2年内在经营过程中受到何种奖励或处分</w:t>
            </w:r>
            <w:r/>
          </w:p>
        </w:tc>
        <w:tc>
          <w:tcPr>
            <w:gridSpan w:val="4"/>
            <w:tcBorders>
              <w:top w:val="single" w:color="000000" w:sz="6" w:space="0"/>
              <w:left w:val="single" w:color="000000" w:sz="6" w:space="0"/>
              <w:bottom w:val="single" w:color="000000" w:sz="6" w:space="0"/>
              <w:right w:val="single" w:color="000000" w:sz="6" w:space="0"/>
            </w:tcBorders>
            <w:tcW w:w="6617" w:type="dxa"/>
            <w:vAlign w:val="top"/>
            <w:textDirection w:val="lrTb"/>
            <w:noWrap w:val="false"/>
          </w:tcPr>
          <w:p>
            <w:pPr>
              <w:pStyle w:val="906"/>
              <w:ind w:firstLine="0"/>
              <w:spacing w:line="400" w:lineRule="exact"/>
              <w:rPr>
                <w:rFonts w:ascii="宋体" w:hAnsi="宋体" w:eastAsia="宋体"/>
                <w:sz w:val="21"/>
              </w:rPr>
            </w:pPr>
            <w:r>
              <w:rPr>
                <w:rFonts w:ascii="宋体" w:hAnsi="宋体" w:eastAsia="宋体"/>
                <w:sz w:val="21"/>
              </w:rPr>
            </w:r>
            <w:r/>
          </w:p>
        </w:tc>
      </w:tr>
      <w:tr>
        <w:trPr/>
        <w:tc>
          <w:tcPr>
            <w:tcBorders>
              <w:top w:val="single" w:color="000000" w:sz="6" w:space="0"/>
              <w:left w:val="single" w:color="000000" w:sz="6" w:space="0"/>
              <w:bottom w:val="single" w:color="000000" w:sz="6" w:space="0"/>
              <w:right w:val="single" w:color="000000" w:sz="6" w:space="0"/>
            </w:tcBorders>
            <w:tcW w:w="2510" w:type="dxa"/>
            <w:vAlign w:val="top"/>
            <w:textDirection w:val="lrTb"/>
            <w:noWrap w:val="false"/>
          </w:tcPr>
          <w:p>
            <w:pPr>
              <w:pStyle w:val="906"/>
              <w:ind w:firstLine="0"/>
              <w:spacing w:line="400" w:lineRule="exact"/>
              <w:rPr>
                <w:rFonts w:ascii="宋体" w:hAnsi="宋体" w:eastAsia="宋体"/>
                <w:sz w:val="21"/>
              </w:rPr>
            </w:pPr>
            <w:r>
              <w:rPr>
                <w:rFonts w:hint="eastAsia" w:ascii="宋体" w:hAnsi="宋体" w:eastAsia="宋体"/>
                <w:sz w:val="21"/>
              </w:rPr>
              <w:t xml:space="preserve">最近</w:t>
            </w:r>
            <w:r>
              <w:rPr>
                <w:rFonts w:ascii="宋体" w:hAnsi="宋体" w:eastAsia="宋体"/>
                <w:sz w:val="21"/>
              </w:rPr>
              <w:t xml:space="preserve">3年内有无因售假、售劣或是其他原因被消费者投诉或起诉的情况及说明</w:t>
            </w:r>
            <w:r/>
          </w:p>
        </w:tc>
        <w:tc>
          <w:tcPr>
            <w:gridSpan w:val="4"/>
            <w:tcBorders>
              <w:top w:val="single" w:color="000000" w:sz="6" w:space="0"/>
              <w:left w:val="single" w:color="000000" w:sz="6" w:space="0"/>
              <w:bottom w:val="single" w:color="000000" w:sz="6" w:space="0"/>
              <w:right w:val="single" w:color="000000" w:sz="6" w:space="0"/>
            </w:tcBorders>
            <w:tcW w:w="6617" w:type="dxa"/>
            <w:vAlign w:val="top"/>
            <w:textDirection w:val="lrTb"/>
            <w:noWrap w:val="false"/>
          </w:tcPr>
          <w:p>
            <w:pPr>
              <w:pStyle w:val="906"/>
              <w:ind w:firstLine="0"/>
              <w:spacing w:line="400" w:lineRule="exact"/>
              <w:rPr>
                <w:rFonts w:ascii="宋体" w:hAnsi="宋体" w:eastAsia="宋体"/>
                <w:sz w:val="21"/>
              </w:rPr>
            </w:pPr>
            <w:r>
              <w:rPr>
                <w:rFonts w:hint="eastAsia" w:ascii="宋体" w:hAnsi="宋体" w:eastAsia="宋体"/>
                <w:sz w:val="21"/>
              </w:rPr>
              <w:t xml:space="preserve">（包括解决方式和结果）</w:t>
            </w:r>
            <w:r>
              <w:rPr>
                <w:rFonts w:ascii="宋体" w:hAnsi="宋体" w:eastAsia="宋体"/>
                <w:sz w:val="21"/>
              </w:rPr>
            </w:r>
            <w:r/>
          </w:p>
        </w:tc>
      </w:tr>
      <w:tr>
        <w:trPr/>
        <w:tc>
          <w:tcPr>
            <w:tcBorders>
              <w:top w:val="single" w:color="000000" w:sz="6" w:space="0"/>
              <w:left w:val="single" w:color="000000" w:sz="6" w:space="0"/>
              <w:bottom w:val="single" w:color="000000" w:sz="6" w:space="0"/>
              <w:right w:val="single" w:color="000000" w:sz="6" w:space="0"/>
            </w:tcBorders>
            <w:tcW w:w="2510" w:type="dxa"/>
            <w:vAlign w:val="top"/>
            <w:textDirection w:val="lrTb"/>
            <w:noWrap w:val="false"/>
          </w:tcPr>
          <w:p>
            <w:pPr>
              <w:pStyle w:val="906"/>
              <w:ind w:firstLine="0"/>
              <w:spacing w:line="400" w:lineRule="exact"/>
              <w:rPr>
                <w:rFonts w:ascii="宋体" w:hAnsi="宋体" w:eastAsia="宋体"/>
                <w:sz w:val="21"/>
              </w:rPr>
            </w:pPr>
            <w:r>
              <w:rPr>
                <w:rFonts w:hint="eastAsia" w:ascii="宋体" w:hAnsi="宋体" w:eastAsia="宋体"/>
                <w:sz w:val="21"/>
              </w:rPr>
              <w:t xml:space="preserve">最近</w:t>
            </w:r>
            <w:r>
              <w:rPr>
                <w:rFonts w:ascii="宋体" w:hAnsi="宋体" w:eastAsia="宋体"/>
                <w:sz w:val="21"/>
              </w:rPr>
              <w:t xml:space="preserve">3年内主要负责人有无因经济犯罪被司法机关追究的情况及说明</w:t>
            </w:r>
            <w:r/>
          </w:p>
        </w:tc>
        <w:tc>
          <w:tcPr>
            <w:gridSpan w:val="4"/>
            <w:tcBorders>
              <w:top w:val="single" w:color="000000" w:sz="6" w:space="0"/>
              <w:left w:val="single" w:color="000000" w:sz="6" w:space="0"/>
              <w:bottom w:val="single" w:color="000000" w:sz="6" w:space="0"/>
              <w:right w:val="single" w:color="000000" w:sz="6" w:space="0"/>
            </w:tcBorders>
            <w:tcW w:w="6617" w:type="dxa"/>
            <w:vAlign w:val="top"/>
            <w:textDirection w:val="lrTb"/>
            <w:noWrap w:val="false"/>
          </w:tcPr>
          <w:p>
            <w:pPr>
              <w:pStyle w:val="906"/>
              <w:ind w:firstLine="0"/>
              <w:spacing w:line="400" w:lineRule="exact"/>
              <w:rPr>
                <w:rFonts w:ascii="宋体" w:hAnsi="宋体" w:eastAsia="宋体"/>
                <w:sz w:val="21"/>
              </w:rPr>
            </w:pPr>
            <w:r>
              <w:rPr>
                <w:rFonts w:ascii="宋体" w:hAnsi="宋体" w:eastAsia="宋体"/>
                <w:sz w:val="21"/>
              </w:rPr>
            </w:r>
            <w:r/>
          </w:p>
        </w:tc>
      </w:tr>
      <w:tr>
        <w:trPr/>
        <w:tc>
          <w:tcPr>
            <w:tcBorders>
              <w:top w:val="single" w:color="000000" w:sz="6" w:space="0"/>
              <w:left w:val="single" w:color="000000" w:sz="6" w:space="0"/>
              <w:bottom w:val="single" w:color="000000" w:sz="6" w:space="0"/>
              <w:right w:val="single" w:color="000000" w:sz="6" w:space="0"/>
            </w:tcBorders>
            <w:tcW w:w="2510" w:type="dxa"/>
            <w:vAlign w:val="top"/>
            <w:textDirection w:val="lrTb"/>
            <w:noWrap w:val="false"/>
          </w:tcPr>
          <w:p>
            <w:pPr>
              <w:pStyle w:val="906"/>
              <w:ind w:firstLine="0"/>
              <w:spacing w:line="400" w:lineRule="exact"/>
              <w:rPr>
                <w:rFonts w:ascii="宋体" w:hAnsi="宋体" w:eastAsia="宋体"/>
                <w:sz w:val="21"/>
              </w:rPr>
            </w:pPr>
            <w:r>
              <w:rPr>
                <w:rFonts w:hint="eastAsia" w:ascii="宋体" w:hAnsi="宋体" w:eastAsia="宋体"/>
                <w:sz w:val="21"/>
              </w:rPr>
              <w:t xml:space="preserve">获得技术认证的工程师及简介</w:t>
            </w:r>
            <w:r>
              <w:rPr>
                <w:rFonts w:ascii="宋体" w:hAnsi="宋体" w:eastAsia="宋体"/>
                <w:sz w:val="21"/>
              </w:rPr>
            </w:r>
            <w:r/>
          </w:p>
        </w:tc>
        <w:tc>
          <w:tcPr>
            <w:gridSpan w:val="4"/>
            <w:tcBorders>
              <w:top w:val="single" w:color="000000" w:sz="6" w:space="0"/>
              <w:left w:val="single" w:color="000000" w:sz="6" w:space="0"/>
              <w:bottom w:val="single" w:color="000000" w:sz="6" w:space="0"/>
              <w:right w:val="single" w:color="000000" w:sz="6" w:space="0"/>
            </w:tcBorders>
            <w:tcW w:w="6617" w:type="dxa"/>
            <w:vAlign w:val="top"/>
            <w:textDirection w:val="lrTb"/>
            <w:noWrap w:val="false"/>
          </w:tcPr>
          <w:p>
            <w:pPr>
              <w:pStyle w:val="906"/>
              <w:ind w:firstLine="0"/>
              <w:spacing w:line="400" w:lineRule="exact"/>
              <w:rPr>
                <w:rFonts w:ascii="宋体" w:hAnsi="宋体" w:eastAsia="宋体"/>
                <w:sz w:val="21"/>
              </w:rPr>
            </w:pPr>
            <w:r>
              <w:rPr>
                <w:rFonts w:ascii="宋体" w:hAnsi="宋体" w:eastAsia="宋体"/>
                <w:sz w:val="21"/>
              </w:rPr>
            </w:r>
            <w:r/>
          </w:p>
        </w:tc>
      </w:tr>
      <w:tr>
        <w:trPr>
          <w:trHeight w:val="510"/>
        </w:trPr>
        <w:tc>
          <w:tcPr>
            <w:tcBorders>
              <w:top w:val="single" w:color="000000" w:sz="6" w:space="0"/>
              <w:left w:val="single" w:color="000000" w:sz="6" w:space="0"/>
              <w:bottom w:val="single" w:color="000000" w:sz="6" w:space="0"/>
              <w:right w:val="single" w:color="000000" w:sz="6" w:space="0"/>
            </w:tcBorders>
            <w:tcW w:w="2510" w:type="dxa"/>
            <w:vAlign w:val="top"/>
            <w:textDirection w:val="lrTb"/>
            <w:noWrap w:val="false"/>
          </w:tcPr>
          <w:p>
            <w:pPr>
              <w:pStyle w:val="906"/>
              <w:ind w:firstLine="0"/>
              <w:spacing w:line="400" w:lineRule="exact"/>
              <w:rPr>
                <w:rFonts w:ascii="宋体" w:hAnsi="宋体" w:eastAsia="宋体"/>
                <w:sz w:val="21"/>
              </w:rPr>
            </w:pPr>
            <w:r>
              <w:rPr>
                <w:rFonts w:hint="eastAsia" w:ascii="宋体" w:hAnsi="宋体" w:eastAsia="宋体"/>
                <w:sz w:val="21"/>
              </w:rPr>
              <w:t xml:space="preserve">其他需要说明的情况</w:t>
            </w:r>
            <w:r>
              <w:rPr>
                <w:rFonts w:ascii="宋体" w:hAnsi="宋体" w:eastAsia="宋体"/>
                <w:sz w:val="21"/>
              </w:rPr>
            </w:r>
            <w:r/>
          </w:p>
        </w:tc>
        <w:tc>
          <w:tcPr>
            <w:gridSpan w:val="4"/>
            <w:tcBorders>
              <w:top w:val="single" w:color="000000" w:sz="6" w:space="0"/>
              <w:left w:val="single" w:color="000000" w:sz="6" w:space="0"/>
              <w:bottom w:val="single" w:color="000000" w:sz="6" w:space="0"/>
              <w:right w:val="single" w:color="000000" w:sz="6" w:space="0"/>
            </w:tcBorders>
            <w:tcW w:w="6617" w:type="dxa"/>
            <w:vAlign w:val="top"/>
            <w:textDirection w:val="lrTb"/>
            <w:noWrap w:val="false"/>
          </w:tcPr>
          <w:p>
            <w:pPr>
              <w:pStyle w:val="906"/>
              <w:ind w:firstLine="0"/>
              <w:spacing w:line="400" w:lineRule="exact"/>
              <w:rPr>
                <w:rFonts w:ascii="宋体" w:hAnsi="宋体" w:eastAsia="宋体"/>
                <w:sz w:val="21"/>
              </w:rPr>
            </w:pPr>
            <w:r>
              <w:rPr>
                <w:rFonts w:ascii="宋体" w:hAnsi="宋体" w:eastAsia="宋体"/>
                <w:sz w:val="21"/>
              </w:rPr>
            </w:r>
            <w:r/>
          </w:p>
        </w:tc>
      </w:tr>
    </w:tbl>
    <w:p>
      <w:pPr>
        <w:pStyle w:val="959"/>
        <w:rPr>
          <w:szCs w:val="21"/>
        </w:rPr>
      </w:pPr>
      <w:r/>
      <w:bookmarkStart w:id="58" w:name="_Ref79412935"/>
      <w:r>
        <w:rPr>
          <w:b w:val="0"/>
        </w:rPr>
        <w:br w:type="page" w:clear="all"/>
      </w:r>
      <w:bookmarkEnd w:id="58"/>
      <w:r/>
      <w:bookmarkStart w:id="59" w:name="_Toc199168205"/>
      <w:r>
        <w:rPr>
          <w:rFonts w:hint="eastAsia"/>
        </w:rPr>
        <w:t xml:space="preserve">第四章  招标书</w:t>
      </w:r>
      <w:bookmarkEnd w:id="59"/>
      <w:r>
        <w:rPr>
          <w:szCs w:val="21"/>
        </w:rPr>
      </w:r>
      <w:r/>
    </w:p>
    <w:p>
      <w:pPr>
        <w:pStyle w:val="886"/>
        <w:ind w:firstLine="420"/>
        <w:spacing w:line="360" w:lineRule="auto"/>
        <w:rPr>
          <w:rFonts w:hint="eastAsia" w:ascii="宋体" w:hAnsi="宋体"/>
          <w:szCs w:val="21"/>
        </w:rPr>
      </w:pPr>
      <w:r/>
      <w:bookmarkStart w:id="60" w:name="_Toc339548794"/>
      <w:r/>
      <w:bookmarkStart w:id="61" w:name="_Toc266088666"/>
      <w:r>
        <w:rPr>
          <w:rFonts w:hint="eastAsia" w:ascii="宋体" w:hAnsi="宋体"/>
          <w:szCs w:val="21"/>
        </w:rPr>
        <w:t xml:space="preserve">受昆山高新技术产业开发区管理委员会（昆山高新技术产业开发区安全生产监督管理和环境保护局)的委托，苏州公正建设咨询房地产评估有限公司作为招标代理人，为采购单位拟采购的</w:t>
      </w:r>
      <w:r>
        <w:rPr>
          <w:rFonts w:hint="eastAsia" w:ascii="宋体" w:hAnsi="宋体"/>
        </w:rPr>
        <w:t xml:space="preserve">环保检查验收服务、挥发性有机物治理管家驻点服务项目</w:t>
      </w:r>
      <w:r>
        <w:rPr>
          <w:rFonts w:hint="eastAsia" w:ascii="宋体" w:hAnsi="宋体"/>
          <w:szCs w:val="21"/>
        </w:rPr>
        <w:t xml:space="preserve">进行国内公开招标。</w:t>
      </w:r>
      <w:r/>
    </w:p>
    <w:p>
      <w:pPr>
        <w:pStyle w:val="886"/>
        <w:ind w:firstLine="420"/>
        <w:spacing w:line="360" w:lineRule="auto"/>
        <w:rPr>
          <w:rFonts w:hint="eastAsia" w:ascii="宋体" w:hAnsi="宋体"/>
          <w:szCs w:val="21"/>
        </w:rPr>
      </w:pPr>
      <w:r/>
      <w:bookmarkEnd w:id="60"/>
      <w:r/>
      <w:bookmarkEnd w:id="61"/>
      <w:r>
        <w:rPr>
          <w:rFonts w:hint="eastAsia" w:ascii="宋体" w:hAnsi="宋体"/>
          <w:szCs w:val="21"/>
        </w:rPr>
        <w:t xml:space="preserve">一、项目编号：</w:t>
      </w:r>
      <w:r>
        <w:rPr>
          <w:rFonts w:hint="eastAsia" w:ascii="宋体" w:hAnsi="宋体"/>
          <w:szCs w:val="21"/>
        </w:rPr>
        <w:t xml:space="preserve">JSZC-320583-SZGZ-G2025-0057</w:t>
      </w:r>
      <w:r>
        <w:rPr>
          <w:rFonts w:hint="eastAsia" w:ascii="宋体" w:hAnsi="宋体"/>
          <w:szCs w:val="21"/>
        </w:rPr>
        <w:t xml:space="preserve">号</w:t>
      </w:r>
      <w:r/>
    </w:p>
    <w:p>
      <w:pPr>
        <w:pStyle w:val="886"/>
        <w:ind w:firstLine="420"/>
        <w:spacing w:line="360" w:lineRule="auto"/>
        <w:rPr>
          <w:rFonts w:hint="eastAsia" w:ascii="宋体" w:hAnsi="宋体"/>
          <w:szCs w:val="21"/>
        </w:rPr>
      </w:pPr>
      <w:r>
        <w:rPr>
          <w:rFonts w:hint="eastAsia" w:ascii="宋体" w:hAnsi="宋体"/>
          <w:szCs w:val="21"/>
        </w:rPr>
        <w:t xml:space="preserve">二、项目名称：环保检查验收服务、挥发性有机物治理管家驻点服务项目</w:t>
      </w:r>
      <w:r/>
    </w:p>
    <w:p>
      <w:pPr>
        <w:pStyle w:val="886"/>
        <w:ind w:firstLine="420"/>
        <w:spacing w:line="360" w:lineRule="auto"/>
        <w:rPr>
          <w:rFonts w:hint="eastAsia" w:ascii="宋体" w:hAnsi="宋体"/>
          <w:szCs w:val="21"/>
        </w:rPr>
      </w:pPr>
      <w:r>
        <w:rPr>
          <w:rFonts w:hint="eastAsia" w:ascii="宋体" w:hAnsi="宋体"/>
          <w:szCs w:val="21"/>
        </w:rPr>
        <w:t xml:space="preserve">三、服务期：1年。</w:t>
      </w:r>
      <w:r/>
    </w:p>
    <w:p>
      <w:pPr>
        <w:pStyle w:val="886"/>
        <w:ind w:firstLine="420"/>
        <w:spacing w:line="360" w:lineRule="auto"/>
        <w:rPr>
          <w:rFonts w:hint="eastAsia" w:ascii="宋体" w:hAnsi="宋体"/>
          <w:szCs w:val="21"/>
        </w:rPr>
      </w:pPr>
      <w:r>
        <w:rPr>
          <w:rFonts w:hint="eastAsia" w:ascii="宋体" w:hAnsi="宋体"/>
          <w:szCs w:val="21"/>
        </w:rPr>
      </w:r>
      <w:r/>
    </w:p>
    <w:tbl>
      <w:tblPr>
        <w:tblW w:w="10623" w:type="dxa"/>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632"/>
        <w:gridCol w:w="1365"/>
        <w:gridCol w:w="3670"/>
        <w:gridCol w:w="1050"/>
        <w:gridCol w:w="1460"/>
        <w:gridCol w:w="2446"/>
      </w:tblGrid>
      <w:tr>
        <w:trPr>
          <w:trHeight w:val="533"/>
        </w:trPr>
        <w:tc>
          <w:tcPr>
            <w:tcW w:w="632" w:type="dxa"/>
            <w:vAlign w:val="center"/>
            <w:textDirection w:val="lrTb"/>
            <w:noWrap/>
          </w:tcPr>
          <w:p>
            <w:pPr>
              <w:pStyle w:val="886"/>
              <w:jc w:val="center"/>
              <w:widowControl/>
              <w:rPr>
                <w:rFonts w:ascii="宋体" w:hAnsi="宋体" w:cs="宋体"/>
                <w:b/>
                <w:bCs/>
                <w:color w:val="000000"/>
                <w:sz w:val="22"/>
                <w:szCs w:val="22"/>
              </w:rPr>
            </w:pPr>
            <w:r>
              <w:rPr>
                <w:rFonts w:hint="eastAsia" w:ascii="宋体" w:hAnsi="宋体" w:cs="宋体"/>
                <w:b/>
                <w:bCs/>
                <w:color w:val="000000"/>
                <w:sz w:val="22"/>
                <w:szCs w:val="22"/>
              </w:rPr>
              <w:t xml:space="preserve">标段</w:t>
            </w:r>
            <w:r>
              <w:rPr>
                <w:rFonts w:ascii="宋体" w:hAnsi="宋体" w:cs="宋体"/>
                <w:b/>
                <w:bCs/>
                <w:color w:val="000000"/>
                <w:sz w:val="22"/>
                <w:szCs w:val="22"/>
              </w:rPr>
            </w:r>
            <w:r/>
          </w:p>
        </w:tc>
        <w:tc>
          <w:tcPr>
            <w:tcW w:w="1365" w:type="dxa"/>
            <w:vAlign w:val="center"/>
            <w:textDirection w:val="lrTb"/>
            <w:noWrap/>
          </w:tcPr>
          <w:p>
            <w:pPr>
              <w:pStyle w:val="886"/>
              <w:jc w:val="center"/>
              <w:widowControl/>
              <w:rPr>
                <w:rFonts w:ascii="宋体" w:hAnsi="宋体" w:cs="宋体"/>
                <w:b/>
                <w:bCs/>
                <w:color w:val="000000"/>
                <w:sz w:val="22"/>
                <w:szCs w:val="22"/>
              </w:rPr>
            </w:pPr>
            <w:r>
              <w:rPr>
                <w:rFonts w:hint="eastAsia" w:ascii="宋体" w:hAnsi="宋体" w:cs="宋体"/>
                <w:b/>
                <w:bCs/>
                <w:color w:val="000000"/>
                <w:sz w:val="22"/>
                <w:szCs w:val="22"/>
              </w:rPr>
              <w:t xml:space="preserve">高新区安环网格区域</w:t>
            </w:r>
            <w:r>
              <w:rPr>
                <w:rFonts w:ascii="宋体" w:hAnsi="宋体" w:cs="宋体"/>
                <w:b/>
                <w:bCs/>
                <w:color w:val="000000"/>
                <w:sz w:val="22"/>
                <w:szCs w:val="22"/>
              </w:rPr>
            </w:r>
            <w:r/>
          </w:p>
        </w:tc>
        <w:tc>
          <w:tcPr>
            <w:tcW w:w="3670" w:type="dxa"/>
            <w:vAlign w:val="center"/>
            <w:textDirection w:val="lrTb"/>
            <w:noWrap/>
          </w:tcPr>
          <w:p>
            <w:pPr>
              <w:pStyle w:val="886"/>
              <w:jc w:val="center"/>
              <w:widowControl/>
              <w:rPr>
                <w:rFonts w:ascii="宋体" w:hAnsi="宋体" w:cs="宋体"/>
                <w:b/>
                <w:bCs/>
                <w:color w:val="000000"/>
                <w:sz w:val="22"/>
                <w:szCs w:val="22"/>
              </w:rPr>
            </w:pPr>
            <w:r>
              <w:rPr>
                <w:rFonts w:hint="eastAsia" w:ascii="宋体" w:hAnsi="宋体" w:cs="宋体"/>
                <w:b/>
                <w:bCs/>
                <w:color w:val="000000"/>
                <w:sz w:val="22"/>
                <w:szCs w:val="22"/>
              </w:rPr>
              <w:t xml:space="preserve">区域范围</w:t>
            </w:r>
            <w:r>
              <w:rPr>
                <w:rFonts w:ascii="宋体" w:hAnsi="宋体" w:cs="宋体"/>
                <w:b/>
                <w:bCs/>
                <w:color w:val="000000"/>
                <w:sz w:val="22"/>
                <w:szCs w:val="22"/>
              </w:rPr>
            </w:r>
            <w:r/>
          </w:p>
        </w:tc>
        <w:tc>
          <w:tcPr>
            <w:tcW w:w="1050" w:type="dxa"/>
            <w:vAlign w:val="center"/>
            <w:textDirection w:val="lrTb"/>
            <w:noWrap/>
          </w:tcPr>
          <w:p>
            <w:pPr>
              <w:pStyle w:val="886"/>
              <w:jc w:val="center"/>
              <w:widowControl/>
              <w:rPr>
                <w:rFonts w:ascii="宋体" w:hAnsi="宋体" w:cs="宋体"/>
                <w:b/>
                <w:bCs/>
                <w:color w:val="000000"/>
                <w:sz w:val="22"/>
                <w:szCs w:val="22"/>
              </w:rPr>
            </w:pPr>
            <w:r>
              <w:rPr>
                <w:rFonts w:hint="eastAsia" w:ascii="宋体" w:hAnsi="宋体" w:cs="宋体"/>
                <w:b/>
                <w:bCs/>
                <w:color w:val="000000"/>
                <w:sz w:val="22"/>
                <w:szCs w:val="22"/>
              </w:rPr>
              <w:t xml:space="preserve">预算（万元）</w:t>
            </w:r>
            <w:r>
              <w:rPr>
                <w:rFonts w:ascii="宋体" w:hAnsi="宋体" w:cs="宋体"/>
                <w:b/>
                <w:bCs/>
                <w:color w:val="000000"/>
                <w:sz w:val="22"/>
                <w:szCs w:val="22"/>
              </w:rPr>
            </w:r>
            <w:r/>
          </w:p>
        </w:tc>
        <w:tc>
          <w:tcPr>
            <w:tcW w:w="1460" w:type="dxa"/>
            <w:vAlign w:val="center"/>
            <w:textDirection w:val="lrTb"/>
            <w:noWrap/>
          </w:tcPr>
          <w:p>
            <w:pPr>
              <w:pStyle w:val="886"/>
              <w:jc w:val="center"/>
              <w:widowControl/>
              <w:rPr>
                <w:rFonts w:ascii="宋体" w:hAnsi="宋体" w:cs="宋体"/>
                <w:b/>
                <w:bCs/>
                <w:color w:val="000000"/>
                <w:sz w:val="22"/>
                <w:szCs w:val="22"/>
              </w:rPr>
            </w:pPr>
            <w:r>
              <w:rPr>
                <w:rFonts w:hint="eastAsia" w:ascii="宋体" w:hAnsi="宋体" w:cs="宋体"/>
                <w:b/>
                <w:bCs/>
                <w:color w:val="000000"/>
                <w:sz w:val="22"/>
                <w:szCs w:val="22"/>
              </w:rPr>
              <w:t xml:space="preserve">任务概况</w:t>
            </w:r>
            <w:r>
              <w:rPr>
                <w:rFonts w:ascii="宋体" w:hAnsi="宋体" w:cs="宋体"/>
                <w:b/>
                <w:bCs/>
                <w:color w:val="000000"/>
                <w:sz w:val="22"/>
                <w:szCs w:val="22"/>
              </w:rPr>
            </w:r>
            <w:r/>
          </w:p>
        </w:tc>
        <w:tc>
          <w:tcPr>
            <w:tcW w:w="2446" w:type="dxa"/>
            <w:vAlign w:val="center"/>
            <w:textDirection w:val="lrTb"/>
            <w:noWrap/>
          </w:tcPr>
          <w:p>
            <w:pPr>
              <w:pStyle w:val="886"/>
              <w:jc w:val="center"/>
              <w:widowControl/>
              <w:rPr>
                <w:rFonts w:ascii="宋体" w:hAnsi="宋体" w:cs="宋体"/>
                <w:b/>
                <w:bCs/>
                <w:color w:val="000000"/>
                <w:sz w:val="22"/>
                <w:szCs w:val="22"/>
              </w:rPr>
            </w:pPr>
            <w:r>
              <w:rPr>
                <w:rFonts w:hint="eastAsia" w:ascii="宋体" w:hAnsi="宋体" w:cs="宋体"/>
                <w:b/>
                <w:bCs/>
                <w:color w:val="000000"/>
                <w:sz w:val="22"/>
                <w:szCs w:val="22"/>
              </w:rPr>
              <w:t xml:space="preserve">预算组成</w:t>
            </w:r>
            <w:r>
              <w:rPr>
                <w:rFonts w:ascii="宋体" w:hAnsi="宋体" w:cs="宋体"/>
                <w:b/>
                <w:bCs/>
                <w:color w:val="000000"/>
                <w:sz w:val="22"/>
                <w:szCs w:val="22"/>
              </w:rPr>
            </w:r>
            <w:r/>
          </w:p>
        </w:tc>
      </w:tr>
      <w:tr>
        <w:trPr>
          <w:cantSplit/>
          <w:trHeight w:val="533"/>
        </w:trPr>
        <w:tc>
          <w:tcPr>
            <w:tcW w:w="632" w:type="dxa"/>
            <w:vAlign w:val="center"/>
            <w:textDirection w:val="lrTb"/>
            <w:noWrap/>
          </w:tcPr>
          <w:p>
            <w:pPr>
              <w:pStyle w:val="886"/>
              <w:jc w:val="center"/>
              <w:widowControl/>
              <w:rPr>
                <w:rFonts w:ascii="宋体" w:hAnsi="宋体" w:cs="宋体"/>
                <w:color w:val="000000"/>
                <w:sz w:val="22"/>
                <w:szCs w:val="22"/>
              </w:rPr>
            </w:pPr>
            <w:r>
              <w:rPr>
                <w:rFonts w:hint="eastAsia" w:ascii="宋体" w:hAnsi="宋体" w:cs="宋体"/>
                <w:color w:val="000000"/>
                <w:sz w:val="22"/>
                <w:szCs w:val="22"/>
              </w:rPr>
              <w:t xml:space="preserve">标段一</w:t>
            </w:r>
            <w:r>
              <w:rPr>
                <w:rFonts w:ascii="宋体" w:hAnsi="宋体" w:cs="宋体"/>
                <w:color w:val="000000"/>
                <w:sz w:val="22"/>
                <w:szCs w:val="22"/>
              </w:rPr>
            </w:r>
            <w:r/>
          </w:p>
        </w:tc>
        <w:tc>
          <w:tcPr>
            <w:tcW w:w="1365" w:type="dxa"/>
            <w:vAlign w:val="center"/>
            <w:textDirection w:val="lrTb"/>
            <w:noWrap/>
          </w:tcPr>
          <w:p>
            <w:pPr>
              <w:pStyle w:val="886"/>
              <w:jc w:val="center"/>
              <w:widowControl/>
              <w:rPr>
                <w:rFonts w:ascii="宋体" w:hAnsi="宋体" w:cs="宋体"/>
                <w:color w:val="000000"/>
                <w:sz w:val="22"/>
                <w:szCs w:val="22"/>
              </w:rPr>
            </w:pPr>
            <w:r>
              <w:rPr>
                <w:rFonts w:hint="eastAsia" w:ascii="宋体" w:hAnsi="宋体" w:cs="宋体"/>
                <w:color w:val="000000"/>
                <w:sz w:val="22"/>
                <w:szCs w:val="22"/>
              </w:rPr>
              <w:t xml:space="preserve">吴淞江区域</w:t>
            </w:r>
            <w:r>
              <w:rPr>
                <w:rFonts w:ascii="宋体" w:hAnsi="宋体" w:cs="宋体"/>
                <w:color w:val="000000"/>
                <w:sz w:val="22"/>
                <w:szCs w:val="22"/>
              </w:rPr>
            </w:r>
            <w:r/>
          </w:p>
        </w:tc>
        <w:tc>
          <w:tcPr>
            <w:tcW w:w="3670" w:type="dxa"/>
            <w:vAlign w:val="center"/>
            <w:textDirection w:val="lrTb"/>
            <w:noWrap/>
          </w:tcPr>
          <w:p>
            <w:pPr>
              <w:pStyle w:val="886"/>
              <w:jc w:val="left"/>
              <w:widowControl/>
              <w:rPr>
                <w:rFonts w:ascii="宋体" w:hAnsi="宋体" w:cs="宋体"/>
                <w:color w:val="000000"/>
                <w:sz w:val="22"/>
                <w:szCs w:val="22"/>
              </w:rPr>
            </w:pPr>
            <w:r>
              <w:rPr>
                <w:rFonts w:hint="eastAsia" w:ascii="宋体" w:hAnsi="宋体" w:cs="宋体"/>
                <w:color w:val="000000"/>
                <w:sz w:val="22"/>
                <w:szCs w:val="22"/>
              </w:rPr>
              <w:t xml:space="preserve">1.娄江河以南，吴淞江河以北，界浦河以东，小虞河路以西；2.青淞区域</w:t>
            </w:r>
            <w:r>
              <w:rPr>
                <w:rFonts w:ascii="宋体" w:hAnsi="宋体" w:cs="宋体"/>
                <w:color w:val="000000"/>
                <w:sz w:val="22"/>
                <w:szCs w:val="22"/>
              </w:rPr>
            </w:r>
            <w:r/>
          </w:p>
        </w:tc>
        <w:tc>
          <w:tcPr>
            <w:tcW w:w="1050" w:type="dxa"/>
            <w:vAlign w:val="center"/>
            <w:textDirection w:val="lrTb"/>
            <w:noWrap/>
          </w:tcPr>
          <w:p>
            <w:pPr>
              <w:pStyle w:val="886"/>
              <w:jc w:val="center"/>
              <w:widowControl/>
              <w:rPr>
                <w:rFonts w:ascii="宋体" w:hAnsi="宋体" w:cs="宋体"/>
                <w:color w:val="000000"/>
                <w:sz w:val="22"/>
                <w:szCs w:val="22"/>
              </w:rPr>
            </w:pPr>
            <w:r>
              <w:rPr>
                <w:rFonts w:hint="eastAsia" w:ascii="宋体" w:hAnsi="宋体" w:cs="宋体"/>
                <w:color w:val="000000"/>
                <w:sz w:val="22"/>
                <w:szCs w:val="22"/>
              </w:rPr>
              <w:t xml:space="preserve">100</w:t>
            </w:r>
            <w:r>
              <w:rPr>
                <w:rFonts w:ascii="宋体" w:hAnsi="宋体" w:cs="宋体"/>
                <w:color w:val="000000"/>
                <w:sz w:val="22"/>
                <w:szCs w:val="22"/>
              </w:rPr>
            </w:r>
            <w:r/>
          </w:p>
        </w:tc>
        <w:tc>
          <w:tcPr>
            <w:tcW w:w="1460" w:type="dxa"/>
            <w:vAlign w:val="center"/>
            <w:vMerge w:val="restart"/>
            <w:textDirection w:val="lrTb"/>
            <w:noWrap/>
          </w:tcPr>
          <w:p>
            <w:pPr>
              <w:pStyle w:val="886"/>
              <w:jc w:val="left"/>
              <w:widowControl/>
              <w:rPr>
                <w:rFonts w:ascii="宋体" w:hAnsi="宋体" w:cs="宋体"/>
                <w:color w:val="000000"/>
                <w:sz w:val="22"/>
                <w:szCs w:val="22"/>
              </w:rPr>
            </w:pPr>
            <w:r>
              <w:rPr>
                <w:rFonts w:hint="eastAsia" w:ascii="宋体" w:hAnsi="宋体" w:cs="宋体"/>
                <w:color w:val="000000"/>
                <w:sz w:val="22"/>
                <w:szCs w:val="22"/>
              </w:rPr>
              <w:t xml:space="preserve">对区域内涉及年度工作任务的工业企业及污染源开展环保项目检查、环保专项排查、环保项目验收、污染物排放核查</w:t>
            </w:r>
            <w:r>
              <w:rPr>
                <w:rFonts w:ascii="宋体" w:hAnsi="宋体" w:cs="宋体"/>
                <w:color w:val="000000"/>
                <w:sz w:val="22"/>
                <w:szCs w:val="22"/>
              </w:rPr>
            </w:r>
            <w:r/>
          </w:p>
        </w:tc>
        <w:tc>
          <w:tcPr>
            <w:tcW w:w="2446" w:type="dxa"/>
            <w:vAlign w:val="center"/>
            <w:vMerge w:val="restart"/>
            <w:textDirection w:val="lrTb"/>
            <w:noWrap/>
          </w:tcPr>
          <w:p>
            <w:pPr>
              <w:pStyle w:val="886"/>
              <w:jc w:val="left"/>
              <w:widowControl/>
              <w:rPr>
                <w:rFonts w:ascii="宋体" w:hAnsi="宋体" w:cs="宋体"/>
                <w:color w:val="000000"/>
                <w:sz w:val="22"/>
                <w:szCs w:val="22"/>
              </w:rPr>
            </w:pPr>
            <w:r>
              <w:rPr>
                <w:rFonts w:hint="eastAsia" w:ascii="宋体" w:hAnsi="宋体" w:cs="宋体"/>
                <w:color w:val="000000"/>
                <w:sz w:val="22"/>
                <w:szCs w:val="22"/>
              </w:rPr>
              <w:t xml:space="preserve">购买环保检查验收服务预算300万元:</w:t>
            </w:r>
            <w:r>
              <w:rPr>
                <w:rFonts w:ascii="宋体" w:hAnsi="宋体" w:cs="宋体"/>
                <w:color w:val="000000"/>
                <w:sz w:val="22"/>
                <w:szCs w:val="22"/>
              </w:rPr>
            </w:r>
            <w:r/>
          </w:p>
          <w:p>
            <w:pPr>
              <w:pStyle w:val="886"/>
              <w:jc w:val="left"/>
              <w:widowControl/>
              <w:rPr>
                <w:rFonts w:ascii="宋体" w:hAnsi="宋体" w:cs="宋体"/>
                <w:color w:val="000000"/>
                <w:sz w:val="22"/>
                <w:szCs w:val="22"/>
              </w:rPr>
            </w:pPr>
            <w:r>
              <w:rPr>
                <w:rFonts w:hint="eastAsia" w:ascii="宋体" w:hAnsi="宋体" w:cs="宋体"/>
                <w:color w:val="000000"/>
                <w:sz w:val="22"/>
                <w:szCs w:val="22"/>
              </w:rPr>
              <w:t xml:space="preserve">涉及年度工作任务的工业企业及污染源开展环保项目检查、环保专项排查、环保项目验收、污染物排放核查约4000家次，每家次500元，小计200万元；重点企业详查约300家次，每家次2000元，小计60万元；其它应急检查约40万元。合计300万元</w:t>
            </w:r>
            <w:r>
              <w:rPr>
                <w:rFonts w:ascii="宋体" w:hAnsi="宋体" w:cs="宋体"/>
                <w:color w:val="000000"/>
                <w:sz w:val="22"/>
                <w:szCs w:val="22"/>
              </w:rPr>
            </w:r>
            <w:r/>
          </w:p>
        </w:tc>
      </w:tr>
      <w:tr>
        <w:trPr>
          <w:cantSplit/>
          <w:trHeight w:val="533"/>
        </w:trPr>
        <w:tc>
          <w:tcPr>
            <w:tcW w:w="632" w:type="dxa"/>
            <w:vAlign w:val="center"/>
            <w:vMerge w:val="restart"/>
            <w:textDirection w:val="lrTb"/>
            <w:noWrap/>
          </w:tcPr>
          <w:p>
            <w:pPr>
              <w:pStyle w:val="886"/>
              <w:jc w:val="center"/>
              <w:widowControl/>
              <w:rPr>
                <w:rFonts w:ascii="宋体" w:hAnsi="宋体" w:cs="宋体"/>
                <w:color w:val="000000"/>
                <w:sz w:val="22"/>
                <w:szCs w:val="22"/>
              </w:rPr>
            </w:pPr>
            <w:r>
              <w:rPr>
                <w:rFonts w:hint="eastAsia" w:ascii="宋体" w:hAnsi="宋体" w:cs="宋体"/>
                <w:color w:val="000000"/>
                <w:sz w:val="22"/>
                <w:szCs w:val="22"/>
              </w:rPr>
              <w:t xml:space="preserve">标段二</w:t>
            </w:r>
            <w:r>
              <w:rPr>
                <w:rFonts w:ascii="宋体" w:hAnsi="宋体" w:cs="宋体"/>
                <w:color w:val="000000"/>
                <w:sz w:val="22"/>
                <w:szCs w:val="22"/>
              </w:rPr>
            </w:r>
            <w:r/>
          </w:p>
        </w:tc>
        <w:tc>
          <w:tcPr>
            <w:tcW w:w="1365" w:type="dxa"/>
            <w:vAlign w:val="center"/>
            <w:textDirection w:val="lrTb"/>
            <w:noWrap/>
          </w:tcPr>
          <w:p>
            <w:pPr>
              <w:pStyle w:val="886"/>
              <w:jc w:val="center"/>
              <w:widowControl/>
              <w:rPr>
                <w:rFonts w:ascii="宋体" w:hAnsi="宋体" w:cs="宋体"/>
                <w:color w:val="000000"/>
                <w:sz w:val="22"/>
                <w:szCs w:val="22"/>
              </w:rPr>
            </w:pPr>
            <w:r>
              <w:rPr>
                <w:rFonts w:hint="eastAsia" w:ascii="宋体" w:hAnsi="宋体" w:cs="宋体"/>
                <w:color w:val="000000"/>
                <w:sz w:val="22"/>
                <w:szCs w:val="22"/>
              </w:rPr>
              <w:t xml:space="preserve">城中区域</w:t>
            </w:r>
            <w:r>
              <w:rPr>
                <w:rFonts w:ascii="宋体" w:hAnsi="宋体" w:cs="宋体"/>
                <w:color w:val="000000"/>
                <w:sz w:val="22"/>
                <w:szCs w:val="22"/>
              </w:rPr>
            </w:r>
            <w:r/>
          </w:p>
        </w:tc>
        <w:tc>
          <w:tcPr>
            <w:tcW w:w="3670" w:type="dxa"/>
            <w:vAlign w:val="center"/>
            <w:textDirection w:val="lrTb"/>
            <w:noWrap/>
          </w:tcPr>
          <w:p>
            <w:pPr>
              <w:pStyle w:val="886"/>
              <w:jc w:val="left"/>
              <w:widowControl/>
              <w:rPr>
                <w:rFonts w:ascii="宋体" w:hAnsi="宋体" w:cs="宋体"/>
                <w:color w:val="000000"/>
                <w:sz w:val="22"/>
                <w:szCs w:val="22"/>
              </w:rPr>
            </w:pPr>
            <w:r>
              <w:rPr>
                <w:rFonts w:hint="eastAsia" w:ascii="宋体" w:hAnsi="宋体" w:cs="宋体"/>
                <w:color w:val="000000"/>
                <w:sz w:val="22"/>
                <w:szCs w:val="22"/>
              </w:rPr>
              <w:t xml:space="preserve">1.新乐村、城北路以南，娄江河以北，祖冲之路以东，汉浦塘、柏庐路以西（杜桥网格以外）；2.大学城区域。</w:t>
            </w:r>
            <w:r>
              <w:rPr>
                <w:rFonts w:ascii="宋体" w:hAnsi="宋体" w:cs="宋体"/>
                <w:color w:val="000000"/>
                <w:sz w:val="22"/>
                <w:szCs w:val="22"/>
              </w:rPr>
            </w:r>
            <w:r/>
          </w:p>
        </w:tc>
        <w:tc>
          <w:tcPr>
            <w:tcW w:w="1050" w:type="dxa"/>
            <w:vAlign w:val="center"/>
            <w:vMerge w:val="restart"/>
            <w:textDirection w:val="lrTb"/>
            <w:noWrap/>
          </w:tcPr>
          <w:p>
            <w:pPr>
              <w:pStyle w:val="886"/>
              <w:jc w:val="center"/>
              <w:widowControl/>
              <w:rPr>
                <w:rFonts w:ascii="宋体" w:hAnsi="宋体" w:cs="宋体"/>
                <w:color w:val="000000"/>
                <w:sz w:val="22"/>
                <w:szCs w:val="22"/>
              </w:rPr>
            </w:pPr>
            <w:r>
              <w:rPr>
                <w:rFonts w:hint="eastAsia" w:ascii="宋体" w:hAnsi="宋体" w:cs="宋体"/>
                <w:color w:val="000000"/>
                <w:sz w:val="22"/>
                <w:szCs w:val="22"/>
              </w:rPr>
              <w:t xml:space="preserve">100</w:t>
            </w:r>
            <w:r>
              <w:rPr>
                <w:rFonts w:ascii="宋体" w:hAnsi="宋体" w:cs="宋体"/>
                <w:color w:val="000000"/>
                <w:sz w:val="22"/>
                <w:szCs w:val="22"/>
              </w:rPr>
            </w:r>
            <w:r/>
          </w:p>
        </w:tc>
        <w:tc>
          <w:tcPr>
            <w:tcW w:w="1460" w:type="dxa"/>
            <w:vAlign w:val="center"/>
            <w:vMerge w:val="continue"/>
            <w:textDirection w:val="lrTb"/>
            <w:noWrap/>
          </w:tcPr>
          <w:p>
            <w:pPr>
              <w:pStyle w:val="886"/>
              <w:jc w:val="center"/>
              <w:widowControl/>
              <w:rPr>
                <w:rFonts w:ascii="宋体" w:hAnsi="宋体" w:cs="宋体"/>
                <w:color w:val="000000"/>
                <w:sz w:val="22"/>
                <w:szCs w:val="22"/>
              </w:rPr>
            </w:pPr>
            <w:r>
              <w:rPr>
                <w:rFonts w:ascii="宋体" w:hAnsi="宋体" w:cs="宋体"/>
                <w:color w:val="000000"/>
                <w:sz w:val="22"/>
                <w:szCs w:val="22"/>
              </w:rPr>
            </w:r>
            <w:r/>
          </w:p>
        </w:tc>
        <w:tc>
          <w:tcPr>
            <w:tcW w:w="2446" w:type="dxa"/>
            <w:vAlign w:val="center"/>
            <w:vMerge w:val="continue"/>
            <w:textDirection w:val="lrTb"/>
            <w:noWrap/>
          </w:tcPr>
          <w:p>
            <w:pPr>
              <w:pStyle w:val="886"/>
              <w:jc w:val="center"/>
              <w:widowControl/>
              <w:rPr>
                <w:rFonts w:ascii="宋体" w:hAnsi="宋体" w:cs="宋体"/>
                <w:color w:val="000000"/>
                <w:sz w:val="22"/>
                <w:szCs w:val="22"/>
              </w:rPr>
            </w:pPr>
            <w:r>
              <w:rPr>
                <w:rFonts w:ascii="宋体" w:hAnsi="宋体" w:cs="宋体"/>
                <w:color w:val="000000"/>
                <w:sz w:val="22"/>
                <w:szCs w:val="22"/>
              </w:rPr>
            </w:r>
            <w:r/>
          </w:p>
        </w:tc>
      </w:tr>
      <w:tr>
        <w:trPr>
          <w:cantSplit/>
          <w:trHeight w:val="533"/>
        </w:trPr>
        <w:tc>
          <w:tcPr>
            <w:tcW w:w="632" w:type="dxa"/>
            <w:vAlign w:val="center"/>
            <w:vMerge w:val="continue"/>
            <w:textDirection w:val="lrTb"/>
            <w:noWrap/>
          </w:tcPr>
          <w:p>
            <w:pPr>
              <w:pStyle w:val="886"/>
              <w:jc w:val="center"/>
              <w:widowControl/>
              <w:rPr>
                <w:rFonts w:ascii="宋体" w:hAnsi="宋体" w:cs="宋体"/>
                <w:color w:val="000000"/>
                <w:sz w:val="22"/>
                <w:szCs w:val="22"/>
              </w:rPr>
            </w:pPr>
            <w:r>
              <w:rPr>
                <w:rFonts w:ascii="宋体" w:hAnsi="宋体" w:cs="宋体"/>
                <w:color w:val="000000"/>
                <w:sz w:val="22"/>
                <w:szCs w:val="22"/>
              </w:rPr>
            </w:r>
            <w:r/>
          </w:p>
        </w:tc>
        <w:tc>
          <w:tcPr>
            <w:tcW w:w="1365" w:type="dxa"/>
            <w:vAlign w:val="center"/>
            <w:textDirection w:val="lrTb"/>
            <w:noWrap/>
          </w:tcPr>
          <w:p>
            <w:pPr>
              <w:pStyle w:val="886"/>
              <w:jc w:val="center"/>
              <w:widowControl/>
              <w:rPr>
                <w:rFonts w:ascii="宋体" w:hAnsi="宋体" w:cs="宋体"/>
                <w:color w:val="000000"/>
                <w:sz w:val="22"/>
                <w:szCs w:val="22"/>
              </w:rPr>
            </w:pPr>
            <w:r>
              <w:rPr>
                <w:rFonts w:hint="eastAsia" w:ascii="宋体" w:hAnsi="宋体" w:cs="宋体"/>
                <w:color w:val="000000"/>
                <w:sz w:val="22"/>
                <w:szCs w:val="22"/>
              </w:rPr>
              <w:t xml:space="preserve">杨林区域</w:t>
            </w:r>
            <w:r>
              <w:rPr>
                <w:rFonts w:ascii="宋体" w:hAnsi="宋体" w:cs="宋体"/>
                <w:color w:val="000000"/>
                <w:sz w:val="22"/>
                <w:szCs w:val="22"/>
              </w:rPr>
            </w:r>
            <w:r/>
          </w:p>
        </w:tc>
        <w:tc>
          <w:tcPr>
            <w:tcW w:w="3670" w:type="dxa"/>
            <w:vAlign w:val="center"/>
            <w:textDirection w:val="lrTb"/>
            <w:noWrap/>
          </w:tcPr>
          <w:p>
            <w:pPr>
              <w:pStyle w:val="886"/>
              <w:jc w:val="left"/>
              <w:widowControl/>
              <w:rPr>
                <w:rFonts w:ascii="宋体" w:hAnsi="宋体" w:cs="宋体"/>
                <w:color w:val="000000"/>
                <w:sz w:val="22"/>
                <w:szCs w:val="22"/>
              </w:rPr>
            </w:pPr>
            <w:r>
              <w:rPr>
                <w:rFonts w:hint="eastAsia" w:ascii="宋体" w:hAnsi="宋体" w:cs="宋体"/>
                <w:color w:val="000000"/>
                <w:sz w:val="22"/>
                <w:szCs w:val="22"/>
              </w:rPr>
              <w:t xml:space="preserve">1.杨林塘以南，新塘河以北，茆沙塘以东、皇仓泾以西；2.塘龙村区域。</w:t>
            </w:r>
            <w:r>
              <w:rPr>
                <w:rFonts w:ascii="宋体" w:hAnsi="宋体" w:cs="宋体"/>
                <w:color w:val="000000"/>
                <w:sz w:val="22"/>
                <w:szCs w:val="22"/>
              </w:rPr>
            </w:r>
            <w:r/>
          </w:p>
        </w:tc>
        <w:tc>
          <w:tcPr>
            <w:tcW w:w="1050" w:type="dxa"/>
            <w:vAlign w:val="center"/>
            <w:vMerge w:val="continue"/>
            <w:textDirection w:val="lrTb"/>
            <w:noWrap/>
          </w:tcPr>
          <w:p>
            <w:pPr>
              <w:pStyle w:val="886"/>
              <w:jc w:val="center"/>
              <w:widowControl/>
              <w:rPr>
                <w:rFonts w:ascii="宋体" w:hAnsi="宋体" w:cs="宋体"/>
                <w:color w:val="000000"/>
                <w:sz w:val="22"/>
                <w:szCs w:val="22"/>
              </w:rPr>
            </w:pPr>
            <w:r>
              <w:rPr>
                <w:rFonts w:ascii="宋体" w:hAnsi="宋体" w:cs="宋体"/>
                <w:color w:val="000000"/>
                <w:sz w:val="22"/>
                <w:szCs w:val="22"/>
              </w:rPr>
            </w:r>
            <w:r/>
          </w:p>
        </w:tc>
        <w:tc>
          <w:tcPr>
            <w:tcW w:w="1460" w:type="dxa"/>
            <w:vAlign w:val="center"/>
            <w:vMerge w:val="continue"/>
            <w:textDirection w:val="lrTb"/>
            <w:noWrap/>
          </w:tcPr>
          <w:p>
            <w:pPr>
              <w:pStyle w:val="886"/>
              <w:jc w:val="center"/>
              <w:widowControl/>
              <w:rPr>
                <w:rFonts w:ascii="宋体" w:hAnsi="宋体" w:cs="宋体"/>
                <w:color w:val="000000"/>
                <w:sz w:val="22"/>
                <w:szCs w:val="22"/>
              </w:rPr>
            </w:pPr>
            <w:r>
              <w:rPr>
                <w:rFonts w:ascii="宋体" w:hAnsi="宋体" w:cs="宋体"/>
                <w:color w:val="000000"/>
                <w:sz w:val="22"/>
                <w:szCs w:val="22"/>
              </w:rPr>
            </w:r>
            <w:r/>
          </w:p>
        </w:tc>
        <w:tc>
          <w:tcPr>
            <w:tcW w:w="2446" w:type="dxa"/>
            <w:vAlign w:val="center"/>
            <w:vMerge w:val="continue"/>
            <w:textDirection w:val="lrTb"/>
            <w:noWrap/>
          </w:tcPr>
          <w:p>
            <w:pPr>
              <w:pStyle w:val="886"/>
              <w:jc w:val="center"/>
              <w:widowControl/>
              <w:rPr>
                <w:rFonts w:ascii="宋体" w:hAnsi="宋体" w:cs="宋体"/>
                <w:color w:val="000000"/>
                <w:sz w:val="22"/>
                <w:szCs w:val="22"/>
              </w:rPr>
            </w:pPr>
            <w:r>
              <w:rPr>
                <w:rFonts w:ascii="宋体" w:hAnsi="宋体" w:cs="宋体"/>
                <w:color w:val="000000"/>
                <w:sz w:val="22"/>
                <w:szCs w:val="22"/>
              </w:rPr>
            </w:r>
            <w:r/>
          </w:p>
        </w:tc>
      </w:tr>
      <w:tr>
        <w:trPr>
          <w:cantSplit/>
          <w:trHeight w:val="533"/>
        </w:trPr>
        <w:tc>
          <w:tcPr>
            <w:tcW w:w="632" w:type="dxa"/>
            <w:vAlign w:val="center"/>
            <w:vMerge w:val="restart"/>
            <w:textDirection w:val="lrTb"/>
            <w:noWrap/>
          </w:tcPr>
          <w:p>
            <w:pPr>
              <w:pStyle w:val="886"/>
              <w:jc w:val="center"/>
              <w:widowControl/>
              <w:rPr>
                <w:rFonts w:ascii="宋体" w:hAnsi="宋体" w:cs="宋体"/>
                <w:color w:val="000000"/>
                <w:sz w:val="22"/>
                <w:szCs w:val="22"/>
              </w:rPr>
            </w:pPr>
            <w:r>
              <w:rPr>
                <w:rFonts w:hint="eastAsia" w:ascii="宋体" w:hAnsi="宋体" w:cs="宋体"/>
                <w:color w:val="000000"/>
                <w:sz w:val="22"/>
                <w:szCs w:val="22"/>
              </w:rPr>
              <w:t xml:space="preserve">标段三</w:t>
            </w:r>
            <w:r>
              <w:rPr>
                <w:rFonts w:ascii="宋体" w:hAnsi="宋体" w:cs="宋体"/>
                <w:color w:val="000000"/>
                <w:sz w:val="22"/>
                <w:szCs w:val="22"/>
              </w:rPr>
            </w:r>
            <w:r/>
          </w:p>
        </w:tc>
        <w:tc>
          <w:tcPr>
            <w:tcW w:w="1365" w:type="dxa"/>
            <w:vAlign w:val="center"/>
            <w:textDirection w:val="lrTb"/>
            <w:noWrap/>
          </w:tcPr>
          <w:p>
            <w:pPr>
              <w:pStyle w:val="886"/>
              <w:jc w:val="center"/>
              <w:widowControl/>
              <w:rPr>
                <w:rFonts w:ascii="宋体" w:hAnsi="宋体" w:cs="宋体"/>
                <w:color w:val="000000"/>
                <w:sz w:val="22"/>
                <w:szCs w:val="22"/>
              </w:rPr>
            </w:pPr>
            <w:r>
              <w:rPr>
                <w:rFonts w:hint="eastAsia" w:ascii="宋体" w:hAnsi="宋体" w:cs="宋体"/>
                <w:color w:val="000000"/>
                <w:sz w:val="22"/>
                <w:szCs w:val="22"/>
              </w:rPr>
              <w:t xml:space="preserve">杜桥区域</w:t>
            </w:r>
            <w:r>
              <w:rPr>
                <w:rFonts w:ascii="宋体" w:hAnsi="宋体" w:cs="宋体"/>
                <w:color w:val="000000"/>
                <w:sz w:val="22"/>
                <w:szCs w:val="22"/>
              </w:rPr>
            </w:r>
            <w:r/>
          </w:p>
        </w:tc>
        <w:tc>
          <w:tcPr>
            <w:tcW w:w="3670" w:type="dxa"/>
            <w:vAlign w:val="center"/>
            <w:textDirection w:val="lrTb"/>
            <w:noWrap/>
          </w:tcPr>
          <w:p>
            <w:pPr>
              <w:pStyle w:val="886"/>
              <w:jc w:val="left"/>
              <w:widowControl/>
              <w:rPr>
                <w:rFonts w:ascii="宋体" w:hAnsi="宋体" w:cs="宋体"/>
                <w:color w:val="000000"/>
                <w:sz w:val="22"/>
                <w:szCs w:val="22"/>
              </w:rPr>
            </w:pPr>
            <w:r>
              <w:rPr>
                <w:rFonts w:hint="eastAsia" w:ascii="宋体" w:hAnsi="宋体" w:cs="宋体"/>
                <w:color w:val="000000"/>
                <w:sz w:val="22"/>
                <w:szCs w:val="22"/>
              </w:rPr>
              <w:t xml:space="preserve">包家桥路、亿升路以南，富士康路以北，玉城路以东、皇仓泾以西。</w:t>
            </w:r>
            <w:r>
              <w:rPr>
                <w:rFonts w:ascii="宋体" w:hAnsi="宋体" w:cs="宋体"/>
                <w:color w:val="000000"/>
                <w:sz w:val="22"/>
                <w:szCs w:val="22"/>
              </w:rPr>
            </w:r>
            <w:r/>
          </w:p>
        </w:tc>
        <w:tc>
          <w:tcPr>
            <w:tcW w:w="1050" w:type="dxa"/>
            <w:vAlign w:val="center"/>
            <w:vMerge w:val="restart"/>
            <w:textDirection w:val="lrTb"/>
            <w:noWrap/>
          </w:tcPr>
          <w:p>
            <w:pPr>
              <w:pStyle w:val="886"/>
              <w:jc w:val="center"/>
              <w:widowControl/>
              <w:rPr>
                <w:rFonts w:ascii="宋体" w:hAnsi="宋体" w:cs="宋体"/>
                <w:color w:val="000000"/>
                <w:sz w:val="22"/>
                <w:szCs w:val="22"/>
              </w:rPr>
            </w:pPr>
            <w:r>
              <w:rPr>
                <w:rFonts w:hint="eastAsia" w:ascii="宋体" w:hAnsi="宋体" w:cs="宋体"/>
                <w:color w:val="000000"/>
                <w:sz w:val="22"/>
                <w:szCs w:val="22"/>
              </w:rPr>
              <w:t xml:space="preserve">100</w:t>
            </w:r>
            <w:r>
              <w:rPr>
                <w:rFonts w:ascii="宋体" w:hAnsi="宋体" w:cs="宋体"/>
                <w:color w:val="000000"/>
                <w:sz w:val="22"/>
                <w:szCs w:val="22"/>
              </w:rPr>
            </w:r>
            <w:r/>
          </w:p>
        </w:tc>
        <w:tc>
          <w:tcPr>
            <w:tcW w:w="1460" w:type="dxa"/>
            <w:vAlign w:val="center"/>
            <w:vMerge w:val="continue"/>
            <w:textDirection w:val="lrTb"/>
            <w:noWrap/>
          </w:tcPr>
          <w:p>
            <w:pPr>
              <w:pStyle w:val="886"/>
              <w:jc w:val="center"/>
              <w:widowControl/>
              <w:rPr>
                <w:rFonts w:ascii="宋体" w:hAnsi="宋体" w:cs="宋体"/>
                <w:color w:val="000000"/>
                <w:sz w:val="22"/>
                <w:szCs w:val="22"/>
              </w:rPr>
            </w:pPr>
            <w:r>
              <w:rPr>
                <w:rFonts w:ascii="宋体" w:hAnsi="宋体" w:cs="宋体"/>
                <w:color w:val="000000"/>
                <w:sz w:val="22"/>
                <w:szCs w:val="22"/>
              </w:rPr>
            </w:r>
            <w:r/>
          </w:p>
        </w:tc>
        <w:tc>
          <w:tcPr>
            <w:tcW w:w="2446" w:type="dxa"/>
            <w:vAlign w:val="center"/>
            <w:vMerge w:val="continue"/>
            <w:textDirection w:val="lrTb"/>
            <w:noWrap/>
          </w:tcPr>
          <w:p>
            <w:pPr>
              <w:pStyle w:val="886"/>
              <w:jc w:val="center"/>
              <w:widowControl/>
              <w:rPr>
                <w:rFonts w:ascii="宋体" w:hAnsi="宋体" w:cs="宋体"/>
                <w:color w:val="000000"/>
                <w:sz w:val="22"/>
                <w:szCs w:val="22"/>
              </w:rPr>
            </w:pPr>
            <w:r>
              <w:rPr>
                <w:rFonts w:ascii="宋体" w:hAnsi="宋体" w:cs="宋体"/>
                <w:color w:val="000000"/>
                <w:sz w:val="22"/>
                <w:szCs w:val="22"/>
              </w:rPr>
            </w:r>
            <w:r/>
          </w:p>
        </w:tc>
      </w:tr>
      <w:tr>
        <w:trPr>
          <w:cantSplit/>
          <w:trHeight w:val="526"/>
        </w:trPr>
        <w:tc>
          <w:tcPr>
            <w:tcW w:w="632" w:type="dxa"/>
            <w:vAlign w:val="center"/>
            <w:vMerge w:val="continue"/>
            <w:textDirection w:val="lrTb"/>
            <w:noWrap/>
          </w:tcPr>
          <w:p>
            <w:pPr>
              <w:pStyle w:val="886"/>
              <w:jc w:val="center"/>
              <w:widowControl/>
              <w:rPr>
                <w:rFonts w:ascii="宋体" w:hAnsi="宋体" w:cs="宋体"/>
                <w:color w:val="000000"/>
                <w:sz w:val="22"/>
                <w:szCs w:val="22"/>
              </w:rPr>
            </w:pPr>
            <w:r>
              <w:rPr>
                <w:rFonts w:ascii="宋体" w:hAnsi="宋体" w:cs="宋体"/>
                <w:color w:val="000000"/>
                <w:sz w:val="22"/>
                <w:szCs w:val="22"/>
              </w:rPr>
            </w:r>
            <w:r/>
          </w:p>
        </w:tc>
        <w:tc>
          <w:tcPr>
            <w:tcW w:w="1365" w:type="dxa"/>
            <w:vAlign w:val="center"/>
            <w:textDirection w:val="lrTb"/>
            <w:noWrap/>
          </w:tcPr>
          <w:p>
            <w:pPr>
              <w:pStyle w:val="886"/>
              <w:jc w:val="center"/>
              <w:widowControl/>
              <w:rPr>
                <w:rFonts w:ascii="宋体" w:hAnsi="宋体" w:cs="宋体"/>
                <w:color w:val="000000"/>
                <w:sz w:val="22"/>
                <w:szCs w:val="22"/>
              </w:rPr>
            </w:pPr>
            <w:r>
              <w:rPr>
                <w:rFonts w:hint="eastAsia" w:ascii="宋体" w:hAnsi="宋体" w:cs="宋体"/>
                <w:color w:val="000000"/>
                <w:sz w:val="22"/>
                <w:szCs w:val="22"/>
              </w:rPr>
              <w:t xml:space="preserve">五联区域</w:t>
            </w:r>
            <w:r>
              <w:rPr>
                <w:rFonts w:ascii="宋体" w:hAnsi="宋体" w:cs="宋体"/>
                <w:color w:val="000000"/>
                <w:sz w:val="22"/>
                <w:szCs w:val="22"/>
              </w:rPr>
            </w:r>
            <w:r/>
          </w:p>
        </w:tc>
        <w:tc>
          <w:tcPr>
            <w:tcW w:w="3670" w:type="dxa"/>
            <w:vAlign w:val="center"/>
            <w:textDirection w:val="lrTb"/>
            <w:noWrap/>
          </w:tcPr>
          <w:p>
            <w:pPr>
              <w:pStyle w:val="886"/>
              <w:jc w:val="left"/>
              <w:widowControl/>
              <w:rPr>
                <w:rFonts w:ascii="宋体" w:hAnsi="宋体" w:cs="宋体"/>
                <w:color w:val="000000"/>
                <w:sz w:val="22"/>
                <w:szCs w:val="22"/>
              </w:rPr>
            </w:pPr>
            <w:r>
              <w:rPr>
                <w:rFonts w:hint="eastAsia" w:ascii="宋体" w:hAnsi="宋体" w:cs="宋体"/>
                <w:color w:val="000000"/>
                <w:sz w:val="22"/>
                <w:szCs w:val="22"/>
              </w:rPr>
              <w:t xml:space="preserve">1.新塘河以南，城北路以北，大鱼塘以东，玉城路以西；2.东和路两侧。</w:t>
            </w:r>
            <w:r>
              <w:rPr>
                <w:rFonts w:ascii="宋体" w:hAnsi="宋体" w:cs="宋体"/>
                <w:color w:val="000000"/>
                <w:sz w:val="22"/>
                <w:szCs w:val="22"/>
              </w:rPr>
            </w:r>
            <w:r/>
          </w:p>
        </w:tc>
        <w:tc>
          <w:tcPr>
            <w:tcW w:w="1050" w:type="dxa"/>
            <w:vAlign w:val="center"/>
            <w:vMerge w:val="continue"/>
            <w:textDirection w:val="lrTb"/>
            <w:noWrap/>
          </w:tcPr>
          <w:p>
            <w:pPr>
              <w:pStyle w:val="886"/>
              <w:jc w:val="center"/>
              <w:widowControl/>
              <w:rPr>
                <w:rFonts w:ascii="宋体" w:hAnsi="宋体" w:cs="宋体"/>
                <w:color w:val="000000"/>
                <w:sz w:val="22"/>
                <w:szCs w:val="22"/>
              </w:rPr>
            </w:pPr>
            <w:r>
              <w:rPr>
                <w:rFonts w:ascii="宋体" w:hAnsi="宋体" w:cs="宋体"/>
                <w:color w:val="000000"/>
                <w:sz w:val="22"/>
                <w:szCs w:val="22"/>
              </w:rPr>
            </w:r>
            <w:r/>
          </w:p>
        </w:tc>
        <w:tc>
          <w:tcPr>
            <w:tcW w:w="1460" w:type="dxa"/>
            <w:vAlign w:val="center"/>
            <w:vMerge w:val="continue"/>
            <w:textDirection w:val="lrTb"/>
            <w:noWrap/>
          </w:tcPr>
          <w:p>
            <w:pPr>
              <w:pStyle w:val="886"/>
              <w:jc w:val="center"/>
              <w:widowControl/>
              <w:rPr>
                <w:rFonts w:ascii="宋体" w:hAnsi="宋体" w:cs="宋体"/>
                <w:color w:val="000000"/>
                <w:sz w:val="22"/>
                <w:szCs w:val="22"/>
              </w:rPr>
            </w:pPr>
            <w:r>
              <w:rPr>
                <w:rFonts w:ascii="宋体" w:hAnsi="宋体" w:cs="宋体"/>
                <w:color w:val="000000"/>
                <w:sz w:val="22"/>
                <w:szCs w:val="22"/>
              </w:rPr>
            </w:r>
            <w:r/>
          </w:p>
        </w:tc>
        <w:tc>
          <w:tcPr>
            <w:tcW w:w="2446" w:type="dxa"/>
            <w:vAlign w:val="center"/>
            <w:vMerge w:val="continue"/>
            <w:textDirection w:val="lrTb"/>
            <w:noWrap/>
          </w:tcPr>
          <w:p>
            <w:pPr>
              <w:pStyle w:val="886"/>
              <w:jc w:val="center"/>
              <w:widowControl/>
              <w:rPr>
                <w:rFonts w:ascii="宋体" w:hAnsi="宋体" w:cs="宋体"/>
                <w:color w:val="000000"/>
                <w:sz w:val="22"/>
                <w:szCs w:val="22"/>
              </w:rPr>
            </w:pPr>
            <w:r>
              <w:rPr>
                <w:rFonts w:ascii="宋体" w:hAnsi="宋体" w:cs="宋体"/>
                <w:color w:val="000000"/>
                <w:sz w:val="22"/>
                <w:szCs w:val="22"/>
              </w:rPr>
            </w:r>
            <w:r/>
          </w:p>
        </w:tc>
      </w:tr>
      <w:tr>
        <w:trPr>
          <w:cantSplit/>
          <w:trHeight w:val="526"/>
        </w:trPr>
        <w:tc>
          <w:tcPr>
            <w:tcW w:w="632" w:type="dxa"/>
            <w:vAlign w:val="center"/>
            <w:vMerge w:val="continue"/>
            <w:textDirection w:val="lrTb"/>
            <w:noWrap/>
          </w:tcPr>
          <w:p>
            <w:pPr>
              <w:pStyle w:val="886"/>
              <w:jc w:val="center"/>
              <w:widowControl/>
              <w:rPr>
                <w:rFonts w:ascii="宋体" w:hAnsi="宋体" w:cs="宋体"/>
                <w:color w:val="000000"/>
                <w:sz w:val="22"/>
                <w:szCs w:val="22"/>
              </w:rPr>
            </w:pPr>
            <w:r>
              <w:rPr>
                <w:rFonts w:ascii="宋体" w:hAnsi="宋体" w:cs="宋体"/>
                <w:color w:val="000000"/>
                <w:sz w:val="22"/>
                <w:szCs w:val="22"/>
              </w:rPr>
            </w:r>
            <w:r/>
          </w:p>
        </w:tc>
        <w:tc>
          <w:tcPr>
            <w:tcW w:w="1365" w:type="dxa"/>
            <w:vAlign w:val="center"/>
            <w:textDirection w:val="lrTb"/>
            <w:noWrap/>
          </w:tcPr>
          <w:p>
            <w:pPr>
              <w:pStyle w:val="886"/>
              <w:jc w:val="center"/>
              <w:widowControl/>
              <w:rPr>
                <w:rFonts w:ascii="宋体" w:hAnsi="宋体" w:cs="宋体"/>
                <w:color w:val="000000"/>
                <w:sz w:val="22"/>
                <w:szCs w:val="22"/>
              </w:rPr>
            </w:pPr>
            <w:r>
              <w:rPr>
                <w:rFonts w:hint="eastAsia" w:ascii="宋体" w:hAnsi="宋体" w:cs="宋体"/>
                <w:color w:val="000000"/>
                <w:sz w:val="22"/>
                <w:szCs w:val="22"/>
              </w:rPr>
              <w:t xml:space="preserve">强安区域</w:t>
            </w:r>
            <w:r>
              <w:rPr>
                <w:rFonts w:ascii="宋体" w:hAnsi="宋体" w:cs="宋体"/>
                <w:color w:val="000000"/>
                <w:sz w:val="22"/>
                <w:szCs w:val="22"/>
              </w:rPr>
            </w:r>
            <w:r/>
          </w:p>
        </w:tc>
        <w:tc>
          <w:tcPr>
            <w:tcW w:w="3670" w:type="dxa"/>
            <w:vAlign w:val="center"/>
            <w:textDirection w:val="lrTb"/>
            <w:noWrap/>
          </w:tcPr>
          <w:p>
            <w:pPr>
              <w:pStyle w:val="886"/>
              <w:jc w:val="left"/>
              <w:widowControl/>
              <w:rPr>
                <w:rFonts w:ascii="宋体" w:hAnsi="宋体" w:cs="宋体"/>
                <w:color w:val="000000"/>
                <w:sz w:val="22"/>
                <w:szCs w:val="22"/>
              </w:rPr>
            </w:pPr>
            <w:r>
              <w:rPr>
                <w:rFonts w:hint="eastAsia" w:ascii="宋体" w:hAnsi="宋体" w:cs="宋体"/>
                <w:color w:val="000000"/>
                <w:sz w:val="22"/>
                <w:szCs w:val="22"/>
              </w:rPr>
              <w:t xml:space="preserve">新塘河以南，包家桥路、亿升路以北，玉城路以东，皇仓泾以西。</w:t>
            </w:r>
            <w:r>
              <w:rPr>
                <w:rFonts w:ascii="宋体" w:hAnsi="宋体" w:cs="宋体"/>
                <w:color w:val="000000"/>
                <w:sz w:val="22"/>
                <w:szCs w:val="22"/>
              </w:rPr>
            </w:r>
            <w:r/>
          </w:p>
        </w:tc>
        <w:tc>
          <w:tcPr>
            <w:tcW w:w="1050" w:type="dxa"/>
            <w:vAlign w:val="center"/>
            <w:vMerge w:val="continue"/>
            <w:textDirection w:val="lrTb"/>
            <w:noWrap/>
          </w:tcPr>
          <w:p>
            <w:pPr>
              <w:pStyle w:val="886"/>
              <w:jc w:val="center"/>
              <w:widowControl/>
              <w:rPr>
                <w:rFonts w:ascii="宋体" w:hAnsi="宋体" w:cs="宋体"/>
                <w:color w:val="000000"/>
                <w:sz w:val="22"/>
                <w:szCs w:val="22"/>
              </w:rPr>
            </w:pPr>
            <w:r>
              <w:rPr>
                <w:rFonts w:ascii="宋体" w:hAnsi="宋体" w:cs="宋体"/>
                <w:color w:val="000000"/>
                <w:sz w:val="22"/>
                <w:szCs w:val="22"/>
              </w:rPr>
            </w:r>
            <w:r/>
          </w:p>
        </w:tc>
        <w:tc>
          <w:tcPr>
            <w:tcW w:w="1460" w:type="dxa"/>
            <w:vAlign w:val="center"/>
            <w:vMerge w:val="continue"/>
            <w:textDirection w:val="lrTb"/>
            <w:noWrap/>
          </w:tcPr>
          <w:p>
            <w:pPr>
              <w:pStyle w:val="886"/>
              <w:jc w:val="center"/>
              <w:widowControl/>
              <w:rPr>
                <w:rFonts w:ascii="宋体" w:hAnsi="宋体" w:cs="宋体"/>
                <w:color w:val="000000"/>
                <w:sz w:val="22"/>
                <w:szCs w:val="22"/>
              </w:rPr>
            </w:pPr>
            <w:r>
              <w:rPr>
                <w:rFonts w:ascii="宋体" w:hAnsi="宋体" w:cs="宋体"/>
                <w:color w:val="000000"/>
                <w:sz w:val="22"/>
                <w:szCs w:val="22"/>
              </w:rPr>
            </w:r>
            <w:r/>
          </w:p>
        </w:tc>
        <w:tc>
          <w:tcPr>
            <w:tcW w:w="2446" w:type="dxa"/>
            <w:vAlign w:val="center"/>
            <w:vMerge w:val="continue"/>
            <w:textDirection w:val="lrTb"/>
            <w:noWrap/>
          </w:tcPr>
          <w:p>
            <w:pPr>
              <w:pStyle w:val="886"/>
              <w:jc w:val="center"/>
              <w:widowControl/>
              <w:rPr>
                <w:rFonts w:ascii="宋体" w:hAnsi="宋体" w:cs="宋体"/>
                <w:color w:val="000000"/>
                <w:sz w:val="22"/>
                <w:szCs w:val="22"/>
              </w:rPr>
            </w:pPr>
            <w:r>
              <w:rPr>
                <w:rFonts w:ascii="宋体" w:hAnsi="宋体" w:cs="宋体"/>
                <w:color w:val="000000"/>
                <w:sz w:val="22"/>
                <w:szCs w:val="22"/>
              </w:rPr>
            </w:r>
            <w:r/>
          </w:p>
        </w:tc>
      </w:tr>
      <w:tr>
        <w:trPr>
          <w:cantSplit/>
          <w:trHeight w:val="2647"/>
        </w:trPr>
        <w:tc>
          <w:tcPr>
            <w:tcW w:w="632" w:type="dxa"/>
            <w:vAlign w:val="center"/>
            <w:vMerge w:val="restart"/>
            <w:textDirection w:val="lrTb"/>
            <w:noWrap/>
          </w:tcPr>
          <w:p>
            <w:pPr>
              <w:pStyle w:val="886"/>
              <w:jc w:val="center"/>
              <w:widowControl/>
              <w:rPr>
                <w:rFonts w:ascii="宋体" w:hAnsi="宋体" w:cs="宋体"/>
                <w:color w:val="000000"/>
                <w:sz w:val="22"/>
                <w:szCs w:val="22"/>
              </w:rPr>
            </w:pPr>
            <w:r>
              <w:rPr>
                <w:rFonts w:hint="eastAsia" w:ascii="宋体" w:hAnsi="宋体" w:cs="宋体"/>
                <w:color w:val="000000"/>
                <w:sz w:val="22"/>
                <w:szCs w:val="22"/>
              </w:rPr>
              <w:t xml:space="preserve">标段四</w:t>
            </w:r>
            <w:r>
              <w:rPr>
                <w:rFonts w:ascii="宋体" w:hAnsi="宋体" w:cs="宋体"/>
                <w:color w:val="000000"/>
                <w:sz w:val="22"/>
                <w:szCs w:val="22"/>
              </w:rPr>
            </w:r>
            <w:r/>
          </w:p>
        </w:tc>
        <w:tc>
          <w:tcPr>
            <w:tcW w:w="1365" w:type="dxa"/>
            <w:vAlign w:val="center"/>
            <w:textDirection w:val="lrTb"/>
            <w:noWrap/>
          </w:tcPr>
          <w:p>
            <w:pPr>
              <w:pStyle w:val="886"/>
              <w:jc w:val="center"/>
              <w:widowControl/>
              <w:rPr>
                <w:rFonts w:ascii="宋体" w:hAnsi="宋体" w:cs="宋体"/>
                <w:color w:val="000000"/>
                <w:sz w:val="22"/>
                <w:szCs w:val="22"/>
              </w:rPr>
            </w:pPr>
            <w:r>
              <w:rPr>
                <w:rFonts w:hint="eastAsia" w:ascii="宋体" w:hAnsi="宋体" w:cs="宋体"/>
                <w:color w:val="000000"/>
                <w:sz w:val="22"/>
                <w:szCs w:val="22"/>
              </w:rPr>
              <w:t xml:space="preserve">吴淞江区域</w:t>
            </w:r>
            <w:r>
              <w:rPr>
                <w:rFonts w:ascii="宋体" w:hAnsi="宋体" w:cs="宋体"/>
                <w:color w:val="000000"/>
                <w:sz w:val="22"/>
                <w:szCs w:val="22"/>
              </w:rPr>
            </w:r>
            <w:r/>
          </w:p>
        </w:tc>
        <w:tc>
          <w:tcPr>
            <w:tcW w:w="3670" w:type="dxa"/>
            <w:vAlign w:val="center"/>
            <w:textDirection w:val="lrTb"/>
            <w:noWrap/>
          </w:tcPr>
          <w:p>
            <w:pPr>
              <w:pStyle w:val="886"/>
              <w:jc w:val="left"/>
              <w:widowControl/>
              <w:rPr>
                <w:rFonts w:ascii="宋体" w:hAnsi="宋体" w:cs="宋体"/>
                <w:color w:val="000000"/>
                <w:sz w:val="22"/>
                <w:szCs w:val="22"/>
              </w:rPr>
            </w:pPr>
            <w:r>
              <w:rPr>
                <w:rFonts w:hint="eastAsia" w:ascii="宋体" w:hAnsi="宋体" w:cs="宋体"/>
                <w:color w:val="000000"/>
                <w:sz w:val="22"/>
                <w:szCs w:val="22"/>
              </w:rPr>
              <w:t xml:space="preserve">1.娄江河以南，吴淞江河以北，界浦河以东，小虞河路以西；2.青淞区域</w:t>
            </w:r>
            <w:r>
              <w:rPr>
                <w:rFonts w:ascii="宋体" w:hAnsi="宋体" w:cs="宋体"/>
                <w:color w:val="000000"/>
                <w:sz w:val="22"/>
                <w:szCs w:val="22"/>
              </w:rPr>
            </w:r>
            <w:r/>
          </w:p>
        </w:tc>
        <w:tc>
          <w:tcPr>
            <w:tcW w:w="1050" w:type="dxa"/>
            <w:vAlign w:val="center"/>
            <w:vMerge w:val="restart"/>
            <w:textDirection w:val="lrTb"/>
            <w:noWrap/>
          </w:tcPr>
          <w:p>
            <w:pPr>
              <w:pStyle w:val="886"/>
              <w:jc w:val="center"/>
              <w:widowControl/>
              <w:rPr>
                <w:rFonts w:ascii="宋体" w:hAnsi="宋体" w:cs="宋体"/>
                <w:color w:val="000000"/>
                <w:sz w:val="22"/>
                <w:szCs w:val="22"/>
              </w:rPr>
            </w:pPr>
            <w:r>
              <w:rPr>
                <w:rFonts w:hint="eastAsia" w:ascii="宋体" w:hAnsi="宋体" w:cs="宋体"/>
                <w:color w:val="000000"/>
                <w:sz w:val="22"/>
                <w:szCs w:val="22"/>
              </w:rPr>
              <w:t xml:space="preserve">120</w:t>
            </w:r>
            <w:r>
              <w:rPr>
                <w:rFonts w:ascii="宋体" w:hAnsi="宋体" w:cs="宋体"/>
                <w:color w:val="000000"/>
                <w:sz w:val="22"/>
                <w:szCs w:val="22"/>
              </w:rPr>
            </w:r>
            <w:r/>
          </w:p>
        </w:tc>
        <w:tc>
          <w:tcPr>
            <w:tcW w:w="1460" w:type="dxa"/>
            <w:vAlign w:val="center"/>
            <w:vMerge w:val="restart"/>
            <w:textDirection w:val="lrTb"/>
            <w:noWrap/>
          </w:tcPr>
          <w:p>
            <w:pPr>
              <w:pStyle w:val="886"/>
              <w:jc w:val="center"/>
              <w:widowControl/>
              <w:rPr>
                <w:rFonts w:ascii="宋体" w:hAnsi="宋体" w:cs="宋体"/>
                <w:color w:val="000000"/>
                <w:sz w:val="22"/>
                <w:szCs w:val="22"/>
              </w:rPr>
            </w:pPr>
            <w:r>
              <w:rPr>
                <w:rFonts w:hint="eastAsia" w:ascii="宋体" w:hAnsi="宋体" w:cs="宋体"/>
                <w:color w:val="000000"/>
                <w:sz w:val="22"/>
                <w:szCs w:val="22"/>
              </w:rPr>
              <w:t xml:space="preserve">按照《苏州市乡镇（街道）挥发性有机物治理管理服务试点工作方案》要求，协助昆山高新技术产业开发区管理委员会（昆山高新技术产业开发区安全生产监督管理和环境保护局)完成挥发性有机物治理管家驻点服务工作，以及氮氧化物、二氧化硫等其他涉气工作</w:t>
            </w:r>
            <w:r>
              <w:rPr>
                <w:rFonts w:ascii="宋体" w:hAnsi="宋体" w:cs="宋体"/>
                <w:color w:val="000000"/>
                <w:sz w:val="22"/>
                <w:szCs w:val="22"/>
              </w:rPr>
            </w:r>
            <w:r/>
          </w:p>
        </w:tc>
        <w:tc>
          <w:tcPr>
            <w:tcW w:w="2446" w:type="dxa"/>
            <w:vAlign w:val="center"/>
            <w:vMerge w:val="restart"/>
            <w:textDirection w:val="lrTb"/>
            <w:noWrap/>
          </w:tcPr>
          <w:p>
            <w:pPr>
              <w:pStyle w:val="886"/>
              <w:jc w:val="center"/>
              <w:widowControl/>
              <w:rPr>
                <w:rFonts w:ascii="宋体" w:hAnsi="宋体" w:cs="宋体"/>
                <w:color w:val="000000"/>
                <w:sz w:val="22"/>
                <w:szCs w:val="22"/>
              </w:rPr>
            </w:pPr>
            <w:r>
              <w:rPr>
                <w:rFonts w:hint="eastAsia" w:ascii="宋体" w:hAnsi="宋体" w:cs="宋体"/>
                <w:color w:val="000000"/>
                <w:sz w:val="22"/>
                <w:szCs w:val="22"/>
              </w:rPr>
              <w:t xml:space="preserve">约60家VOCs排放重点企业，约350家VOCs排放一般工业企业，拟按照重点企业排查服务费用5000元/家，一般工业企业排查服务费用元1000/家，排查费用65万元。组织区域企业开展相关业务培训、辅导企业进行苏州大气平台填报、协助审核、协助开展重污染天气重点行业绩效分级审核、应急减排清单修订等费用，约30万。氮氧化物、二氧化硫等其他涉气工作约25万。</w:t>
            </w:r>
            <w:r>
              <w:rPr>
                <w:rFonts w:ascii="宋体" w:hAnsi="宋体" w:cs="宋体"/>
                <w:color w:val="000000"/>
                <w:sz w:val="22"/>
                <w:szCs w:val="22"/>
              </w:rPr>
            </w:r>
            <w:r/>
          </w:p>
        </w:tc>
      </w:tr>
      <w:tr>
        <w:trPr>
          <w:cantSplit/>
          <w:trHeight w:val="773"/>
        </w:trPr>
        <w:tc>
          <w:tcPr>
            <w:tcW w:w="632" w:type="dxa"/>
            <w:vAlign w:val="center"/>
            <w:vMerge w:val="continue"/>
            <w:textDirection w:val="lrTb"/>
            <w:noWrap/>
          </w:tcPr>
          <w:p>
            <w:pPr>
              <w:pStyle w:val="886"/>
              <w:jc w:val="left"/>
              <w:widowControl/>
            </w:pPr>
            <w:r/>
            <w:r/>
          </w:p>
        </w:tc>
        <w:tc>
          <w:tcPr>
            <w:tcW w:w="1365" w:type="dxa"/>
            <w:vAlign w:val="center"/>
            <w:textDirection w:val="lrTb"/>
            <w:noWrap/>
          </w:tcPr>
          <w:p>
            <w:pPr>
              <w:pStyle w:val="886"/>
              <w:jc w:val="center"/>
              <w:widowControl/>
              <w:rPr>
                <w:rFonts w:ascii="宋体" w:hAnsi="宋体" w:cs="宋体"/>
                <w:color w:val="000000"/>
                <w:sz w:val="22"/>
                <w:szCs w:val="22"/>
              </w:rPr>
            </w:pPr>
            <w:r>
              <w:rPr>
                <w:rFonts w:hint="eastAsia" w:ascii="宋体" w:hAnsi="宋体" w:cs="宋体"/>
                <w:color w:val="000000"/>
                <w:sz w:val="22"/>
                <w:szCs w:val="22"/>
              </w:rPr>
              <w:t xml:space="preserve">强安区域</w:t>
            </w:r>
            <w:r>
              <w:rPr>
                <w:rFonts w:ascii="宋体" w:hAnsi="宋体" w:cs="宋体"/>
                <w:color w:val="000000"/>
                <w:sz w:val="22"/>
                <w:szCs w:val="22"/>
              </w:rPr>
            </w:r>
            <w:r/>
          </w:p>
        </w:tc>
        <w:tc>
          <w:tcPr>
            <w:tcW w:w="3670" w:type="dxa"/>
            <w:vAlign w:val="center"/>
            <w:textDirection w:val="lrTb"/>
            <w:noWrap/>
          </w:tcPr>
          <w:p>
            <w:pPr>
              <w:pStyle w:val="886"/>
              <w:jc w:val="left"/>
              <w:widowControl/>
              <w:rPr>
                <w:rFonts w:ascii="宋体" w:hAnsi="宋体" w:cs="宋体"/>
                <w:color w:val="000000"/>
                <w:sz w:val="22"/>
                <w:szCs w:val="22"/>
              </w:rPr>
            </w:pPr>
            <w:r>
              <w:rPr>
                <w:rFonts w:hint="eastAsia" w:ascii="宋体" w:hAnsi="宋体" w:cs="宋体"/>
                <w:color w:val="000000"/>
                <w:sz w:val="22"/>
                <w:szCs w:val="22"/>
              </w:rPr>
              <w:t xml:space="preserve">新塘河以南，包家桥路、亿升路以北，玉城路以东，皇仓泾以西。</w:t>
            </w:r>
            <w:r>
              <w:rPr>
                <w:rFonts w:ascii="宋体" w:hAnsi="宋体" w:cs="宋体"/>
                <w:color w:val="000000"/>
                <w:sz w:val="22"/>
                <w:szCs w:val="22"/>
              </w:rPr>
            </w:r>
            <w:r/>
          </w:p>
        </w:tc>
        <w:tc>
          <w:tcPr>
            <w:tcW w:w="1050" w:type="dxa"/>
            <w:vAlign w:val="center"/>
            <w:vMerge w:val="continue"/>
            <w:textDirection w:val="lrTb"/>
            <w:noWrap/>
          </w:tcPr>
          <w:p>
            <w:pPr>
              <w:pStyle w:val="886"/>
              <w:jc w:val="left"/>
              <w:widowControl/>
              <w:rPr>
                <w:rFonts w:ascii="宋体" w:hAnsi="宋体" w:cs="宋体"/>
                <w:color w:val="000000"/>
                <w:sz w:val="22"/>
                <w:szCs w:val="22"/>
              </w:rPr>
            </w:pPr>
            <w:r>
              <w:rPr>
                <w:rFonts w:ascii="宋体" w:hAnsi="宋体" w:cs="宋体"/>
                <w:color w:val="000000"/>
                <w:sz w:val="22"/>
                <w:szCs w:val="22"/>
              </w:rPr>
            </w:r>
            <w:r/>
          </w:p>
        </w:tc>
        <w:tc>
          <w:tcPr>
            <w:tcW w:w="1460" w:type="dxa"/>
            <w:vAlign w:val="center"/>
            <w:vMerge w:val="continue"/>
            <w:textDirection w:val="lrTb"/>
            <w:noWrap/>
          </w:tcPr>
          <w:p>
            <w:pPr>
              <w:pStyle w:val="886"/>
              <w:jc w:val="left"/>
              <w:widowControl/>
              <w:rPr>
                <w:rFonts w:ascii="宋体" w:hAnsi="宋体" w:cs="宋体"/>
                <w:color w:val="000000"/>
                <w:sz w:val="22"/>
                <w:szCs w:val="22"/>
              </w:rPr>
            </w:pPr>
            <w:r>
              <w:rPr>
                <w:rFonts w:ascii="宋体" w:hAnsi="宋体" w:cs="宋体"/>
                <w:color w:val="000000"/>
                <w:sz w:val="22"/>
                <w:szCs w:val="22"/>
              </w:rPr>
            </w:r>
            <w:r/>
          </w:p>
        </w:tc>
        <w:tc>
          <w:tcPr>
            <w:tcW w:w="2446" w:type="dxa"/>
            <w:vAlign w:val="center"/>
            <w:vMerge w:val="continue"/>
            <w:textDirection w:val="lrTb"/>
            <w:noWrap/>
          </w:tcPr>
          <w:p>
            <w:pPr>
              <w:pStyle w:val="886"/>
              <w:jc w:val="left"/>
              <w:widowControl/>
              <w:rPr>
                <w:rFonts w:ascii="宋体" w:hAnsi="宋体" w:cs="宋体"/>
                <w:color w:val="000000"/>
                <w:sz w:val="22"/>
                <w:szCs w:val="22"/>
              </w:rPr>
            </w:pPr>
            <w:r>
              <w:rPr>
                <w:rFonts w:ascii="宋体" w:hAnsi="宋体" w:cs="宋体"/>
                <w:color w:val="000000"/>
                <w:sz w:val="22"/>
                <w:szCs w:val="22"/>
              </w:rPr>
            </w:r>
            <w:r/>
          </w:p>
        </w:tc>
      </w:tr>
      <w:tr>
        <w:trPr>
          <w:cantSplit/>
          <w:trHeight w:val="1146"/>
        </w:trPr>
        <w:tc>
          <w:tcPr>
            <w:tcW w:w="632" w:type="dxa"/>
            <w:vAlign w:val="center"/>
            <w:vMerge w:val="restart"/>
            <w:textDirection w:val="lrTb"/>
            <w:noWrap/>
          </w:tcPr>
          <w:p>
            <w:pPr>
              <w:pStyle w:val="886"/>
              <w:jc w:val="center"/>
              <w:widowControl/>
              <w:rPr>
                <w:rFonts w:ascii="宋体" w:hAnsi="宋体" w:cs="宋体"/>
                <w:color w:val="000000"/>
                <w:sz w:val="22"/>
                <w:szCs w:val="22"/>
              </w:rPr>
            </w:pPr>
            <w:r>
              <w:rPr>
                <w:rFonts w:hint="eastAsia" w:ascii="宋体" w:hAnsi="宋体" w:cs="宋体"/>
                <w:color w:val="000000"/>
                <w:sz w:val="22"/>
                <w:szCs w:val="22"/>
              </w:rPr>
              <w:t xml:space="preserve">标段五</w:t>
            </w:r>
            <w:r>
              <w:rPr>
                <w:rFonts w:ascii="宋体" w:hAnsi="宋体" w:cs="宋体"/>
                <w:color w:val="000000"/>
                <w:sz w:val="22"/>
                <w:szCs w:val="22"/>
              </w:rPr>
            </w:r>
            <w:r/>
          </w:p>
        </w:tc>
        <w:tc>
          <w:tcPr>
            <w:tcW w:w="1365" w:type="dxa"/>
            <w:vAlign w:val="center"/>
            <w:textDirection w:val="lrTb"/>
            <w:noWrap/>
          </w:tcPr>
          <w:p>
            <w:pPr>
              <w:pStyle w:val="886"/>
              <w:jc w:val="center"/>
              <w:widowControl/>
              <w:rPr>
                <w:rFonts w:ascii="宋体" w:hAnsi="宋体" w:cs="宋体"/>
                <w:color w:val="000000"/>
                <w:sz w:val="22"/>
                <w:szCs w:val="22"/>
              </w:rPr>
            </w:pPr>
            <w:r>
              <w:rPr>
                <w:rFonts w:hint="eastAsia" w:ascii="宋体" w:hAnsi="宋体" w:cs="宋体"/>
                <w:color w:val="000000"/>
                <w:sz w:val="22"/>
                <w:szCs w:val="22"/>
              </w:rPr>
              <w:t xml:space="preserve">城中区域</w:t>
            </w:r>
            <w:r>
              <w:rPr>
                <w:rFonts w:ascii="宋体" w:hAnsi="宋体" w:cs="宋体"/>
                <w:color w:val="000000"/>
                <w:sz w:val="22"/>
                <w:szCs w:val="22"/>
              </w:rPr>
            </w:r>
            <w:r/>
          </w:p>
        </w:tc>
        <w:tc>
          <w:tcPr>
            <w:tcW w:w="3670" w:type="dxa"/>
            <w:vAlign w:val="center"/>
            <w:textDirection w:val="lrTb"/>
            <w:noWrap/>
          </w:tcPr>
          <w:p>
            <w:pPr>
              <w:pStyle w:val="886"/>
              <w:jc w:val="left"/>
              <w:widowControl/>
              <w:rPr>
                <w:rFonts w:ascii="宋体" w:hAnsi="宋体" w:cs="宋体"/>
                <w:color w:val="000000"/>
                <w:sz w:val="22"/>
                <w:szCs w:val="22"/>
              </w:rPr>
            </w:pPr>
            <w:r>
              <w:rPr>
                <w:rFonts w:hint="eastAsia" w:ascii="宋体" w:hAnsi="宋体" w:cs="宋体"/>
                <w:color w:val="000000"/>
                <w:sz w:val="22"/>
                <w:szCs w:val="22"/>
              </w:rPr>
              <w:t xml:space="preserve">1.新乐村、城北路以南，娄江河以北，祖冲之路以东，汉浦塘、柏庐路以西（杜桥网格以外）；2.大学城区域。</w:t>
            </w:r>
            <w:r>
              <w:rPr>
                <w:rFonts w:ascii="宋体" w:hAnsi="宋体" w:cs="宋体"/>
                <w:color w:val="000000"/>
                <w:sz w:val="22"/>
                <w:szCs w:val="22"/>
              </w:rPr>
            </w:r>
            <w:r/>
          </w:p>
        </w:tc>
        <w:tc>
          <w:tcPr>
            <w:tcW w:w="1050" w:type="dxa"/>
            <w:vAlign w:val="center"/>
            <w:vMerge w:val="restart"/>
            <w:textDirection w:val="lrTb"/>
            <w:noWrap/>
          </w:tcPr>
          <w:p>
            <w:pPr>
              <w:pStyle w:val="886"/>
              <w:jc w:val="center"/>
              <w:widowControl/>
              <w:rPr>
                <w:rFonts w:ascii="宋体" w:hAnsi="宋体" w:cs="宋体"/>
                <w:color w:val="000000"/>
                <w:sz w:val="22"/>
                <w:szCs w:val="22"/>
              </w:rPr>
            </w:pPr>
            <w:r>
              <w:rPr>
                <w:rFonts w:hint="eastAsia" w:ascii="宋体" w:hAnsi="宋体" w:cs="宋体"/>
                <w:color w:val="000000"/>
                <w:sz w:val="22"/>
                <w:szCs w:val="22"/>
              </w:rPr>
              <w:t xml:space="preserve">120</w:t>
            </w:r>
            <w:r>
              <w:rPr>
                <w:rFonts w:ascii="宋体" w:hAnsi="宋体" w:cs="宋体"/>
                <w:color w:val="000000"/>
                <w:sz w:val="22"/>
                <w:szCs w:val="22"/>
              </w:rPr>
            </w:r>
            <w:r/>
          </w:p>
        </w:tc>
        <w:tc>
          <w:tcPr>
            <w:tcW w:w="1460" w:type="dxa"/>
            <w:vAlign w:val="center"/>
            <w:vMerge w:val="continue"/>
            <w:textDirection w:val="lrTb"/>
            <w:noWrap/>
          </w:tcPr>
          <w:p>
            <w:pPr>
              <w:pStyle w:val="886"/>
              <w:jc w:val="center"/>
              <w:widowControl/>
              <w:rPr>
                <w:rFonts w:ascii="宋体" w:hAnsi="宋体" w:cs="宋体"/>
                <w:color w:val="000000"/>
                <w:sz w:val="22"/>
                <w:szCs w:val="22"/>
              </w:rPr>
            </w:pPr>
            <w:r>
              <w:rPr>
                <w:rFonts w:ascii="宋体" w:hAnsi="宋体" w:cs="宋体"/>
                <w:color w:val="000000"/>
                <w:sz w:val="22"/>
                <w:szCs w:val="22"/>
              </w:rPr>
            </w:r>
            <w:r/>
          </w:p>
        </w:tc>
        <w:tc>
          <w:tcPr>
            <w:tcW w:w="2446" w:type="dxa"/>
            <w:vAlign w:val="center"/>
            <w:vMerge w:val="restart"/>
            <w:textDirection w:val="lrTb"/>
            <w:noWrap/>
          </w:tcPr>
          <w:p>
            <w:pPr>
              <w:pStyle w:val="886"/>
              <w:jc w:val="center"/>
              <w:widowControl/>
              <w:rPr>
                <w:rFonts w:ascii="宋体" w:hAnsi="宋体" w:cs="宋体"/>
                <w:color w:val="000000"/>
                <w:sz w:val="22"/>
                <w:szCs w:val="22"/>
              </w:rPr>
            </w:pPr>
            <w:r>
              <w:rPr>
                <w:rFonts w:hint="eastAsia" w:ascii="宋体" w:hAnsi="宋体" w:cs="宋体"/>
                <w:color w:val="000000"/>
                <w:sz w:val="22"/>
                <w:szCs w:val="22"/>
              </w:rPr>
              <w:t xml:space="preserve">约60家VOCs排放重点企业，约350家VOCs排放一般工业企业，拟按照重点企业排查服务费用5000元/家，一般工业企业排查服务费用元1000/家，排查费用65万元。组织区域企业开展相关业务培训、辅导企业进行苏州大气平台填报、协助审核、协助开展重污染天气重点行业绩效分级审核、应急减排清单修订等费用，约30万。氮氧化物、二氧化硫等其他涉气工作约25万。</w:t>
            </w:r>
            <w:r>
              <w:rPr>
                <w:rFonts w:ascii="宋体" w:hAnsi="宋体" w:cs="宋体"/>
                <w:color w:val="000000"/>
                <w:sz w:val="22"/>
                <w:szCs w:val="22"/>
              </w:rPr>
            </w:r>
            <w:r/>
          </w:p>
        </w:tc>
      </w:tr>
      <w:tr>
        <w:trPr>
          <w:cantSplit/>
          <w:trHeight w:val="1179"/>
        </w:trPr>
        <w:tc>
          <w:tcPr>
            <w:tcW w:w="632" w:type="dxa"/>
            <w:vAlign w:val="center"/>
            <w:vMerge w:val="continue"/>
            <w:textDirection w:val="lrTb"/>
            <w:noWrap/>
          </w:tcPr>
          <w:p>
            <w:pPr>
              <w:pStyle w:val="886"/>
              <w:jc w:val="center"/>
              <w:widowControl/>
              <w:rPr>
                <w:rFonts w:ascii="宋体" w:hAnsi="宋体" w:cs="宋体"/>
                <w:color w:val="000000"/>
                <w:sz w:val="22"/>
                <w:szCs w:val="22"/>
              </w:rPr>
            </w:pPr>
            <w:r>
              <w:rPr>
                <w:rFonts w:ascii="宋体" w:hAnsi="宋体" w:cs="宋体"/>
                <w:color w:val="000000"/>
                <w:sz w:val="22"/>
                <w:szCs w:val="22"/>
              </w:rPr>
            </w:r>
            <w:r/>
          </w:p>
        </w:tc>
        <w:tc>
          <w:tcPr>
            <w:tcW w:w="1365" w:type="dxa"/>
            <w:vAlign w:val="center"/>
            <w:textDirection w:val="lrTb"/>
            <w:noWrap/>
          </w:tcPr>
          <w:p>
            <w:pPr>
              <w:pStyle w:val="886"/>
              <w:jc w:val="center"/>
              <w:widowControl/>
              <w:rPr>
                <w:rFonts w:ascii="宋体" w:hAnsi="宋体" w:cs="宋体"/>
                <w:color w:val="000000"/>
                <w:sz w:val="22"/>
                <w:szCs w:val="22"/>
              </w:rPr>
            </w:pPr>
            <w:r>
              <w:rPr>
                <w:rFonts w:hint="eastAsia" w:ascii="宋体" w:hAnsi="宋体" w:cs="宋体"/>
                <w:color w:val="000000"/>
                <w:sz w:val="22"/>
                <w:szCs w:val="22"/>
              </w:rPr>
              <w:t xml:space="preserve">杨林区域</w:t>
            </w:r>
            <w:r>
              <w:rPr>
                <w:rFonts w:ascii="宋体" w:hAnsi="宋体" w:cs="宋体"/>
                <w:color w:val="000000"/>
                <w:sz w:val="22"/>
                <w:szCs w:val="22"/>
              </w:rPr>
            </w:r>
            <w:r/>
          </w:p>
        </w:tc>
        <w:tc>
          <w:tcPr>
            <w:tcW w:w="3670" w:type="dxa"/>
            <w:vAlign w:val="center"/>
            <w:textDirection w:val="lrTb"/>
            <w:noWrap/>
          </w:tcPr>
          <w:p>
            <w:pPr>
              <w:pStyle w:val="886"/>
              <w:jc w:val="left"/>
              <w:widowControl/>
              <w:rPr>
                <w:rFonts w:ascii="宋体" w:hAnsi="宋体" w:cs="宋体"/>
                <w:color w:val="000000"/>
                <w:sz w:val="22"/>
                <w:szCs w:val="22"/>
              </w:rPr>
            </w:pPr>
            <w:r>
              <w:rPr>
                <w:rFonts w:hint="eastAsia" w:ascii="宋体" w:hAnsi="宋体" w:cs="宋体"/>
                <w:color w:val="000000"/>
                <w:sz w:val="22"/>
                <w:szCs w:val="22"/>
              </w:rPr>
              <w:t xml:space="preserve">1.杨林塘以南，新塘河以北，茆沙塘以东、皇仓泾以西；2.塘龙村区域。</w:t>
            </w:r>
            <w:r>
              <w:rPr>
                <w:rFonts w:ascii="宋体" w:hAnsi="宋体" w:cs="宋体"/>
                <w:color w:val="000000"/>
                <w:sz w:val="22"/>
                <w:szCs w:val="22"/>
              </w:rPr>
            </w:r>
            <w:r/>
          </w:p>
        </w:tc>
        <w:tc>
          <w:tcPr>
            <w:tcW w:w="1050" w:type="dxa"/>
            <w:vAlign w:val="center"/>
            <w:vMerge w:val="continue"/>
            <w:textDirection w:val="lrTb"/>
            <w:noWrap/>
          </w:tcPr>
          <w:p>
            <w:pPr>
              <w:pStyle w:val="886"/>
              <w:jc w:val="center"/>
              <w:widowControl/>
              <w:rPr>
                <w:rFonts w:ascii="宋体" w:hAnsi="宋体" w:cs="宋体"/>
                <w:color w:val="000000"/>
                <w:sz w:val="22"/>
                <w:szCs w:val="22"/>
              </w:rPr>
            </w:pPr>
            <w:r>
              <w:rPr>
                <w:rFonts w:ascii="宋体" w:hAnsi="宋体" w:cs="宋体"/>
                <w:color w:val="000000"/>
                <w:sz w:val="22"/>
                <w:szCs w:val="22"/>
              </w:rPr>
            </w:r>
            <w:r/>
          </w:p>
        </w:tc>
        <w:tc>
          <w:tcPr>
            <w:tcW w:w="1460" w:type="dxa"/>
            <w:vAlign w:val="center"/>
            <w:vMerge w:val="continue"/>
            <w:textDirection w:val="lrTb"/>
            <w:noWrap/>
          </w:tcPr>
          <w:p>
            <w:pPr>
              <w:pStyle w:val="886"/>
              <w:jc w:val="center"/>
              <w:widowControl/>
              <w:rPr>
                <w:rFonts w:ascii="宋体" w:hAnsi="宋体" w:cs="宋体"/>
                <w:color w:val="000000"/>
                <w:sz w:val="22"/>
                <w:szCs w:val="22"/>
              </w:rPr>
            </w:pPr>
            <w:r>
              <w:rPr>
                <w:rFonts w:ascii="宋体" w:hAnsi="宋体" w:cs="宋体"/>
                <w:color w:val="000000"/>
                <w:sz w:val="22"/>
                <w:szCs w:val="22"/>
              </w:rPr>
            </w:r>
            <w:r/>
          </w:p>
        </w:tc>
        <w:tc>
          <w:tcPr>
            <w:tcW w:w="2446" w:type="dxa"/>
            <w:vAlign w:val="center"/>
            <w:vMerge w:val="continue"/>
            <w:textDirection w:val="lrTb"/>
            <w:noWrap/>
          </w:tcPr>
          <w:p>
            <w:pPr>
              <w:pStyle w:val="886"/>
              <w:jc w:val="center"/>
              <w:widowControl/>
              <w:rPr>
                <w:rFonts w:ascii="宋体" w:hAnsi="宋体" w:cs="宋体"/>
                <w:color w:val="000000"/>
                <w:sz w:val="22"/>
                <w:szCs w:val="22"/>
              </w:rPr>
            </w:pPr>
            <w:r>
              <w:rPr>
                <w:rFonts w:ascii="宋体" w:hAnsi="宋体" w:cs="宋体"/>
                <w:color w:val="000000"/>
                <w:sz w:val="22"/>
                <w:szCs w:val="22"/>
              </w:rPr>
            </w:r>
            <w:r/>
          </w:p>
        </w:tc>
      </w:tr>
      <w:tr>
        <w:trPr>
          <w:cantSplit/>
          <w:trHeight w:val="1653"/>
        </w:trPr>
        <w:tc>
          <w:tcPr>
            <w:tcW w:w="632" w:type="dxa"/>
            <w:vAlign w:val="center"/>
            <w:vMerge w:val="continue"/>
            <w:textDirection w:val="lrTb"/>
            <w:noWrap/>
          </w:tcPr>
          <w:p>
            <w:pPr>
              <w:pStyle w:val="886"/>
              <w:jc w:val="center"/>
              <w:widowControl/>
              <w:rPr>
                <w:rFonts w:ascii="宋体" w:hAnsi="宋体" w:cs="宋体"/>
                <w:color w:val="000000"/>
                <w:sz w:val="22"/>
                <w:szCs w:val="22"/>
              </w:rPr>
            </w:pPr>
            <w:r>
              <w:rPr>
                <w:rFonts w:ascii="宋体" w:hAnsi="宋体" w:cs="宋体"/>
                <w:color w:val="000000"/>
                <w:sz w:val="22"/>
                <w:szCs w:val="22"/>
              </w:rPr>
            </w:r>
            <w:r/>
          </w:p>
        </w:tc>
        <w:tc>
          <w:tcPr>
            <w:tcW w:w="1365" w:type="dxa"/>
            <w:vAlign w:val="center"/>
            <w:textDirection w:val="lrTb"/>
            <w:noWrap/>
          </w:tcPr>
          <w:p>
            <w:pPr>
              <w:pStyle w:val="886"/>
              <w:jc w:val="center"/>
              <w:widowControl/>
              <w:rPr>
                <w:rFonts w:ascii="宋体" w:hAnsi="宋体" w:cs="宋体"/>
                <w:color w:val="000000"/>
                <w:sz w:val="22"/>
                <w:szCs w:val="22"/>
              </w:rPr>
            </w:pPr>
            <w:r>
              <w:rPr>
                <w:rFonts w:hint="eastAsia" w:ascii="宋体" w:hAnsi="宋体" w:cs="宋体"/>
                <w:color w:val="000000"/>
                <w:sz w:val="22"/>
                <w:szCs w:val="22"/>
              </w:rPr>
              <w:t xml:space="preserve">杜桥区域</w:t>
            </w:r>
            <w:r>
              <w:rPr>
                <w:rFonts w:ascii="宋体" w:hAnsi="宋体" w:cs="宋体"/>
                <w:color w:val="000000"/>
                <w:sz w:val="22"/>
                <w:szCs w:val="22"/>
              </w:rPr>
            </w:r>
            <w:r/>
          </w:p>
        </w:tc>
        <w:tc>
          <w:tcPr>
            <w:tcW w:w="3670" w:type="dxa"/>
            <w:vAlign w:val="center"/>
            <w:textDirection w:val="lrTb"/>
            <w:noWrap/>
          </w:tcPr>
          <w:p>
            <w:pPr>
              <w:pStyle w:val="886"/>
              <w:jc w:val="left"/>
              <w:widowControl/>
              <w:rPr>
                <w:rFonts w:ascii="宋体" w:hAnsi="宋体" w:cs="宋体"/>
                <w:color w:val="000000"/>
                <w:sz w:val="22"/>
                <w:szCs w:val="22"/>
              </w:rPr>
            </w:pPr>
            <w:r>
              <w:rPr>
                <w:rFonts w:hint="eastAsia" w:ascii="宋体" w:hAnsi="宋体" w:cs="宋体"/>
                <w:color w:val="000000"/>
                <w:sz w:val="22"/>
                <w:szCs w:val="22"/>
              </w:rPr>
              <w:t xml:space="preserve">包家桥路、亿升路以南，富士康路以北，玉城路以东、皇仓泾以西。</w:t>
            </w:r>
            <w:r>
              <w:rPr>
                <w:rFonts w:ascii="宋体" w:hAnsi="宋体" w:cs="宋体"/>
                <w:color w:val="000000"/>
                <w:sz w:val="22"/>
                <w:szCs w:val="22"/>
              </w:rPr>
            </w:r>
            <w:r/>
          </w:p>
        </w:tc>
        <w:tc>
          <w:tcPr>
            <w:tcW w:w="1050" w:type="dxa"/>
            <w:vAlign w:val="center"/>
            <w:vMerge w:val="continue"/>
            <w:textDirection w:val="lrTb"/>
            <w:noWrap/>
          </w:tcPr>
          <w:p>
            <w:pPr>
              <w:pStyle w:val="886"/>
              <w:jc w:val="center"/>
              <w:widowControl/>
              <w:rPr>
                <w:rFonts w:ascii="宋体" w:hAnsi="宋体" w:cs="宋体"/>
                <w:color w:val="000000"/>
                <w:sz w:val="22"/>
                <w:szCs w:val="22"/>
              </w:rPr>
            </w:pPr>
            <w:r>
              <w:rPr>
                <w:rFonts w:ascii="宋体" w:hAnsi="宋体" w:cs="宋体"/>
                <w:color w:val="000000"/>
                <w:sz w:val="22"/>
                <w:szCs w:val="22"/>
              </w:rPr>
            </w:r>
            <w:r/>
          </w:p>
        </w:tc>
        <w:tc>
          <w:tcPr>
            <w:tcW w:w="1460" w:type="dxa"/>
            <w:vAlign w:val="center"/>
            <w:vMerge w:val="continue"/>
            <w:textDirection w:val="lrTb"/>
            <w:noWrap/>
          </w:tcPr>
          <w:p>
            <w:pPr>
              <w:pStyle w:val="886"/>
              <w:jc w:val="center"/>
              <w:widowControl/>
              <w:rPr>
                <w:rFonts w:ascii="宋体" w:hAnsi="宋体" w:cs="宋体"/>
                <w:color w:val="000000"/>
                <w:sz w:val="22"/>
                <w:szCs w:val="22"/>
              </w:rPr>
            </w:pPr>
            <w:r>
              <w:rPr>
                <w:rFonts w:ascii="宋体" w:hAnsi="宋体" w:cs="宋体"/>
                <w:color w:val="000000"/>
                <w:sz w:val="22"/>
                <w:szCs w:val="22"/>
              </w:rPr>
            </w:r>
            <w:r/>
          </w:p>
        </w:tc>
        <w:tc>
          <w:tcPr>
            <w:tcW w:w="2446" w:type="dxa"/>
            <w:vAlign w:val="center"/>
            <w:vMerge w:val="continue"/>
            <w:textDirection w:val="lrTb"/>
            <w:noWrap/>
          </w:tcPr>
          <w:p>
            <w:pPr>
              <w:pStyle w:val="886"/>
              <w:jc w:val="center"/>
              <w:widowControl/>
              <w:rPr>
                <w:rFonts w:ascii="宋体" w:hAnsi="宋体" w:cs="宋体"/>
                <w:color w:val="000000"/>
                <w:sz w:val="22"/>
                <w:szCs w:val="22"/>
              </w:rPr>
            </w:pPr>
            <w:r>
              <w:rPr>
                <w:rFonts w:ascii="宋体" w:hAnsi="宋体" w:cs="宋体"/>
                <w:color w:val="000000"/>
                <w:sz w:val="22"/>
                <w:szCs w:val="22"/>
              </w:rPr>
            </w:r>
            <w:r/>
          </w:p>
        </w:tc>
      </w:tr>
      <w:tr>
        <w:trPr>
          <w:cantSplit/>
          <w:trHeight w:val="526"/>
        </w:trPr>
        <w:tc>
          <w:tcPr>
            <w:tcW w:w="632" w:type="dxa"/>
            <w:vAlign w:val="center"/>
            <w:vMerge w:val="continue"/>
            <w:textDirection w:val="lrTb"/>
            <w:noWrap/>
          </w:tcPr>
          <w:p>
            <w:pPr>
              <w:pStyle w:val="886"/>
              <w:jc w:val="center"/>
              <w:widowControl/>
              <w:rPr>
                <w:rFonts w:ascii="宋体" w:hAnsi="宋体" w:cs="宋体"/>
                <w:color w:val="000000"/>
                <w:sz w:val="22"/>
                <w:szCs w:val="22"/>
              </w:rPr>
            </w:pPr>
            <w:r>
              <w:rPr>
                <w:rFonts w:ascii="宋体" w:hAnsi="宋体" w:cs="宋体"/>
                <w:color w:val="000000"/>
                <w:sz w:val="22"/>
                <w:szCs w:val="22"/>
              </w:rPr>
            </w:r>
            <w:r/>
          </w:p>
        </w:tc>
        <w:tc>
          <w:tcPr>
            <w:tcW w:w="1365" w:type="dxa"/>
            <w:vAlign w:val="center"/>
            <w:textDirection w:val="lrTb"/>
            <w:noWrap/>
          </w:tcPr>
          <w:p>
            <w:pPr>
              <w:pStyle w:val="886"/>
              <w:jc w:val="center"/>
              <w:widowControl/>
              <w:rPr>
                <w:rFonts w:ascii="宋体" w:hAnsi="宋体" w:cs="宋体"/>
                <w:color w:val="000000"/>
                <w:sz w:val="22"/>
                <w:szCs w:val="22"/>
              </w:rPr>
            </w:pPr>
            <w:r>
              <w:rPr>
                <w:rFonts w:hint="eastAsia" w:ascii="宋体" w:hAnsi="宋体" w:cs="宋体"/>
                <w:color w:val="000000"/>
                <w:sz w:val="22"/>
                <w:szCs w:val="22"/>
              </w:rPr>
              <w:t xml:space="preserve">五联区域</w:t>
            </w:r>
            <w:r>
              <w:rPr>
                <w:rFonts w:ascii="宋体" w:hAnsi="宋体" w:cs="宋体"/>
                <w:color w:val="000000"/>
                <w:sz w:val="22"/>
                <w:szCs w:val="22"/>
              </w:rPr>
            </w:r>
            <w:r/>
          </w:p>
        </w:tc>
        <w:tc>
          <w:tcPr>
            <w:tcW w:w="3670" w:type="dxa"/>
            <w:vAlign w:val="center"/>
            <w:textDirection w:val="lrTb"/>
            <w:noWrap/>
          </w:tcPr>
          <w:p>
            <w:pPr>
              <w:pStyle w:val="886"/>
              <w:jc w:val="left"/>
              <w:widowControl/>
              <w:rPr>
                <w:rFonts w:ascii="宋体" w:hAnsi="宋体" w:cs="宋体"/>
                <w:color w:val="000000"/>
                <w:sz w:val="22"/>
                <w:szCs w:val="22"/>
              </w:rPr>
            </w:pPr>
            <w:r>
              <w:rPr>
                <w:rFonts w:hint="eastAsia" w:ascii="宋体" w:hAnsi="宋体" w:cs="宋体"/>
                <w:color w:val="000000"/>
                <w:sz w:val="22"/>
                <w:szCs w:val="22"/>
              </w:rPr>
              <w:t xml:space="preserve">1.新塘河以南，城北路以北，大鱼塘以东，玉城路以西；2.东和路两侧。</w:t>
            </w:r>
            <w:r>
              <w:rPr>
                <w:rFonts w:ascii="宋体" w:hAnsi="宋体" w:cs="宋体"/>
                <w:color w:val="000000"/>
                <w:sz w:val="22"/>
                <w:szCs w:val="22"/>
              </w:rPr>
            </w:r>
            <w:r/>
          </w:p>
        </w:tc>
        <w:tc>
          <w:tcPr>
            <w:tcW w:w="1050" w:type="dxa"/>
            <w:vAlign w:val="center"/>
            <w:vMerge w:val="continue"/>
            <w:textDirection w:val="lrTb"/>
            <w:noWrap/>
          </w:tcPr>
          <w:p>
            <w:pPr>
              <w:pStyle w:val="886"/>
              <w:jc w:val="center"/>
              <w:widowControl/>
              <w:rPr>
                <w:rFonts w:ascii="宋体" w:hAnsi="宋体" w:cs="宋体"/>
                <w:color w:val="000000"/>
                <w:sz w:val="22"/>
                <w:szCs w:val="22"/>
              </w:rPr>
            </w:pPr>
            <w:r>
              <w:rPr>
                <w:rFonts w:ascii="宋体" w:hAnsi="宋体" w:cs="宋体"/>
                <w:color w:val="000000"/>
                <w:sz w:val="22"/>
                <w:szCs w:val="22"/>
              </w:rPr>
            </w:r>
            <w:r/>
          </w:p>
        </w:tc>
        <w:tc>
          <w:tcPr>
            <w:tcW w:w="1460" w:type="dxa"/>
            <w:vAlign w:val="center"/>
            <w:vMerge w:val="continue"/>
            <w:textDirection w:val="lrTb"/>
            <w:noWrap/>
          </w:tcPr>
          <w:p>
            <w:pPr>
              <w:pStyle w:val="886"/>
              <w:jc w:val="center"/>
              <w:widowControl/>
              <w:rPr>
                <w:rFonts w:ascii="宋体" w:hAnsi="宋体" w:cs="宋体"/>
                <w:color w:val="000000"/>
                <w:sz w:val="22"/>
                <w:szCs w:val="22"/>
              </w:rPr>
            </w:pPr>
            <w:r>
              <w:rPr>
                <w:rFonts w:ascii="宋体" w:hAnsi="宋体" w:cs="宋体"/>
                <w:color w:val="000000"/>
                <w:sz w:val="22"/>
                <w:szCs w:val="22"/>
              </w:rPr>
            </w:r>
            <w:r/>
          </w:p>
        </w:tc>
        <w:tc>
          <w:tcPr>
            <w:tcW w:w="2446" w:type="dxa"/>
            <w:vAlign w:val="center"/>
            <w:vMerge w:val="continue"/>
            <w:textDirection w:val="lrTb"/>
            <w:noWrap/>
          </w:tcPr>
          <w:p>
            <w:pPr>
              <w:pStyle w:val="886"/>
              <w:jc w:val="center"/>
              <w:widowControl/>
              <w:rPr>
                <w:rFonts w:ascii="宋体" w:hAnsi="宋体" w:cs="宋体"/>
                <w:color w:val="000000"/>
                <w:sz w:val="22"/>
                <w:szCs w:val="22"/>
              </w:rPr>
            </w:pPr>
            <w:r>
              <w:rPr>
                <w:rFonts w:ascii="宋体" w:hAnsi="宋体" w:cs="宋体"/>
                <w:color w:val="000000"/>
                <w:sz w:val="22"/>
                <w:szCs w:val="22"/>
              </w:rPr>
            </w:r>
            <w:r/>
          </w:p>
        </w:tc>
      </w:tr>
    </w:tbl>
    <w:p>
      <w:pPr>
        <w:pStyle w:val="886"/>
        <w:ind w:firstLine="420"/>
        <w:spacing w:line="360" w:lineRule="auto"/>
        <w:rPr>
          <w:rFonts w:ascii="宋体" w:hAnsi="宋体"/>
          <w:szCs w:val="21"/>
        </w:rPr>
      </w:pPr>
      <w:r/>
      <w:bookmarkStart w:id="64" w:name="_Toc132018381"/>
      <w:r>
        <w:rPr>
          <w:rFonts w:hint="eastAsia" w:ascii="宋体" w:hAnsi="宋体"/>
          <w:szCs w:val="21"/>
        </w:rPr>
        <w:t xml:space="preserve">四、项目服务范围和要求：</w:t>
      </w:r>
      <w:bookmarkEnd w:id="64"/>
      <w:r>
        <w:rPr>
          <w:rFonts w:ascii="宋体" w:hAnsi="宋体"/>
          <w:szCs w:val="21"/>
        </w:rPr>
      </w:r>
      <w:r/>
    </w:p>
    <w:p>
      <w:pPr>
        <w:pStyle w:val="886"/>
        <w:ind w:firstLine="422"/>
        <w:spacing w:line="360" w:lineRule="auto"/>
        <w:rPr>
          <w:rFonts w:ascii="宋体" w:hAnsi="宋体"/>
          <w:b/>
          <w:szCs w:val="21"/>
        </w:rPr>
      </w:pPr>
      <w:r/>
      <w:bookmarkStart w:id="65" w:name="_Toc132018382"/>
      <w:r>
        <w:rPr>
          <w:rFonts w:hint="eastAsia" w:ascii="宋体" w:hAnsi="宋体"/>
          <w:b/>
          <w:szCs w:val="21"/>
        </w:rPr>
        <w:t xml:space="preserve">1.环保检查验收服务项目</w:t>
      </w:r>
      <w:bookmarkEnd w:id="65"/>
      <w:r>
        <w:rPr>
          <w:rFonts w:ascii="宋体" w:hAnsi="宋体"/>
          <w:b/>
          <w:szCs w:val="21"/>
        </w:rPr>
      </w:r>
      <w:r/>
    </w:p>
    <w:p>
      <w:pPr>
        <w:pStyle w:val="886"/>
        <w:ind w:firstLine="420"/>
        <w:spacing w:line="360" w:lineRule="auto"/>
        <w:rPr>
          <w:rFonts w:ascii="宋体" w:hAnsi="宋体"/>
          <w:szCs w:val="21"/>
        </w:rPr>
      </w:pPr>
      <w:r>
        <w:rPr>
          <w:rFonts w:hint="eastAsia" w:ascii="宋体" w:hAnsi="宋体"/>
          <w:szCs w:val="21"/>
        </w:rPr>
        <w:t xml:space="preserve">1.1项目概述</w:t>
      </w:r>
      <w:r>
        <w:rPr>
          <w:rFonts w:ascii="宋体" w:hAnsi="宋体"/>
          <w:szCs w:val="21"/>
        </w:rPr>
      </w:r>
      <w:r/>
    </w:p>
    <w:p>
      <w:pPr>
        <w:pStyle w:val="886"/>
        <w:ind w:firstLine="420"/>
        <w:spacing w:line="360" w:lineRule="auto"/>
        <w:rPr>
          <w:rFonts w:hint="eastAsia" w:ascii="宋体" w:hAnsi="宋体"/>
          <w:szCs w:val="21"/>
        </w:rPr>
      </w:pPr>
      <w:r>
        <w:rPr>
          <w:rFonts w:hint="eastAsia" w:ascii="宋体" w:hAnsi="宋体"/>
          <w:szCs w:val="21"/>
        </w:rPr>
        <w:t xml:space="preserve">昆山高新技术产业开发区内现有市区两级重点污染源121家，一般工业污染源约3000家, 现采购方拟聘用本次招标的中标单位（乙方）作为专业机构，在服务期内根据年度工作任务协助昆山市玉山镇安环所对区内企业进行环保项目检查、环保专项排查、环保项目验收、污染物排放核查，定期向采购方提交书面排查、检查结果。</w:t>
      </w:r>
      <w:r>
        <w:rPr>
          <w:rFonts w:hint="eastAsia" w:ascii="宋体" w:hAnsi="宋体"/>
          <w:b/>
          <w:szCs w:val="21"/>
        </w:rPr>
        <w:t xml:space="preserve">标段一、二、三，中标单位每标段1家，共3家。</w:t>
      </w:r>
      <w:r>
        <w:rPr>
          <w:rFonts w:hint="eastAsia" w:ascii="宋体" w:hAnsi="宋体"/>
          <w:szCs w:val="21"/>
        </w:rPr>
      </w:r>
      <w:r/>
    </w:p>
    <w:p>
      <w:pPr>
        <w:pStyle w:val="886"/>
        <w:ind w:firstLine="420"/>
        <w:spacing w:line="360" w:lineRule="auto"/>
        <w:rPr>
          <w:rFonts w:ascii="宋体" w:hAnsi="宋体"/>
          <w:szCs w:val="21"/>
        </w:rPr>
      </w:pPr>
      <w:r>
        <w:rPr>
          <w:rFonts w:hint="eastAsia" w:ascii="宋体" w:hAnsi="宋体"/>
          <w:szCs w:val="21"/>
        </w:rPr>
        <w:t xml:space="preserve">1.2.服务要求</w:t>
      </w:r>
      <w:r>
        <w:rPr>
          <w:rFonts w:ascii="宋体" w:hAnsi="宋体"/>
          <w:szCs w:val="21"/>
        </w:rPr>
      </w:r>
      <w:r/>
    </w:p>
    <w:p>
      <w:pPr>
        <w:pStyle w:val="886"/>
        <w:ind w:firstLine="420"/>
        <w:spacing w:line="360" w:lineRule="auto"/>
        <w:rPr>
          <w:rFonts w:ascii="宋体" w:hAnsi="宋体"/>
          <w:szCs w:val="21"/>
        </w:rPr>
      </w:pPr>
      <w:r>
        <w:rPr>
          <w:rFonts w:hint="eastAsia" w:ascii="宋体" w:hAnsi="宋体"/>
          <w:szCs w:val="21"/>
        </w:rPr>
        <w:t xml:space="preserve">1.2.1任务类别：</w:t>
      </w:r>
      <w:r>
        <w:rPr>
          <w:rFonts w:ascii="宋体" w:hAnsi="宋体"/>
          <w:szCs w:val="21"/>
        </w:rPr>
      </w:r>
      <w:r/>
    </w:p>
    <w:p>
      <w:pPr>
        <w:pStyle w:val="886"/>
        <w:ind w:firstLine="420"/>
        <w:spacing w:line="360" w:lineRule="auto"/>
        <w:rPr>
          <w:rFonts w:ascii="宋体" w:hAnsi="宋体"/>
          <w:szCs w:val="21"/>
        </w:rPr>
      </w:pPr>
      <w:r>
        <w:rPr>
          <w:rFonts w:hint="eastAsia" w:ascii="宋体" w:hAnsi="宋体"/>
          <w:szCs w:val="21"/>
        </w:rPr>
        <w:t xml:space="preserve">（1）环保项目检查</w:t>
      </w:r>
      <w:r>
        <w:rPr>
          <w:rFonts w:ascii="宋体" w:hAnsi="宋体"/>
          <w:szCs w:val="21"/>
        </w:rPr>
      </w:r>
      <w:r/>
    </w:p>
    <w:p>
      <w:pPr>
        <w:pStyle w:val="886"/>
        <w:ind w:firstLine="420"/>
        <w:spacing w:line="360" w:lineRule="auto"/>
        <w:rPr>
          <w:rFonts w:ascii="宋体" w:hAnsi="宋体"/>
          <w:szCs w:val="21"/>
        </w:rPr>
      </w:pPr>
      <w:r>
        <w:rPr>
          <w:rFonts w:hint="eastAsia" w:ascii="宋体" w:hAnsi="宋体"/>
          <w:szCs w:val="21"/>
        </w:rPr>
        <w:t xml:space="preserve">①包括企业危废贮存场所检查、小微产废企业“绿岛”项目检查、中央、省环保督察交办问题“回头看”检查、环保治理设施检查、其他环保应急检查</w:t>
      </w:r>
      <w:r>
        <w:rPr>
          <w:rFonts w:ascii="宋体" w:hAnsi="宋体"/>
          <w:szCs w:val="21"/>
        </w:rPr>
      </w:r>
      <w:r/>
    </w:p>
    <w:p>
      <w:pPr>
        <w:pStyle w:val="886"/>
        <w:ind w:firstLine="420"/>
        <w:spacing w:line="360" w:lineRule="auto"/>
        <w:rPr>
          <w:rFonts w:ascii="宋体" w:hAnsi="宋体"/>
          <w:szCs w:val="21"/>
        </w:rPr>
      </w:pPr>
      <w:r>
        <w:rPr>
          <w:rFonts w:hint="eastAsia" w:ascii="宋体" w:hAnsi="宋体"/>
          <w:szCs w:val="21"/>
        </w:rPr>
        <w:t xml:space="preserve">②汇总检查结果台账资料。</w:t>
      </w:r>
      <w:r>
        <w:rPr>
          <w:rFonts w:ascii="宋体" w:hAnsi="宋体"/>
          <w:szCs w:val="21"/>
        </w:rPr>
      </w:r>
      <w:r/>
    </w:p>
    <w:p>
      <w:pPr>
        <w:pStyle w:val="886"/>
        <w:ind w:firstLine="420"/>
        <w:spacing w:line="360" w:lineRule="auto"/>
        <w:rPr>
          <w:rFonts w:ascii="宋体" w:hAnsi="宋体"/>
          <w:szCs w:val="21"/>
        </w:rPr>
      </w:pPr>
      <w:r>
        <w:rPr>
          <w:rFonts w:hint="eastAsia" w:ascii="宋体" w:hAnsi="宋体"/>
          <w:szCs w:val="21"/>
        </w:rPr>
        <w:t xml:space="preserve">（2）环保专项排查</w:t>
      </w:r>
      <w:r>
        <w:rPr>
          <w:rFonts w:ascii="宋体" w:hAnsi="宋体"/>
          <w:szCs w:val="21"/>
        </w:rPr>
      </w:r>
      <w:r/>
    </w:p>
    <w:p>
      <w:pPr>
        <w:pStyle w:val="886"/>
        <w:ind w:firstLine="420"/>
        <w:spacing w:line="360" w:lineRule="auto"/>
        <w:rPr>
          <w:rFonts w:ascii="宋体" w:hAnsi="宋体"/>
          <w:szCs w:val="21"/>
        </w:rPr>
      </w:pPr>
      <w:r>
        <w:rPr>
          <w:rFonts w:hint="eastAsia" w:ascii="宋体" w:hAnsi="宋体"/>
          <w:szCs w:val="21"/>
        </w:rPr>
        <w:t xml:space="preserve">①重点企业废水、废气、固危废产废工段环保专项排查，并建立企业专项排查档案。</w:t>
      </w:r>
      <w:r>
        <w:rPr>
          <w:rFonts w:ascii="宋体" w:hAnsi="宋体"/>
          <w:szCs w:val="21"/>
        </w:rPr>
      </w:r>
      <w:r/>
    </w:p>
    <w:p>
      <w:pPr>
        <w:pStyle w:val="886"/>
        <w:ind w:firstLine="420"/>
        <w:spacing w:line="360" w:lineRule="auto"/>
        <w:rPr>
          <w:rFonts w:ascii="宋体" w:hAnsi="宋体"/>
          <w:szCs w:val="21"/>
        </w:rPr>
      </w:pPr>
      <w:r>
        <w:rPr>
          <w:rFonts w:hint="eastAsia" w:ascii="宋体" w:hAnsi="宋体"/>
          <w:szCs w:val="21"/>
        </w:rPr>
        <w:t xml:space="preserve">②重点企业环保治理设施运行情况专项排查，并建立企业专项排查档案。</w:t>
      </w:r>
      <w:r>
        <w:rPr>
          <w:rFonts w:ascii="宋体" w:hAnsi="宋体"/>
          <w:szCs w:val="21"/>
        </w:rPr>
      </w:r>
      <w:r/>
    </w:p>
    <w:p>
      <w:pPr>
        <w:pStyle w:val="886"/>
        <w:ind w:firstLine="420"/>
        <w:spacing w:line="360" w:lineRule="auto"/>
        <w:rPr>
          <w:rFonts w:ascii="宋体" w:hAnsi="宋体"/>
          <w:szCs w:val="21"/>
        </w:rPr>
      </w:pPr>
      <w:r>
        <w:rPr>
          <w:rFonts w:hint="eastAsia" w:ascii="宋体" w:hAnsi="宋体"/>
          <w:szCs w:val="21"/>
        </w:rPr>
        <w:t xml:space="preserve">③重点企业专项污染因子摸排，并建立企业专项排查档案。</w:t>
      </w:r>
      <w:r>
        <w:rPr>
          <w:rFonts w:ascii="宋体" w:hAnsi="宋体"/>
          <w:szCs w:val="21"/>
        </w:rPr>
      </w:r>
      <w:r/>
    </w:p>
    <w:p>
      <w:pPr>
        <w:pStyle w:val="886"/>
        <w:ind w:firstLine="420"/>
        <w:spacing w:line="360" w:lineRule="auto"/>
        <w:rPr>
          <w:rFonts w:ascii="宋体" w:hAnsi="宋体"/>
          <w:szCs w:val="21"/>
        </w:rPr>
      </w:pPr>
      <w:r>
        <w:rPr>
          <w:rFonts w:hint="eastAsia" w:ascii="宋体" w:hAnsi="宋体"/>
          <w:szCs w:val="21"/>
        </w:rPr>
        <w:t xml:space="preserve">④检查企业后出具详细的排查分析报告（附各企业详细排查清单、现场照片等），针对企业专项排查中存在的问题提出切实可行的整改建议，形成书面总结报告。</w:t>
      </w:r>
      <w:r>
        <w:rPr>
          <w:rFonts w:ascii="宋体" w:hAnsi="宋体"/>
          <w:szCs w:val="21"/>
        </w:rPr>
      </w:r>
      <w:r/>
    </w:p>
    <w:p>
      <w:pPr>
        <w:pStyle w:val="886"/>
        <w:ind w:firstLine="420"/>
        <w:spacing w:line="360" w:lineRule="auto"/>
        <w:rPr>
          <w:rFonts w:ascii="宋体" w:hAnsi="宋体"/>
          <w:szCs w:val="21"/>
        </w:rPr>
      </w:pPr>
      <w:r>
        <w:rPr>
          <w:rFonts w:hint="eastAsia" w:ascii="宋体" w:hAnsi="宋体"/>
          <w:szCs w:val="21"/>
        </w:rPr>
        <w:t xml:space="preserve">⑤掌握排查问题企业整治进度，确保专项排查问题整改到位。</w:t>
      </w:r>
      <w:r>
        <w:rPr>
          <w:rFonts w:ascii="宋体" w:hAnsi="宋体"/>
          <w:szCs w:val="21"/>
        </w:rPr>
      </w:r>
      <w:r/>
    </w:p>
    <w:p>
      <w:pPr>
        <w:pStyle w:val="886"/>
        <w:ind w:firstLine="420"/>
        <w:spacing w:line="360" w:lineRule="auto"/>
        <w:rPr>
          <w:rFonts w:ascii="宋体" w:hAnsi="宋体"/>
          <w:szCs w:val="21"/>
        </w:rPr>
      </w:pPr>
      <w:r>
        <w:rPr>
          <w:rFonts w:hint="eastAsia" w:ascii="宋体" w:hAnsi="宋体"/>
          <w:szCs w:val="21"/>
        </w:rPr>
        <w:t xml:space="preserve">（3）环保项目验收</w:t>
      </w:r>
      <w:r>
        <w:rPr>
          <w:rFonts w:ascii="宋体" w:hAnsi="宋体"/>
          <w:szCs w:val="21"/>
        </w:rPr>
      </w:r>
      <w:r/>
    </w:p>
    <w:p>
      <w:pPr>
        <w:pStyle w:val="886"/>
        <w:ind w:firstLine="420"/>
        <w:spacing w:line="360" w:lineRule="auto"/>
        <w:rPr>
          <w:rFonts w:ascii="宋体" w:hAnsi="宋体"/>
          <w:szCs w:val="21"/>
        </w:rPr>
      </w:pPr>
      <w:r>
        <w:rPr>
          <w:rFonts w:hint="eastAsia" w:ascii="宋体" w:hAnsi="宋体"/>
          <w:szCs w:val="21"/>
        </w:rPr>
        <w:t xml:space="preserve">根据环保部门下达的整治要求，针对涉及企业的整治效果开展验收。</w:t>
      </w:r>
      <w:r>
        <w:rPr>
          <w:rFonts w:ascii="宋体" w:hAnsi="宋体"/>
          <w:szCs w:val="21"/>
        </w:rPr>
      </w:r>
      <w:r/>
    </w:p>
    <w:p>
      <w:pPr>
        <w:pStyle w:val="886"/>
        <w:ind w:firstLine="420"/>
        <w:spacing w:line="360" w:lineRule="auto"/>
        <w:rPr>
          <w:rFonts w:ascii="宋体" w:hAnsi="宋体"/>
          <w:szCs w:val="21"/>
        </w:rPr>
      </w:pPr>
      <w:r>
        <w:rPr>
          <w:rFonts w:hint="eastAsia" w:ascii="宋体" w:hAnsi="宋体"/>
          <w:szCs w:val="21"/>
        </w:rPr>
        <w:t xml:space="preserve">（4）污染物排放核查</w:t>
      </w:r>
      <w:r>
        <w:rPr>
          <w:rFonts w:ascii="宋体" w:hAnsi="宋体"/>
          <w:szCs w:val="21"/>
        </w:rPr>
      </w:r>
      <w:r/>
    </w:p>
    <w:p>
      <w:pPr>
        <w:pStyle w:val="886"/>
        <w:ind w:firstLine="420"/>
        <w:spacing w:line="360" w:lineRule="auto"/>
        <w:rPr>
          <w:rFonts w:ascii="宋体" w:hAnsi="宋体"/>
          <w:szCs w:val="21"/>
        </w:rPr>
      </w:pPr>
      <w:r>
        <w:rPr>
          <w:rFonts w:hint="eastAsia" w:ascii="宋体" w:hAnsi="宋体"/>
          <w:szCs w:val="21"/>
        </w:rPr>
        <w:t xml:space="preserve">对排污单位的能源使用、原辅料使用情况、各类污染物排放情况等开展核查，汇总核查数据表。</w:t>
      </w:r>
      <w:r>
        <w:rPr>
          <w:rFonts w:ascii="宋体" w:hAnsi="宋体"/>
          <w:szCs w:val="21"/>
        </w:rPr>
      </w:r>
      <w:r/>
    </w:p>
    <w:p>
      <w:pPr>
        <w:pStyle w:val="886"/>
        <w:ind w:firstLine="420"/>
        <w:spacing w:line="360" w:lineRule="auto"/>
        <w:rPr>
          <w:rFonts w:ascii="宋体" w:hAnsi="宋体"/>
          <w:szCs w:val="21"/>
        </w:rPr>
      </w:pPr>
      <w:r>
        <w:rPr>
          <w:rFonts w:hint="eastAsia" w:ascii="宋体" w:hAnsi="宋体"/>
          <w:szCs w:val="21"/>
        </w:rPr>
        <w:t xml:space="preserve">1.2.2</w:t>
      </w:r>
      <w:r>
        <w:rPr>
          <w:rFonts w:ascii="宋体" w:hAnsi="宋体"/>
          <w:szCs w:val="21"/>
        </w:rPr>
        <w:t xml:space="preserve">.</w:t>
      </w:r>
      <w:r>
        <w:rPr>
          <w:rFonts w:hint="eastAsia" w:ascii="宋体" w:hAnsi="宋体"/>
          <w:szCs w:val="21"/>
        </w:rPr>
        <w:t xml:space="preserve">服务单位项目组成员要求：</w:t>
      </w:r>
      <w:r>
        <w:rPr>
          <w:rFonts w:ascii="宋体" w:hAnsi="宋体"/>
          <w:szCs w:val="21"/>
        </w:rPr>
      </w:r>
      <w:r/>
    </w:p>
    <w:p>
      <w:pPr>
        <w:pStyle w:val="886"/>
        <w:ind w:firstLine="420"/>
        <w:spacing w:line="360" w:lineRule="auto"/>
        <w:rPr>
          <w:rFonts w:ascii="宋体" w:hAnsi="宋体"/>
          <w:szCs w:val="21"/>
        </w:rPr>
      </w:pPr>
      <w:r>
        <w:rPr>
          <w:rFonts w:hint="eastAsia" w:ascii="宋体" w:hAnsi="宋体"/>
          <w:szCs w:val="21"/>
        </w:rPr>
        <w:t xml:space="preserve">（1）投标单位提供投标单位项目组成员名单，服务期内无特殊原因不得更换项目组成员。</w:t>
      </w:r>
      <w:r>
        <w:rPr>
          <w:rFonts w:ascii="宋体" w:hAnsi="宋体"/>
          <w:szCs w:val="21"/>
        </w:rPr>
      </w:r>
      <w:r/>
    </w:p>
    <w:p>
      <w:pPr>
        <w:pStyle w:val="886"/>
        <w:ind w:firstLine="420"/>
        <w:spacing w:line="360" w:lineRule="auto"/>
        <w:rPr>
          <w:rFonts w:ascii="宋体" w:hAnsi="宋体"/>
          <w:szCs w:val="21"/>
        </w:rPr>
      </w:pPr>
      <w:r>
        <w:rPr>
          <w:rFonts w:hint="eastAsia" w:ascii="宋体" w:hAnsi="宋体"/>
          <w:szCs w:val="21"/>
        </w:rPr>
        <w:t xml:space="preserve">（2）项目组成员须熟悉国家和省有关环境保护的方针、政策、法律、法规及技术标准，有较高的政策水平和专业知识；</w:t>
      </w:r>
      <w:r>
        <w:rPr>
          <w:rFonts w:ascii="宋体" w:hAnsi="宋体"/>
          <w:szCs w:val="21"/>
        </w:rPr>
      </w:r>
      <w:r/>
    </w:p>
    <w:p>
      <w:pPr>
        <w:pStyle w:val="886"/>
        <w:ind w:firstLine="420"/>
        <w:spacing w:line="360" w:lineRule="auto"/>
        <w:rPr>
          <w:rFonts w:ascii="宋体" w:hAnsi="宋体"/>
          <w:szCs w:val="21"/>
        </w:rPr>
      </w:pPr>
      <w:r>
        <w:rPr>
          <w:rFonts w:hint="eastAsia" w:ascii="宋体" w:hAnsi="宋体"/>
          <w:szCs w:val="21"/>
        </w:rPr>
        <w:t xml:space="preserve">（3）项目组成员工作认真负责，办事公正，勤政廉洁；</w:t>
      </w:r>
      <w:r>
        <w:rPr>
          <w:rFonts w:ascii="宋体" w:hAnsi="宋体"/>
          <w:szCs w:val="21"/>
        </w:rPr>
      </w:r>
      <w:r/>
    </w:p>
    <w:p>
      <w:pPr>
        <w:pStyle w:val="886"/>
        <w:ind w:firstLine="420"/>
        <w:spacing w:line="360" w:lineRule="auto"/>
        <w:rPr>
          <w:rFonts w:ascii="宋体" w:hAnsi="宋体"/>
          <w:szCs w:val="21"/>
        </w:rPr>
      </w:pPr>
      <w:r>
        <w:rPr>
          <w:rFonts w:hint="eastAsia" w:ascii="宋体" w:hAnsi="宋体"/>
          <w:szCs w:val="21"/>
        </w:rPr>
        <w:t xml:space="preserve">（4）安排的专家年龄一般不超过65周岁，身体健康，能从事相应的工作，且从事相关工作经验不得少于2年；</w:t>
      </w:r>
      <w:r>
        <w:rPr>
          <w:rFonts w:ascii="宋体" w:hAnsi="宋体"/>
          <w:szCs w:val="21"/>
        </w:rPr>
      </w:r>
      <w:r/>
    </w:p>
    <w:p>
      <w:pPr>
        <w:pStyle w:val="886"/>
        <w:ind w:firstLine="420"/>
        <w:spacing w:line="360" w:lineRule="auto"/>
        <w:rPr>
          <w:rFonts w:ascii="宋体" w:hAnsi="宋体"/>
          <w:szCs w:val="21"/>
        </w:rPr>
      </w:pPr>
      <w:r>
        <w:rPr>
          <w:rFonts w:hint="eastAsia" w:ascii="宋体" w:hAnsi="宋体"/>
          <w:szCs w:val="21"/>
        </w:rPr>
        <w:t xml:space="preserve">（5）投标单位所提供的项目负责人及团队成员在中标后须履行其职责，保质保量完成检查任务，不得随意替换。若因不可抗力必须更换的，必须先经得采购方同意，否则采购方有权无条件解除合同并不予支付费用。</w:t>
      </w:r>
      <w:r>
        <w:rPr>
          <w:rFonts w:ascii="宋体" w:hAnsi="宋体"/>
          <w:szCs w:val="21"/>
        </w:rPr>
      </w:r>
      <w:r/>
    </w:p>
    <w:p>
      <w:pPr>
        <w:pStyle w:val="886"/>
        <w:ind w:firstLine="420"/>
        <w:spacing w:line="360" w:lineRule="auto"/>
        <w:rPr>
          <w:rFonts w:ascii="宋体" w:hAnsi="宋体"/>
          <w:szCs w:val="21"/>
        </w:rPr>
      </w:pPr>
      <w:r>
        <w:rPr>
          <w:rFonts w:hint="eastAsia" w:ascii="宋体" w:hAnsi="宋体"/>
          <w:szCs w:val="21"/>
        </w:rPr>
        <w:t xml:space="preserve">1.2.3.服务响应保障</w:t>
      </w:r>
      <w:r>
        <w:rPr>
          <w:rFonts w:ascii="宋体" w:hAnsi="宋体"/>
          <w:szCs w:val="21"/>
        </w:rPr>
      </w:r>
      <w:r/>
    </w:p>
    <w:p>
      <w:pPr>
        <w:pStyle w:val="886"/>
        <w:ind w:firstLine="420"/>
        <w:spacing w:line="360" w:lineRule="auto"/>
        <w:rPr>
          <w:rFonts w:ascii="宋体" w:hAnsi="宋体"/>
          <w:szCs w:val="21"/>
        </w:rPr>
      </w:pPr>
      <w:r>
        <w:rPr>
          <w:rFonts w:hint="eastAsia" w:ascii="宋体" w:hAnsi="宋体"/>
          <w:szCs w:val="21"/>
        </w:rPr>
        <w:t xml:space="preserve">（1）项目负责人及项目组成员6人或6人以上服务期间需常驻昆山办公；</w:t>
      </w:r>
      <w:r>
        <w:rPr>
          <w:rFonts w:ascii="宋体" w:hAnsi="宋体"/>
          <w:szCs w:val="21"/>
        </w:rPr>
      </w:r>
      <w:r/>
    </w:p>
    <w:p>
      <w:pPr>
        <w:pStyle w:val="886"/>
        <w:ind w:firstLine="420"/>
        <w:spacing w:line="360" w:lineRule="auto"/>
        <w:rPr>
          <w:rFonts w:ascii="宋体" w:hAnsi="宋体"/>
          <w:szCs w:val="21"/>
        </w:rPr>
      </w:pPr>
      <w:r>
        <w:rPr>
          <w:rFonts w:hint="eastAsia" w:ascii="宋体" w:hAnsi="宋体"/>
          <w:szCs w:val="21"/>
        </w:rPr>
        <w:t xml:space="preserve">（2）应急检查响应时间半小时以内（包含半小时）。</w:t>
      </w:r>
      <w:r>
        <w:rPr>
          <w:rFonts w:ascii="宋体" w:hAnsi="宋体"/>
          <w:szCs w:val="21"/>
        </w:rPr>
      </w:r>
      <w:r/>
    </w:p>
    <w:p>
      <w:pPr>
        <w:pStyle w:val="886"/>
        <w:ind w:firstLine="420"/>
        <w:spacing w:line="360" w:lineRule="auto"/>
        <w:rPr>
          <w:rFonts w:ascii="宋体" w:hAnsi="宋体"/>
          <w:szCs w:val="21"/>
        </w:rPr>
      </w:pPr>
      <w:r>
        <w:rPr>
          <w:rFonts w:hint="eastAsia" w:ascii="宋体" w:hAnsi="宋体"/>
          <w:szCs w:val="21"/>
        </w:rPr>
        <w:t xml:space="preserve">1.3 服务费用：</w:t>
      </w:r>
      <w:r>
        <w:rPr>
          <w:rFonts w:ascii="宋体" w:hAnsi="宋体"/>
          <w:szCs w:val="21"/>
        </w:rPr>
      </w:r>
      <w:r/>
    </w:p>
    <w:p>
      <w:pPr>
        <w:pStyle w:val="886"/>
        <w:ind w:firstLine="420"/>
        <w:spacing w:line="360" w:lineRule="auto"/>
        <w:rPr>
          <w:rFonts w:hint="eastAsia" w:ascii="宋体" w:hAnsi="宋体"/>
          <w:szCs w:val="21"/>
        </w:rPr>
      </w:pPr>
      <w:r>
        <w:rPr>
          <w:rFonts w:hint="eastAsia" w:ascii="宋体" w:hAnsi="宋体"/>
          <w:szCs w:val="21"/>
        </w:rPr>
        <w:t xml:space="preserve">（1）标段一至标段三服务费用为固定费用乘以</w:t>
      </w:r>
      <w:r>
        <w:rPr>
          <w:rFonts w:hint="eastAsia" w:ascii="宋体" w:hAnsi="宋体"/>
          <w:b/>
          <w:szCs w:val="21"/>
        </w:rPr>
        <w:t xml:space="preserve">（1-优惠率）</w:t>
      </w:r>
      <w:r>
        <w:rPr>
          <w:rFonts w:hint="eastAsia" w:ascii="宋体" w:hAnsi="宋体"/>
          <w:szCs w:val="21"/>
        </w:rPr>
        <w:t xml:space="preserve">计算：即本项目每家单位的检查企业服务费用为：</w:t>
      </w:r>
      <w:r>
        <w:rPr>
          <w:rFonts w:hint="eastAsia" w:ascii="宋体" w:hAnsi="宋体" w:cs="宋体"/>
          <w:sz w:val="22"/>
          <w:szCs w:val="22"/>
        </w:rPr>
        <w:t xml:space="preserve">环保项目检查、环保专项排查、环保项目验收、污染物排放核查</w:t>
      </w:r>
      <w:r>
        <w:rPr>
          <w:rFonts w:hint="eastAsia" w:ascii="宋体" w:hAnsi="宋体"/>
          <w:szCs w:val="21"/>
        </w:rPr>
        <w:t xml:space="preserve">每家次500元整；</w:t>
      </w:r>
      <w:r>
        <w:rPr>
          <w:rFonts w:hint="eastAsia" w:ascii="宋体" w:hAnsi="宋体" w:cs="宋体"/>
          <w:sz w:val="22"/>
          <w:szCs w:val="22"/>
        </w:rPr>
        <w:t xml:space="preserve">重点企业详查，每家次2000元</w:t>
      </w:r>
      <w:r>
        <w:rPr>
          <w:rFonts w:hint="eastAsia" w:ascii="宋体" w:hAnsi="宋体"/>
          <w:szCs w:val="21"/>
        </w:rPr>
        <w:t xml:space="preserve">（检查车辆自备、伙食费等其他费用自理）。具体结算价格由各投标单位统一以</w:t>
      </w:r>
      <w:r>
        <w:rPr>
          <w:rFonts w:hint="eastAsia" w:ascii="宋体" w:hAnsi="宋体"/>
          <w:b/>
          <w:szCs w:val="21"/>
        </w:rPr>
        <w:t xml:space="preserve">优惠率</w:t>
      </w:r>
      <w:r>
        <w:rPr>
          <w:rFonts w:hint="eastAsia" w:ascii="宋体" w:hAnsi="宋体"/>
          <w:szCs w:val="21"/>
        </w:rPr>
        <w:t xml:space="preserve">方式自行报价，最后结算单价按指导价乘以总报价</w:t>
      </w:r>
      <w:r>
        <w:rPr>
          <w:rFonts w:hint="eastAsia" w:ascii="宋体" w:hAnsi="宋体"/>
          <w:b/>
          <w:szCs w:val="21"/>
        </w:rPr>
        <w:t xml:space="preserve">（1-优惠率）</w:t>
      </w:r>
      <w:r>
        <w:rPr>
          <w:rFonts w:hint="eastAsia" w:ascii="宋体" w:hAnsi="宋体"/>
          <w:szCs w:val="21"/>
        </w:rPr>
        <w:t xml:space="preserve">进行结算。</w:t>
      </w:r>
      <w:r/>
    </w:p>
    <w:p>
      <w:pPr>
        <w:pStyle w:val="886"/>
        <w:ind w:firstLine="420"/>
        <w:spacing w:line="360" w:lineRule="auto"/>
        <w:rPr>
          <w:rFonts w:ascii="宋体" w:hAnsi="宋体"/>
          <w:szCs w:val="21"/>
        </w:rPr>
      </w:pPr>
      <w:r>
        <w:rPr>
          <w:rFonts w:hint="eastAsia" w:ascii="宋体" w:hAnsi="宋体"/>
          <w:szCs w:val="21"/>
        </w:rPr>
        <w:t xml:space="preserve">（2）投标报价的具体结算价格应包含完成本项目服务相关工作可能发生的一切费用，包括但不限于调研费、管理费、办公设备设施、差旅、加班、相关保险费、投标费用、中标服务费、组织评审的相关费用、税金、汇率变动、专利费、利润和政策性文件规定及合同包含的所有风险、责任等各项一切应有费用。</w:t>
      </w:r>
      <w:r>
        <w:rPr>
          <w:rFonts w:ascii="宋体" w:hAnsi="宋体"/>
          <w:szCs w:val="21"/>
        </w:rPr>
      </w:r>
      <w:r/>
    </w:p>
    <w:p>
      <w:pPr>
        <w:pStyle w:val="886"/>
        <w:ind w:firstLine="420"/>
        <w:spacing w:line="360" w:lineRule="auto"/>
        <w:rPr>
          <w:rFonts w:ascii="宋体" w:hAnsi="宋体"/>
          <w:szCs w:val="21"/>
        </w:rPr>
      </w:pPr>
      <w:r>
        <w:rPr>
          <w:rFonts w:hint="eastAsia" w:ascii="宋体" w:hAnsi="宋体"/>
          <w:szCs w:val="21"/>
        </w:rPr>
        <w:t xml:space="preserve">（3）付款方式：各项任务完成后建立项目清单，清单内容及支付费用由甲方相关负责人签字确认方可生效。部分长期任务可根据完成情况阶段性支付。支付时，采购方收到乙方开具的发票后，15个工作日内进行支付。</w:t>
      </w:r>
      <w:r>
        <w:rPr>
          <w:rFonts w:ascii="宋体" w:hAnsi="宋体"/>
          <w:szCs w:val="21"/>
        </w:rPr>
      </w:r>
      <w:r/>
    </w:p>
    <w:p>
      <w:pPr>
        <w:pStyle w:val="886"/>
        <w:ind w:firstLine="420"/>
        <w:spacing w:line="360" w:lineRule="auto"/>
        <w:rPr>
          <w:rFonts w:ascii="宋体" w:hAnsi="宋体"/>
          <w:szCs w:val="21"/>
        </w:rPr>
      </w:pPr>
      <w:r>
        <w:rPr>
          <w:rFonts w:hint="eastAsia" w:ascii="宋体" w:hAnsi="宋体"/>
          <w:szCs w:val="21"/>
        </w:rPr>
        <w:t xml:space="preserve">1.4.其他要求：</w:t>
      </w:r>
      <w:r>
        <w:rPr>
          <w:rFonts w:ascii="宋体" w:hAnsi="宋体"/>
          <w:szCs w:val="21"/>
        </w:rPr>
      </w:r>
      <w:r/>
    </w:p>
    <w:p>
      <w:pPr>
        <w:pStyle w:val="886"/>
        <w:ind w:firstLine="420"/>
        <w:spacing w:line="360" w:lineRule="auto"/>
        <w:rPr>
          <w:rFonts w:ascii="宋体" w:hAnsi="宋体"/>
          <w:szCs w:val="21"/>
        </w:rPr>
      </w:pPr>
      <w:r>
        <w:rPr>
          <w:rFonts w:hint="eastAsia" w:ascii="宋体" w:hAnsi="宋体"/>
          <w:szCs w:val="21"/>
        </w:rPr>
        <w:t xml:space="preserve">1.4.1本项目配备环保检查设备：报价响应单位应自行配备</w:t>
      </w:r>
      <w:r>
        <w:rPr>
          <w:rFonts w:ascii="宋体" w:hAnsi="宋体"/>
          <w:szCs w:val="21"/>
        </w:rPr>
        <w:t xml:space="preserve">PH</w:t>
      </w:r>
      <w:r>
        <w:rPr>
          <w:rFonts w:hint="eastAsia" w:ascii="宋体" w:hAnsi="宋体"/>
          <w:szCs w:val="21"/>
        </w:rPr>
        <w:t xml:space="preserve">计、噪声仪、快速测试包、激光测距仪、VOCs快速检测仪等专业工具，能保证根据环保检查需要完成任务。</w:t>
      </w:r>
      <w:r>
        <w:rPr>
          <w:rFonts w:ascii="宋体" w:hAnsi="宋体"/>
          <w:szCs w:val="21"/>
        </w:rPr>
      </w:r>
      <w:r/>
    </w:p>
    <w:p>
      <w:pPr>
        <w:pStyle w:val="886"/>
        <w:ind w:firstLine="420"/>
        <w:spacing w:line="360" w:lineRule="auto"/>
        <w:rPr>
          <w:rFonts w:ascii="宋体" w:hAnsi="宋体"/>
          <w:szCs w:val="21"/>
        </w:rPr>
      </w:pPr>
      <w:r>
        <w:rPr>
          <w:rFonts w:hint="eastAsia" w:ascii="宋体" w:hAnsi="宋体"/>
          <w:szCs w:val="21"/>
        </w:rPr>
        <w:t xml:space="preserve">1.4.2过程中如发现不符合本次采购文件所要求的服务，供方应无条件重做或换人，并承担相关损失。</w:t>
      </w:r>
      <w:r>
        <w:rPr>
          <w:rFonts w:ascii="宋体" w:hAnsi="宋体"/>
          <w:szCs w:val="21"/>
        </w:rPr>
      </w:r>
      <w:r/>
    </w:p>
    <w:p>
      <w:pPr>
        <w:pStyle w:val="886"/>
        <w:ind w:firstLine="420"/>
        <w:spacing w:line="360" w:lineRule="auto"/>
        <w:rPr>
          <w:rFonts w:ascii="宋体" w:hAnsi="宋体"/>
          <w:szCs w:val="21"/>
        </w:rPr>
      </w:pPr>
      <w:r>
        <w:rPr>
          <w:rFonts w:hint="eastAsia" w:ascii="宋体" w:hAnsi="宋体"/>
          <w:szCs w:val="21"/>
        </w:rPr>
        <w:t xml:space="preserve">1.4.3违约责任：中标供应商未能在既定任务完成时间内（含同意延长的时间）提交排查、检查报告或受玉山镇安环所两次书面警告则视为违约。违约二次，安环所有权终止合同，在其后三年内不接受其报名。</w:t>
      </w:r>
      <w:r>
        <w:rPr>
          <w:rFonts w:ascii="宋体" w:hAnsi="宋体"/>
          <w:szCs w:val="21"/>
        </w:rPr>
      </w:r>
      <w:r/>
    </w:p>
    <w:p>
      <w:pPr>
        <w:pStyle w:val="886"/>
        <w:ind w:firstLine="422"/>
        <w:spacing w:line="360" w:lineRule="auto"/>
        <w:rPr>
          <w:rFonts w:ascii="宋体" w:hAnsi="宋体"/>
          <w:b/>
          <w:szCs w:val="21"/>
        </w:rPr>
      </w:pPr>
      <w:r/>
      <w:bookmarkStart w:id="66" w:name="_Toc132018383"/>
      <w:r>
        <w:rPr>
          <w:rFonts w:hint="eastAsia" w:ascii="宋体" w:hAnsi="宋体"/>
          <w:b/>
          <w:szCs w:val="21"/>
        </w:rPr>
        <w:t xml:space="preserve">2.挥发性有机物治理管家驻点服务</w:t>
      </w:r>
      <w:bookmarkEnd w:id="66"/>
      <w:r>
        <w:rPr>
          <w:rFonts w:ascii="宋体" w:hAnsi="宋体"/>
          <w:b/>
          <w:szCs w:val="21"/>
        </w:rPr>
      </w:r>
      <w:r/>
    </w:p>
    <w:p>
      <w:pPr>
        <w:pStyle w:val="886"/>
        <w:ind w:firstLine="420"/>
        <w:spacing w:line="360" w:lineRule="auto"/>
        <w:rPr>
          <w:rFonts w:ascii="宋体" w:hAnsi="宋体"/>
          <w:szCs w:val="21"/>
        </w:rPr>
      </w:pPr>
      <w:r>
        <w:rPr>
          <w:rFonts w:hint="eastAsia" w:ascii="宋体" w:hAnsi="宋体"/>
          <w:szCs w:val="21"/>
        </w:rPr>
        <w:t xml:space="preserve">2.1项目概述</w:t>
      </w:r>
      <w:r>
        <w:rPr>
          <w:rFonts w:ascii="宋体" w:hAnsi="宋体"/>
          <w:szCs w:val="21"/>
        </w:rPr>
      </w:r>
      <w:r/>
    </w:p>
    <w:p>
      <w:pPr>
        <w:pStyle w:val="886"/>
        <w:ind w:firstLine="420"/>
        <w:spacing w:line="360" w:lineRule="auto"/>
        <w:rPr>
          <w:rFonts w:hint="eastAsia" w:ascii="宋体" w:hAnsi="宋体"/>
          <w:szCs w:val="21"/>
        </w:rPr>
      </w:pPr>
      <w:r>
        <w:rPr>
          <w:rFonts w:hint="eastAsia" w:ascii="宋体" w:hAnsi="宋体"/>
          <w:szCs w:val="21"/>
        </w:rPr>
        <w:t xml:space="preserve">2021年11月5日，苏州市大气污染防治专项工作领导小组办公室印发《苏州市乡镇（街道）挥发性有机物治理管家驻点服务试点工作方案》的通知，按照《苏州市乡镇（街道）挥发性有机物治理管理服务试点工作方案》要求（苏气办</w:t>
      </w:r>
      <w:r>
        <w:rPr>
          <w:rFonts w:hint="eastAsia" w:ascii="宋体" w:hAnsi="宋体"/>
          <w:szCs w:val="21"/>
        </w:rPr>
        <w:t xml:space="preserve">【2021】12号），协助昆山高新技术产业开发区管理委员会（昆山高新技术产业开发区安全生产监督管理和环境保护局)完成相关工作，通过购买第三方专业机构服务开展VOCs治理管家驻点服务，建立健全涉VOCs企业动态管理清单，做好重点VOCs排放企业全过程跟踪指导帮扶，更新维护重点区域涉VOCs排放企业清单，全面摸清源头控制到末端治理各项环节基本情况，提出对策建议，督促企业制定切实可行的治理方案，对企业实施全过程、常态化评估，切实提升区域VOCs治理水平。其他大气污染物(NO2、SO2、颗粒物、HCl等)参照执行。</w:t>
      </w:r>
      <w:r>
        <w:rPr>
          <w:rFonts w:hint="eastAsia" w:ascii="宋体" w:hAnsi="宋体"/>
          <w:b/>
          <w:szCs w:val="21"/>
        </w:rPr>
        <w:t xml:space="preserve">标段四、标段五，中标单位每标段1家，共2家；服务期：1年。</w:t>
      </w:r>
      <w:r>
        <w:rPr>
          <w:rFonts w:hint="eastAsia" w:ascii="宋体" w:hAnsi="宋体"/>
          <w:szCs w:val="21"/>
        </w:rPr>
      </w:r>
      <w:r/>
    </w:p>
    <w:p>
      <w:pPr>
        <w:pStyle w:val="886"/>
        <w:ind w:firstLine="420"/>
        <w:spacing w:line="360" w:lineRule="auto"/>
        <w:rPr>
          <w:rFonts w:ascii="宋体" w:hAnsi="宋体"/>
          <w:szCs w:val="21"/>
        </w:rPr>
      </w:pPr>
      <w:r>
        <w:rPr>
          <w:rFonts w:hint="eastAsia" w:ascii="宋体" w:hAnsi="宋体"/>
          <w:szCs w:val="21"/>
        </w:rPr>
        <w:t xml:space="preserve">2.2服务要求：</w:t>
      </w:r>
      <w:r>
        <w:rPr>
          <w:rFonts w:ascii="宋体" w:hAnsi="宋体"/>
          <w:szCs w:val="21"/>
        </w:rPr>
      </w:r>
      <w:r/>
    </w:p>
    <w:p>
      <w:pPr>
        <w:pStyle w:val="886"/>
        <w:ind w:firstLine="420"/>
        <w:spacing w:line="360" w:lineRule="auto"/>
        <w:rPr>
          <w:rFonts w:ascii="宋体" w:hAnsi="宋体"/>
          <w:szCs w:val="21"/>
        </w:rPr>
      </w:pPr>
      <w:r>
        <w:rPr>
          <w:rFonts w:hint="eastAsia" w:ascii="宋体" w:hAnsi="宋体"/>
          <w:szCs w:val="21"/>
        </w:rPr>
        <w:t xml:space="preserve">2.2.1主要任务：</w:t>
      </w:r>
      <w:r>
        <w:rPr>
          <w:rFonts w:ascii="宋体" w:hAnsi="宋体"/>
          <w:szCs w:val="21"/>
        </w:rPr>
      </w:r>
      <w:r/>
    </w:p>
    <w:p>
      <w:pPr>
        <w:pStyle w:val="886"/>
        <w:ind w:firstLine="420"/>
        <w:spacing w:line="360" w:lineRule="auto"/>
        <w:rPr>
          <w:rFonts w:hint="eastAsia" w:ascii="宋体" w:hAnsi="宋体"/>
          <w:szCs w:val="21"/>
        </w:rPr>
      </w:pPr>
      <w:r>
        <w:rPr>
          <w:rFonts w:hint="eastAsia" w:ascii="宋体" w:hAnsi="宋体"/>
          <w:szCs w:val="21"/>
        </w:rPr>
        <w:t xml:space="preserve">（1）通过比对全国第二次污染源普查数据、大气污染源清单、国家排污许可证数据库、工商注册企业清单、用电工业企业清单等各类清单数据，更新维护高新区辖区内渉气（VOCs、NO2、SO2、颗粒物、HCl等）排放企业清单。</w:t>
      </w:r>
      <w:r/>
    </w:p>
    <w:p>
      <w:pPr>
        <w:pStyle w:val="886"/>
        <w:ind w:firstLine="420"/>
        <w:spacing w:line="360" w:lineRule="auto"/>
        <w:rPr>
          <w:rFonts w:hint="eastAsia" w:ascii="宋体" w:hAnsi="宋体"/>
          <w:szCs w:val="21"/>
        </w:rPr>
      </w:pPr>
      <w:r>
        <w:rPr>
          <w:rFonts w:hint="eastAsia" w:ascii="宋体" w:hAnsi="宋体"/>
          <w:szCs w:val="21"/>
        </w:rPr>
        <w:t xml:space="preserve">（2）根据辖区VOCs 排放企业清单，开展企业VOCs 治理状况</w:t>
      </w:r>
      <w:r>
        <w:rPr>
          <w:rFonts w:hint="eastAsia" w:ascii="宋体" w:hAnsi="宋体"/>
          <w:szCs w:val="21"/>
        </w:rPr>
        <w:t xml:space="preserve">全过程排查，并逐步完善清单数据信息。以石油炼制、石油化工等石化行业，有机化工、煤化工、焦化（含兰炭）、制药、农药、合成树脂、涂料、油墨、胶粘剂等化工行业，汽车、家具、电子、零部件、钢结构、彩涂板等工业涂装行业，包装印刷行业以及油品储运销等为重点，从源头替代、过程控制、末端治理、日常管理四个方面对企业进行全面排查，重点关注挥发性有机液体储罐、装卸、敞开液面、泄漏检测与修复（LDAR）、废气收集、废气旁路、治理设施、非正常工况、产品VOCs 含量等关键环节，编制企业VOCs治理情况分析报告，梳理企业存在的问题。</w:t>
      </w:r>
      <w:r/>
    </w:p>
    <w:p>
      <w:pPr>
        <w:pStyle w:val="886"/>
        <w:ind w:firstLine="420"/>
        <w:spacing w:line="360" w:lineRule="auto"/>
        <w:rPr>
          <w:rFonts w:hint="eastAsia" w:ascii="宋体" w:hAnsi="宋体"/>
          <w:szCs w:val="21"/>
        </w:rPr>
      </w:pPr>
      <w:r>
        <w:rPr>
          <w:rFonts w:hint="eastAsia" w:ascii="宋体" w:hAnsi="宋体"/>
          <w:szCs w:val="21"/>
        </w:rPr>
        <w:t xml:space="preserve">（3）全程指导企业推进治理，对企业整治方案、整治效果进行评估。</w:t>
      </w:r>
      <w:r/>
    </w:p>
    <w:p>
      <w:pPr>
        <w:pStyle w:val="886"/>
        <w:ind w:firstLine="420"/>
        <w:spacing w:line="360" w:lineRule="auto"/>
        <w:rPr>
          <w:rFonts w:hint="eastAsia" w:ascii="宋体" w:hAnsi="宋体"/>
          <w:szCs w:val="21"/>
        </w:rPr>
      </w:pPr>
      <w:r>
        <w:rPr>
          <w:rFonts w:hint="eastAsia" w:ascii="宋体" w:hAnsi="宋体"/>
          <w:szCs w:val="21"/>
        </w:rPr>
        <w:t xml:space="preserve">（4）企业清单数据库动态更新。根据辖区VOCs 排放企业新增、关停、提标改造等情况，定期对相关VOCs 排放企业清单数据进行更新完善，原则上每月至少核实更新一次。</w:t>
      </w:r>
      <w:r/>
    </w:p>
    <w:p>
      <w:pPr>
        <w:pStyle w:val="886"/>
        <w:ind w:firstLine="420"/>
        <w:spacing w:line="360" w:lineRule="auto"/>
        <w:rPr>
          <w:rFonts w:hint="eastAsia" w:ascii="宋体" w:hAnsi="宋体"/>
          <w:szCs w:val="21"/>
        </w:rPr>
      </w:pPr>
      <w:r>
        <w:rPr>
          <w:rFonts w:hint="eastAsia" w:ascii="宋体" w:hAnsi="宋体"/>
          <w:szCs w:val="21"/>
        </w:rPr>
        <w:t xml:space="preserve">（5）企业日常评估。协助昆山高新技术产业开发区管理委员会（昆山高新技术产业开发区安全生产监督管理和环境保护局)对辖区VOCs 排放企业原料替代情况、废气治理设施运维情况、废气检测情况、台账记录情况等开展定期抽查。对发现的问题整理形成清单，每周报属地和县级管理部门，根据属地管理部门整改要求和各级日常监管执法要求，跟踪帮扶指导企业落实整改。</w:t>
      </w:r>
      <w:r/>
    </w:p>
    <w:p>
      <w:pPr>
        <w:pStyle w:val="886"/>
        <w:ind w:firstLine="420"/>
        <w:spacing w:line="360" w:lineRule="auto"/>
        <w:rPr>
          <w:rFonts w:hint="eastAsia" w:ascii="宋体" w:hAnsi="宋体"/>
          <w:szCs w:val="21"/>
        </w:rPr>
      </w:pPr>
      <w:r>
        <w:rPr>
          <w:rFonts w:hint="eastAsia" w:ascii="宋体" w:hAnsi="宋体"/>
          <w:szCs w:val="21"/>
        </w:rPr>
        <w:t xml:space="preserve">（6）企业VOCs 管理技术培训。定期组织辖区涉VOCs 排放企业负责人、环保管理人员、现场操作人员开展日常业务培训，解读最新政策标准，提升企业环保人员管理水平。</w:t>
      </w:r>
      <w:r/>
    </w:p>
    <w:p>
      <w:pPr>
        <w:pStyle w:val="886"/>
        <w:ind w:firstLine="420"/>
        <w:spacing w:line="360" w:lineRule="auto"/>
        <w:rPr>
          <w:rFonts w:hint="eastAsia" w:ascii="宋体" w:hAnsi="宋体"/>
          <w:szCs w:val="21"/>
        </w:rPr>
      </w:pPr>
      <w:r>
        <w:rPr>
          <w:rFonts w:hint="eastAsia" w:ascii="宋体" w:hAnsi="宋体"/>
          <w:szCs w:val="21"/>
        </w:rPr>
        <w:t xml:space="preserve">（7）建立臭氧活性物种库。建立高新区企业臭氧活性物种清单，筛选涉臭氧活性物种的重点行业和企业，便于高新区在臭氧超标时有针对性的溯源，控制管理臭氧活性物种排放。</w:t>
      </w:r>
      <w:r/>
    </w:p>
    <w:p>
      <w:pPr>
        <w:pStyle w:val="886"/>
        <w:ind w:firstLine="420"/>
        <w:spacing w:line="360" w:lineRule="auto"/>
        <w:rPr>
          <w:rFonts w:hint="eastAsia" w:ascii="宋体" w:hAnsi="宋体"/>
          <w:szCs w:val="21"/>
        </w:rPr>
      </w:pPr>
      <w:r>
        <w:rPr>
          <w:rFonts w:hint="eastAsia" w:ascii="宋体" w:hAnsi="宋体"/>
          <w:szCs w:val="21"/>
        </w:rPr>
        <w:t xml:space="preserve">（8）重点企业手册化。针对重点企业，制定企业手册，每家企业形成一个手册（包含企业基本信息、全厂废气治理设施、废气治理设施运行要求、环保治理设施操作流程、废气治理设施检修及保养要求、废气治理设施台帐记录要求），便于企业日常管理，帮扶企业。</w:t>
      </w:r>
      <w:r/>
    </w:p>
    <w:p>
      <w:pPr>
        <w:pStyle w:val="886"/>
        <w:ind w:firstLine="420"/>
        <w:spacing w:line="360" w:lineRule="auto"/>
        <w:rPr>
          <w:rFonts w:hint="eastAsia" w:ascii="宋体" w:hAnsi="宋体"/>
          <w:szCs w:val="21"/>
        </w:rPr>
      </w:pPr>
      <w:r>
        <w:rPr>
          <w:rFonts w:hint="eastAsia" w:ascii="宋体" w:hAnsi="宋体"/>
          <w:szCs w:val="21"/>
        </w:rPr>
        <w:t xml:space="preserve">（9）建立废气治理设施运行过程中活性炭全周期管理清单，指导、督促活性炭使用企业及时更换活性炭。</w:t>
      </w:r>
      <w:r/>
    </w:p>
    <w:p>
      <w:pPr>
        <w:pStyle w:val="886"/>
        <w:ind w:firstLine="420"/>
        <w:spacing w:line="360" w:lineRule="auto"/>
        <w:rPr>
          <w:rFonts w:hint="eastAsia" w:ascii="宋体" w:hAnsi="宋体"/>
          <w:szCs w:val="21"/>
        </w:rPr>
      </w:pPr>
      <w:r>
        <w:rPr>
          <w:rFonts w:hint="eastAsia" w:ascii="宋体" w:hAnsi="宋体"/>
          <w:szCs w:val="21"/>
        </w:rPr>
        <w:t xml:space="preserve">（10）助力重污染天气管控企业分级提升。根据企业分级（A、B、C…）及企业实际运行情况，对照绩效分级标准，梳理企业可能存在提升的措施，帮扶企业助力企业重污染天气管控分级升级。</w:t>
      </w:r>
      <w:r/>
    </w:p>
    <w:p>
      <w:pPr>
        <w:pStyle w:val="886"/>
        <w:ind w:firstLine="420"/>
        <w:spacing w:line="360" w:lineRule="auto"/>
        <w:rPr>
          <w:rFonts w:ascii="宋体" w:hAnsi="宋体"/>
          <w:szCs w:val="21"/>
        </w:rPr>
      </w:pPr>
      <w:r>
        <w:rPr>
          <w:rFonts w:hint="eastAsia" w:ascii="宋体" w:hAnsi="宋体"/>
          <w:szCs w:val="21"/>
        </w:rPr>
        <w:t xml:space="preserve">（11）协助做好污染物总量挖掘、收储。核算辖区内当年度大气主要减排项目，参照《主要污染物总量减排核算技术指南》（2022年修订）进行污染物总量消减量测算，以供管理部门参考。</w:t>
      </w:r>
      <w:r>
        <w:rPr>
          <w:rFonts w:ascii="宋体" w:hAnsi="宋体"/>
          <w:szCs w:val="21"/>
        </w:rPr>
      </w:r>
      <w:r/>
    </w:p>
    <w:p>
      <w:pPr>
        <w:pStyle w:val="886"/>
        <w:ind w:firstLine="420"/>
        <w:spacing w:line="360" w:lineRule="auto"/>
        <w:rPr>
          <w:rFonts w:hint="eastAsia" w:ascii="宋体" w:hAnsi="宋体"/>
          <w:szCs w:val="21"/>
        </w:rPr>
      </w:pPr>
      <w:r>
        <w:rPr>
          <w:rFonts w:hint="eastAsia" w:ascii="宋体" w:hAnsi="宋体"/>
          <w:szCs w:val="21"/>
        </w:rPr>
        <w:t xml:space="preserve">（12）完成甲方布置的其他涉气管理任务。</w:t>
      </w:r>
      <w:r/>
    </w:p>
    <w:p>
      <w:pPr>
        <w:pStyle w:val="886"/>
        <w:ind w:firstLine="420"/>
        <w:jc w:val="left"/>
        <w:spacing w:line="360" w:lineRule="auto"/>
        <w:rPr>
          <w:rFonts w:ascii="宋体" w:hAnsi="宋体"/>
          <w:szCs w:val="21"/>
        </w:rPr>
      </w:pPr>
      <w:r>
        <w:rPr>
          <w:rFonts w:hint="eastAsia" w:ascii="宋体" w:hAnsi="宋体"/>
          <w:szCs w:val="21"/>
        </w:rPr>
        <w:t xml:space="preserve">2</w:t>
      </w:r>
      <w:r>
        <w:rPr>
          <w:rFonts w:hint="eastAsia" w:ascii="宋体" w:hAnsi="宋体"/>
          <w:szCs w:val="21"/>
        </w:rPr>
        <w:t xml:space="preserve">．</w:t>
      </w:r>
      <w:r>
        <w:rPr>
          <w:rFonts w:hint="eastAsia" w:ascii="宋体" w:hAnsi="宋体"/>
          <w:szCs w:val="21"/>
        </w:rPr>
        <w:t xml:space="preserve">2.</w:t>
      </w:r>
      <w:r>
        <w:rPr>
          <w:rFonts w:hint="eastAsia" w:ascii="宋体" w:hAnsi="宋体"/>
          <w:szCs w:val="21"/>
        </w:rPr>
        <w:t xml:space="preserve">2</w:t>
      </w:r>
      <w:r>
        <w:rPr>
          <w:rFonts w:hint="eastAsia" w:ascii="宋体" w:hAnsi="宋体"/>
          <w:szCs w:val="21"/>
        </w:rPr>
        <w:t xml:space="preserve">服务单位及其专家聘任条件：</w:t>
      </w:r>
      <w:r>
        <w:rPr>
          <w:rFonts w:ascii="宋体" w:hAnsi="宋体"/>
          <w:szCs w:val="21"/>
        </w:rPr>
      </w:r>
      <w:r/>
    </w:p>
    <w:p>
      <w:pPr>
        <w:pStyle w:val="886"/>
        <w:ind w:firstLine="420"/>
        <w:spacing w:line="360" w:lineRule="auto"/>
        <w:rPr>
          <w:rFonts w:ascii="宋体" w:hAnsi="宋体"/>
          <w:szCs w:val="21"/>
        </w:rPr>
      </w:pPr>
      <w:r>
        <w:rPr>
          <w:rFonts w:hint="eastAsia" w:ascii="宋体" w:hAnsi="宋体"/>
          <w:szCs w:val="21"/>
        </w:rPr>
        <w:t xml:space="preserve">（1）项目组成员（专家）政治立场坚定，热爱环境保护事业，愿意承担专家工作，并接受安环所的管理；</w:t>
      </w:r>
      <w:r>
        <w:rPr>
          <w:rFonts w:ascii="宋体" w:hAnsi="宋体"/>
          <w:szCs w:val="21"/>
        </w:rPr>
      </w:r>
      <w:r/>
    </w:p>
    <w:p>
      <w:pPr>
        <w:pStyle w:val="886"/>
        <w:ind w:firstLine="420"/>
        <w:spacing w:line="360" w:lineRule="auto"/>
        <w:rPr>
          <w:rFonts w:ascii="宋体" w:hAnsi="宋体"/>
          <w:szCs w:val="21"/>
        </w:rPr>
      </w:pPr>
      <w:r>
        <w:rPr>
          <w:rFonts w:hint="eastAsia" w:ascii="宋体" w:hAnsi="宋体"/>
          <w:szCs w:val="21"/>
        </w:rPr>
        <w:t xml:space="preserve">（2）项目组成员（专家）须熟悉国家和省有关环境保护的方针、政策、法律、法规及技术标准，有较高的政策水平和专业知识；</w:t>
      </w:r>
      <w:r>
        <w:rPr>
          <w:rFonts w:ascii="宋体" w:hAnsi="宋体"/>
          <w:szCs w:val="21"/>
        </w:rPr>
      </w:r>
      <w:r/>
    </w:p>
    <w:p>
      <w:pPr>
        <w:pStyle w:val="886"/>
        <w:ind w:firstLine="420"/>
        <w:spacing w:line="360" w:lineRule="auto"/>
        <w:rPr>
          <w:rFonts w:ascii="宋体" w:hAnsi="宋体"/>
          <w:szCs w:val="21"/>
        </w:rPr>
      </w:pPr>
      <w:r>
        <w:rPr>
          <w:rFonts w:hint="eastAsia" w:ascii="宋体" w:hAnsi="宋体"/>
          <w:szCs w:val="21"/>
        </w:rPr>
        <w:t xml:space="preserve">（3）项目组成员（专家）工作认真负责，办事公正，勤政廉洁；</w:t>
      </w:r>
      <w:r>
        <w:rPr>
          <w:rFonts w:ascii="宋体" w:hAnsi="宋体"/>
          <w:szCs w:val="21"/>
        </w:rPr>
      </w:r>
      <w:r/>
    </w:p>
    <w:p>
      <w:pPr>
        <w:pStyle w:val="886"/>
        <w:ind w:firstLine="420"/>
        <w:spacing w:line="360" w:lineRule="auto"/>
        <w:rPr>
          <w:rFonts w:ascii="宋体" w:hAnsi="宋体"/>
          <w:szCs w:val="21"/>
        </w:rPr>
      </w:pPr>
      <w:r>
        <w:rPr>
          <w:rFonts w:hint="eastAsia" w:ascii="宋体" w:hAnsi="宋体"/>
          <w:szCs w:val="21"/>
        </w:rPr>
        <w:t xml:space="preserve">（4）安排的专家年龄一般不超过65周岁，身体健康，能从事相应的工作，且从事相关工作经验不得少于2年；</w:t>
      </w:r>
      <w:r>
        <w:rPr>
          <w:rFonts w:ascii="宋体" w:hAnsi="宋体"/>
          <w:szCs w:val="21"/>
        </w:rPr>
      </w:r>
      <w:r/>
    </w:p>
    <w:p>
      <w:pPr>
        <w:pStyle w:val="886"/>
        <w:ind w:firstLine="420"/>
        <w:spacing w:line="360" w:lineRule="auto"/>
        <w:rPr>
          <w:rFonts w:ascii="宋体" w:hAnsi="宋体"/>
          <w:szCs w:val="21"/>
        </w:rPr>
      </w:pPr>
      <w:r>
        <w:rPr>
          <w:rFonts w:hint="eastAsia" w:ascii="宋体" w:hAnsi="宋体"/>
          <w:szCs w:val="21"/>
        </w:rPr>
        <w:t xml:space="preserve">（5）投标供应商所提供的项目负责人及团队成员在中标后须履行其职责，保质保量完成检查任务，不得随意替换。若因不可抗力必须更换的，必须先经得采购方同意，否则采购方有权无条件解除合同并不予支付费用。</w:t>
      </w:r>
      <w:r>
        <w:rPr>
          <w:rFonts w:ascii="宋体" w:hAnsi="宋体"/>
          <w:szCs w:val="21"/>
        </w:rPr>
      </w:r>
      <w:r/>
    </w:p>
    <w:p>
      <w:pPr>
        <w:pStyle w:val="886"/>
        <w:ind w:firstLine="420"/>
        <w:spacing w:line="360" w:lineRule="auto"/>
        <w:rPr>
          <w:rFonts w:ascii="宋体" w:hAnsi="宋体"/>
          <w:szCs w:val="21"/>
        </w:rPr>
      </w:pPr>
      <w:r/>
      <w:bookmarkStart w:id="67" w:name="_Toc132018384"/>
      <w:r>
        <w:rPr>
          <w:rFonts w:hint="eastAsia" w:ascii="宋体" w:hAnsi="宋体"/>
          <w:szCs w:val="21"/>
        </w:rPr>
        <w:t xml:space="preserve">五、其它</w:t>
      </w:r>
      <w:bookmarkEnd w:id="67"/>
      <w:r>
        <w:rPr>
          <w:rFonts w:ascii="宋体" w:hAnsi="宋体"/>
          <w:szCs w:val="21"/>
        </w:rPr>
      </w:r>
      <w:r/>
    </w:p>
    <w:p>
      <w:pPr>
        <w:pStyle w:val="886"/>
        <w:ind w:firstLine="420"/>
        <w:spacing w:line="360" w:lineRule="auto"/>
        <w:rPr>
          <w:rFonts w:ascii="宋体" w:hAnsi="宋体"/>
          <w:szCs w:val="21"/>
        </w:rPr>
      </w:pPr>
      <w:r>
        <w:rPr>
          <w:rFonts w:hint="eastAsia" w:ascii="宋体" w:hAnsi="宋体"/>
          <w:szCs w:val="21"/>
        </w:rPr>
        <w:t xml:space="preserve">1、各标段按照报价要求进行报价，投标应以人民币报价，默认报价单位为元，包括但不限于本项目服务过程的劳务、食宿、差旅、资料汇编、管理、保险、利润、税金、政策性文件规定及合同包含的所有风险、责任等各项应有费用。</w:t>
      </w:r>
      <w:r>
        <w:rPr>
          <w:rFonts w:ascii="宋体" w:hAnsi="宋体"/>
          <w:szCs w:val="21"/>
        </w:rPr>
      </w:r>
      <w:r/>
    </w:p>
    <w:p>
      <w:pPr>
        <w:pStyle w:val="886"/>
        <w:ind w:firstLine="420"/>
        <w:spacing w:line="360" w:lineRule="auto"/>
        <w:rPr>
          <w:rFonts w:ascii="宋体" w:hAnsi="宋体"/>
          <w:szCs w:val="21"/>
        </w:rPr>
      </w:pPr>
      <w:r>
        <w:rPr>
          <w:rFonts w:hint="eastAsia" w:ascii="宋体" w:hAnsi="宋体"/>
          <w:szCs w:val="21"/>
        </w:rPr>
        <w:t xml:space="preserve">2、投标单位要充分考虑知识产权问题，采购人在本国使用该项目投标单位提供的材料和设计或其任何一部分时而引起第三方提出的侵犯任何第三方合法权益的，均由乙方承担相关责任。凡由此造成采购人承担责任的，采购人有权向投标单位追偿，且投标单位应承担采购人追偿而支出的相应费用（包括但不限于诉讼费、鉴定费、律师费、公证费等）。</w:t>
      </w:r>
      <w:r>
        <w:rPr>
          <w:rFonts w:ascii="宋体" w:hAnsi="宋体"/>
          <w:szCs w:val="21"/>
        </w:rPr>
      </w:r>
      <w:r/>
    </w:p>
    <w:p>
      <w:pPr>
        <w:pStyle w:val="886"/>
        <w:ind w:firstLine="420"/>
        <w:spacing w:line="360" w:lineRule="auto"/>
        <w:rPr>
          <w:rFonts w:ascii="宋体" w:hAnsi="宋体"/>
          <w:szCs w:val="21"/>
        </w:rPr>
      </w:pPr>
      <w:r>
        <w:rPr>
          <w:rFonts w:hint="eastAsia" w:ascii="宋体" w:hAnsi="宋体"/>
          <w:szCs w:val="21"/>
        </w:rPr>
        <w:t xml:space="preserve">3、本次服务过程中涉及文字材料分析研究、汇编、总结等材料的，须确保质量，达到采购单位使用要求。否则，应按要求整改到位。</w:t>
      </w:r>
      <w:r>
        <w:rPr>
          <w:rFonts w:ascii="宋体" w:hAnsi="宋体"/>
          <w:szCs w:val="21"/>
        </w:rPr>
      </w:r>
      <w:r/>
    </w:p>
    <w:p>
      <w:pPr>
        <w:pStyle w:val="959"/>
        <w:rPr>
          <w:rFonts w:hint="eastAsia"/>
        </w:rPr>
      </w:pPr>
      <w:r/>
      <w:bookmarkStart w:id="68" w:name="_Toc328386624"/>
      <w:r/>
      <w:bookmarkStart w:id="69" w:name="_Toc71721073"/>
      <w:r/>
      <w:bookmarkStart w:id="70" w:name="_Toc475023243"/>
      <w:r>
        <w:rPr>
          <w:rFonts w:cs="宋体"/>
        </w:rPr>
        <w:br w:type="page" w:clear="all"/>
      </w:r>
      <w:bookmarkStart w:id="71" w:name="_Toc199168206"/>
      <w:r>
        <w:rPr>
          <w:rFonts w:hint="eastAsia"/>
        </w:rPr>
        <w:t xml:space="preserve">第五章 合同主要内容</w:t>
      </w:r>
      <w:bookmarkEnd w:id="71"/>
      <w:r>
        <w:rPr>
          <w:rFonts w:hint="eastAsia"/>
        </w:rPr>
      </w:r>
      <w:r/>
    </w:p>
    <w:p>
      <w:pPr>
        <w:pStyle w:val="886"/>
        <w:spacing w:line="400" w:lineRule="exact"/>
        <w:rPr>
          <w:rFonts w:ascii="宋体"/>
          <w:b/>
          <w:szCs w:val="21"/>
        </w:rPr>
      </w:pPr>
      <w:r/>
      <w:bookmarkEnd w:id="68"/>
      <w:r/>
      <w:bookmarkEnd w:id="69"/>
      <w:r/>
      <w:bookmarkEnd w:id="70"/>
      <w:r/>
      <w:bookmarkStart w:id="72" w:name="_Toc132018386"/>
      <w:r/>
      <w:bookmarkStart w:id="73" w:name="_Toc71721074"/>
      <w:r>
        <w:rPr>
          <w:rFonts w:hint="eastAsia" w:ascii="宋体"/>
          <w:b/>
          <w:szCs w:val="21"/>
        </w:rPr>
        <w:t xml:space="preserve">标段一至标段三环保检查验收服务项目合同</w:t>
      </w:r>
      <w:bookmarkEnd w:id="72"/>
      <w:r>
        <w:rPr>
          <w:rFonts w:ascii="宋体"/>
          <w:b/>
          <w:szCs w:val="21"/>
        </w:rPr>
      </w:r>
      <w:r/>
    </w:p>
    <w:p>
      <w:pPr>
        <w:pStyle w:val="886"/>
        <w:spacing w:line="400" w:lineRule="exact"/>
        <w:rPr>
          <w:rFonts w:hint="eastAsia" w:ascii="宋体"/>
          <w:szCs w:val="21"/>
        </w:rPr>
      </w:pPr>
      <w:r>
        <w:rPr>
          <w:rFonts w:hint="eastAsia" w:ascii="宋体"/>
          <w:szCs w:val="21"/>
        </w:rPr>
        <w:t xml:space="preserve">委托方（以下简称甲方）：                                 </w:t>
      </w:r>
      <w:r/>
    </w:p>
    <w:p>
      <w:pPr>
        <w:pStyle w:val="886"/>
        <w:spacing w:line="400" w:lineRule="exact"/>
        <w:rPr>
          <w:rFonts w:hint="eastAsia" w:ascii="宋体"/>
          <w:szCs w:val="21"/>
        </w:rPr>
      </w:pPr>
      <w:r>
        <w:rPr>
          <w:rFonts w:hint="eastAsia" w:ascii="宋体"/>
          <w:szCs w:val="21"/>
        </w:rPr>
        <w:t xml:space="preserve">法定代表人：                                            </w:t>
      </w:r>
      <w:r/>
    </w:p>
    <w:p>
      <w:pPr>
        <w:pStyle w:val="978"/>
        <w:ind w:firstLine="0"/>
        <w:rPr>
          <w:rFonts w:hint="eastAsia"/>
        </w:rPr>
      </w:pPr>
      <w:r>
        <w:rPr>
          <w:rFonts w:hint="eastAsia"/>
        </w:rPr>
      </w:r>
      <w:r/>
    </w:p>
    <w:p>
      <w:pPr>
        <w:pStyle w:val="886"/>
        <w:spacing w:line="400" w:lineRule="exact"/>
        <w:rPr>
          <w:rFonts w:hint="eastAsia" w:ascii="宋体"/>
          <w:szCs w:val="21"/>
        </w:rPr>
      </w:pPr>
      <w:r>
        <w:rPr>
          <w:rFonts w:hint="eastAsia" w:ascii="宋体"/>
          <w:szCs w:val="21"/>
        </w:rPr>
        <w:t xml:space="preserve">受委托方（以下简称乙方）：                               </w:t>
      </w:r>
      <w:r/>
    </w:p>
    <w:p>
      <w:pPr>
        <w:pStyle w:val="886"/>
        <w:spacing w:line="400" w:lineRule="exact"/>
        <w:rPr>
          <w:rFonts w:hint="eastAsia" w:ascii="宋体"/>
          <w:szCs w:val="21"/>
        </w:rPr>
      </w:pPr>
      <w:r>
        <w:rPr>
          <w:rFonts w:hint="eastAsia" w:ascii="宋体"/>
          <w:szCs w:val="21"/>
        </w:rPr>
        <w:t xml:space="preserve">法定代表人：                                            </w:t>
      </w:r>
      <w:r/>
    </w:p>
    <w:p>
      <w:pPr>
        <w:pStyle w:val="958"/>
        <w:ind w:firstLine="405"/>
        <w:spacing w:beforeAutospacing="0" w:after="120" w:afterAutospacing="0" w:line="360" w:lineRule="auto"/>
        <w:rPr>
          <w:color w:val="333333"/>
          <w:sz w:val="21"/>
          <w:szCs w:val="21"/>
        </w:rPr>
      </w:pPr>
      <w:r>
        <w:rPr>
          <w:color w:val="333333"/>
          <w:sz w:val="21"/>
          <w:szCs w:val="21"/>
        </w:rPr>
        <w:t xml:space="preserve">根据                       公司招标编号为                  的招标文件及该文件的投标文件和中标通知书，根据《</w:t>
      </w:r>
      <w:r>
        <w:rPr>
          <w:color w:val="333333"/>
          <w:sz w:val="21"/>
          <w:szCs w:val="21"/>
        </w:rPr>
        <w:fldChar w:fldCharType="begin"/>
      </w:r>
      <w:r>
        <w:rPr>
          <w:color w:val="333333"/>
          <w:sz w:val="21"/>
          <w:szCs w:val="21"/>
        </w:rPr>
        <w:instrText xml:space="preserve">HYPERLINK "https://baike.baidu.com/item/%E4%B8%AD%E5%8D%8E%E4%BA%BA%E6%B0%91%E5%85%B1%E5%92%8C%E5%9B%BD%E6%B0%91%E6%B3%95%E5%85%B8/19435116"</w:instrText>
      </w:r>
      <w:r>
        <w:rPr>
          <w:color w:val="333333"/>
          <w:sz w:val="21"/>
          <w:szCs w:val="21"/>
        </w:rPr>
        <w:fldChar w:fldCharType="separate"/>
      </w:r>
      <w:r>
        <w:rPr>
          <w:color w:val="333333"/>
          <w:sz w:val="21"/>
          <w:szCs w:val="21"/>
        </w:rPr>
        <w:t xml:space="preserve">中华人民共和国民法典</w:t>
      </w:r>
      <w:r>
        <w:rPr>
          <w:color w:val="333333"/>
          <w:sz w:val="21"/>
          <w:szCs w:val="21"/>
        </w:rPr>
        <w:fldChar w:fldCharType="end"/>
      </w:r>
      <w:r>
        <w:rPr>
          <w:color w:val="333333"/>
          <w:sz w:val="21"/>
          <w:szCs w:val="21"/>
        </w:rPr>
        <w:t xml:space="preserve">》，参照国家、地方有关项目法律、法规和政策，在平等、自愿、协商一致的基础上，甲乙双方就甲方聘用乙方</w:t>
      </w:r>
      <w:r>
        <w:rPr>
          <w:rFonts w:hint="eastAsia"/>
          <w:color w:val="333333"/>
          <w:sz w:val="21"/>
          <w:szCs w:val="21"/>
        </w:rPr>
        <w:t xml:space="preserve">购买环保检查验收服务</w:t>
      </w:r>
      <w:r>
        <w:rPr>
          <w:color w:val="333333"/>
          <w:sz w:val="21"/>
          <w:szCs w:val="21"/>
        </w:rPr>
        <w:t xml:space="preserve">项目工作，签订本合同书。</w:t>
      </w:r>
      <w:r/>
    </w:p>
    <w:p>
      <w:pPr>
        <w:pStyle w:val="958"/>
        <w:ind w:firstLine="405"/>
        <w:spacing w:beforeAutospacing="0" w:after="120" w:afterAutospacing="0" w:line="360" w:lineRule="auto"/>
        <w:rPr>
          <w:color w:val="333333"/>
          <w:sz w:val="21"/>
          <w:szCs w:val="21"/>
        </w:rPr>
      </w:pPr>
      <w:r>
        <w:rPr>
          <w:rFonts w:hint="eastAsia"/>
          <w:color w:val="333333"/>
          <w:sz w:val="21"/>
          <w:szCs w:val="21"/>
        </w:rPr>
        <w:t xml:space="preserve">一、乙方在服务期内按检查计划组织专家对企业进行环保项目检查、环保专项排查、环保项目验收、污染物排放核查，并向甲方提交检查报告，做好定时总结。</w:t>
      </w:r>
      <w:r>
        <w:rPr>
          <w:color w:val="333333"/>
          <w:sz w:val="21"/>
          <w:szCs w:val="21"/>
        </w:rPr>
      </w:r>
      <w:r/>
    </w:p>
    <w:p>
      <w:pPr>
        <w:pStyle w:val="958"/>
        <w:ind w:firstLine="405"/>
        <w:spacing w:beforeAutospacing="0" w:after="120" w:afterAutospacing="0" w:line="360" w:lineRule="auto"/>
        <w:rPr>
          <w:color w:val="333333"/>
          <w:sz w:val="21"/>
          <w:szCs w:val="21"/>
        </w:rPr>
      </w:pPr>
      <w:r>
        <w:rPr>
          <w:rFonts w:hint="eastAsia"/>
          <w:color w:val="333333"/>
          <w:sz w:val="21"/>
          <w:szCs w:val="21"/>
        </w:rPr>
        <w:t xml:space="preserve">二、服务日期：从  年   月   日至    年    月  日止。（期限：壹年）</w:t>
      </w:r>
      <w:r>
        <w:rPr>
          <w:color w:val="333333"/>
          <w:sz w:val="21"/>
          <w:szCs w:val="21"/>
        </w:rPr>
      </w:r>
      <w:r/>
    </w:p>
    <w:p>
      <w:pPr>
        <w:pStyle w:val="958"/>
        <w:ind w:firstLine="405"/>
        <w:spacing w:beforeAutospacing="0" w:after="120" w:afterAutospacing="0" w:line="360" w:lineRule="auto"/>
        <w:rPr>
          <w:color w:val="333333"/>
          <w:sz w:val="21"/>
          <w:szCs w:val="21"/>
        </w:rPr>
      </w:pPr>
      <w:r>
        <w:rPr>
          <w:rFonts w:hint="eastAsia"/>
          <w:color w:val="333333"/>
          <w:sz w:val="21"/>
          <w:szCs w:val="21"/>
        </w:rPr>
        <w:t xml:space="preserve">三、服务费用：</w:t>
      </w:r>
      <w:r>
        <w:rPr>
          <w:color w:val="333333"/>
          <w:sz w:val="21"/>
          <w:szCs w:val="21"/>
        </w:rPr>
      </w:r>
      <w:r/>
    </w:p>
    <w:p>
      <w:pPr>
        <w:pStyle w:val="958"/>
        <w:ind w:firstLine="405"/>
        <w:spacing w:beforeAutospacing="0" w:after="120" w:afterAutospacing="0" w:line="360" w:lineRule="auto"/>
        <w:rPr>
          <w:color w:val="333333"/>
          <w:sz w:val="21"/>
          <w:szCs w:val="21"/>
        </w:rPr>
      </w:pPr>
      <w:r>
        <w:rPr>
          <w:rFonts w:hint="eastAsia"/>
          <w:color w:val="333333"/>
          <w:sz w:val="21"/>
          <w:szCs w:val="21"/>
        </w:rPr>
        <w:t xml:space="preserve">1.预算金额（单价）：本项目每家单位的检查企业服务费用为：环保项目检查、环保专项排查、环保项目验收、污染物排放核查每家次500元整；重点企业详查，每家次2000元。（期间产生的交通费、伙食费及其他可能发生的费用均由乙方自理）。</w:t>
      </w:r>
      <w:r>
        <w:rPr>
          <w:color w:val="333333"/>
          <w:sz w:val="21"/>
          <w:szCs w:val="21"/>
        </w:rPr>
      </w:r>
      <w:r/>
    </w:p>
    <w:p>
      <w:pPr>
        <w:pStyle w:val="958"/>
        <w:ind w:firstLine="405"/>
        <w:spacing w:beforeAutospacing="0" w:after="120" w:afterAutospacing="0" w:line="360" w:lineRule="auto"/>
        <w:rPr>
          <w:b/>
          <w:color w:val="333333"/>
          <w:sz w:val="21"/>
          <w:szCs w:val="21"/>
        </w:rPr>
      </w:pPr>
      <w:r>
        <w:rPr>
          <w:rFonts w:hint="eastAsia"/>
          <w:b/>
          <w:color w:val="333333"/>
          <w:sz w:val="21"/>
          <w:szCs w:val="21"/>
        </w:rPr>
        <w:t xml:space="preserve">2.合同金额（单价）：按预算金额（单价）*（1-优惠率）进行结算。</w:t>
      </w:r>
      <w:r>
        <w:rPr>
          <w:b/>
          <w:color w:val="333333"/>
          <w:sz w:val="21"/>
          <w:szCs w:val="21"/>
        </w:rPr>
      </w:r>
      <w:r/>
    </w:p>
    <w:p>
      <w:pPr>
        <w:pStyle w:val="958"/>
        <w:ind w:firstLine="405"/>
        <w:spacing w:beforeAutospacing="0" w:after="120" w:afterAutospacing="0" w:line="360" w:lineRule="auto"/>
        <w:rPr>
          <w:rFonts w:hint="eastAsia"/>
          <w:color w:val="333333"/>
          <w:sz w:val="21"/>
          <w:szCs w:val="21"/>
        </w:rPr>
      </w:pPr>
      <w:r>
        <w:rPr>
          <w:rFonts w:hint="eastAsia"/>
          <w:color w:val="333333"/>
          <w:sz w:val="21"/>
          <w:szCs w:val="21"/>
        </w:rPr>
        <w:t xml:space="preserve">3.付款方式：</w:t>
      </w:r>
      <w:r/>
    </w:p>
    <w:p>
      <w:pPr>
        <w:pStyle w:val="958"/>
        <w:ind w:firstLine="405"/>
        <w:spacing w:beforeAutospacing="0" w:after="120" w:afterAutospacing="0" w:line="360" w:lineRule="auto"/>
        <w:rPr>
          <w:color w:val="333333"/>
          <w:sz w:val="21"/>
          <w:szCs w:val="21"/>
        </w:rPr>
      </w:pPr>
      <w:r>
        <w:rPr>
          <w:rFonts w:hint="eastAsia"/>
          <w:color w:val="333333"/>
          <w:sz w:val="21"/>
          <w:szCs w:val="21"/>
        </w:rPr>
        <w:t xml:space="preserve">各项任务完成后建立项目清单，清单内容及支付费用由甲方相关负责人签字确认方可生效。部分长期任务可根据完成情况阶段性支付。支付时，采购方收到乙方开具的发票后，15个工作日内进行支付。</w:t>
      </w:r>
      <w:r>
        <w:rPr>
          <w:color w:val="333333"/>
          <w:sz w:val="21"/>
          <w:szCs w:val="21"/>
        </w:rPr>
      </w:r>
      <w:r/>
    </w:p>
    <w:p>
      <w:pPr>
        <w:pStyle w:val="958"/>
        <w:ind w:firstLine="405"/>
        <w:spacing w:beforeAutospacing="0" w:after="120" w:afterAutospacing="0" w:line="360" w:lineRule="auto"/>
        <w:rPr>
          <w:color w:val="333333"/>
          <w:sz w:val="21"/>
          <w:szCs w:val="21"/>
        </w:rPr>
      </w:pPr>
      <w:r>
        <w:rPr>
          <w:rFonts w:hint="eastAsia"/>
          <w:color w:val="333333"/>
          <w:sz w:val="21"/>
          <w:szCs w:val="21"/>
        </w:rPr>
        <w:t xml:space="preserve">四、甲乙双方义务及责任：</w:t>
      </w:r>
      <w:r>
        <w:rPr>
          <w:color w:val="333333"/>
          <w:sz w:val="21"/>
          <w:szCs w:val="21"/>
        </w:rPr>
      </w:r>
      <w:r/>
    </w:p>
    <w:p>
      <w:pPr>
        <w:pStyle w:val="958"/>
        <w:ind w:firstLine="405"/>
        <w:spacing w:beforeAutospacing="0" w:after="120" w:afterAutospacing="0" w:line="360" w:lineRule="auto"/>
        <w:rPr>
          <w:color w:val="333333"/>
          <w:sz w:val="21"/>
          <w:szCs w:val="21"/>
        </w:rPr>
      </w:pPr>
      <w:r>
        <w:rPr>
          <w:rFonts w:hint="eastAsia"/>
          <w:color w:val="333333"/>
          <w:sz w:val="21"/>
          <w:szCs w:val="21"/>
        </w:rPr>
        <w:t xml:space="preserve">A、甲方责任和义务：</w:t>
      </w:r>
      <w:r>
        <w:rPr>
          <w:color w:val="333333"/>
          <w:sz w:val="21"/>
          <w:szCs w:val="21"/>
        </w:rPr>
      </w:r>
      <w:r/>
    </w:p>
    <w:p>
      <w:pPr>
        <w:pStyle w:val="958"/>
        <w:ind w:firstLine="405"/>
        <w:spacing w:beforeAutospacing="0" w:after="120" w:afterAutospacing="0" w:line="360" w:lineRule="auto"/>
        <w:rPr>
          <w:color w:val="333333"/>
          <w:sz w:val="21"/>
          <w:szCs w:val="21"/>
        </w:rPr>
      </w:pPr>
      <w:r>
        <w:rPr>
          <w:rFonts w:hint="eastAsia"/>
          <w:color w:val="333333"/>
          <w:sz w:val="21"/>
          <w:szCs w:val="21"/>
        </w:rPr>
        <w:t xml:space="preserve">1、提供各项任务清单，说明解释各项任务要求；</w:t>
      </w:r>
      <w:r>
        <w:rPr>
          <w:color w:val="333333"/>
          <w:sz w:val="21"/>
          <w:szCs w:val="21"/>
        </w:rPr>
      </w:r>
      <w:r/>
    </w:p>
    <w:p>
      <w:pPr>
        <w:pStyle w:val="958"/>
        <w:ind w:firstLine="405"/>
        <w:spacing w:beforeAutospacing="0" w:after="120" w:afterAutospacing="0" w:line="360" w:lineRule="auto"/>
        <w:rPr>
          <w:color w:val="333333"/>
          <w:sz w:val="21"/>
          <w:szCs w:val="21"/>
        </w:rPr>
      </w:pPr>
      <w:r>
        <w:rPr>
          <w:rFonts w:hint="eastAsia"/>
          <w:color w:val="333333"/>
          <w:sz w:val="21"/>
          <w:szCs w:val="21"/>
        </w:rPr>
        <w:t xml:space="preserve">2、检查企业名单应在检查开始前二个工作日提供给乙方，如需临时增加专家检查天数或人数的，在检查开始前三个工作日告知乙方；</w:t>
      </w:r>
      <w:r>
        <w:rPr>
          <w:color w:val="333333"/>
          <w:sz w:val="21"/>
          <w:szCs w:val="21"/>
        </w:rPr>
      </w:r>
      <w:r/>
    </w:p>
    <w:p>
      <w:pPr>
        <w:pStyle w:val="958"/>
        <w:ind w:firstLine="405"/>
        <w:spacing w:beforeAutospacing="0" w:after="120" w:afterAutospacing="0" w:line="360" w:lineRule="auto"/>
        <w:rPr>
          <w:color w:val="333333"/>
          <w:sz w:val="21"/>
          <w:szCs w:val="21"/>
        </w:rPr>
      </w:pPr>
      <w:r>
        <w:rPr>
          <w:rFonts w:hint="eastAsia"/>
          <w:color w:val="333333"/>
          <w:sz w:val="21"/>
          <w:szCs w:val="21"/>
        </w:rPr>
        <w:t xml:space="preserve">3、按协议规定支付报酬。</w:t>
      </w:r>
      <w:r>
        <w:rPr>
          <w:color w:val="333333"/>
          <w:sz w:val="21"/>
          <w:szCs w:val="21"/>
        </w:rPr>
      </w:r>
      <w:r/>
    </w:p>
    <w:p>
      <w:pPr>
        <w:pStyle w:val="958"/>
        <w:ind w:firstLine="405"/>
        <w:spacing w:beforeAutospacing="0" w:after="120" w:afterAutospacing="0" w:line="360" w:lineRule="auto"/>
        <w:rPr>
          <w:color w:val="333333"/>
          <w:sz w:val="21"/>
          <w:szCs w:val="21"/>
        </w:rPr>
      </w:pPr>
      <w:r>
        <w:rPr>
          <w:rFonts w:hint="eastAsia"/>
          <w:color w:val="333333"/>
          <w:sz w:val="21"/>
          <w:szCs w:val="21"/>
        </w:rPr>
        <w:t xml:space="preserve">B、乙方责任及义务：</w:t>
      </w:r>
      <w:r>
        <w:rPr>
          <w:color w:val="333333"/>
          <w:sz w:val="21"/>
          <w:szCs w:val="21"/>
        </w:rPr>
      </w:r>
      <w:r/>
    </w:p>
    <w:p>
      <w:pPr>
        <w:pStyle w:val="958"/>
        <w:ind w:firstLine="405"/>
        <w:spacing w:beforeAutospacing="0" w:after="120" w:afterAutospacing="0" w:line="360" w:lineRule="auto"/>
        <w:rPr>
          <w:color w:val="333333"/>
          <w:sz w:val="21"/>
          <w:szCs w:val="21"/>
        </w:rPr>
      </w:pPr>
      <w:r>
        <w:rPr>
          <w:rFonts w:hint="eastAsia"/>
          <w:color w:val="333333"/>
          <w:sz w:val="21"/>
          <w:szCs w:val="21"/>
        </w:rPr>
        <w:t xml:space="preserve">1、乙方负责提供检查所需车辆；</w:t>
      </w:r>
      <w:r>
        <w:rPr>
          <w:color w:val="333333"/>
          <w:sz w:val="21"/>
          <w:szCs w:val="21"/>
        </w:rPr>
      </w:r>
      <w:r/>
    </w:p>
    <w:p>
      <w:pPr>
        <w:pStyle w:val="958"/>
        <w:ind w:firstLine="405"/>
        <w:spacing w:beforeAutospacing="0" w:after="120" w:afterAutospacing="0" w:line="360" w:lineRule="auto"/>
        <w:rPr>
          <w:color w:val="333333"/>
          <w:sz w:val="21"/>
          <w:szCs w:val="21"/>
        </w:rPr>
      </w:pPr>
      <w:r>
        <w:rPr>
          <w:rFonts w:hint="eastAsia"/>
          <w:color w:val="333333"/>
          <w:sz w:val="21"/>
          <w:szCs w:val="21"/>
        </w:rPr>
        <w:t xml:space="preserve">2、工作人员应有高度责任感，严格按照检查要求实施检查；</w:t>
      </w:r>
      <w:r>
        <w:rPr>
          <w:color w:val="333333"/>
          <w:sz w:val="21"/>
          <w:szCs w:val="21"/>
        </w:rPr>
      </w:r>
      <w:r/>
    </w:p>
    <w:p>
      <w:pPr>
        <w:pStyle w:val="958"/>
        <w:ind w:firstLine="405"/>
        <w:spacing w:beforeAutospacing="0" w:after="120" w:afterAutospacing="0" w:line="360" w:lineRule="auto"/>
        <w:rPr>
          <w:color w:val="333333"/>
          <w:sz w:val="21"/>
          <w:szCs w:val="21"/>
        </w:rPr>
      </w:pPr>
      <w:r>
        <w:rPr>
          <w:rFonts w:hint="eastAsia"/>
          <w:color w:val="333333"/>
          <w:sz w:val="21"/>
          <w:szCs w:val="21"/>
        </w:rPr>
        <w:t xml:space="preserve">3、对检查中发现的问题，必须开具专家检查意见书，并加盖公章后提交甲方；</w:t>
      </w:r>
      <w:r>
        <w:rPr>
          <w:color w:val="333333"/>
          <w:sz w:val="21"/>
          <w:szCs w:val="21"/>
        </w:rPr>
      </w:r>
      <w:r/>
    </w:p>
    <w:p>
      <w:pPr>
        <w:pStyle w:val="958"/>
        <w:ind w:firstLine="405"/>
        <w:spacing w:beforeAutospacing="0" w:after="120" w:afterAutospacing="0" w:line="360" w:lineRule="auto"/>
        <w:rPr>
          <w:color w:val="333333"/>
          <w:sz w:val="21"/>
          <w:szCs w:val="21"/>
        </w:rPr>
      </w:pPr>
      <w:r>
        <w:rPr>
          <w:rFonts w:hint="eastAsia"/>
          <w:color w:val="333333"/>
          <w:sz w:val="21"/>
          <w:szCs w:val="21"/>
        </w:rPr>
        <w:t xml:space="preserve">4、各项任务要求的台账资料，根据甲方要求必须详尽，同时一律在任务结束后汇总分析并提交至甲方；</w:t>
      </w:r>
      <w:r>
        <w:rPr>
          <w:color w:val="333333"/>
          <w:sz w:val="21"/>
          <w:szCs w:val="21"/>
        </w:rPr>
      </w:r>
      <w:r/>
    </w:p>
    <w:p>
      <w:pPr>
        <w:pStyle w:val="958"/>
        <w:ind w:firstLine="405"/>
        <w:spacing w:beforeAutospacing="0" w:after="120" w:afterAutospacing="0" w:line="360" w:lineRule="auto"/>
        <w:rPr>
          <w:color w:val="333333"/>
          <w:sz w:val="21"/>
          <w:szCs w:val="21"/>
        </w:rPr>
      </w:pPr>
      <w:r>
        <w:rPr>
          <w:rFonts w:hint="eastAsia"/>
          <w:color w:val="333333"/>
          <w:sz w:val="21"/>
          <w:szCs w:val="21"/>
        </w:rPr>
        <w:t xml:space="preserve">5、在与甲方开展检查工作期间，不得以任何形式推广、推销本公司业务，如有发现，甲方有权利无条件解除本合同，并不予支付服务费；</w:t>
      </w:r>
      <w:r>
        <w:rPr>
          <w:color w:val="333333"/>
          <w:sz w:val="21"/>
          <w:szCs w:val="21"/>
        </w:rPr>
      </w:r>
      <w:r/>
    </w:p>
    <w:p>
      <w:pPr>
        <w:pStyle w:val="958"/>
        <w:ind w:firstLine="405"/>
        <w:spacing w:beforeAutospacing="0" w:after="120" w:afterAutospacing="0" w:line="360" w:lineRule="auto"/>
        <w:rPr>
          <w:color w:val="333333"/>
          <w:sz w:val="21"/>
          <w:szCs w:val="21"/>
        </w:rPr>
      </w:pPr>
      <w:r>
        <w:rPr>
          <w:rFonts w:hint="eastAsia"/>
          <w:color w:val="333333"/>
          <w:sz w:val="21"/>
          <w:szCs w:val="21"/>
        </w:rPr>
        <w:t xml:space="preserve">6、乙方所提供的项目负责人及团队成员在中标后须履行其职责，保质保量完成检查任务，不得随意替换。若因不可抗力必须更换的，必须先经得采购方同意，否则采购方有权无条件解除合同并不予支付费用 ；</w:t>
      </w:r>
      <w:r>
        <w:rPr>
          <w:color w:val="333333"/>
          <w:sz w:val="21"/>
          <w:szCs w:val="21"/>
        </w:rPr>
      </w:r>
      <w:r/>
    </w:p>
    <w:p>
      <w:pPr>
        <w:pStyle w:val="958"/>
        <w:ind w:firstLine="405"/>
        <w:spacing w:beforeAutospacing="0" w:after="120" w:afterAutospacing="0" w:line="360" w:lineRule="auto"/>
        <w:rPr>
          <w:color w:val="333333"/>
          <w:sz w:val="21"/>
          <w:szCs w:val="21"/>
        </w:rPr>
      </w:pPr>
      <w:r>
        <w:rPr>
          <w:rFonts w:hint="eastAsia"/>
          <w:color w:val="333333"/>
          <w:sz w:val="21"/>
          <w:szCs w:val="21"/>
        </w:rPr>
        <w:t xml:space="preserve">7.乙方需对项目涉及的企业信息和项目汇总报告等严格保密，不得以任何方式向任何第三方泄露相关情况。</w:t>
      </w:r>
      <w:r>
        <w:rPr>
          <w:color w:val="333333"/>
          <w:sz w:val="21"/>
          <w:szCs w:val="21"/>
        </w:rPr>
      </w:r>
      <w:r/>
    </w:p>
    <w:p>
      <w:pPr>
        <w:pStyle w:val="958"/>
        <w:ind w:firstLine="405"/>
        <w:spacing w:beforeAutospacing="0" w:after="120" w:afterAutospacing="0" w:line="360" w:lineRule="auto"/>
        <w:rPr>
          <w:color w:val="333333"/>
          <w:sz w:val="21"/>
          <w:szCs w:val="21"/>
        </w:rPr>
      </w:pPr>
      <w:r>
        <w:rPr>
          <w:rFonts w:hint="eastAsia"/>
          <w:color w:val="333333"/>
          <w:sz w:val="21"/>
          <w:szCs w:val="21"/>
        </w:rPr>
        <w:t xml:space="preserve">五、下列文件应视为构成并作为阅读和理解本合同书的组成部分，即：</w:t>
      </w:r>
      <w:r>
        <w:rPr>
          <w:color w:val="333333"/>
          <w:sz w:val="21"/>
          <w:szCs w:val="21"/>
        </w:rPr>
      </w:r>
      <w:r/>
    </w:p>
    <w:p>
      <w:pPr>
        <w:pStyle w:val="958"/>
        <w:ind w:firstLine="405"/>
        <w:spacing w:beforeAutospacing="0" w:after="120" w:afterAutospacing="0" w:line="360" w:lineRule="auto"/>
        <w:rPr>
          <w:color w:val="333333"/>
          <w:sz w:val="21"/>
          <w:szCs w:val="21"/>
        </w:rPr>
      </w:pPr>
      <w:r>
        <w:rPr>
          <w:rFonts w:hint="eastAsia"/>
          <w:color w:val="333333"/>
          <w:sz w:val="21"/>
          <w:szCs w:val="21"/>
        </w:rPr>
        <w:t xml:space="preserve">1、本合同书；</w:t>
      </w:r>
      <w:r>
        <w:rPr>
          <w:color w:val="333333"/>
          <w:sz w:val="21"/>
          <w:szCs w:val="21"/>
        </w:rPr>
      </w:r>
      <w:r/>
    </w:p>
    <w:p>
      <w:pPr>
        <w:pStyle w:val="958"/>
        <w:ind w:firstLine="405"/>
        <w:spacing w:beforeAutospacing="0" w:after="120" w:afterAutospacing="0" w:line="360" w:lineRule="auto"/>
        <w:rPr>
          <w:color w:val="333333"/>
          <w:sz w:val="21"/>
          <w:szCs w:val="21"/>
        </w:rPr>
      </w:pPr>
      <w:r>
        <w:rPr>
          <w:rFonts w:hint="eastAsia"/>
          <w:color w:val="333333"/>
          <w:sz w:val="21"/>
          <w:szCs w:val="21"/>
        </w:rPr>
        <w:t xml:space="preserve">2、招标文件；</w:t>
      </w:r>
      <w:r>
        <w:rPr>
          <w:color w:val="333333"/>
          <w:sz w:val="21"/>
          <w:szCs w:val="21"/>
        </w:rPr>
      </w:r>
      <w:r/>
    </w:p>
    <w:p>
      <w:pPr>
        <w:pStyle w:val="958"/>
        <w:ind w:firstLine="405"/>
        <w:spacing w:beforeAutospacing="0" w:after="120" w:afterAutospacing="0" w:line="360" w:lineRule="auto"/>
        <w:rPr>
          <w:color w:val="333333"/>
          <w:sz w:val="21"/>
          <w:szCs w:val="21"/>
        </w:rPr>
      </w:pPr>
      <w:r>
        <w:rPr>
          <w:rFonts w:hint="eastAsia"/>
          <w:color w:val="333333"/>
          <w:sz w:val="21"/>
          <w:szCs w:val="21"/>
        </w:rPr>
        <w:t xml:space="preserve">3、投标文件及其附件（含投标人在评标期间递交和确认并经招标人同意的对有关问题的补充资料和澄清文件等）；</w:t>
      </w:r>
      <w:r>
        <w:rPr>
          <w:color w:val="333333"/>
          <w:sz w:val="21"/>
          <w:szCs w:val="21"/>
        </w:rPr>
      </w:r>
      <w:r/>
    </w:p>
    <w:p>
      <w:pPr>
        <w:pStyle w:val="958"/>
        <w:ind w:firstLine="405"/>
        <w:spacing w:beforeAutospacing="0" w:after="120" w:afterAutospacing="0" w:line="360" w:lineRule="auto"/>
        <w:rPr>
          <w:color w:val="333333"/>
          <w:sz w:val="21"/>
          <w:szCs w:val="21"/>
        </w:rPr>
      </w:pPr>
      <w:r>
        <w:rPr>
          <w:rFonts w:hint="eastAsia"/>
          <w:color w:val="333333"/>
          <w:sz w:val="21"/>
          <w:szCs w:val="21"/>
        </w:rPr>
        <w:t xml:space="preserve">4、中标通知书。</w:t>
      </w:r>
      <w:r>
        <w:rPr>
          <w:color w:val="333333"/>
          <w:sz w:val="21"/>
          <w:szCs w:val="21"/>
        </w:rPr>
      </w:r>
      <w:r/>
    </w:p>
    <w:p>
      <w:pPr>
        <w:pStyle w:val="958"/>
        <w:ind w:firstLine="405"/>
        <w:spacing w:beforeAutospacing="0" w:after="120" w:afterAutospacing="0" w:line="360" w:lineRule="auto"/>
        <w:rPr>
          <w:color w:val="333333"/>
          <w:sz w:val="21"/>
          <w:szCs w:val="21"/>
        </w:rPr>
      </w:pPr>
      <w:r>
        <w:rPr>
          <w:rFonts w:hint="eastAsia"/>
          <w:color w:val="333333"/>
          <w:sz w:val="21"/>
          <w:szCs w:val="21"/>
        </w:rPr>
        <w:t xml:space="preserve">六、不可抗力</w:t>
      </w:r>
      <w:r>
        <w:rPr>
          <w:color w:val="333333"/>
          <w:sz w:val="21"/>
          <w:szCs w:val="21"/>
        </w:rPr>
      </w:r>
      <w:r/>
    </w:p>
    <w:p>
      <w:pPr>
        <w:pStyle w:val="958"/>
        <w:ind w:firstLine="405"/>
        <w:spacing w:beforeAutospacing="0" w:after="120" w:afterAutospacing="0" w:line="360" w:lineRule="auto"/>
        <w:rPr>
          <w:color w:val="333333"/>
          <w:sz w:val="21"/>
          <w:szCs w:val="21"/>
        </w:rPr>
      </w:pPr>
      <w:r>
        <w:rPr>
          <w:rFonts w:hint="eastAsia"/>
          <w:color w:val="333333"/>
          <w:sz w:val="21"/>
          <w:szCs w:val="21"/>
        </w:rPr>
        <w:t xml:space="preserve">1、甲、乙双方如果因不可抗力而导致合同义务的延误或不能履行，不承担没收履约保证金、误期赔偿或终止合同的责任。</w:t>
      </w:r>
      <w:r>
        <w:rPr>
          <w:color w:val="333333"/>
          <w:sz w:val="21"/>
          <w:szCs w:val="21"/>
        </w:rPr>
      </w:r>
      <w:r/>
    </w:p>
    <w:p>
      <w:pPr>
        <w:pStyle w:val="958"/>
        <w:ind w:firstLine="405"/>
        <w:spacing w:beforeAutospacing="0" w:after="120" w:afterAutospacing="0" w:line="360" w:lineRule="auto"/>
        <w:rPr>
          <w:color w:val="333333"/>
          <w:sz w:val="21"/>
          <w:szCs w:val="21"/>
        </w:rPr>
      </w:pPr>
      <w:r>
        <w:rPr>
          <w:rFonts w:hint="eastAsia"/>
          <w:color w:val="333333"/>
          <w:sz w:val="21"/>
          <w:szCs w:val="21"/>
        </w:rPr>
        <w:t xml:space="preserve">2、本条所述的“不可抗力”系指下列甲、乙双方无法控制、不可预见的事件，但不包括甲、乙双方的违约或疏忽。这些事件包括：战争、严重火灾、洪水、台风、地震以及其他甲方和乙方商定的事件。</w:t>
      </w:r>
      <w:r>
        <w:rPr>
          <w:color w:val="333333"/>
          <w:sz w:val="21"/>
          <w:szCs w:val="21"/>
        </w:rPr>
      </w:r>
      <w:r/>
    </w:p>
    <w:p>
      <w:pPr>
        <w:pStyle w:val="958"/>
        <w:ind w:firstLine="405"/>
        <w:spacing w:beforeAutospacing="0" w:after="120" w:afterAutospacing="0" w:line="360" w:lineRule="auto"/>
        <w:rPr>
          <w:color w:val="333333"/>
          <w:sz w:val="21"/>
          <w:szCs w:val="21"/>
        </w:rPr>
      </w:pPr>
      <w:r>
        <w:rPr>
          <w:rFonts w:hint="eastAsia"/>
          <w:color w:val="333333"/>
          <w:sz w:val="21"/>
          <w:szCs w:val="21"/>
        </w:rPr>
        <w:t xml:space="preserve">3、在不可抗力事件发生后，受影响的一方应尽快以书面形式将不可抗力的情况和原因通知另一方。除书面另行要求外，受影响的一方应尽实际可能继续履行其相应义务，以及寻求采取合理的方案履行不受不可抗力影响的其他事项。如果不可抗力事件影响时间持续20天以上的，甲乙双方通过友好协商在合理的时间内达成进一步履行定点供应商义务的协议。</w:t>
      </w:r>
      <w:r>
        <w:rPr>
          <w:color w:val="333333"/>
          <w:sz w:val="21"/>
          <w:szCs w:val="21"/>
        </w:rPr>
      </w:r>
      <w:r/>
    </w:p>
    <w:p>
      <w:pPr>
        <w:pStyle w:val="958"/>
        <w:ind w:firstLine="405"/>
        <w:spacing w:beforeAutospacing="0" w:after="120" w:afterAutospacing="0" w:line="360" w:lineRule="auto"/>
        <w:rPr>
          <w:color w:val="333333"/>
          <w:sz w:val="21"/>
          <w:szCs w:val="21"/>
        </w:rPr>
      </w:pPr>
      <w:r>
        <w:rPr>
          <w:rFonts w:hint="eastAsia"/>
          <w:color w:val="333333"/>
          <w:sz w:val="21"/>
          <w:szCs w:val="21"/>
        </w:rPr>
        <w:t xml:space="preserve">七、合同的解除：</w:t>
      </w:r>
      <w:r>
        <w:rPr>
          <w:color w:val="333333"/>
          <w:sz w:val="21"/>
          <w:szCs w:val="21"/>
        </w:rPr>
      </w:r>
      <w:r/>
    </w:p>
    <w:p>
      <w:pPr>
        <w:pStyle w:val="958"/>
        <w:ind w:firstLine="405"/>
        <w:spacing w:beforeAutospacing="0" w:after="120" w:afterAutospacing="0" w:line="360" w:lineRule="auto"/>
        <w:rPr>
          <w:color w:val="333333"/>
          <w:sz w:val="21"/>
          <w:szCs w:val="21"/>
        </w:rPr>
      </w:pPr>
      <w:r>
        <w:rPr>
          <w:rFonts w:hint="eastAsia"/>
          <w:color w:val="333333"/>
          <w:sz w:val="21"/>
          <w:szCs w:val="21"/>
        </w:rPr>
        <w:t xml:space="preserve">1、甲方和乙方不得擅自解除合同。</w:t>
      </w:r>
      <w:r>
        <w:rPr>
          <w:color w:val="333333"/>
          <w:sz w:val="21"/>
          <w:szCs w:val="21"/>
        </w:rPr>
      </w:r>
      <w:r/>
    </w:p>
    <w:p>
      <w:pPr>
        <w:pStyle w:val="958"/>
        <w:ind w:firstLine="405"/>
        <w:spacing w:beforeAutospacing="0" w:after="120" w:afterAutospacing="0" w:line="360" w:lineRule="auto"/>
        <w:rPr>
          <w:color w:val="333333"/>
          <w:sz w:val="21"/>
          <w:szCs w:val="21"/>
        </w:rPr>
      </w:pPr>
      <w:r>
        <w:rPr>
          <w:rFonts w:hint="eastAsia"/>
          <w:color w:val="333333"/>
          <w:sz w:val="21"/>
          <w:szCs w:val="21"/>
        </w:rPr>
        <w:t xml:space="preserve">2、有权解除合同的一方，应当在违约事实或不可抗力发生之后三十天内书面通知对方提出解除合同，合同在书面通知到达对方时解除。</w:t>
      </w:r>
      <w:r>
        <w:rPr>
          <w:color w:val="333333"/>
          <w:sz w:val="21"/>
          <w:szCs w:val="21"/>
        </w:rPr>
      </w:r>
      <w:r/>
    </w:p>
    <w:p>
      <w:pPr>
        <w:pStyle w:val="958"/>
        <w:ind w:firstLine="405"/>
        <w:spacing w:beforeAutospacing="0" w:after="120" w:afterAutospacing="0" w:line="360" w:lineRule="auto"/>
        <w:rPr>
          <w:color w:val="333333"/>
          <w:sz w:val="21"/>
          <w:szCs w:val="21"/>
        </w:rPr>
      </w:pPr>
      <w:r>
        <w:rPr>
          <w:rFonts w:hint="eastAsia"/>
          <w:color w:val="333333"/>
          <w:sz w:val="21"/>
          <w:szCs w:val="21"/>
        </w:rPr>
        <w:t xml:space="preserve">3、合同的部分和全部都不得擅自转让。</w:t>
      </w:r>
      <w:r>
        <w:rPr>
          <w:color w:val="333333"/>
          <w:sz w:val="21"/>
          <w:szCs w:val="21"/>
        </w:rPr>
      </w:r>
      <w:r/>
    </w:p>
    <w:p>
      <w:pPr>
        <w:pStyle w:val="958"/>
        <w:ind w:firstLine="405"/>
        <w:spacing w:beforeAutospacing="0" w:after="120" w:afterAutospacing="0" w:line="360" w:lineRule="auto"/>
        <w:rPr>
          <w:color w:val="333333"/>
          <w:sz w:val="21"/>
          <w:szCs w:val="21"/>
        </w:rPr>
      </w:pPr>
      <w:r>
        <w:rPr>
          <w:rFonts w:hint="eastAsia"/>
          <w:color w:val="333333"/>
          <w:sz w:val="21"/>
          <w:szCs w:val="21"/>
        </w:rPr>
        <w:t xml:space="preserve">4、出现下列情况之一可以解除合同：</w:t>
      </w:r>
      <w:r>
        <w:rPr>
          <w:color w:val="333333"/>
          <w:sz w:val="21"/>
          <w:szCs w:val="21"/>
        </w:rPr>
      </w:r>
      <w:r/>
    </w:p>
    <w:p>
      <w:pPr>
        <w:pStyle w:val="958"/>
        <w:ind w:firstLine="405"/>
        <w:spacing w:beforeAutospacing="0" w:after="120" w:afterAutospacing="0" w:line="360" w:lineRule="auto"/>
        <w:rPr>
          <w:color w:val="333333"/>
          <w:sz w:val="21"/>
          <w:szCs w:val="21"/>
        </w:rPr>
      </w:pPr>
      <w:r>
        <w:rPr>
          <w:rFonts w:hint="eastAsia"/>
          <w:color w:val="333333"/>
          <w:sz w:val="21"/>
          <w:szCs w:val="21"/>
        </w:rPr>
        <w:t xml:space="preserve">（1）在合同有效期内，乙方被行业主管部门警告或取消经营资格的；</w:t>
      </w:r>
      <w:r>
        <w:rPr>
          <w:color w:val="333333"/>
          <w:sz w:val="21"/>
          <w:szCs w:val="21"/>
        </w:rPr>
      </w:r>
      <w:r/>
    </w:p>
    <w:p>
      <w:pPr>
        <w:pStyle w:val="958"/>
        <w:ind w:firstLine="405"/>
        <w:spacing w:beforeAutospacing="0" w:after="120" w:afterAutospacing="0" w:line="360" w:lineRule="auto"/>
        <w:rPr>
          <w:color w:val="333333"/>
          <w:sz w:val="21"/>
          <w:szCs w:val="21"/>
        </w:rPr>
      </w:pPr>
      <w:r>
        <w:rPr>
          <w:rFonts w:hint="eastAsia"/>
          <w:color w:val="333333"/>
          <w:sz w:val="21"/>
          <w:szCs w:val="21"/>
        </w:rPr>
        <w:t xml:space="preserve">（2）在合同有效期内，乙方擅自变更、转让、租借服务资格的；</w:t>
      </w:r>
      <w:r>
        <w:rPr>
          <w:color w:val="333333"/>
          <w:sz w:val="21"/>
          <w:szCs w:val="21"/>
        </w:rPr>
      </w:r>
      <w:r/>
    </w:p>
    <w:p>
      <w:pPr>
        <w:pStyle w:val="958"/>
        <w:ind w:firstLine="405"/>
        <w:spacing w:beforeAutospacing="0" w:after="120" w:afterAutospacing="0" w:line="360" w:lineRule="auto"/>
        <w:rPr>
          <w:color w:val="333333"/>
          <w:sz w:val="21"/>
          <w:szCs w:val="21"/>
        </w:rPr>
      </w:pPr>
      <w:r>
        <w:rPr>
          <w:rFonts w:hint="eastAsia"/>
          <w:color w:val="333333"/>
          <w:sz w:val="21"/>
          <w:szCs w:val="21"/>
        </w:rPr>
        <w:t xml:space="preserve">（3）未按承诺的价格提供服务的；</w:t>
      </w:r>
      <w:r>
        <w:rPr>
          <w:color w:val="333333"/>
          <w:sz w:val="21"/>
          <w:szCs w:val="21"/>
        </w:rPr>
      </w:r>
      <w:r/>
    </w:p>
    <w:p>
      <w:pPr>
        <w:pStyle w:val="958"/>
        <w:ind w:firstLine="405"/>
        <w:spacing w:beforeAutospacing="0" w:after="120" w:afterAutospacing="0" w:line="360" w:lineRule="auto"/>
        <w:rPr>
          <w:color w:val="333333"/>
          <w:sz w:val="21"/>
          <w:szCs w:val="21"/>
        </w:rPr>
      </w:pPr>
      <w:r>
        <w:rPr>
          <w:rFonts w:hint="eastAsia"/>
          <w:color w:val="333333"/>
          <w:sz w:val="21"/>
          <w:szCs w:val="21"/>
        </w:rPr>
        <w:t xml:space="preserve">（4）乙方有编造数据、弄虚作假或其他影响详查活动的行为，经查实的。</w:t>
      </w:r>
      <w:r>
        <w:rPr>
          <w:color w:val="333333"/>
          <w:sz w:val="21"/>
          <w:szCs w:val="21"/>
        </w:rPr>
      </w:r>
      <w:r/>
    </w:p>
    <w:p>
      <w:pPr>
        <w:pStyle w:val="958"/>
        <w:ind w:firstLine="405"/>
        <w:spacing w:beforeAutospacing="0" w:after="120" w:afterAutospacing="0" w:line="360" w:lineRule="auto"/>
        <w:rPr>
          <w:color w:val="333333"/>
          <w:sz w:val="21"/>
          <w:szCs w:val="21"/>
        </w:rPr>
      </w:pPr>
      <w:r>
        <w:rPr>
          <w:rFonts w:hint="eastAsia"/>
          <w:color w:val="333333"/>
          <w:sz w:val="21"/>
          <w:szCs w:val="21"/>
        </w:rPr>
        <w:t xml:space="preserve">（5）乙方累计两次在接到甲方通知后，未按照约定时间、地点、人员出席检查工作。</w:t>
      </w:r>
      <w:r>
        <w:rPr>
          <w:color w:val="333333"/>
          <w:sz w:val="21"/>
          <w:szCs w:val="21"/>
        </w:rPr>
      </w:r>
      <w:r/>
    </w:p>
    <w:p>
      <w:pPr>
        <w:pStyle w:val="958"/>
        <w:ind w:firstLine="405"/>
        <w:spacing w:beforeAutospacing="0" w:after="120" w:afterAutospacing="0" w:line="360" w:lineRule="auto"/>
        <w:rPr>
          <w:color w:val="333333"/>
          <w:sz w:val="21"/>
          <w:szCs w:val="21"/>
        </w:rPr>
      </w:pPr>
      <w:r>
        <w:rPr>
          <w:rFonts w:hint="eastAsia"/>
          <w:color w:val="333333"/>
          <w:sz w:val="21"/>
          <w:szCs w:val="21"/>
        </w:rPr>
        <w:t xml:space="preserve">（6）未遵守本招标文件中有关解除合同的其他条款约定的。</w:t>
      </w:r>
      <w:r>
        <w:rPr>
          <w:color w:val="333333"/>
          <w:sz w:val="21"/>
          <w:szCs w:val="21"/>
        </w:rPr>
      </w:r>
      <w:r/>
    </w:p>
    <w:p>
      <w:pPr>
        <w:pStyle w:val="958"/>
        <w:ind w:firstLine="405"/>
        <w:spacing w:beforeAutospacing="0" w:after="120" w:afterAutospacing="0" w:line="360" w:lineRule="auto"/>
        <w:rPr>
          <w:color w:val="333333"/>
          <w:sz w:val="21"/>
          <w:szCs w:val="21"/>
        </w:rPr>
      </w:pPr>
      <w:r>
        <w:rPr>
          <w:rFonts w:hint="eastAsia"/>
          <w:color w:val="333333"/>
          <w:sz w:val="21"/>
          <w:szCs w:val="21"/>
        </w:rPr>
        <w:t xml:space="preserve">八、争议处置</w:t>
      </w:r>
      <w:r>
        <w:rPr>
          <w:color w:val="333333"/>
          <w:sz w:val="21"/>
          <w:szCs w:val="21"/>
        </w:rPr>
      </w:r>
      <w:r/>
    </w:p>
    <w:p>
      <w:pPr>
        <w:pStyle w:val="958"/>
        <w:ind w:firstLine="405"/>
        <w:spacing w:beforeAutospacing="0" w:after="120" w:afterAutospacing="0" w:line="360" w:lineRule="auto"/>
        <w:rPr>
          <w:color w:val="333333"/>
          <w:sz w:val="21"/>
          <w:szCs w:val="21"/>
        </w:rPr>
      </w:pPr>
      <w:r>
        <w:rPr>
          <w:rFonts w:hint="eastAsia"/>
          <w:color w:val="333333"/>
          <w:sz w:val="21"/>
          <w:szCs w:val="21"/>
        </w:rPr>
        <w:t xml:space="preserve">在执行本合同中所发生的一切争议，各方（甲方、乙方）应通过友好协商的办法进行解决，如协商不能解决的，有关当事方可提请甲方单位所在地人民法院进行裁决。</w:t>
      </w:r>
      <w:r>
        <w:rPr>
          <w:color w:val="333333"/>
          <w:sz w:val="21"/>
          <w:szCs w:val="21"/>
        </w:rPr>
      </w:r>
      <w:r/>
    </w:p>
    <w:p>
      <w:pPr>
        <w:pStyle w:val="958"/>
        <w:ind w:firstLine="405"/>
        <w:spacing w:beforeAutospacing="0" w:after="120" w:afterAutospacing="0" w:line="360" w:lineRule="auto"/>
        <w:rPr>
          <w:color w:val="333333"/>
          <w:sz w:val="21"/>
          <w:szCs w:val="21"/>
        </w:rPr>
      </w:pPr>
      <w:r>
        <w:rPr>
          <w:rFonts w:hint="eastAsia"/>
          <w:color w:val="333333"/>
          <w:sz w:val="21"/>
          <w:szCs w:val="21"/>
        </w:rPr>
        <w:t xml:space="preserve">九、合同生效及其他</w:t>
      </w:r>
      <w:r>
        <w:rPr>
          <w:color w:val="333333"/>
          <w:sz w:val="21"/>
          <w:szCs w:val="21"/>
        </w:rPr>
      </w:r>
      <w:r/>
    </w:p>
    <w:p>
      <w:pPr>
        <w:pStyle w:val="958"/>
        <w:ind w:firstLine="405"/>
        <w:spacing w:beforeAutospacing="0" w:after="120" w:afterAutospacing="0" w:line="360" w:lineRule="auto"/>
        <w:rPr>
          <w:color w:val="333333"/>
          <w:sz w:val="21"/>
          <w:szCs w:val="21"/>
        </w:rPr>
      </w:pPr>
      <w:r>
        <w:rPr>
          <w:rFonts w:hint="eastAsia"/>
          <w:color w:val="333333"/>
          <w:sz w:val="21"/>
          <w:szCs w:val="21"/>
        </w:rPr>
        <w:t xml:space="preserve">1、本合同经甲乙双方签字并盖章后生效。</w:t>
      </w:r>
      <w:r>
        <w:rPr>
          <w:color w:val="333333"/>
          <w:sz w:val="21"/>
          <w:szCs w:val="21"/>
        </w:rPr>
      </w:r>
      <w:r/>
    </w:p>
    <w:p>
      <w:pPr>
        <w:pStyle w:val="958"/>
        <w:ind w:firstLine="405"/>
        <w:spacing w:beforeAutospacing="0" w:after="120" w:afterAutospacing="0" w:line="360" w:lineRule="auto"/>
        <w:rPr>
          <w:color w:val="333333"/>
          <w:sz w:val="21"/>
          <w:szCs w:val="21"/>
        </w:rPr>
      </w:pPr>
      <w:r>
        <w:rPr>
          <w:rFonts w:hint="eastAsia"/>
          <w:color w:val="333333"/>
          <w:sz w:val="21"/>
          <w:szCs w:val="21"/>
        </w:rPr>
        <w:t xml:space="preserve">2、合同在执行过程中出现的未尽事宜，双方在不违背本合同的原则下协商解决，协商结果以书面形式记录在案，作为本合同附件，与本合同具有同等效力。</w:t>
      </w:r>
      <w:r>
        <w:rPr>
          <w:color w:val="333333"/>
          <w:sz w:val="21"/>
          <w:szCs w:val="21"/>
        </w:rPr>
      </w:r>
      <w:r/>
    </w:p>
    <w:p>
      <w:pPr>
        <w:pStyle w:val="958"/>
        <w:ind w:firstLine="405"/>
        <w:spacing w:beforeAutospacing="0" w:after="120" w:afterAutospacing="0" w:line="360" w:lineRule="auto"/>
        <w:rPr>
          <w:color w:val="333333"/>
          <w:sz w:val="21"/>
          <w:szCs w:val="21"/>
        </w:rPr>
      </w:pPr>
      <w:r>
        <w:rPr>
          <w:rFonts w:hint="eastAsia"/>
          <w:color w:val="333333"/>
          <w:sz w:val="21"/>
          <w:szCs w:val="21"/>
        </w:rPr>
        <w:t xml:space="preserve">3．本合同一式肆份，甲方、乙方、代理机构、备案机构各执一份，各份具有同等法律效力。</w:t>
      </w:r>
      <w:r>
        <w:rPr>
          <w:color w:val="333333"/>
          <w:sz w:val="21"/>
          <w:szCs w:val="21"/>
        </w:rPr>
      </w:r>
      <w:r/>
    </w:p>
    <w:p>
      <w:pPr>
        <w:pStyle w:val="958"/>
        <w:ind w:firstLine="405"/>
        <w:spacing w:beforeAutospacing="0" w:after="120" w:afterAutospacing="0" w:line="360" w:lineRule="auto"/>
        <w:rPr>
          <w:color w:val="333333"/>
          <w:sz w:val="21"/>
          <w:szCs w:val="21"/>
        </w:rPr>
      </w:pPr>
      <w:r>
        <w:rPr>
          <w:rFonts w:hint="eastAsia"/>
          <w:color w:val="333333"/>
          <w:sz w:val="21"/>
          <w:szCs w:val="21"/>
        </w:rPr>
        <w:t xml:space="preserve">甲方（盖章）：                   乙方（盖章）：</w:t>
      </w:r>
      <w:r>
        <w:rPr>
          <w:color w:val="333333"/>
          <w:sz w:val="21"/>
          <w:szCs w:val="21"/>
        </w:rPr>
      </w:r>
      <w:r/>
    </w:p>
    <w:p>
      <w:pPr>
        <w:pStyle w:val="958"/>
        <w:ind w:firstLine="405"/>
        <w:spacing w:beforeAutospacing="0" w:after="120" w:afterAutospacing="0" w:line="360" w:lineRule="auto"/>
        <w:rPr>
          <w:color w:val="333333"/>
          <w:sz w:val="21"/>
          <w:szCs w:val="21"/>
        </w:rPr>
      </w:pPr>
      <w:r>
        <w:rPr>
          <w:rFonts w:hint="eastAsia"/>
          <w:color w:val="333333"/>
          <w:sz w:val="21"/>
          <w:szCs w:val="21"/>
        </w:rPr>
        <w:t xml:space="preserve">甲方代表：                      乙方代表：</w:t>
      </w:r>
      <w:r>
        <w:rPr>
          <w:color w:val="333333"/>
          <w:sz w:val="21"/>
          <w:szCs w:val="21"/>
        </w:rPr>
      </w:r>
      <w:r/>
    </w:p>
    <w:p>
      <w:pPr>
        <w:pStyle w:val="958"/>
        <w:ind w:firstLine="405"/>
        <w:spacing w:beforeAutospacing="0" w:after="120" w:afterAutospacing="0" w:line="360" w:lineRule="auto"/>
        <w:rPr>
          <w:color w:val="333333"/>
          <w:sz w:val="21"/>
          <w:szCs w:val="21"/>
        </w:rPr>
      </w:pPr>
      <w:r>
        <w:rPr>
          <w:rFonts w:hint="eastAsia"/>
          <w:color w:val="333333"/>
          <w:sz w:val="21"/>
          <w:szCs w:val="21"/>
        </w:rPr>
        <w:t xml:space="preserve">日期：   年  月  日             日期：    年  月  日 </w:t>
      </w:r>
      <w:r>
        <w:rPr>
          <w:color w:val="333333"/>
          <w:sz w:val="21"/>
          <w:szCs w:val="21"/>
        </w:rPr>
      </w:r>
      <w:r/>
    </w:p>
    <w:p>
      <w:pPr>
        <w:pStyle w:val="886"/>
        <w:rPr>
          <w:rFonts w:hint="eastAsia"/>
        </w:rPr>
      </w:pPr>
      <w:r>
        <w:rPr>
          <w:rFonts w:hint="eastAsia"/>
        </w:rPr>
      </w:r>
      <w:r/>
    </w:p>
    <w:p>
      <w:pPr>
        <w:pStyle w:val="886"/>
        <w:rPr>
          <w:rFonts w:hint="eastAsia"/>
        </w:rPr>
      </w:pPr>
      <w:r>
        <w:rPr>
          <w:rFonts w:hint="eastAsia"/>
        </w:rPr>
      </w:r>
      <w:r/>
    </w:p>
    <w:p>
      <w:pPr>
        <w:pStyle w:val="886"/>
        <w:spacing w:line="400" w:lineRule="exact"/>
        <w:rPr>
          <w:rFonts w:cs="宋体"/>
          <w:color w:val="000000"/>
          <w:sz w:val="30"/>
          <w:szCs w:val="30"/>
        </w:rPr>
      </w:pPr>
      <w:r/>
      <w:bookmarkStart w:id="74" w:name="_Toc132018387"/>
      <w:r>
        <w:rPr>
          <w:rFonts w:cs="宋体"/>
          <w:color w:val="000000"/>
          <w:sz w:val="30"/>
          <w:szCs w:val="30"/>
        </w:rPr>
        <w:br w:type="page" w:clear="all"/>
      </w:r>
      <w:r>
        <w:rPr>
          <w:rFonts w:hint="eastAsia" w:ascii="宋体"/>
          <w:b/>
          <w:szCs w:val="21"/>
        </w:rPr>
        <w:t xml:space="preserve">标段四至五：挥发性有机物治理管家驻点服务项目合同</w:t>
      </w:r>
      <w:bookmarkEnd w:id="74"/>
      <w:r>
        <w:rPr>
          <w:rFonts w:cs="宋体"/>
          <w:color w:val="000000"/>
          <w:sz w:val="30"/>
          <w:szCs w:val="30"/>
        </w:rPr>
      </w:r>
      <w:r/>
    </w:p>
    <w:p>
      <w:pPr>
        <w:pStyle w:val="958"/>
        <w:ind w:firstLine="405"/>
        <w:spacing w:beforeAutospacing="0" w:after="120" w:afterAutospacing="0" w:line="360" w:lineRule="auto"/>
        <w:rPr>
          <w:color w:val="333333"/>
          <w:sz w:val="21"/>
          <w:szCs w:val="21"/>
        </w:rPr>
      </w:pPr>
      <w:r>
        <w:rPr>
          <w:rFonts w:hint="eastAsia"/>
          <w:color w:val="333333"/>
          <w:sz w:val="21"/>
          <w:szCs w:val="21"/>
        </w:rPr>
        <w:t xml:space="preserve">一、乙方在服务期内按照《苏州市乡镇（街道）挥发性有机物治理管理服务试点工作方案》要求（苏气办【2021】12号），协助昆山高新技术产业开发区管理委员会（昆山高新技术产业开发区安全生产监督管理和环境保护局)完成相关工作。相关服务要求需满足</w:t>
      </w:r>
      <w:r>
        <w:rPr>
          <w:rFonts w:hint="eastAsia"/>
          <w:b/>
          <w:bCs/>
          <w:color w:val="000000"/>
          <w:sz w:val="21"/>
          <w:szCs w:val="21"/>
        </w:rPr>
        <w:t xml:space="preserve">《苏州市乡镇（街道）挥发性有机物治理管家驻点服务技术指南》（试行）。</w:t>
      </w:r>
      <w:r>
        <w:rPr>
          <w:color w:val="333333"/>
          <w:sz w:val="21"/>
          <w:szCs w:val="21"/>
        </w:rPr>
      </w:r>
      <w:r/>
    </w:p>
    <w:p>
      <w:pPr>
        <w:pStyle w:val="958"/>
        <w:ind w:firstLine="405"/>
        <w:spacing w:beforeAutospacing="0" w:after="120" w:afterAutospacing="0" w:line="360" w:lineRule="auto"/>
        <w:rPr>
          <w:color w:val="333333"/>
          <w:sz w:val="21"/>
          <w:szCs w:val="21"/>
        </w:rPr>
      </w:pPr>
      <w:r>
        <w:rPr>
          <w:rFonts w:hint="eastAsia"/>
          <w:color w:val="333333"/>
          <w:sz w:val="21"/>
          <w:szCs w:val="21"/>
        </w:rPr>
        <w:t xml:space="preserve">二、服务日期：从  年   月   日至    年    月  日止。（期限：壹年）</w:t>
      </w:r>
      <w:r>
        <w:rPr>
          <w:color w:val="333333"/>
          <w:sz w:val="21"/>
          <w:szCs w:val="21"/>
        </w:rPr>
      </w:r>
      <w:r/>
    </w:p>
    <w:p>
      <w:pPr>
        <w:pStyle w:val="958"/>
        <w:ind w:firstLine="405"/>
        <w:spacing w:beforeAutospacing="0" w:after="120" w:afterAutospacing="0" w:line="360" w:lineRule="auto"/>
        <w:rPr>
          <w:color w:val="333333"/>
          <w:sz w:val="21"/>
          <w:szCs w:val="21"/>
        </w:rPr>
      </w:pPr>
      <w:r>
        <w:rPr>
          <w:rFonts w:hint="eastAsia"/>
          <w:color w:val="333333"/>
          <w:sz w:val="21"/>
          <w:szCs w:val="21"/>
        </w:rPr>
        <w:t xml:space="preserve">三、服务费用：</w:t>
      </w:r>
      <w:r>
        <w:rPr>
          <w:color w:val="333333"/>
          <w:sz w:val="21"/>
          <w:szCs w:val="21"/>
        </w:rPr>
      </w:r>
      <w:r/>
    </w:p>
    <w:p>
      <w:pPr>
        <w:pStyle w:val="958"/>
        <w:ind w:firstLine="405"/>
        <w:spacing w:beforeAutospacing="0" w:after="120" w:afterAutospacing="0" w:line="360" w:lineRule="auto"/>
        <w:rPr>
          <w:b/>
          <w:color w:val="333333"/>
          <w:sz w:val="21"/>
          <w:szCs w:val="21"/>
        </w:rPr>
      </w:pPr>
      <w:r>
        <w:rPr>
          <w:rFonts w:hint="eastAsia"/>
          <w:b/>
          <w:color w:val="333333"/>
          <w:sz w:val="21"/>
          <w:szCs w:val="21"/>
        </w:rPr>
        <w:t xml:space="preserve">1.合同金额：按预算总价*（1-优惠率））进行结算，包含交通费、伙食费及一切其他可能发生的费用。</w:t>
      </w:r>
      <w:r>
        <w:rPr>
          <w:b/>
          <w:color w:val="333333"/>
          <w:sz w:val="21"/>
          <w:szCs w:val="21"/>
        </w:rPr>
      </w:r>
      <w:r/>
    </w:p>
    <w:p>
      <w:pPr>
        <w:pStyle w:val="958"/>
        <w:ind w:firstLine="405"/>
        <w:spacing w:beforeAutospacing="0" w:after="120" w:afterAutospacing="0" w:line="360" w:lineRule="auto"/>
        <w:rPr>
          <w:color w:val="333333"/>
          <w:sz w:val="21"/>
          <w:szCs w:val="21"/>
        </w:rPr>
      </w:pPr>
      <w:r>
        <w:rPr>
          <w:rFonts w:hint="eastAsia"/>
          <w:color w:val="333333"/>
          <w:sz w:val="21"/>
          <w:szCs w:val="21"/>
        </w:rPr>
        <w:t xml:space="preserve">3.付款步骤：</w:t>
      </w:r>
      <w:r>
        <w:rPr>
          <w:color w:val="333333"/>
          <w:sz w:val="21"/>
          <w:szCs w:val="21"/>
        </w:rPr>
      </w:r>
      <w:r/>
    </w:p>
    <w:p>
      <w:pPr>
        <w:pStyle w:val="958"/>
        <w:ind w:firstLine="405"/>
        <w:spacing w:beforeAutospacing="0" w:after="120" w:afterAutospacing="0" w:line="360" w:lineRule="auto"/>
        <w:rPr>
          <w:rFonts w:hint="eastAsia"/>
          <w:color w:val="333333"/>
          <w:sz w:val="21"/>
          <w:szCs w:val="21"/>
        </w:rPr>
      </w:pPr>
      <w:r>
        <w:rPr>
          <w:rFonts w:hint="eastAsia"/>
          <w:color w:val="333333"/>
          <w:sz w:val="21"/>
          <w:szCs w:val="21"/>
        </w:rPr>
        <w:t xml:space="preserve">（1）合同签订后，乙方投入所有人员需满足使用方要求，同时经双方确认后（采购方、及中标方），支付合同金额的10%。</w:t>
      </w:r>
      <w:r/>
    </w:p>
    <w:p>
      <w:pPr>
        <w:pStyle w:val="958"/>
        <w:ind w:firstLine="405"/>
        <w:spacing w:beforeAutospacing="0" w:after="120" w:afterAutospacing="0" w:line="360" w:lineRule="auto"/>
        <w:rPr>
          <w:color w:val="333333"/>
          <w:sz w:val="21"/>
          <w:szCs w:val="21"/>
        </w:rPr>
      </w:pPr>
      <w:r>
        <w:rPr>
          <w:rFonts w:hint="eastAsia"/>
          <w:color w:val="333333"/>
          <w:sz w:val="21"/>
          <w:szCs w:val="21"/>
        </w:rPr>
        <w:t xml:space="preserve">（2）第一阶段：维护更新高新区辖区内渉气（VOCs、NO2、SO2、颗粒物、HCl等）排放企业清单，完成企业VOCs 治理状况全过程排查，完成编制企业VOCs治理情况分析报告及梳理企业存在的问题。完成第一阶段后，由甲方在十五个工作日内向乙方支付合同金额的20％。</w:t>
      </w:r>
      <w:r>
        <w:rPr>
          <w:color w:val="333333"/>
          <w:sz w:val="21"/>
          <w:szCs w:val="21"/>
        </w:rPr>
      </w:r>
      <w:r/>
    </w:p>
    <w:p>
      <w:pPr>
        <w:pStyle w:val="958"/>
        <w:ind w:firstLine="405"/>
        <w:spacing w:beforeAutospacing="0" w:after="120" w:afterAutospacing="0" w:line="360" w:lineRule="auto"/>
        <w:rPr>
          <w:sz w:val="21"/>
          <w:szCs w:val="21"/>
        </w:rPr>
      </w:pPr>
      <w:r>
        <w:rPr>
          <w:rFonts w:hint="eastAsia"/>
          <w:sz w:val="21"/>
          <w:szCs w:val="21"/>
        </w:rPr>
        <w:t xml:space="preserve">（2）第二阶段：治理过程指导评估，VOCs 治理驻点管家对企业编制的VOCs 治理提升方案进行指导评估，跟踪企业VOCs 治理成效。开展清单数据库动态更新，并对企业治理减排成效进行量化核算。完成第二阶段后，由甲方在十五个工作日内向乙方支付合同金额的30％。</w:t>
      </w:r>
      <w:r>
        <w:rPr>
          <w:sz w:val="21"/>
          <w:szCs w:val="21"/>
        </w:rPr>
      </w:r>
      <w:r/>
    </w:p>
    <w:p>
      <w:pPr>
        <w:pStyle w:val="958"/>
        <w:ind w:firstLine="405"/>
        <w:spacing w:beforeAutospacing="0" w:after="120" w:afterAutospacing="0" w:line="360" w:lineRule="auto"/>
        <w:rPr>
          <w:color w:val="333333"/>
          <w:sz w:val="21"/>
          <w:szCs w:val="21"/>
        </w:rPr>
      </w:pPr>
      <w:r>
        <w:rPr>
          <w:rFonts w:hint="eastAsia"/>
          <w:color w:val="333333"/>
          <w:sz w:val="21"/>
          <w:szCs w:val="21"/>
        </w:rPr>
        <w:t xml:space="preserve">（3）第三阶段：长效管理服务，完成企业日常巡查检查、企业VOCs 管理技术培训，</w:t>
      </w:r>
      <w:r>
        <w:rPr>
          <w:rFonts w:ascii="Times New Roman" w:hAnsi="Times New Roman" w:cs="Times New Roman"/>
          <w:sz w:val="21"/>
          <w:szCs w:val="21"/>
        </w:rPr>
        <w:t xml:space="preserve">协助开展重污染天气重点行业绩效分级</w:t>
      </w:r>
      <w:r>
        <w:rPr>
          <w:rFonts w:hint="eastAsia" w:ascii="Times New Roman" w:hAnsi="Times New Roman" w:cs="Times New Roman"/>
          <w:sz w:val="21"/>
          <w:szCs w:val="21"/>
        </w:rPr>
        <w:t xml:space="preserve">等工作，</w:t>
      </w:r>
      <w:r>
        <w:rPr>
          <w:rFonts w:hint="eastAsia"/>
          <w:color w:val="333333"/>
          <w:sz w:val="21"/>
          <w:szCs w:val="21"/>
        </w:rPr>
        <w:t xml:space="preserve">提交年度总结报告。协助完成其它年度涉气管理工作。完成第三阶段后，合同余款由甲方在十五个工作日内向乙方一次性付清。</w:t>
      </w:r>
      <w:r>
        <w:rPr>
          <w:color w:val="333333"/>
          <w:sz w:val="21"/>
          <w:szCs w:val="21"/>
        </w:rPr>
      </w:r>
      <w:r/>
    </w:p>
    <w:p>
      <w:pPr>
        <w:pStyle w:val="958"/>
        <w:ind w:firstLine="405"/>
        <w:spacing w:beforeAutospacing="0" w:after="120" w:afterAutospacing="0" w:line="360" w:lineRule="auto"/>
        <w:rPr>
          <w:color w:val="333333"/>
          <w:sz w:val="21"/>
          <w:szCs w:val="21"/>
        </w:rPr>
      </w:pPr>
      <w:r>
        <w:rPr>
          <w:rFonts w:hint="eastAsia"/>
          <w:color w:val="333333"/>
          <w:sz w:val="21"/>
          <w:szCs w:val="21"/>
        </w:rPr>
        <w:t xml:space="preserve"> 四、甲乙双方义务及责任：</w:t>
      </w:r>
      <w:r>
        <w:rPr>
          <w:color w:val="333333"/>
          <w:sz w:val="21"/>
          <w:szCs w:val="21"/>
        </w:rPr>
      </w:r>
      <w:r/>
    </w:p>
    <w:p>
      <w:pPr>
        <w:pStyle w:val="958"/>
        <w:ind w:firstLine="405"/>
        <w:spacing w:beforeAutospacing="0" w:after="120" w:afterAutospacing="0" w:line="360" w:lineRule="auto"/>
        <w:rPr>
          <w:color w:val="333333"/>
          <w:sz w:val="21"/>
          <w:szCs w:val="21"/>
        </w:rPr>
      </w:pPr>
      <w:r>
        <w:rPr>
          <w:rFonts w:hint="eastAsia"/>
          <w:color w:val="333333"/>
          <w:sz w:val="21"/>
          <w:szCs w:val="21"/>
        </w:rPr>
        <w:t xml:space="preserve">A、甲方责任和义务：</w:t>
      </w:r>
      <w:r>
        <w:rPr>
          <w:color w:val="333333"/>
          <w:sz w:val="21"/>
          <w:szCs w:val="21"/>
        </w:rPr>
      </w:r>
      <w:r/>
    </w:p>
    <w:p>
      <w:pPr>
        <w:pStyle w:val="958"/>
        <w:ind w:firstLine="405"/>
        <w:spacing w:beforeAutospacing="0" w:after="120" w:afterAutospacing="0" w:line="360" w:lineRule="auto"/>
        <w:rPr>
          <w:color w:val="333333"/>
          <w:sz w:val="21"/>
          <w:szCs w:val="21"/>
        </w:rPr>
      </w:pPr>
      <w:r>
        <w:rPr>
          <w:rFonts w:hint="eastAsia"/>
          <w:color w:val="333333"/>
          <w:sz w:val="21"/>
          <w:szCs w:val="21"/>
        </w:rPr>
        <w:t xml:space="preserve">1、按协议规定支付报酬。</w:t>
      </w:r>
      <w:r>
        <w:rPr>
          <w:color w:val="333333"/>
          <w:sz w:val="21"/>
          <w:szCs w:val="21"/>
        </w:rPr>
      </w:r>
      <w:r/>
    </w:p>
    <w:p>
      <w:pPr>
        <w:pStyle w:val="958"/>
        <w:ind w:firstLine="405"/>
        <w:spacing w:beforeAutospacing="0" w:after="120" w:afterAutospacing="0" w:line="360" w:lineRule="auto"/>
        <w:rPr>
          <w:color w:val="333333"/>
          <w:sz w:val="21"/>
          <w:szCs w:val="21"/>
        </w:rPr>
      </w:pPr>
      <w:r>
        <w:rPr>
          <w:rFonts w:hint="eastAsia"/>
          <w:color w:val="333333"/>
          <w:sz w:val="21"/>
          <w:szCs w:val="21"/>
        </w:rPr>
        <w:t xml:space="preserve">B、乙方责任及义务：</w:t>
      </w:r>
      <w:r>
        <w:rPr>
          <w:color w:val="333333"/>
          <w:sz w:val="21"/>
          <w:szCs w:val="21"/>
        </w:rPr>
      </w:r>
      <w:r/>
    </w:p>
    <w:p>
      <w:pPr>
        <w:pStyle w:val="958"/>
        <w:ind w:firstLine="405"/>
        <w:spacing w:beforeAutospacing="0" w:after="120" w:afterAutospacing="0" w:line="360" w:lineRule="auto"/>
        <w:rPr>
          <w:color w:val="333333"/>
          <w:sz w:val="21"/>
          <w:szCs w:val="21"/>
        </w:rPr>
      </w:pPr>
      <w:r>
        <w:rPr>
          <w:rFonts w:hint="eastAsia"/>
          <w:color w:val="333333"/>
          <w:sz w:val="21"/>
          <w:szCs w:val="21"/>
        </w:rPr>
        <w:t xml:space="preserve">1、乙方负责提供检查所需车辆；</w:t>
      </w:r>
      <w:r>
        <w:rPr>
          <w:color w:val="333333"/>
          <w:sz w:val="21"/>
          <w:szCs w:val="21"/>
        </w:rPr>
      </w:r>
      <w:r/>
    </w:p>
    <w:p>
      <w:pPr>
        <w:pStyle w:val="958"/>
        <w:ind w:firstLine="405"/>
        <w:spacing w:beforeAutospacing="0" w:after="120" w:afterAutospacing="0" w:line="360" w:lineRule="auto"/>
        <w:rPr>
          <w:color w:val="333333"/>
          <w:sz w:val="21"/>
          <w:szCs w:val="21"/>
        </w:rPr>
      </w:pPr>
      <w:r>
        <w:rPr>
          <w:rFonts w:hint="eastAsia"/>
          <w:color w:val="333333"/>
          <w:sz w:val="21"/>
          <w:szCs w:val="21"/>
        </w:rPr>
        <w:t xml:space="preserve">2、应有高度责任感，严格按照文件要求落实工作；</w:t>
      </w:r>
      <w:r>
        <w:rPr>
          <w:color w:val="333333"/>
          <w:sz w:val="21"/>
          <w:szCs w:val="21"/>
        </w:rPr>
      </w:r>
      <w:r/>
    </w:p>
    <w:p>
      <w:pPr>
        <w:pStyle w:val="958"/>
        <w:ind w:firstLine="405"/>
        <w:spacing w:beforeAutospacing="0" w:after="120" w:afterAutospacing="0" w:line="360" w:lineRule="auto"/>
        <w:rPr>
          <w:color w:val="333333"/>
          <w:sz w:val="21"/>
          <w:szCs w:val="21"/>
        </w:rPr>
      </w:pPr>
      <w:r>
        <w:rPr>
          <w:rFonts w:hint="eastAsia"/>
          <w:color w:val="333333"/>
          <w:sz w:val="21"/>
          <w:szCs w:val="21"/>
        </w:rPr>
        <w:t xml:space="preserve">3、检查中的所有资料，根据甲方要求必须详尽，同时一律在结束后汇总分析并提交至甲方。</w:t>
      </w:r>
      <w:r>
        <w:rPr>
          <w:color w:val="333333"/>
          <w:sz w:val="21"/>
          <w:szCs w:val="21"/>
        </w:rPr>
      </w:r>
      <w:r/>
    </w:p>
    <w:p>
      <w:pPr>
        <w:pStyle w:val="958"/>
        <w:ind w:firstLine="405"/>
        <w:spacing w:beforeAutospacing="0" w:after="120" w:afterAutospacing="0" w:line="360" w:lineRule="auto"/>
        <w:rPr>
          <w:color w:val="333333"/>
          <w:sz w:val="21"/>
          <w:szCs w:val="21"/>
        </w:rPr>
      </w:pPr>
      <w:r>
        <w:rPr>
          <w:rFonts w:hint="eastAsia"/>
          <w:color w:val="333333"/>
          <w:sz w:val="21"/>
          <w:szCs w:val="21"/>
        </w:rPr>
        <w:t xml:space="preserve">4、在与甲方开展检查工作期间，不得以任何形式推广、推销公司业务，如有发现，甲方有权利无条件解除本合同，并不予支付服务费。</w:t>
      </w:r>
      <w:r>
        <w:rPr>
          <w:color w:val="333333"/>
          <w:sz w:val="21"/>
          <w:szCs w:val="21"/>
        </w:rPr>
      </w:r>
      <w:r/>
    </w:p>
    <w:p>
      <w:pPr>
        <w:pStyle w:val="958"/>
        <w:ind w:firstLine="405"/>
        <w:spacing w:beforeAutospacing="0" w:after="120" w:afterAutospacing="0" w:line="360" w:lineRule="auto"/>
        <w:rPr>
          <w:color w:val="333333"/>
          <w:sz w:val="21"/>
          <w:szCs w:val="21"/>
        </w:rPr>
      </w:pPr>
      <w:r>
        <w:rPr>
          <w:rFonts w:hint="eastAsia"/>
          <w:color w:val="333333"/>
          <w:sz w:val="21"/>
          <w:szCs w:val="21"/>
        </w:rPr>
        <w:t xml:space="preserve">五、下列文件应视为构成并作为阅读和理解本合同书的组成部分，即：</w:t>
      </w:r>
      <w:r>
        <w:rPr>
          <w:color w:val="333333"/>
          <w:sz w:val="21"/>
          <w:szCs w:val="21"/>
        </w:rPr>
      </w:r>
      <w:r/>
    </w:p>
    <w:p>
      <w:pPr>
        <w:pStyle w:val="958"/>
        <w:ind w:firstLine="405"/>
        <w:spacing w:beforeAutospacing="0" w:after="120" w:afterAutospacing="0" w:line="360" w:lineRule="auto"/>
        <w:rPr>
          <w:color w:val="333333"/>
          <w:sz w:val="21"/>
          <w:szCs w:val="21"/>
        </w:rPr>
      </w:pPr>
      <w:r>
        <w:rPr>
          <w:rFonts w:hint="eastAsia"/>
          <w:color w:val="333333"/>
          <w:sz w:val="21"/>
          <w:szCs w:val="21"/>
        </w:rPr>
        <w:t xml:space="preserve">1、本合同书；</w:t>
      </w:r>
      <w:r>
        <w:rPr>
          <w:color w:val="333333"/>
          <w:sz w:val="21"/>
          <w:szCs w:val="21"/>
        </w:rPr>
      </w:r>
      <w:r/>
    </w:p>
    <w:p>
      <w:pPr>
        <w:pStyle w:val="958"/>
        <w:ind w:firstLine="405"/>
        <w:spacing w:beforeAutospacing="0" w:after="120" w:afterAutospacing="0" w:line="360" w:lineRule="auto"/>
        <w:rPr>
          <w:color w:val="333333"/>
          <w:sz w:val="21"/>
          <w:szCs w:val="21"/>
        </w:rPr>
      </w:pPr>
      <w:r>
        <w:rPr>
          <w:rFonts w:hint="eastAsia"/>
          <w:color w:val="333333"/>
          <w:sz w:val="21"/>
          <w:szCs w:val="21"/>
        </w:rPr>
        <w:t xml:space="preserve">2、招标文件；</w:t>
      </w:r>
      <w:r>
        <w:rPr>
          <w:color w:val="333333"/>
          <w:sz w:val="21"/>
          <w:szCs w:val="21"/>
        </w:rPr>
      </w:r>
      <w:r/>
    </w:p>
    <w:p>
      <w:pPr>
        <w:pStyle w:val="958"/>
        <w:ind w:firstLine="405"/>
        <w:spacing w:beforeAutospacing="0" w:after="120" w:afterAutospacing="0" w:line="360" w:lineRule="auto"/>
        <w:rPr>
          <w:color w:val="333333"/>
          <w:sz w:val="21"/>
          <w:szCs w:val="21"/>
        </w:rPr>
      </w:pPr>
      <w:r>
        <w:rPr>
          <w:rFonts w:hint="eastAsia"/>
          <w:color w:val="333333"/>
          <w:sz w:val="21"/>
          <w:szCs w:val="21"/>
        </w:rPr>
        <w:t xml:space="preserve">3、投标文件及其附件（含投标人在评标期间递交和确认并经招标人同意的对有关问题的补充资料和澄清文件等）；</w:t>
      </w:r>
      <w:r>
        <w:rPr>
          <w:color w:val="333333"/>
          <w:sz w:val="21"/>
          <w:szCs w:val="21"/>
        </w:rPr>
      </w:r>
      <w:r/>
    </w:p>
    <w:p>
      <w:pPr>
        <w:pStyle w:val="958"/>
        <w:ind w:firstLine="405"/>
        <w:spacing w:beforeAutospacing="0" w:after="120" w:afterAutospacing="0" w:line="360" w:lineRule="auto"/>
        <w:rPr>
          <w:color w:val="333333"/>
          <w:sz w:val="21"/>
          <w:szCs w:val="21"/>
        </w:rPr>
      </w:pPr>
      <w:r>
        <w:rPr>
          <w:rFonts w:hint="eastAsia"/>
          <w:color w:val="333333"/>
          <w:sz w:val="21"/>
          <w:szCs w:val="21"/>
        </w:rPr>
        <w:t xml:space="preserve">4、中标通知书。</w:t>
      </w:r>
      <w:r>
        <w:rPr>
          <w:color w:val="333333"/>
          <w:sz w:val="21"/>
          <w:szCs w:val="21"/>
        </w:rPr>
      </w:r>
      <w:r/>
    </w:p>
    <w:p>
      <w:pPr>
        <w:pStyle w:val="958"/>
        <w:ind w:firstLine="405"/>
        <w:spacing w:beforeAutospacing="0" w:after="120" w:afterAutospacing="0" w:line="360" w:lineRule="auto"/>
        <w:rPr>
          <w:color w:val="333333"/>
          <w:sz w:val="21"/>
          <w:szCs w:val="21"/>
        </w:rPr>
      </w:pPr>
      <w:r>
        <w:rPr>
          <w:rFonts w:hint="eastAsia"/>
          <w:color w:val="333333"/>
          <w:sz w:val="21"/>
          <w:szCs w:val="21"/>
        </w:rPr>
        <w:t xml:space="preserve"> 六、不可抗力</w:t>
      </w:r>
      <w:r>
        <w:rPr>
          <w:color w:val="333333"/>
          <w:sz w:val="21"/>
          <w:szCs w:val="21"/>
        </w:rPr>
      </w:r>
      <w:r/>
    </w:p>
    <w:p>
      <w:pPr>
        <w:pStyle w:val="958"/>
        <w:ind w:firstLine="405"/>
        <w:spacing w:beforeAutospacing="0" w:after="120" w:afterAutospacing="0" w:line="360" w:lineRule="auto"/>
        <w:rPr>
          <w:color w:val="333333"/>
          <w:sz w:val="21"/>
          <w:szCs w:val="21"/>
        </w:rPr>
      </w:pPr>
      <w:r>
        <w:rPr>
          <w:rFonts w:hint="eastAsia"/>
          <w:color w:val="333333"/>
          <w:sz w:val="21"/>
          <w:szCs w:val="21"/>
        </w:rPr>
        <w:t xml:space="preserve">1、甲、乙双方如果因不可抗力而导致合同义务的延误或不能履行，不承担没收履约保证金、误期赔偿或终止合同的责任。</w:t>
      </w:r>
      <w:r>
        <w:rPr>
          <w:color w:val="333333"/>
          <w:sz w:val="21"/>
          <w:szCs w:val="21"/>
        </w:rPr>
      </w:r>
      <w:r/>
    </w:p>
    <w:p>
      <w:pPr>
        <w:pStyle w:val="958"/>
        <w:ind w:firstLine="405"/>
        <w:spacing w:beforeAutospacing="0" w:after="120" w:afterAutospacing="0" w:line="360" w:lineRule="auto"/>
        <w:rPr>
          <w:color w:val="333333"/>
          <w:sz w:val="21"/>
          <w:szCs w:val="21"/>
        </w:rPr>
      </w:pPr>
      <w:r>
        <w:rPr>
          <w:rFonts w:hint="eastAsia"/>
          <w:color w:val="333333"/>
          <w:sz w:val="21"/>
          <w:szCs w:val="21"/>
        </w:rPr>
        <w:t xml:space="preserve">2、本条所述的“不可抗力”系指下列甲、乙双方无法控制、不可预见的事件，但不包括甲、乙双方的违约或疏忽。这些事件包括：战争、严重火灾、洪水、台风、地震以及其他甲方和乙方商定的事件。</w:t>
      </w:r>
      <w:r>
        <w:rPr>
          <w:color w:val="333333"/>
          <w:sz w:val="21"/>
          <w:szCs w:val="21"/>
        </w:rPr>
      </w:r>
      <w:r/>
    </w:p>
    <w:p>
      <w:pPr>
        <w:pStyle w:val="958"/>
        <w:ind w:firstLine="405"/>
        <w:spacing w:beforeAutospacing="0" w:after="120" w:afterAutospacing="0" w:line="360" w:lineRule="auto"/>
        <w:rPr>
          <w:color w:val="333333"/>
          <w:sz w:val="21"/>
          <w:szCs w:val="21"/>
        </w:rPr>
      </w:pPr>
      <w:r>
        <w:rPr>
          <w:rFonts w:hint="eastAsia"/>
          <w:color w:val="333333"/>
          <w:sz w:val="21"/>
          <w:szCs w:val="21"/>
        </w:rPr>
        <w:t xml:space="preserve">3、在不可抗力事件发生后，受影响的一方应尽快以书面形式将不可抗力的情况和原因通知另一方。除书面另行要求外，受影响的一方应尽实际可能继续履行其相应义务，以及寻求采取合理的方案履行不受不可抗力影响的其他事项。如果不可抗力事件影响时间持续20天以上的，甲乙双方通过友好协商在合理的时间内达成进一步履行定点供应商义务的协议。</w:t>
      </w:r>
      <w:r>
        <w:rPr>
          <w:color w:val="333333"/>
          <w:sz w:val="21"/>
          <w:szCs w:val="21"/>
        </w:rPr>
      </w:r>
      <w:r/>
    </w:p>
    <w:p>
      <w:pPr>
        <w:pStyle w:val="958"/>
        <w:ind w:firstLine="405"/>
        <w:spacing w:beforeAutospacing="0" w:after="120" w:afterAutospacing="0" w:line="360" w:lineRule="auto"/>
        <w:rPr>
          <w:color w:val="333333"/>
          <w:sz w:val="21"/>
          <w:szCs w:val="21"/>
        </w:rPr>
      </w:pPr>
      <w:r>
        <w:rPr>
          <w:rFonts w:hint="eastAsia"/>
          <w:color w:val="333333"/>
          <w:sz w:val="21"/>
          <w:szCs w:val="21"/>
        </w:rPr>
        <w:t xml:space="preserve">七、合同的解除：</w:t>
      </w:r>
      <w:r>
        <w:rPr>
          <w:color w:val="333333"/>
          <w:sz w:val="21"/>
          <w:szCs w:val="21"/>
        </w:rPr>
      </w:r>
      <w:r/>
    </w:p>
    <w:p>
      <w:pPr>
        <w:pStyle w:val="958"/>
        <w:ind w:firstLine="405"/>
        <w:spacing w:beforeAutospacing="0" w:after="120" w:afterAutospacing="0" w:line="360" w:lineRule="auto"/>
        <w:rPr>
          <w:color w:val="333333"/>
          <w:sz w:val="21"/>
          <w:szCs w:val="21"/>
        </w:rPr>
      </w:pPr>
      <w:r>
        <w:rPr>
          <w:rFonts w:hint="eastAsia"/>
          <w:color w:val="333333"/>
          <w:sz w:val="21"/>
          <w:szCs w:val="21"/>
        </w:rPr>
        <w:t xml:space="preserve">1、甲方和乙方不得擅自解除合同。</w:t>
      </w:r>
      <w:r>
        <w:rPr>
          <w:color w:val="333333"/>
          <w:sz w:val="21"/>
          <w:szCs w:val="21"/>
        </w:rPr>
      </w:r>
      <w:r/>
    </w:p>
    <w:p>
      <w:pPr>
        <w:pStyle w:val="958"/>
        <w:ind w:firstLine="405"/>
        <w:spacing w:beforeAutospacing="0" w:after="120" w:afterAutospacing="0" w:line="360" w:lineRule="auto"/>
        <w:rPr>
          <w:color w:val="333333"/>
          <w:sz w:val="21"/>
          <w:szCs w:val="21"/>
        </w:rPr>
      </w:pPr>
      <w:r>
        <w:rPr>
          <w:rFonts w:hint="eastAsia"/>
          <w:color w:val="333333"/>
          <w:sz w:val="21"/>
          <w:szCs w:val="21"/>
        </w:rPr>
        <w:t xml:space="preserve">2、有权解除合同的一方，应当在违约事实或不可抗力发生之后三十天内书面通知对方提出解除合同，合同在书面通知到达对方时解除。</w:t>
      </w:r>
      <w:r>
        <w:rPr>
          <w:color w:val="333333"/>
          <w:sz w:val="21"/>
          <w:szCs w:val="21"/>
        </w:rPr>
      </w:r>
      <w:r/>
    </w:p>
    <w:p>
      <w:pPr>
        <w:pStyle w:val="958"/>
        <w:ind w:firstLine="405"/>
        <w:spacing w:beforeAutospacing="0" w:after="120" w:afterAutospacing="0" w:line="360" w:lineRule="auto"/>
        <w:rPr>
          <w:color w:val="333333"/>
          <w:sz w:val="21"/>
          <w:szCs w:val="21"/>
        </w:rPr>
      </w:pPr>
      <w:r>
        <w:rPr>
          <w:rFonts w:hint="eastAsia"/>
          <w:color w:val="333333"/>
          <w:sz w:val="21"/>
          <w:szCs w:val="21"/>
        </w:rPr>
        <w:t xml:space="preserve">3、合同的部分和全部都不得擅自转让。</w:t>
      </w:r>
      <w:r>
        <w:rPr>
          <w:color w:val="333333"/>
          <w:sz w:val="21"/>
          <w:szCs w:val="21"/>
        </w:rPr>
      </w:r>
      <w:r/>
    </w:p>
    <w:p>
      <w:pPr>
        <w:pStyle w:val="958"/>
        <w:ind w:firstLine="405"/>
        <w:spacing w:beforeAutospacing="0" w:after="120" w:afterAutospacing="0" w:line="360" w:lineRule="auto"/>
        <w:rPr>
          <w:color w:val="333333"/>
          <w:sz w:val="21"/>
          <w:szCs w:val="21"/>
        </w:rPr>
      </w:pPr>
      <w:r>
        <w:rPr>
          <w:rFonts w:hint="eastAsia"/>
          <w:color w:val="333333"/>
          <w:sz w:val="21"/>
          <w:szCs w:val="21"/>
        </w:rPr>
        <w:t xml:space="preserve">4、出现下列情况之一可以解除合同：</w:t>
      </w:r>
      <w:r>
        <w:rPr>
          <w:color w:val="333333"/>
          <w:sz w:val="21"/>
          <w:szCs w:val="21"/>
        </w:rPr>
      </w:r>
      <w:r/>
    </w:p>
    <w:p>
      <w:pPr>
        <w:pStyle w:val="958"/>
        <w:ind w:firstLine="405"/>
        <w:spacing w:beforeAutospacing="0" w:after="120" w:afterAutospacing="0" w:line="360" w:lineRule="auto"/>
        <w:rPr>
          <w:color w:val="333333"/>
          <w:sz w:val="21"/>
          <w:szCs w:val="21"/>
        </w:rPr>
      </w:pPr>
      <w:r>
        <w:rPr>
          <w:rFonts w:hint="eastAsia"/>
          <w:color w:val="333333"/>
          <w:sz w:val="21"/>
          <w:szCs w:val="21"/>
        </w:rPr>
        <w:t xml:space="preserve">（1）在合同有效期内，乙方被行业主管部门警告或取消经营资格的；</w:t>
      </w:r>
      <w:r>
        <w:rPr>
          <w:color w:val="333333"/>
          <w:sz w:val="21"/>
          <w:szCs w:val="21"/>
        </w:rPr>
      </w:r>
      <w:r/>
    </w:p>
    <w:p>
      <w:pPr>
        <w:pStyle w:val="958"/>
        <w:ind w:firstLine="405"/>
        <w:spacing w:beforeAutospacing="0" w:after="120" w:afterAutospacing="0" w:line="360" w:lineRule="auto"/>
        <w:rPr>
          <w:color w:val="333333"/>
          <w:sz w:val="21"/>
          <w:szCs w:val="21"/>
        </w:rPr>
      </w:pPr>
      <w:r>
        <w:rPr>
          <w:rFonts w:hint="eastAsia"/>
          <w:color w:val="333333"/>
          <w:sz w:val="21"/>
          <w:szCs w:val="21"/>
        </w:rPr>
        <w:t xml:space="preserve">（2）在合同有效期内，乙方擅自变更、转让、租借服务资格的；</w:t>
      </w:r>
      <w:r>
        <w:rPr>
          <w:color w:val="333333"/>
          <w:sz w:val="21"/>
          <w:szCs w:val="21"/>
        </w:rPr>
      </w:r>
      <w:r/>
    </w:p>
    <w:p>
      <w:pPr>
        <w:pStyle w:val="958"/>
        <w:ind w:firstLine="405"/>
        <w:spacing w:beforeAutospacing="0" w:after="120" w:afterAutospacing="0" w:line="360" w:lineRule="auto"/>
        <w:rPr>
          <w:color w:val="333333"/>
          <w:sz w:val="21"/>
          <w:szCs w:val="21"/>
        </w:rPr>
      </w:pPr>
      <w:r>
        <w:rPr>
          <w:rFonts w:hint="eastAsia"/>
          <w:color w:val="333333"/>
          <w:sz w:val="21"/>
          <w:szCs w:val="21"/>
        </w:rPr>
        <w:t xml:space="preserve">（3）未按承诺的价格提供服务的；</w:t>
      </w:r>
      <w:r>
        <w:rPr>
          <w:color w:val="333333"/>
          <w:sz w:val="21"/>
          <w:szCs w:val="21"/>
        </w:rPr>
      </w:r>
      <w:r/>
    </w:p>
    <w:p>
      <w:pPr>
        <w:pStyle w:val="958"/>
        <w:ind w:firstLine="405"/>
        <w:spacing w:beforeAutospacing="0" w:after="120" w:afterAutospacing="0" w:line="360" w:lineRule="auto"/>
        <w:rPr>
          <w:color w:val="333333"/>
          <w:sz w:val="21"/>
          <w:szCs w:val="21"/>
        </w:rPr>
      </w:pPr>
      <w:r>
        <w:rPr>
          <w:rFonts w:hint="eastAsia"/>
          <w:color w:val="333333"/>
          <w:sz w:val="21"/>
          <w:szCs w:val="21"/>
        </w:rPr>
        <w:t xml:space="preserve">（4）乙方有编造数据、弄虚作假或其他影响详查活动的行为，经查实的。</w:t>
      </w:r>
      <w:r>
        <w:rPr>
          <w:color w:val="333333"/>
          <w:sz w:val="21"/>
          <w:szCs w:val="21"/>
        </w:rPr>
      </w:r>
      <w:r/>
    </w:p>
    <w:p>
      <w:pPr>
        <w:pStyle w:val="958"/>
        <w:ind w:firstLine="405"/>
        <w:spacing w:beforeAutospacing="0" w:after="120" w:afterAutospacing="0" w:line="360" w:lineRule="auto"/>
        <w:rPr>
          <w:color w:val="333333"/>
          <w:sz w:val="21"/>
          <w:szCs w:val="21"/>
        </w:rPr>
      </w:pPr>
      <w:r>
        <w:rPr>
          <w:rFonts w:hint="eastAsia"/>
          <w:color w:val="333333"/>
          <w:sz w:val="21"/>
          <w:szCs w:val="21"/>
        </w:rPr>
        <w:t xml:space="preserve">（5）未遵守本招标文件中有关解除合同的其他条款约定的。</w:t>
      </w:r>
      <w:r>
        <w:rPr>
          <w:color w:val="333333"/>
          <w:sz w:val="21"/>
          <w:szCs w:val="21"/>
        </w:rPr>
      </w:r>
      <w:r/>
    </w:p>
    <w:p>
      <w:pPr>
        <w:pStyle w:val="958"/>
        <w:ind w:firstLine="405"/>
        <w:spacing w:beforeAutospacing="0" w:after="120" w:afterAutospacing="0" w:line="360" w:lineRule="auto"/>
        <w:rPr>
          <w:color w:val="333333"/>
          <w:sz w:val="21"/>
          <w:szCs w:val="21"/>
        </w:rPr>
      </w:pPr>
      <w:r>
        <w:rPr>
          <w:rFonts w:hint="eastAsia"/>
          <w:color w:val="333333"/>
          <w:sz w:val="21"/>
          <w:szCs w:val="21"/>
        </w:rPr>
        <w:t xml:space="preserve">八、争议处置</w:t>
      </w:r>
      <w:r>
        <w:rPr>
          <w:color w:val="333333"/>
          <w:sz w:val="21"/>
          <w:szCs w:val="21"/>
        </w:rPr>
      </w:r>
      <w:r/>
    </w:p>
    <w:p>
      <w:pPr>
        <w:pStyle w:val="958"/>
        <w:ind w:firstLine="405"/>
        <w:spacing w:beforeAutospacing="0" w:after="120" w:afterAutospacing="0" w:line="360" w:lineRule="auto"/>
        <w:rPr>
          <w:color w:val="333333"/>
          <w:sz w:val="21"/>
          <w:szCs w:val="21"/>
        </w:rPr>
      </w:pPr>
      <w:r>
        <w:rPr>
          <w:rFonts w:hint="eastAsia"/>
          <w:color w:val="333333"/>
          <w:sz w:val="21"/>
          <w:szCs w:val="21"/>
        </w:rPr>
        <w:t xml:space="preserve">在执行本合同中所发生的一切争议，各方（甲方、乙方）应通过友好协商的办法进行解决，如协商不能解决的，有关当事方可提请甲方单位所在地人民法院进行裁决。</w:t>
      </w:r>
      <w:r>
        <w:rPr>
          <w:color w:val="333333"/>
          <w:sz w:val="21"/>
          <w:szCs w:val="21"/>
        </w:rPr>
      </w:r>
      <w:r/>
    </w:p>
    <w:p>
      <w:pPr>
        <w:pStyle w:val="958"/>
        <w:ind w:firstLine="405"/>
        <w:spacing w:beforeAutospacing="0" w:after="120" w:afterAutospacing="0" w:line="360" w:lineRule="auto"/>
        <w:rPr>
          <w:rFonts w:hint="eastAsia"/>
          <w:color w:val="333333"/>
          <w:sz w:val="21"/>
          <w:szCs w:val="21"/>
        </w:rPr>
      </w:pPr>
      <w:r>
        <w:rPr>
          <w:rFonts w:hint="eastAsia"/>
          <w:color w:val="333333"/>
          <w:sz w:val="21"/>
          <w:szCs w:val="21"/>
        </w:rPr>
        <w:t xml:space="preserve">  九、合同生效及其他</w:t>
      </w:r>
      <w:r/>
    </w:p>
    <w:p>
      <w:pPr>
        <w:pStyle w:val="958"/>
        <w:ind w:firstLine="405"/>
        <w:spacing w:beforeAutospacing="0" w:after="120" w:afterAutospacing="0" w:line="360" w:lineRule="auto"/>
        <w:rPr>
          <w:color w:val="333333"/>
          <w:sz w:val="21"/>
          <w:szCs w:val="21"/>
        </w:rPr>
      </w:pPr>
      <w:r>
        <w:rPr>
          <w:rFonts w:hint="eastAsia"/>
          <w:color w:val="333333"/>
          <w:sz w:val="21"/>
          <w:szCs w:val="21"/>
        </w:rPr>
        <w:t xml:space="preserve">1、本合同经甲乙双方签字并盖章后生效。</w:t>
      </w:r>
      <w:r>
        <w:rPr>
          <w:color w:val="333333"/>
          <w:sz w:val="21"/>
          <w:szCs w:val="21"/>
        </w:rPr>
      </w:r>
      <w:r/>
    </w:p>
    <w:p>
      <w:pPr>
        <w:pStyle w:val="958"/>
        <w:ind w:firstLine="405"/>
        <w:spacing w:beforeAutospacing="0" w:after="120" w:afterAutospacing="0" w:line="360" w:lineRule="auto"/>
        <w:rPr>
          <w:color w:val="333333"/>
          <w:sz w:val="21"/>
          <w:szCs w:val="21"/>
        </w:rPr>
      </w:pPr>
      <w:r>
        <w:rPr>
          <w:rFonts w:hint="eastAsia"/>
          <w:color w:val="333333"/>
          <w:sz w:val="21"/>
          <w:szCs w:val="21"/>
        </w:rPr>
        <w:t xml:space="preserve">2、合同在执行过程中出现的未尽事宜，双方在不违背本合同的原则下协商解决，协商结果以书面形式记录在案，作为本合同附件，与本合同具有同等效力。</w:t>
      </w:r>
      <w:r>
        <w:rPr>
          <w:color w:val="333333"/>
          <w:sz w:val="21"/>
          <w:szCs w:val="21"/>
        </w:rPr>
      </w:r>
      <w:r/>
    </w:p>
    <w:p>
      <w:pPr>
        <w:pStyle w:val="958"/>
        <w:ind w:firstLine="405"/>
        <w:spacing w:beforeAutospacing="0" w:after="120" w:afterAutospacing="0" w:line="360" w:lineRule="auto"/>
        <w:rPr>
          <w:color w:val="333333"/>
          <w:sz w:val="21"/>
          <w:szCs w:val="21"/>
        </w:rPr>
      </w:pPr>
      <w:r>
        <w:rPr>
          <w:rFonts w:hint="eastAsia"/>
          <w:color w:val="333333"/>
          <w:sz w:val="21"/>
          <w:szCs w:val="21"/>
        </w:rPr>
        <w:t xml:space="preserve">3．本合同一式肆份，甲方、乙方、代理机构、备案机构各执一份，各份具有同等法律效力。</w:t>
      </w:r>
      <w:r>
        <w:rPr>
          <w:color w:val="333333"/>
          <w:sz w:val="21"/>
          <w:szCs w:val="21"/>
        </w:rPr>
      </w:r>
      <w:r/>
    </w:p>
    <w:p>
      <w:pPr>
        <w:pStyle w:val="958"/>
        <w:ind w:firstLine="405"/>
        <w:spacing w:beforeAutospacing="0" w:after="120" w:afterAutospacing="0" w:line="360" w:lineRule="auto"/>
        <w:rPr>
          <w:color w:val="333333"/>
          <w:sz w:val="21"/>
          <w:szCs w:val="21"/>
        </w:rPr>
      </w:pPr>
      <w:r>
        <w:rPr>
          <w:rFonts w:hint="eastAsia"/>
          <w:color w:val="333333"/>
          <w:sz w:val="21"/>
          <w:szCs w:val="21"/>
        </w:rPr>
        <w:t xml:space="preserve">甲方（盖章）：                   乙方（盖章）：</w:t>
      </w:r>
      <w:r>
        <w:rPr>
          <w:color w:val="333333"/>
          <w:sz w:val="21"/>
          <w:szCs w:val="21"/>
        </w:rPr>
      </w:r>
      <w:r/>
    </w:p>
    <w:p>
      <w:pPr>
        <w:pStyle w:val="958"/>
        <w:ind w:firstLine="405"/>
        <w:spacing w:beforeAutospacing="0" w:after="120" w:afterAutospacing="0" w:line="360" w:lineRule="auto"/>
        <w:rPr>
          <w:color w:val="333333"/>
          <w:sz w:val="21"/>
          <w:szCs w:val="21"/>
        </w:rPr>
      </w:pPr>
      <w:r>
        <w:rPr>
          <w:rFonts w:hint="eastAsia"/>
          <w:color w:val="333333"/>
          <w:sz w:val="21"/>
          <w:szCs w:val="21"/>
        </w:rPr>
        <w:t xml:space="preserve">甲方代表：                      乙方代表：</w:t>
      </w:r>
      <w:r>
        <w:rPr>
          <w:color w:val="333333"/>
          <w:sz w:val="21"/>
          <w:szCs w:val="21"/>
        </w:rPr>
      </w:r>
      <w:r/>
    </w:p>
    <w:p>
      <w:pPr>
        <w:pStyle w:val="958"/>
        <w:ind w:firstLine="405"/>
        <w:spacing w:beforeAutospacing="0" w:after="120" w:afterAutospacing="0" w:line="360" w:lineRule="auto"/>
        <w:rPr>
          <w:color w:val="333333"/>
          <w:sz w:val="21"/>
          <w:szCs w:val="21"/>
        </w:rPr>
      </w:pPr>
      <w:r>
        <w:rPr>
          <w:rFonts w:hint="eastAsia"/>
          <w:color w:val="333333"/>
          <w:sz w:val="21"/>
          <w:szCs w:val="21"/>
        </w:rPr>
        <w:t xml:space="preserve">日期：  年  月  日              日期：     年  月   日 </w:t>
      </w:r>
      <w:r>
        <w:rPr>
          <w:color w:val="333333"/>
          <w:sz w:val="21"/>
          <w:szCs w:val="21"/>
        </w:rPr>
      </w:r>
      <w:r/>
    </w:p>
    <w:p>
      <w:pPr>
        <w:pStyle w:val="959"/>
        <w:rPr>
          <w:b w:val="0"/>
        </w:rPr>
      </w:pPr>
      <w:r>
        <w:rPr>
          <w:b w:val="0"/>
        </w:rPr>
        <w:br w:type="page" w:clear="all"/>
      </w:r>
      <w:bookmarkStart w:id="75" w:name="_Toc199168207"/>
      <w:r>
        <w:rPr>
          <w:rFonts w:hint="eastAsia"/>
          <w:b w:val="0"/>
        </w:rPr>
        <w:t xml:space="preserve">第六章  评标方法、采购政策、评分标准</w:t>
      </w:r>
      <w:bookmarkEnd w:id="73"/>
      <w:r/>
      <w:bookmarkEnd w:id="75"/>
      <w:r>
        <w:rPr>
          <w:b w:val="0"/>
        </w:rPr>
      </w:r>
      <w:r/>
    </w:p>
    <w:p>
      <w:pPr>
        <w:pStyle w:val="886"/>
        <w:ind w:firstLine="409"/>
        <w:spacing w:line="360" w:lineRule="auto"/>
        <w:rPr>
          <w:rFonts w:ascii="宋体" w:hAnsi="宋体"/>
          <w:b/>
          <w:bCs/>
          <w:szCs w:val="21"/>
        </w:rPr>
      </w:pPr>
      <w:r>
        <w:rPr>
          <w:rFonts w:hint="eastAsia" w:ascii="宋体" w:hAnsi="宋体"/>
          <w:b/>
          <w:bCs/>
          <w:szCs w:val="21"/>
        </w:rPr>
        <w:t xml:space="preserve">一、</w:t>
      </w:r>
      <w:r>
        <w:rPr>
          <w:rFonts w:hint="eastAsia" w:ascii="宋体" w:hAnsi="宋体"/>
          <w:b/>
          <w:szCs w:val="21"/>
        </w:rPr>
        <w:t xml:space="preserve">评分办法</w:t>
      </w:r>
      <w:r>
        <w:rPr>
          <w:rFonts w:ascii="宋体" w:hAnsi="宋体"/>
          <w:b/>
          <w:bCs/>
          <w:szCs w:val="21"/>
        </w:rPr>
      </w:r>
      <w:r/>
    </w:p>
    <w:p>
      <w:pPr>
        <w:pStyle w:val="886"/>
        <w:ind w:firstLine="420"/>
        <w:spacing w:line="360" w:lineRule="auto"/>
      </w:pPr>
      <w:r>
        <w:t xml:space="preserve">本次评标方法为综合评分法。即投标文件满足招标文件全部实质性要求，且按照评审因素的量化指标评审得分最高的投标人为中标人的评标方法。</w:t>
      </w:r>
      <w:r/>
    </w:p>
    <w:p>
      <w:pPr>
        <w:pStyle w:val="886"/>
        <w:ind w:firstLine="480"/>
        <w:spacing w:line="360" w:lineRule="auto"/>
        <w:rPr>
          <w:szCs w:val="21"/>
        </w:rPr>
      </w:pPr>
      <w:r>
        <w:rPr>
          <w:szCs w:val="21"/>
        </w:rPr>
        <w:t xml:space="preserve">评审因素的设定与投标人所投服务货物的质量相关，包括投标价格、服务水平、履约能力等。</w:t>
      </w:r>
      <w:r>
        <w:t xml:space="preserve">总分值为100分，价格分值占总分值的比重为10%，技术部分及其他分值占总分值的比重为90%。</w:t>
      </w:r>
      <w:r>
        <w:rPr>
          <w:szCs w:val="21"/>
        </w:rPr>
      </w:r>
      <w:r/>
    </w:p>
    <w:p>
      <w:pPr>
        <w:pStyle w:val="886"/>
        <w:ind w:firstLine="420"/>
        <w:spacing w:line="360" w:lineRule="auto"/>
        <w:rPr>
          <w:rFonts w:hint="eastAsia"/>
        </w:rPr>
      </w:pPr>
      <w:r>
        <w:t xml:space="preserve">评标时，评标委员会分别对每个有效投标人的投标文件进行评价、比较、打分，然后通过评标系统进行统计汇总，按算术平均方法计算出每个投标人的评审得分（各项得分按四舍五入原则精确到小数点后两位）。评标结果按评审后得分由高到低顺序排列。评审得分相同的，按评标报价</w:t>
      </w:r>
      <w:r>
        <w:rPr>
          <w:b/>
        </w:rPr>
        <w:t xml:space="preserve">（</w:t>
      </w:r>
      <w:r>
        <w:rPr>
          <w:rFonts w:hint="eastAsia"/>
          <w:b/>
        </w:rPr>
        <w:t xml:space="preserve">1-优惠率</w:t>
      </w:r>
      <w:r>
        <w:rPr>
          <w:b/>
        </w:rPr>
        <w:t xml:space="preserve">）</w:t>
      </w:r>
      <w:r>
        <w:t xml:space="preserve">由低到高顺序排列。评审得分且评标报价相同的，则以抽签决定中标人。</w:t>
      </w:r>
      <w:r>
        <w:rPr>
          <w:rFonts w:hint="eastAsia"/>
        </w:rPr>
      </w:r>
      <w:r/>
    </w:p>
    <w:p>
      <w:pPr>
        <w:pStyle w:val="886"/>
        <w:ind w:firstLine="420"/>
        <w:spacing w:line="360" w:lineRule="auto"/>
        <w:rPr>
          <w:b/>
          <w:sz w:val="24"/>
        </w:rPr>
      </w:pPr>
      <w:r>
        <w:rPr>
          <w:rFonts w:hint="eastAsia" w:ascii="宋体" w:hAnsi="宋体"/>
          <w:b/>
          <w:sz w:val="24"/>
        </w:rPr>
        <w:t xml:space="preserve">开评</w:t>
      </w:r>
      <w:r>
        <w:rPr>
          <w:rFonts w:hint="eastAsia"/>
          <w:b/>
          <w:sz w:val="24"/>
        </w:rPr>
        <w:t xml:space="preserve">定标顺序按照标段一、标段二、标段三、标段四、标段五进行，投标人可选择五个标段中一个或多个标段投报，但最多只能在一个标段中标。已中标的投标人不再计入其他标段的供应商数量且不参与其他标段评审。</w:t>
      </w:r>
      <w:r>
        <w:rPr>
          <w:b/>
          <w:sz w:val="24"/>
        </w:rPr>
      </w:r>
      <w:r/>
    </w:p>
    <w:p>
      <w:pPr>
        <w:pStyle w:val="886"/>
        <w:ind w:firstLine="420"/>
        <w:spacing w:line="360" w:lineRule="auto"/>
        <w:rPr>
          <w:b/>
          <w:szCs w:val="21"/>
        </w:rPr>
      </w:pPr>
      <w:r>
        <w:rPr>
          <w:b/>
          <w:szCs w:val="21"/>
        </w:rPr>
        <w:t xml:space="preserve">二、采购政策</w:t>
      </w:r>
      <w:r/>
    </w:p>
    <w:p>
      <w:pPr>
        <w:pStyle w:val="886"/>
        <w:ind w:firstLine="420"/>
        <w:spacing w:line="360" w:lineRule="auto"/>
        <w:rPr>
          <w:rFonts w:ascii="宋体" w:hAnsi="宋体"/>
          <w:szCs w:val="21"/>
        </w:rPr>
      </w:pPr>
      <w:r>
        <w:rPr>
          <w:rFonts w:hint="eastAsia" w:ascii="宋体" w:hAnsi="宋体"/>
          <w:szCs w:val="21"/>
        </w:rPr>
        <w:t xml:space="preserve">（一）小微企业</w:t>
      </w:r>
      <w:r>
        <w:rPr>
          <w:rFonts w:ascii="宋体" w:hAnsi="宋体"/>
          <w:szCs w:val="21"/>
        </w:rPr>
      </w:r>
      <w:r/>
    </w:p>
    <w:p>
      <w:pPr>
        <w:pStyle w:val="886"/>
        <w:ind w:firstLine="420"/>
        <w:spacing w:line="360" w:lineRule="auto"/>
        <w:rPr>
          <w:rFonts w:ascii="宋体" w:hAnsi="宋体"/>
          <w:szCs w:val="21"/>
        </w:rPr>
      </w:pPr>
      <w:r>
        <w:rPr>
          <w:rFonts w:hint="eastAsia" w:ascii="宋体" w:hAnsi="宋体"/>
          <w:szCs w:val="21"/>
        </w:rPr>
        <w:t xml:space="preserve">根据《政府采购促进中小企业发展管理办法》（财库〔2020〕46号）、《苏州市政府采购促进中小企业发展实施意见》（苏财购〔2022〕16号）的相关规定，</w:t>
      </w:r>
      <w:r>
        <w:rPr>
          <w:rFonts w:hint="eastAsia" w:ascii="宋体" w:hAnsi="宋体"/>
          <w:b/>
          <w:bCs/>
          <w:szCs w:val="21"/>
        </w:rPr>
        <w:t xml:space="preserve">本项目为专门面向中小企业采购</w:t>
      </w:r>
      <w:r>
        <w:rPr>
          <w:rFonts w:hint="eastAsia" w:ascii="宋体" w:hAnsi="宋体"/>
          <w:szCs w:val="21"/>
        </w:rPr>
        <w:t xml:space="preserve">：</w:t>
      </w:r>
      <w:r>
        <w:rPr>
          <w:rFonts w:ascii="宋体" w:hAnsi="宋体"/>
          <w:szCs w:val="21"/>
        </w:rPr>
      </w:r>
      <w:r/>
    </w:p>
    <w:p>
      <w:pPr>
        <w:pStyle w:val="886"/>
        <w:ind w:firstLine="420"/>
        <w:spacing w:line="360" w:lineRule="auto"/>
        <w:rPr>
          <w:rFonts w:ascii="宋体" w:hAnsi="宋体"/>
          <w:szCs w:val="21"/>
        </w:rPr>
      </w:pPr>
      <w:r>
        <w:rPr>
          <w:rFonts w:hint="eastAsia" w:ascii="宋体" w:hAnsi="宋体"/>
          <w:szCs w:val="21"/>
        </w:rPr>
        <w:t xml:space="preserve">如投标人认定本企业为中型、小型或微型企业，则需根据《中小企业划型标准规定》（工信部联企业〔2011〕300号）填报《中小企业声明函》。加盖公章后的《中小企业声明函》电子件放置于投标文件中提交，未提交则不享受预留采购份额政策。</w:t>
      </w:r>
      <w:r>
        <w:rPr>
          <w:rFonts w:ascii="宋体" w:hAnsi="宋体"/>
          <w:szCs w:val="21"/>
        </w:rPr>
      </w:r>
      <w:r/>
    </w:p>
    <w:p>
      <w:pPr>
        <w:pStyle w:val="886"/>
        <w:ind w:firstLine="420"/>
        <w:spacing w:line="360" w:lineRule="auto"/>
        <w:rPr>
          <w:rFonts w:ascii="宋体" w:hAnsi="宋体"/>
          <w:szCs w:val="21"/>
        </w:rPr>
      </w:pPr>
      <w:r>
        <w:rPr>
          <w:rFonts w:hint="eastAsia" w:ascii="宋体" w:hAnsi="宋体"/>
          <w:szCs w:val="21"/>
        </w:rPr>
        <w:t xml:space="preserve">（二）残疾人福利性单位</w:t>
      </w:r>
      <w:r>
        <w:rPr>
          <w:rFonts w:ascii="宋体" w:hAnsi="宋体"/>
          <w:szCs w:val="21"/>
        </w:rPr>
      </w:r>
      <w:r/>
    </w:p>
    <w:p>
      <w:pPr>
        <w:pStyle w:val="886"/>
        <w:ind w:firstLine="420"/>
        <w:spacing w:line="360" w:lineRule="auto"/>
        <w:rPr>
          <w:rFonts w:ascii="宋体" w:hAnsi="宋体"/>
          <w:szCs w:val="21"/>
        </w:rPr>
      </w:pPr>
      <w:r>
        <w:rPr>
          <w:rFonts w:ascii="宋体" w:hAnsi="宋体"/>
          <w:szCs w:val="21"/>
        </w:rPr>
        <w:t xml:space="preserve">根据《三部门联合发布关于促进残疾人就业政府采购政策的通知》（财库〔2017〕141号）的相关规定，如投标人为残疾人福利性单位，则视同小型、微型企业，享受预留份额的政府采购政策。加盖公章后的《残疾人福利性单位声明函》电子件放置于投标文件中提交，未提交则不享受预留采购份额政策。</w:t>
      </w:r>
      <w:r/>
    </w:p>
    <w:p>
      <w:pPr>
        <w:pStyle w:val="886"/>
        <w:ind w:firstLine="420"/>
        <w:spacing w:line="360" w:lineRule="auto"/>
        <w:rPr>
          <w:rFonts w:ascii="宋体" w:hAnsi="宋体"/>
          <w:szCs w:val="21"/>
        </w:rPr>
      </w:pPr>
      <w:r>
        <w:rPr>
          <w:rFonts w:hint="eastAsia" w:ascii="宋体" w:hAnsi="宋体"/>
          <w:szCs w:val="21"/>
        </w:rPr>
        <w:t xml:space="preserve">（三）监狱企业</w:t>
      </w:r>
      <w:r>
        <w:rPr>
          <w:rFonts w:ascii="宋体" w:hAnsi="宋体"/>
          <w:szCs w:val="21"/>
        </w:rPr>
      </w:r>
      <w:r/>
    </w:p>
    <w:p>
      <w:pPr>
        <w:pStyle w:val="886"/>
        <w:ind w:firstLine="420"/>
        <w:spacing w:line="360" w:lineRule="auto"/>
        <w:rPr>
          <w:rFonts w:ascii="宋体" w:hAnsi="宋体"/>
          <w:szCs w:val="21"/>
        </w:rPr>
      </w:pPr>
      <w:r>
        <w:rPr>
          <w:rFonts w:ascii="宋体" w:hAnsi="宋体"/>
          <w:szCs w:val="21"/>
        </w:rPr>
        <w:t xml:space="preserve">根据《财政部司法部关于政府采购支持监狱企业发展有关问题的通知》（财库〔2014〕68号）的相关规定，如投标人为监狱企业，应当提供由省级以上监狱管理局、戒毒管理局（含新疆生产建设兵团）出具的属于监狱企业的证明文件，则视同小型、微型企业，享受预留份额的政府采购政策。证明文件电子件放置于投标文件中提交，未提交则不享受预留采购份额政策。</w:t>
      </w:r>
      <w:r/>
    </w:p>
    <w:p>
      <w:pPr>
        <w:pStyle w:val="886"/>
        <w:ind w:firstLine="420"/>
        <w:spacing w:line="360" w:lineRule="auto"/>
        <w:rPr>
          <w:szCs w:val="21"/>
        </w:rPr>
      </w:pPr>
      <w:r>
        <w:rPr>
          <w:szCs w:val="21"/>
        </w:rPr>
        <w:t xml:space="preserve">（四）绿色采购</w:t>
      </w:r>
      <w:r/>
    </w:p>
    <w:p>
      <w:pPr>
        <w:pStyle w:val="886"/>
        <w:ind w:firstLine="420"/>
        <w:spacing w:line="360" w:lineRule="auto"/>
        <w:rPr>
          <w:szCs w:val="21"/>
        </w:rPr>
      </w:pPr>
      <w:r>
        <w:rPr>
          <w:szCs w:val="21"/>
        </w:rPr>
        <w:t xml:space="preserve">根据《关于调整优化节能产品、环境标志产品政府采购执行机制的通知》（财库〔2019〕9号）等相关文件的规定，对属于《节能产品政府采购品目清单》政府强制采购产品的，投标人需提供该产品有效期内的认证等相关证明材料，证明材料电子件放置于投标文件中提交。</w:t>
      </w:r>
      <w:r/>
    </w:p>
    <w:p>
      <w:pPr>
        <w:pStyle w:val="886"/>
        <w:ind w:firstLine="420"/>
        <w:spacing w:line="360" w:lineRule="auto"/>
        <w:rPr>
          <w:rFonts w:hint="eastAsia"/>
          <w:szCs w:val="21"/>
        </w:rPr>
      </w:pPr>
      <w:r>
        <w:rPr>
          <w:szCs w:val="21"/>
        </w:rPr>
        <w:t xml:space="preserve">（五）若投标人提供的《中小企业声明函</w:t>
      </w:r>
      <w:r>
        <w:rPr>
          <w:rFonts w:hint="eastAsia"/>
          <w:szCs w:val="21"/>
        </w:rPr>
        <w:t xml:space="preserve">》《</w:t>
      </w:r>
      <w:r>
        <w:rPr>
          <w:szCs w:val="21"/>
        </w:rPr>
        <w:t xml:space="preserve">残疾人福利性单位声明函》及监狱企业认定证明等材料为虚假材料，按《中华人民共和国政府采购法》等相关法律法规的规定处理，并报请政府采购监管部门给予行政处罚。</w:t>
      </w:r>
      <w:r>
        <w:rPr>
          <w:rFonts w:hint="eastAsia"/>
          <w:szCs w:val="21"/>
        </w:rPr>
      </w:r>
      <w:r/>
    </w:p>
    <w:p>
      <w:pPr>
        <w:pStyle w:val="886"/>
        <w:ind w:firstLine="420"/>
        <w:spacing w:line="360" w:lineRule="auto"/>
        <w:rPr>
          <w:rFonts w:hint="eastAsia" w:ascii="宋体"/>
          <w:szCs w:val="21"/>
        </w:rPr>
      </w:pPr>
      <w:r>
        <w:rPr>
          <w:rFonts w:hint="eastAsia" w:ascii="宋体"/>
          <w:szCs w:val="21"/>
        </w:rPr>
        <w:t xml:space="preserve">三、评分标准</w:t>
      </w:r>
      <w:r/>
    </w:p>
    <w:p>
      <w:pPr>
        <w:pStyle w:val="886"/>
        <w:ind w:firstLine="420"/>
        <w:spacing w:line="360" w:lineRule="auto"/>
        <w:rPr>
          <w:rFonts w:hint="eastAsia" w:ascii="宋体"/>
          <w:szCs w:val="21"/>
        </w:rPr>
      </w:pPr>
      <w:r>
        <w:rPr>
          <w:rFonts w:hint="eastAsia" w:ascii="宋体"/>
          <w:szCs w:val="21"/>
        </w:rPr>
        <w:t xml:space="preserve">（一）价格（10分）</w:t>
      </w:r>
      <w:r/>
    </w:p>
    <w:p>
      <w:pPr>
        <w:pStyle w:val="886"/>
        <w:ind w:firstLine="420"/>
        <w:spacing w:line="360" w:lineRule="auto"/>
        <w:rPr>
          <w:rFonts w:ascii="宋体" w:hAnsi="宋体"/>
          <w:sz w:val="24"/>
        </w:rPr>
      </w:pPr>
      <w:r>
        <w:rPr>
          <w:rFonts w:ascii="宋体" w:hAnsi="宋体"/>
          <w:b/>
          <w:sz w:val="24"/>
        </w:rPr>
        <w:t xml:space="preserve">1</w:t>
      </w:r>
      <w:r>
        <w:rPr>
          <w:rFonts w:hint="eastAsia" w:ascii="宋体" w:hAnsi="宋体"/>
          <w:b/>
          <w:sz w:val="24"/>
        </w:rPr>
        <w:t xml:space="preserve">.优惠率区间（0-100%），否则按无效标处理。</w:t>
      </w:r>
      <w:r>
        <w:rPr>
          <w:rFonts w:ascii="宋体" w:hAnsi="宋体"/>
          <w:sz w:val="24"/>
        </w:rPr>
      </w:r>
      <w:r/>
    </w:p>
    <w:p>
      <w:pPr>
        <w:pStyle w:val="886"/>
        <w:ind w:firstLine="420"/>
        <w:spacing w:line="360" w:lineRule="auto"/>
        <w:rPr>
          <w:rFonts w:ascii="宋体" w:hAnsi="宋体"/>
          <w:b/>
          <w:sz w:val="24"/>
        </w:rPr>
      </w:pPr>
      <w:r>
        <w:rPr>
          <w:rFonts w:ascii="宋体" w:hAnsi="宋体"/>
          <w:b/>
          <w:sz w:val="24"/>
        </w:rPr>
        <w:t xml:space="preserve">2</w:t>
      </w:r>
      <w:r>
        <w:rPr>
          <w:rFonts w:hint="eastAsia" w:ascii="宋体" w:hAnsi="宋体"/>
          <w:b/>
          <w:sz w:val="24"/>
        </w:rPr>
        <w:t xml:space="preserve">.为确保货物、服务质量，投标单位除投标价格得分以外的分值低于75%作无效标处理。</w:t>
      </w:r>
      <w:r>
        <w:rPr>
          <w:rFonts w:ascii="宋体" w:hAnsi="宋体"/>
          <w:b/>
          <w:sz w:val="24"/>
        </w:rPr>
      </w:r>
      <w:r/>
    </w:p>
    <w:p>
      <w:pPr>
        <w:pStyle w:val="886"/>
        <w:ind w:firstLine="420"/>
        <w:spacing w:line="360" w:lineRule="auto"/>
        <w:rPr>
          <w:rFonts w:ascii="宋体" w:hAnsi="宋体"/>
          <w:sz w:val="24"/>
        </w:rPr>
      </w:pPr>
      <w:r>
        <w:rPr>
          <w:rFonts w:hint="eastAsia" w:ascii="宋体" w:hAnsi="宋体"/>
          <w:sz w:val="24"/>
        </w:rPr>
        <w:t xml:space="preserve">3.价格得分计算方法：根据各投标人通过符合性审查的有效投标报价</w:t>
      </w:r>
      <w:r>
        <w:rPr>
          <w:rFonts w:hint="eastAsia" w:ascii="宋体" w:hAnsi="宋体"/>
          <w:b/>
          <w:sz w:val="24"/>
        </w:rPr>
        <w:t xml:space="preserve">(1-优惠率）</w:t>
      </w:r>
      <w:r>
        <w:rPr>
          <w:rFonts w:hint="eastAsia" w:ascii="宋体" w:hAnsi="宋体"/>
          <w:sz w:val="24"/>
        </w:rPr>
        <w:t xml:space="preserve">中的最低价作为评标基准价，其价格分为满分。其他投标人的价格分统一按照下列公式计算：</w:t>
      </w:r>
      <w:r>
        <w:rPr>
          <w:rFonts w:ascii="宋体" w:hAnsi="宋体"/>
          <w:sz w:val="24"/>
        </w:rPr>
      </w:r>
      <w:r/>
    </w:p>
    <w:p>
      <w:pPr>
        <w:pStyle w:val="886"/>
        <w:ind w:firstLine="420"/>
        <w:spacing w:line="360" w:lineRule="auto"/>
        <w:widowControl/>
        <w:rPr>
          <w:rFonts w:ascii="宋体" w:hAnsi="宋体" w:cs="宋体"/>
          <w:sz w:val="24"/>
        </w:rPr>
      </w:pPr>
      <w:r>
        <w:rPr>
          <w:rFonts w:hint="eastAsia" w:ascii="宋体" w:hAnsi="宋体"/>
          <w:sz w:val="24"/>
        </w:rPr>
        <w:t xml:space="preserve">价格得分＝（评标基准价</w:t>
      </w:r>
      <w:r>
        <w:rPr>
          <w:rFonts w:ascii="宋体" w:hAnsi="宋体"/>
          <w:sz w:val="24"/>
        </w:rPr>
        <w:t xml:space="preserve">/</w:t>
      </w:r>
      <w:r>
        <w:rPr>
          <w:rFonts w:hint="eastAsia" w:ascii="宋体" w:hAnsi="宋体"/>
          <w:sz w:val="24"/>
        </w:rPr>
        <w:t xml:space="preserve">投标报价）×10×</w:t>
      </w:r>
      <w:r>
        <w:rPr>
          <w:rFonts w:ascii="宋体" w:hAnsi="宋体"/>
          <w:sz w:val="24"/>
        </w:rPr>
        <w:t xml:space="preserve">100%</w:t>
      </w:r>
      <w:r>
        <w:rPr>
          <w:rFonts w:hint="eastAsia" w:ascii="宋体" w:hAnsi="宋体"/>
          <w:sz w:val="24"/>
        </w:rPr>
        <w:t xml:space="preserve">；（计算到小数点后二位）</w:t>
      </w:r>
      <w:r>
        <w:rPr>
          <w:rFonts w:ascii="宋体" w:hAnsi="宋体" w:cs="宋体"/>
          <w:sz w:val="24"/>
        </w:rPr>
      </w:r>
      <w:r/>
    </w:p>
    <w:p>
      <w:pPr>
        <w:pStyle w:val="886"/>
        <w:ind w:firstLine="420"/>
        <w:spacing w:line="360" w:lineRule="auto"/>
        <w:rPr>
          <w:rFonts w:hint="eastAsia" w:ascii="宋体"/>
          <w:szCs w:val="21"/>
        </w:rPr>
      </w:pPr>
      <w:r>
        <w:rPr>
          <w:rFonts w:hint="eastAsia" w:ascii="宋体"/>
          <w:szCs w:val="21"/>
        </w:rPr>
        <w:t xml:space="preserve"> (二)技术及其他（90分）：</w:t>
      </w:r>
      <w:r/>
    </w:p>
    <w:p>
      <w:pPr>
        <w:pStyle w:val="886"/>
        <w:ind w:left="360"/>
        <w:spacing w:line="360" w:lineRule="auto"/>
        <w:rPr>
          <w:rFonts w:hint="eastAsia" w:ascii="宋体"/>
          <w:sz w:val="24"/>
        </w:rPr>
      </w:pPr>
      <w:r>
        <w:rPr>
          <w:rFonts w:hint="eastAsia" w:ascii="宋体"/>
          <w:sz w:val="24"/>
        </w:rPr>
        <w:t xml:space="preserve">初审评审指标</w:t>
      </w:r>
      <w:r/>
    </w:p>
    <w:tbl>
      <w:tblPr>
        <w:tblW w:w="4851" w:type="pct"/>
        <w:tblInd w:w="-3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432"/>
        <w:gridCol w:w="4988"/>
        <w:gridCol w:w="2590"/>
      </w:tblGrid>
      <w:tr>
        <w:trPr>
          <w:trHeight w:val="240"/>
        </w:trPr>
        <w:tc>
          <w:tcPr>
            <w:tcW w:w="1432" w:type="dxa"/>
            <w:vAlign w:val="center"/>
            <w:textDirection w:val="lrTb"/>
            <w:noWrap w:val="false"/>
          </w:tcPr>
          <w:p>
            <w:pPr>
              <w:pStyle w:val="886"/>
              <w:jc w:val="center"/>
              <w:rPr>
                <w:rFonts w:hint="eastAsia" w:ascii="宋体"/>
                <w:szCs w:val="21"/>
              </w:rPr>
            </w:pPr>
            <w:r>
              <w:rPr>
                <w:rFonts w:hint="eastAsia" w:ascii="宋体"/>
                <w:szCs w:val="21"/>
              </w:rPr>
              <w:t xml:space="preserve">指标</w:t>
            </w:r>
            <w:r/>
          </w:p>
        </w:tc>
        <w:tc>
          <w:tcPr>
            <w:tcW w:w="4989" w:type="dxa"/>
            <w:vAlign w:val="top"/>
            <w:textDirection w:val="lrTb"/>
            <w:noWrap w:val="false"/>
          </w:tcPr>
          <w:p>
            <w:pPr>
              <w:pStyle w:val="886"/>
              <w:jc w:val="center"/>
              <w:rPr>
                <w:rFonts w:hint="eastAsia" w:ascii="宋体"/>
                <w:szCs w:val="21"/>
              </w:rPr>
            </w:pPr>
            <w:r>
              <w:rPr>
                <w:rFonts w:hint="eastAsia" w:ascii="宋体"/>
                <w:szCs w:val="21"/>
              </w:rPr>
              <w:t xml:space="preserve">描述</w:t>
            </w:r>
            <w:r/>
          </w:p>
        </w:tc>
        <w:tc>
          <w:tcPr>
            <w:tcW w:w="2591" w:type="dxa"/>
            <w:vAlign w:val="top"/>
            <w:textDirection w:val="lrTb"/>
            <w:noWrap w:val="false"/>
          </w:tcPr>
          <w:p>
            <w:pPr>
              <w:pStyle w:val="886"/>
              <w:jc w:val="center"/>
              <w:rPr>
                <w:rFonts w:hint="eastAsia" w:ascii="宋体"/>
                <w:szCs w:val="21"/>
              </w:rPr>
            </w:pPr>
            <w:r>
              <w:rPr>
                <w:rFonts w:hint="eastAsia" w:ascii="宋体"/>
                <w:szCs w:val="21"/>
              </w:rPr>
              <w:t xml:space="preserve">是否合格</w:t>
            </w:r>
            <w:r/>
          </w:p>
        </w:tc>
      </w:tr>
      <w:tr>
        <w:trPr>
          <w:trHeight w:val="438"/>
        </w:trPr>
        <w:tc>
          <w:tcPr>
            <w:tcW w:w="1432" w:type="dxa"/>
            <w:vAlign w:val="top"/>
            <w:textDirection w:val="lrTb"/>
            <w:noWrap w:val="false"/>
          </w:tcPr>
          <w:p>
            <w:pPr>
              <w:pStyle w:val="886"/>
              <w:jc w:val="center"/>
              <w:rPr>
                <w:rFonts w:hint="eastAsia" w:ascii="宋体"/>
                <w:szCs w:val="21"/>
              </w:rPr>
            </w:pPr>
            <w:r>
              <w:rPr>
                <w:rFonts w:hint="eastAsia" w:ascii="宋体"/>
                <w:szCs w:val="21"/>
              </w:rPr>
              <w:t xml:space="preserve">资格性检查</w:t>
            </w:r>
            <w:r/>
          </w:p>
        </w:tc>
        <w:tc>
          <w:tcPr>
            <w:tcW w:w="4989" w:type="dxa"/>
            <w:vAlign w:val="top"/>
            <w:textDirection w:val="lrTb"/>
            <w:noWrap w:val="false"/>
          </w:tcPr>
          <w:p>
            <w:pPr>
              <w:pStyle w:val="886"/>
              <w:jc w:val="center"/>
              <w:rPr>
                <w:rFonts w:hint="eastAsia" w:ascii="宋体"/>
                <w:szCs w:val="21"/>
              </w:rPr>
            </w:pPr>
            <w:r>
              <w:rPr>
                <w:rFonts w:hint="eastAsia" w:ascii="宋体"/>
                <w:szCs w:val="21"/>
              </w:rPr>
            </w:r>
            <w:r/>
          </w:p>
        </w:tc>
        <w:tc>
          <w:tcPr>
            <w:tcW w:w="2591" w:type="dxa"/>
            <w:vAlign w:val="top"/>
            <w:textDirection w:val="lrTb"/>
            <w:noWrap w:val="false"/>
          </w:tcPr>
          <w:p>
            <w:pPr>
              <w:pStyle w:val="886"/>
              <w:jc w:val="center"/>
              <w:rPr>
                <w:rFonts w:hint="eastAsia" w:ascii="宋体"/>
                <w:szCs w:val="21"/>
              </w:rPr>
            </w:pPr>
            <w:r>
              <w:rPr>
                <w:rFonts w:hint="eastAsia" w:ascii="宋体"/>
                <w:szCs w:val="21"/>
              </w:rPr>
            </w:r>
            <w:r/>
          </w:p>
        </w:tc>
      </w:tr>
      <w:tr>
        <w:trPr>
          <w:trHeight w:val="438"/>
        </w:trPr>
        <w:tc>
          <w:tcPr>
            <w:tcW w:w="1432" w:type="dxa"/>
            <w:vAlign w:val="top"/>
            <w:textDirection w:val="lrTb"/>
            <w:noWrap w:val="false"/>
          </w:tcPr>
          <w:p>
            <w:pPr>
              <w:pStyle w:val="886"/>
              <w:jc w:val="center"/>
              <w:rPr>
                <w:rFonts w:hint="eastAsia" w:ascii="宋体"/>
                <w:szCs w:val="21"/>
              </w:rPr>
            </w:pPr>
            <w:r>
              <w:rPr>
                <w:rFonts w:hint="eastAsia" w:ascii="宋体"/>
                <w:szCs w:val="21"/>
              </w:rPr>
              <w:t xml:space="preserve">符合性检查</w:t>
            </w:r>
            <w:r/>
          </w:p>
        </w:tc>
        <w:tc>
          <w:tcPr>
            <w:tcW w:w="4989" w:type="dxa"/>
            <w:vAlign w:val="top"/>
            <w:textDirection w:val="lrTb"/>
            <w:noWrap w:val="false"/>
          </w:tcPr>
          <w:p>
            <w:pPr>
              <w:pStyle w:val="886"/>
              <w:jc w:val="center"/>
              <w:rPr>
                <w:rFonts w:hint="eastAsia" w:ascii="宋体"/>
                <w:szCs w:val="21"/>
              </w:rPr>
            </w:pPr>
            <w:r>
              <w:rPr>
                <w:rFonts w:hint="eastAsia" w:ascii="宋体"/>
              </w:rPr>
              <w:t xml:space="preserve">工期（服务期）、响应时间、质保期（如有）、付款方式、投标内容</w:t>
            </w:r>
            <w:r>
              <w:rPr>
                <w:rFonts w:hint="eastAsia" w:ascii="宋体"/>
                <w:szCs w:val="21"/>
              </w:rPr>
            </w:r>
            <w:r/>
          </w:p>
        </w:tc>
        <w:tc>
          <w:tcPr>
            <w:tcW w:w="2591" w:type="dxa"/>
            <w:vAlign w:val="top"/>
            <w:textDirection w:val="lrTb"/>
            <w:noWrap w:val="false"/>
          </w:tcPr>
          <w:p>
            <w:pPr>
              <w:pStyle w:val="886"/>
              <w:jc w:val="center"/>
              <w:rPr>
                <w:rFonts w:hint="eastAsia" w:ascii="宋体"/>
                <w:szCs w:val="21"/>
              </w:rPr>
            </w:pPr>
            <w:r>
              <w:rPr>
                <w:rFonts w:hint="eastAsia" w:ascii="宋体"/>
                <w:szCs w:val="21"/>
              </w:rPr>
            </w:r>
            <w:r/>
          </w:p>
        </w:tc>
      </w:tr>
    </w:tbl>
    <w:p>
      <w:pPr>
        <w:pStyle w:val="886"/>
        <w:ind w:left="360"/>
        <w:spacing w:line="360" w:lineRule="auto"/>
        <w:rPr>
          <w:rFonts w:ascii="宋体"/>
          <w:sz w:val="24"/>
        </w:rPr>
      </w:pPr>
      <w:r>
        <w:rPr>
          <w:rFonts w:hint="eastAsia" w:ascii="宋体"/>
          <w:sz w:val="24"/>
        </w:rPr>
        <w:t xml:space="preserve">复审评审指标</w:t>
      </w:r>
      <w:r>
        <w:rPr>
          <w:rFonts w:ascii="宋体"/>
          <w:sz w:val="24"/>
        </w:rPr>
      </w:r>
      <w:r/>
    </w:p>
    <w:p>
      <w:pPr>
        <w:pStyle w:val="886"/>
        <w:ind w:left="360"/>
        <w:spacing w:line="360" w:lineRule="auto"/>
        <w:rPr>
          <w:rFonts w:ascii="宋体"/>
          <w:sz w:val="24"/>
        </w:rPr>
      </w:pPr>
      <w:r/>
      <w:bookmarkStart w:id="76" w:name="gpc_score_horizontal_1"/>
      <w:r/>
      <w:bookmarkStart w:id="77" w:name="gpc_score_horizontal_2"/>
      <w:r/>
      <w:bookmarkStart w:id="78" w:name="gpc_score_horizontal_3"/>
      <w:r>
        <w:rPr>
          <w:rFonts w:hint="eastAsia" w:ascii="宋体"/>
          <w:sz w:val="24"/>
        </w:rPr>
        <w:t xml:space="preserve">复审评审指标（标段一、二、三）：</w:t>
      </w:r>
      <w:r>
        <w:rPr>
          <w:rFonts w:ascii="宋体"/>
          <w:sz w:val="24"/>
        </w:rPr>
      </w:r>
      <w:r/>
    </w:p>
    <w:tbl>
      <w:tblPr>
        <w:tblW w:w="9097"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29"/>
        <w:gridCol w:w="1051"/>
        <w:gridCol w:w="6088"/>
        <w:gridCol w:w="829"/>
      </w:tblGrid>
      <w:tr>
        <w:trPr>
          <w:trHeight w:val="336"/>
        </w:trPr>
        <w:tc>
          <w:tcPr>
            <w:tcBorders>
              <w:top w:val="single" w:color="000000" w:sz="6" w:space="0"/>
              <w:left w:val="single" w:color="000000" w:sz="6" w:space="0"/>
              <w:bottom w:val="single" w:color="000000" w:sz="6" w:space="0"/>
              <w:right w:val="single" w:color="000000" w:sz="6" w:space="0"/>
            </w:tcBorders>
            <w:tcMar>
              <w:left w:w="60" w:type="dxa"/>
              <w:top w:w="60" w:type="dxa"/>
              <w:right w:w="60" w:type="dxa"/>
              <w:bottom w:w="45" w:type="dxa"/>
            </w:tcMar>
            <w:tcW w:w="1129" w:type="dxa"/>
            <w:vAlign w:val="center"/>
            <w:textDirection w:val="lrTb"/>
            <w:noWrap w:val="false"/>
          </w:tcPr>
          <w:p>
            <w:pPr>
              <w:pStyle w:val="886"/>
              <w:spacing w:before="100" w:after="120"/>
              <w:rPr>
                <w:rFonts w:ascii="宋体" w:hAnsi="宋体"/>
                <w:sz w:val="24"/>
              </w:rPr>
            </w:pPr>
            <w:r>
              <w:rPr>
                <w:rFonts w:ascii="宋体" w:hAnsi="宋体" w:cs="宋体"/>
                <w:color w:val="000000"/>
                <w:sz w:val="24"/>
              </w:rPr>
              <w:t xml:space="preserve">评审类别</w:t>
            </w:r>
            <w:r>
              <w:rPr>
                <w:rFonts w:ascii="宋体" w:hAnsi="宋体"/>
                <w:sz w:val="24"/>
              </w:rPr>
            </w:r>
            <w:r/>
          </w:p>
        </w:tc>
        <w:tc>
          <w:tcPr>
            <w:tcBorders>
              <w:top w:val="single" w:color="000000" w:sz="6" w:space="0"/>
              <w:left w:val="single" w:color="000000" w:sz="6" w:space="0"/>
              <w:bottom w:val="single" w:color="000000" w:sz="6" w:space="0"/>
              <w:right w:val="single" w:color="000000" w:sz="6" w:space="0"/>
            </w:tcBorders>
            <w:tcMar>
              <w:left w:w="60" w:type="dxa"/>
              <w:top w:w="60" w:type="dxa"/>
              <w:right w:w="60" w:type="dxa"/>
              <w:bottom w:w="45" w:type="dxa"/>
            </w:tcMar>
            <w:tcW w:w="1051" w:type="dxa"/>
            <w:vAlign w:val="center"/>
            <w:textDirection w:val="lrTb"/>
            <w:noWrap w:val="false"/>
          </w:tcPr>
          <w:p>
            <w:pPr>
              <w:pStyle w:val="886"/>
              <w:spacing w:before="100" w:after="120"/>
              <w:rPr>
                <w:rFonts w:ascii="宋体" w:hAnsi="宋体"/>
                <w:sz w:val="24"/>
              </w:rPr>
            </w:pPr>
            <w:r>
              <w:rPr>
                <w:rFonts w:ascii="宋体" w:hAnsi="宋体" w:cs="宋体"/>
                <w:color w:val="000000"/>
                <w:sz w:val="24"/>
              </w:rPr>
              <w:t xml:space="preserve">评审项</w:t>
            </w:r>
            <w:r>
              <w:rPr>
                <w:rFonts w:ascii="宋体" w:hAnsi="宋体"/>
                <w:sz w:val="24"/>
              </w:rPr>
            </w:r>
            <w:r/>
          </w:p>
        </w:tc>
        <w:tc>
          <w:tcPr>
            <w:tcBorders>
              <w:top w:val="single" w:color="000000" w:sz="6" w:space="0"/>
              <w:left w:val="single" w:color="000000" w:sz="6" w:space="0"/>
              <w:bottom w:val="single" w:color="000000" w:sz="6" w:space="0"/>
              <w:right w:val="single" w:color="000000" w:sz="6" w:space="0"/>
            </w:tcBorders>
            <w:tcMar>
              <w:left w:w="60" w:type="dxa"/>
              <w:top w:w="60" w:type="dxa"/>
              <w:right w:w="60" w:type="dxa"/>
              <w:bottom w:w="45" w:type="dxa"/>
            </w:tcMar>
            <w:tcW w:w="6088" w:type="dxa"/>
            <w:vAlign w:val="center"/>
            <w:textDirection w:val="lrTb"/>
            <w:noWrap w:val="false"/>
          </w:tcPr>
          <w:p>
            <w:pPr>
              <w:pStyle w:val="886"/>
              <w:spacing w:before="100" w:after="120"/>
              <w:rPr>
                <w:rFonts w:ascii="宋体" w:hAnsi="宋体"/>
                <w:sz w:val="24"/>
              </w:rPr>
            </w:pPr>
            <w:r>
              <w:rPr>
                <w:rFonts w:ascii="宋体" w:hAnsi="宋体" w:cs="宋体"/>
                <w:color w:val="000000"/>
                <w:sz w:val="24"/>
              </w:rPr>
              <w:t xml:space="preserve">评审规则</w:t>
            </w:r>
            <w:r>
              <w:rPr>
                <w:rFonts w:ascii="宋体" w:hAnsi="宋体"/>
                <w:sz w:val="24"/>
              </w:rPr>
            </w:r>
            <w:r/>
          </w:p>
        </w:tc>
        <w:tc>
          <w:tcPr>
            <w:tcBorders>
              <w:top w:val="single" w:color="000000" w:sz="6" w:space="0"/>
              <w:left w:val="single" w:color="000000" w:sz="6" w:space="0"/>
              <w:bottom w:val="single" w:color="000000" w:sz="6" w:space="0"/>
              <w:right w:val="single" w:color="000000" w:sz="6" w:space="0"/>
            </w:tcBorders>
            <w:tcMar>
              <w:left w:w="60" w:type="dxa"/>
              <w:top w:w="60" w:type="dxa"/>
              <w:right w:w="60" w:type="dxa"/>
              <w:bottom w:w="45" w:type="dxa"/>
            </w:tcMar>
            <w:tcW w:w="829" w:type="dxa"/>
            <w:vAlign w:val="center"/>
            <w:textDirection w:val="lrTb"/>
            <w:noWrap w:val="false"/>
          </w:tcPr>
          <w:p>
            <w:pPr>
              <w:pStyle w:val="886"/>
              <w:spacing w:before="100" w:after="120"/>
              <w:rPr>
                <w:rFonts w:ascii="宋体" w:hAnsi="宋体"/>
                <w:sz w:val="24"/>
              </w:rPr>
            </w:pPr>
            <w:r>
              <w:rPr>
                <w:rFonts w:ascii="宋体" w:hAnsi="宋体" w:cs="宋体"/>
                <w:color w:val="000000"/>
                <w:sz w:val="24"/>
              </w:rPr>
              <w:t xml:space="preserve">分值</w:t>
            </w:r>
            <w:r>
              <w:rPr>
                <w:rFonts w:ascii="宋体" w:hAnsi="宋体"/>
                <w:sz w:val="24"/>
              </w:rPr>
            </w:r>
            <w:r/>
          </w:p>
        </w:tc>
      </w:tr>
      <w:tr>
        <w:trPr>
          <w:cantSplit/>
          <w:trHeight w:val="797"/>
        </w:trPr>
        <w:tc>
          <w:tcPr>
            <w:tcBorders>
              <w:top w:val="single" w:color="000000" w:sz="6" w:space="0"/>
              <w:left w:val="single" w:color="000000" w:sz="6" w:space="0"/>
              <w:bottom w:val="single" w:color="000000" w:sz="6" w:space="0"/>
              <w:right w:val="single" w:color="000000" w:sz="6" w:space="0"/>
            </w:tcBorders>
            <w:tcMar>
              <w:left w:w="60" w:type="dxa"/>
              <w:top w:w="60" w:type="dxa"/>
              <w:right w:w="60" w:type="dxa"/>
              <w:bottom w:w="45" w:type="dxa"/>
            </w:tcMar>
            <w:tcW w:w="1129" w:type="dxa"/>
            <w:vAlign w:val="center"/>
            <w:vMerge w:val="restart"/>
            <w:textDirection w:val="lrTb"/>
            <w:noWrap w:val="false"/>
          </w:tcPr>
          <w:p>
            <w:pPr>
              <w:pStyle w:val="886"/>
              <w:rPr>
                <w:rFonts w:ascii="宋体" w:hAnsi="宋体"/>
                <w:sz w:val="24"/>
              </w:rPr>
            </w:pPr>
            <w:r>
              <w:rPr>
                <w:rFonts w:ascii="宋体" w:hAnsi="宋体" w:cs="宋体"/>
                <w:color w:val="000000"/>
                <w:sz w:val="24"/>
              </w:rPr>
              <w:t xml:space="preserve">（一）投入本项目人员的资格（</w:t>
            </w:r>
            <w:r>
              <w:rPr>
                <w:rFonts w:hint="eastAsia" w:ascii="宋体" w:hAnsi="宋体" w:cs="宋体"/>
                <w:color w:val="000000"/>
                <w:sz w:val="24"/>
              </w:rPr>
              <w:t xml:space="preserve">42</w:t>
            </w:r>
            <w:r>
              <w:rPr>
                <w:rFonts w:ascii="宋体" w:hAnsi="宋体" w:cs="宋体"/>
                <w:color w:val="000000"/>
                <w:sz w:val="24"/>
              </w:rPr>
              <w:t xml:space="preserve">分）</w:t>
            </w:r>
            <w:r>
              <w:rPr>
                <w:rFonts w:ascii="宋体" w:hAnsi="宋体"/>
                <w:sz w:val="24"/>
              </w:rPr>
            </w:r>
            <w:r/>
          </w:p>
        </w:tc>
        <w:tc>
          <w:tcPr>
            <w:tcBorders>
              <w:top w:val="single" w:color="CBCDD1" w:sz="6" w:space="0"/>
              <w:left w:val="single" w:color="000000" w:sz="6" w:space="0"/>
              <w:bottom w:val="single" w:color="000000" w:sz="6" w:space="0"/>
              <w:right w:val="single" w:color="000000" w:sz="6" w:space="0"/>
            </w:tcBorders>
            <w:tcMar>
              <w:left w:w="60" w:type="dxa"/>
              <w:top w:w="60" w:type="dxa"/>
              <w:right w:w="60" w:type="dxa"/>
              <w:bottom w:w="45" w:type="dxa"/>
            </w:tcMar>
            <w:tcW w:w="1051" w:type="dxa"/>
            <w:vAlign w:val="center"/>
            <w:textDirection w:val="lrTb"/>
            <w:noWrap w:val="false"/>
          </w:tcPr>
          <w:p>
            <w:pPr>
              <w:pStyle w:val="886"/>
              <w:rPr>
                <w:rFonts w:ascii="宋体" w:hAnsi="宋体"/>
                <w:sz w:val="24"/>
              </w:rPr>
            </w:pPr>
            <w:r>
              <w:rPr>
                <w:rFonts w:hint="eastAsia" w:ascii="宋体" w:hAnsi="宋体" w:cs="宋体"/>
                <w:color w:val="000000"/>
                <w:sz w:val="24"/>
              </w:rPr>
              <w:t xml:space="preserve">1.</w:t>
            </w:r>
            <w:r>
              <w:rPr>
                <w:rFonts w:ascii="宋体" w:hAnsi="宋体" w:cs="宋体"/>
                <w:color w:val="000000"/>
                <w:sz w:val="24"/>
              </w:rPr>
              <w:t xml:space="preserve">项目负责人素质</w:t>
            </w:r>
            <w:r>
              <w:rPr>
                <w:rFonts w:ascii="宋体" w:hAnsi="宋体"/>
                <w:sz w:val="24"/>
              </w:rPr>
            </w:r>
            <w:r/>
          </w:p>
        </w:tc>
        <w:tc>
          <w:tcPr>
            <w:tcBorders>
              <w:top w:val="single" w:color="CBCDD1" w:sz="6" w:space="0"/>
              <w:left w:val="single" w:color="000000" w:sz="6" w:space="0"/>
              <w:bottom w:val="single" w:color="000000" w:sz="6" w:space="0"/>
              <w:right w:val="single" w:color="000000" w:sz="6" w:space="0"/>
            </w:tcBorders>
            <w:tcMar>
              <w:left w:w="60" w:type="dxa"/>
              <w:top w:w="60" w:type="dxa"/>
              <w:right w:w="60" w:type="dxa"/>
              <w:bottom w:w="45" w:type="dxa"/>
            </w:tcMar>
            <w:tcW w:w="6088" w:type="dxa"/>
            <w:vAlign w:val="center"/>
            <w:textDirection w:val="lrTb"/>
            <w:noWrap w:val="false"/>
          </w:tcPr>
          <w:p>
            <w:pPr>
              <w:pStyle w:val="886"/>
              <w:rPr>
                <w:rFonts w:hint="eastAsia" w:ascii="宋体" w:hAnsi="宋体" w:cs="宋体"/>
                <w:color w:val="000000"/>
                <w:sz w:val="24"/>
              </w:rPr>
            </w:pPr>
            <w:r>
              <w:rPr>
                <w:rFonts w:ascii="宋体" w:hAnsi="宋体" w:cs="宋体"/>
                <w:color w:val="000000"/>
                <w:sz w:val="24"/>
              </w:rPr>
              <w:t xml:space="preserve">a.取得注册环境影响评价师</w:t>
            </w:r>
            <w:r>
              <w:rPr>
                <w:rFonts w:hint="eastAsia" w:ascii="宋体" w:hAnsi="宋体" w:cs="宋体"/>
                <w:color w:val="000000"/>
                <w:sz w:val="24"/>
              </w:rPr>
              <w:t xml:space="preserve">或</w:t>
            </w:r>
            <w:r>
              <w:rPr>
                <w:rFonts w:ascii="宋体" w:hAnsi="宋体" w:cs="宋体"/>
                <w:color w:val="000000"/>
                <w:sz w:val="24"/>
              </w:rPr>
              <w:t xml:space="preserve">注册环保工程师或环境类高级工程师职称</w:t>
            </w:r>
            <w:r>
              <w:rPr>
                <w:rFonts w:hint="eastAsia" w:ascii="宋体" w:hAnsi="宋体" w:cs="宋体"/>
                <w:color w:val="000000"/>
                <w:sz w:val="24"/>
              </w:rPr>
              <w:t xml:space="preserve">，</w:t>
            </w:r>
            <w:r>
              <w:rPr>
                <w:rFonts w:ascii="宋体" w:hAnsi="宋体" w:cs="宋体"/>
                <w:color w:val="000000"/>
                <w:sz w:val="24"/>
              </w:rPr>
              <w:t xml:space="preserve">得4分；</w:t>
            </w:r>
            <w:r>
              <w:rPr>
                <w:rFonts w:hint="eastAsia" w:ascii="宋体" w:hAnsi="宋体" w:cs="宋体"/>
                <w:color w:val="000000"/>
                <w:sz w:val="24"/>
              </w:rPr>
            </w:r>
            <w:r/>
          </w:p>
          <w:p>
            <w:pPr>
              <w:pStyle w:val="886"/>
              <w:rPr>
                <w:rFonts w:hint="eastAsia" w:ascii="宋体" w:hAnsi="宋体" w:cs="宋体"/>
                <w:color w:val="000000"/>
                <w:sz w:val="24"/>
              </w:rPr>
            </w:pPr>
            <w:r>
              <w:rPr>
                <w:rFonts w:ascii="宋体" w:hAnsi="宋体" w:cs="宋体"/>
                <w:color w:val="000000"/>
                <w:sz w:val="24"/>
              </w:rPr>
              <w:t xml:space="preserve">b.具备生态环境部门委托的环保服务类项目工作组织经验，得4分（提供相关证明材料）。</w:t>
            </w:r>
            <w:r>
              <w:rPr>
                <w:rFonts w:hint="eastAsia" w:ascii="宋体" w:hAnsi="宋体" w:cs="宋体"/>
                <w:color w:val="000000"/>
                <w:sz w:val="24"/>
              </w:rPr>
            </w:r>
            <w:r/>
          </w:p>
          <w:p>
            <w:pPr>
              <w:pStyle w:val="886"/>
              <w:rPr>
                <w:rFonts w:ascii="宋体" w:hAnsi="宋体"/>
                <w:sz w:val="24"/>
              </w:rPr>
            </w:pPr>
            <w:r>
              <w:rPr>
                <w:rFonts w:ascii="宋体" w:hAnsi="宋体" w:cs="宋体"/>
                <w:color w:val="000000"/>
                <w:sz w:val="24"/>
              </w:rPr>
              <w:t xml:space="preserve">项目负责人必须为本单位正式职工，提供相关证书、至少包括在本单位缴纳的连续6个月社保证明材料。</w:t>
            </w:r>
            <w:r>
              <w:rPr>
                <w:rFonts w:ascii="宋体" w:hAnsi="宋体"/>
                <w:sz w:val="24"/>
              </w:rPr>
            </w:r>
            <w:r/>
          </w:p>
        </w:tc>
        <w:tc>
          <w:tcPr>
            <w:tcBorders>
              <w:top w:val="single" w:color="CBCDD1" w:sz="6" w:space="0"/>
              <w:left w:val="single" w:color="000000" w:sz="6" w:space="0"/>
              <w:bottom w:val="single" w:color="000000" w:sz="6" w:space="0"/>
              <w:right w:val="single" w:color="000000" w:sz="6" w:space="0"/>
            </w:tcBorders>
            <w:tcMar>
              <w:left w:w="60" w:type="dxa"/>
              <w:top w:w="60" w:type="dxa"/>
              <w:right w:w="60" w:type="dxa"/>
              <w:bottom w:w="45" w:type="dxa"/>
            </w:tcMar>
            <w:tcW w:w="829" w:type="dxa"/>
            <w:vAlign w:val="center"/>
            <w:textDirection w:val="lrTb"/>
            <w:noWrap w:val="false"/>
          </w:tcPr>
          <w:p>
            <w:pPr>
              <w:pStyle w:val="886"/>
              <w:jc w:val="center"/>
              <w:spacing w:before="100" w:after="120"/>
              <w:rPr>
                <w:rFonts w:ascii="宋体" w:hAnsi="宋体"/>
                <w:sz w:val="24"/>
              </w:rPr>
            </w:pPr>
            <w:r>
              <w:rPr>
                <w:rFonts w:ascii="宋体" w:hAnsi="宋体" w:cs="宋体"/>
                <w:color w:val="000000"/>
                <w:sz w:val="24"/>
              </w:rPr>
              <w:t xml:space="preserve">8</w:t>
            </w:r>
            <w:r>
              <w:rPr>
                <w:rFonts w:ascii="宋体" w:hAnsi="宋体"/>
                <w:sz w:val="24"/>
              </w:rPr>
            </w:r>
            <w:r/>
          </w:p>
        </w:tc>
      </w:tr>
      <w:tr>
        <w:trPr>
          <w:cantSplit/>
          <w:trHeight w:val="172"/>
        </w:trPr>
        <w:tc>
          <w:tcPr>
            <w:tcBorders>
              <w:top w:val="single" w:color="CBCDD1" w:sz="6" w:space="0"/>
              <w:left w:val="single" w:color="000000" w:sz="6" w:space="0"/>
              <w:bottom w:val="single" w:color="000000" w:sz="6" w:space="0"/>
              <w:right w:val="single" w:color="000000" w:sz="6" w:space="0"/>
            </w:tcBorders>
            <w:tcMar>
              <w:left w:w="60" w:type="dxa"/>
              <w:top w:w="60" w:type="dxa"/>
              <w:right w:w="60" w:type="dxa"/>
              <w:bottom w:w="45" w:type="dxa"/>
            </w:tcMar>
            <w:tcW w:w="1129" w:type="dxa"/>
            <w:vAlign w:val="center"/>
            <w:vMerge w:val="continue"/>
            <w:textDirection w:val="lrTb"/>
            <w:noWrap w:val="false"/>
          </w:tcPr>
          <w:p>
            <w:pPr>
              <w:pStyle w:val="886"/>
              <w:rPr>
                <w:rFonts w:ascii="宋体" w:hAnsi="宋体"/>
                <w:sz w:val="24"/>
              </w:rPr>
            </w:pPr>
            <w:r>
              <w:rPr>
                <w:rFonts w:ascii="宋体" w:hAnsi="宋体"/>
                <w:sz w:val="24"/>
              </w:rPr>
            </w:r>
            <w:r/>
          </w:p>
        </w:tc>
        <w:tc>
          <w:tcPr>
            <w:tcBorders>
              <w:top w:val="single" w:color="000000" w:sz="6" w:space="0"/>
              <w:left w:val="single" w:color="000000" w:sz="6" w:space="0"/>
              <w:bottom w:val="single" w:color="000000" w:sz="6" w:space="0"/>
              <w:right w:val="single" w:color="000000" w:sz="6" w:space="0"/>
            </w:tcBorders>
            <w:tcMar>
              <w:left w:w="60" w:type="dxa"/>
              <w:top w:w="60" w:type="dxa"/>
              <w:right w:w="60" w:type="dxa"/>
              <w:bottom w:w="45" w:type="dxa"/>
            </w:tcMar>
            <w:tcW w:w="1051" w:type="dxa"/>
            <w:vAlign w:val="center"/>
            <w:textDirection w:val="lrTb"/>
            <w:noWrap w:val="false"/>
          </w:tcPr>
          <w:p>
            <w:pPr>
              <w:pStyle w:val="886"/>
              <w:spacing w:before="100" w:after="120"/>
              <w:rPr>
                <w:rFonts w:ascii="宋体" w:hAnsi="宋体"/>
                <w:sz w:val="24"/>
              </w:rPr>
            </w:pPr>
            <w:r>
              <w:rPr>
                <w:rFonts w:hint="eastAsia" w:ascii="宋体" w:hAnsi="宋体" w:cs="宋体"/>
                <w:color w:val="000000"/>
                <w:sz w:val="24"/>
              </w:rPr>
              <w:t xml:space="preserve">2.</w:t>
            </w:r>
            <w:r>
              <w:rPr>
                <w:rFonts w:ascii="宋体" w:hAnsi="宋体" w:cs="宋体"/>
                <w:color w:val="000000"/>
                <w:sz w:val="24"/>
              </w:rPr>
              <w:t xml:space="preserve">技术负责人素质</w:t>
            </w:r>
            <w:r>
              <w:rPr>
                <w:rFonts w:ascii="宋体" w:hAnsi="宋体"/>
                <w:sz w:val="24"/>
              </w:rPr>
            </w:r>
            <w:r/>
          </w:p>
        </w:tc>
        <w:tc>
          <w:tcPr>
            <w:tcBorders>
              <w:top w:val="single" w:color="CBCDD1" w:sz="6" w:space="0"/>
              <w:left w:val="single" w:color="000000" w:sz="6" w:space="0"/>
              <w:bottom w:val="single" w:color="000000" w:sz="6" w:space="0"/>
              <w:right w:val="single" w:color="000000" w:sz="6" w:space="0"/>
            </w:tcBorders>
            <w:tcMar>
              <w:left w:w="60" w:type="dxa"/>
              <w:top w:w="60" w:type="dxa"/>
              <w:right w:w="60" w:type="dxa"/>
              <w:bottom w:w="45" w:type="dxa"/>
            </w:tcMar>
            <w:tcW w:w="6088" w:type="dxa"/>
            <w:vAlign w:val="center"/>
            <w:textDirection w:val="lrTb"/>
            <w:noWrap w:val="false"/>
          </w:tcPr>
          <w:p>
            <w:pPr>
              <w:pStyle w:val="886"/>
              <w:rPr>
                <w:rFonts w:hint="eastAsia" w:ascii="宋体" w:hAnsi="宋体" w:cs="宋体"/>
                <w:color w:val="000000"/>
                <w:sz w:val="24"/>
              </w:rPr>
            </w:pPr>
            <w:r>
              <w:rPr>
                <w:rFonts w:ascii="宋体" w:hAnsi="宋体" w:cs="宋体"/>
                <w:color w:val="000000"/>
                <w:sz w:val="24"/>
              </w:rPr>
              <w:t xml:space="preserve">a.取得注册环境影响评价师</w:t>
            </w:r>
            <w:r>
              <w:rPr>
                <w:rFonts w:hint="eastAsia" w:ascii="宋体" w:hAnsi="宋体" w:cs="宋体"/>
                <w:color w:val="000000"/>
                <w:sz w:val="24"/>
              </w:rPr>
              <w:t xml:space="preserve">或</w:t>
            </w:r>
            <w:r>
              <w:rPr>
                <w:rFonts w:ascii="宋体" w:hAnsi="宋体" w:cs="宋体"/>
                <w:color w:val="000000"/>
                <w:sz w:val="24"/>
              </w:rPr>
              <w:t xml:space="preserve">注册环保工程师或环境类高级工程师职称</w:t>
            </w:r>
            <w:r>
              <w:rPr>
                <w:rFonts w:hint="eastAsia" w:ascii="宋体" w:hAnsi="宋体" w:cs="宋体"/>
                <w:color w:val="000000"/>
                <w:sz w:val="24"/>
              </w:rPr>
              <w:t xml:space="preserve">，</w:t>
            </w:r>
            <w:r>
              <w:rPr>
                <w:rFonts w:ascii="宋体" w:hAnsi="宋体" w:cs="宋体"/>
                <w:color w:val="000000"/>
                <w:sz w:val="24"/>
              </w:rPr>
              <w:t xml:space="preserve">得4分；</w:t>
            </w:r>
            <w:r>
              <w:rPr>
                <w:rFonts w:hint="eastAsia" w:ascii="宋体" w:hAnsi="宋体" w:cs="宋体"/>
                <w:color w:val="000000"/>
                <w:sz w:val="24"/>
              </w:rPr>
            </w:r>
            <w:r/>
          </w:p>
          <w:p>
            <w:pPr>
              <w:pStyle w:val="886"/>
              <w:rPr>
                <w:rFonts w:ascii="宋体" w:hAnsi="宋体"/>
                <w:sz w:val="24"/>
              </w:rPr>
            </w:pPr>
            <w:r>
              <w:rPr>
                <w:rFonts w:ascii="宋体" w:hAnsi="宋体" w:cs="宋体"/>
                <w:color w:val="000000"/>
                <w:sz w:val="24"/>
              </w:rPr>
              <w:t xml:space="preserve">b.具备生态环境部门委托的环保服务类项目现场检查经验，得3分（提供相关证明材料）</w:t>
            </w:r>
            <w:r>
              <w:rPr>
                <w:rFonts w:ascii="宋体" w:hAnsi="宋体"/>
                <w:sz w:val="24"/>
              </w:rPr>
            </w:r>
            <w:r/>
          </w:p>
          <w:p>
            <w:pPr>
              <w:pStyle w:val="886"/>
              <w:rPr>
                <w:rFonts w:ascii="宋体" w:hAnsi="宋体"/>
                <w:sz w:val="24"/>
              </w:rPr>
            </w:pPr>
            <w:r>
              <w:rPr>
                <w:rFonts w:ascii="宋体" w:hAnsi="宋体" w:cs="宋体"/>
                <w:color w:val="000000"/>
                <w:sz w:val="24"/>
              </w:rPr>
              <w:t xml:space="preserve">c.具备生态环境部门委托的环保服务类项目报告编制经验，得3分（提供相关证明材料）</w:t>
            </w:r>
            <w:r>
              <w:rPr>
                <w:rFonts w:ascii="宋体" w:hAnsi="宋体"/>
                <w:sz w:val="24"/>
              </w:rPr>
            </w:r>
            <w:r/>
          </w:p>
          <w:p>
            <w:pPr>
              <w:pStyle w:val="886"/>
              <w:rPr>
                <w:rFonts w:ascii="宋体" w:hAnsi="宋体"/>
                <w:sz w:val="24"/>
              </w:rPr>
            </w:pPr>
            <w:r>
              <w:rPr>
                <w:rFonts w:ascii="宋体" w:hAnsi="宋体" w:cs="宋体"/>
                <w:color w:val="000000"/>
                <w:sz w:val="24"/>
              </w:rPr>
              <w:t xml:space="preserve">技术负责人必须为本单位正式职工，提供相关证书、至少包括在本单位缴纳的连续6个月社保证明材料。</w:t>
            </w:r>
            <w:r>
              <w:rPr>
                <w:rFonts w:ascii="宋体" w:hAnsi="宋体"/>
                <w:sz w:val="24"/>
              </w:rPr>
            </w:r>
            <w:r/>
          </w:p>
        </w:tc>
        <w:tc>
          <w:tcPr>
            <w:tcBorders>
              <w:top w:val="single" w:color="CBCDD1" w:sz="6" w:space="0"/>
              <w:left w:val="single" w:color="000000" w:sz="6" w:space="0"/>
              <w:bottom w:val="single" w:color="000000" w:sz="6" w:space="0"/>
              <w:right w:val="single" w:color="000000" w:sz="6" w:space="0"/>
            </w:tcBorders>
            <w:tcMar>
              <w:left w:w="60" w:type="dxa"/>
              <w:top w:w="60" w:type="dxa"/>
              <w:right w:w="60" w:type="dxa"/>
              <w:bottom w:w="45" w:type="dxa"/>
            </w:tcMar>
            <w:tcW w:w="829" w:type="dxa"/>
            <w:vAlign w:val="center"/>
            <w:textDirection w:val="lrTb"/>
            <w:noWrap w:val="false"/>
          </w:tcPr>
          <w:p>
            <w:pPr>
              <w:pStyle w:val="886"/>
              <w:jc w:val="center"/>
              <w:spacing w:before="100" w:after="120"/>
              <w:rPr>
                <w:rFonts w:ascii="宋体" w:hAnsi="宋体"/>
                <w:sz w:val="24"/>
              </w:rPr>
            </w:pPr>
            <w:r>
              <w:rPr>
                <w:rFonts w:ascii="宋体" w:hAnsi="宋体" w:cs="宋体"/>
                <w:color w:val="000000"/>
                <w:sz w:val="24"/>
              </w:rPr>
              <w:t xml:space="preserve">10</w:t>
            </w:r>
            <w:r>
              <w:rPr>
                <w:rFonts w:ascii="宋体" w:hAnsi="宋体"/>
                <w:sz w:val="24"/>
              </w:rPr>
            </w:r>
            <w:r/>
          </w:p>
        </w:tc>
      </w:tr>
      <w:tr>
        <w:trPr>
          <w:cantSplit/>
          <w:trHeight w:val="833"/>
        </w:trPr>
        <w:tc>
          <w:tcPr>
            <w:tcBorders>
              <w:top w:val="single" w:color="CBCDD1" w:sz="6" w:space="0"/>
              <w:left w:val="single" w:color="000000" w:sz="6" w:space="0"/>
              <w:bottom w:val="single" w:color="000000" w:sz="6" w:space="0"/>
              <w:right w:val="single" w:color="000000" w:sz="6" w:space="0"/>
            </w:tcBorders>
            <w:tcMar>
              <w:left w:w="60" w:type="dxa"/>
              <w:top w:w="60" w:type="dxa"/>
              <w:right w:w="60" w:type="dxa"/>
              <w:bottom w:w="45" w:type="dxa"/>
            </w:tcMar>
            <w:tcW w:w="1129" w:type="dxa"/>
            <w:vAlign w:val="center"/>
            <w:vMerge w:val="continue"/>
            <w:textDirection w:val="lrTb"/>
            <w:noWrap w:val="false"/>
          </w:tcPr>
          <w:p>
            <w:pPr>
              <w:pStyle w:val="886"/>
              <w:rPr>
                <w:rFonts w:ascii="宋体" w:hAnsi="宋体"/>
                <w:sz w:val="24"/>
              </w:rPr>
            </w:pPr>
            <w:r>
              <w:rPr>
                <w:rFonts w:ascii="宋体" w:hAnsi="宋体"/>
                <w:sz w:val="24"/>
              </w:rPr>
            </w:r>
            <w:r/>
          </w:p>
        </w:tc>
        <w:tc>
          <w:tcPr>
            <w:tcBorders>
              <w:top w:val="single" w:color="000000" w:sz="6" w:space="0"/>
              <w:left w:val="single" w:color="000000" w:sz="6" w:space="0"/>
              <w:bottom w:val="single" w:color="000000" w:sz="6" w:space="0"/>
              <w:right w:val="single" w:color="000000" w:sz="6" w:space="0"/>
            </w:tcBorders>
            <w:tcMar>
              <w:left w:w="60" w:type="dxa"/>
              <w:top w:w="60" w:type="dxa"/>
              <w:right w:w="60" w:type="dxa"/>
              <w:bottom w:w="45" w:type="dxa"/>
            </w:tcMar>
            <w:tcW w:w="1051" w:type="dxa"/>
            <w:vAlign w:val="center"/>
            <w:textDirection w:val="lrTb"/>
            <w:noWrap w:val="false"/>
          </w:tcPr>
          <w:p>
            <w:pPr>
              <w:pStyle w:val="886"/>
              <w:spacing w:before="100" w:after="120"/>
              <w:rPr>
                <w:rFonts w:ascii="宋体" w:hAnsi="宋体"/>
                <w:sz w:val="24"/>
              </w:rPr>
            </w:pPr>
            <w:r>
              <w:rPr>
                <w:rFonts w:hint="eastAsia" w:ascii="宋体" w:hAnsi="宋体" w:cs="宋体"/>
                <w:color w:val="000000"/>
                <w:sz w:val="24"/>
              </w:rPr>
              <w:t xml:space="preserve">3.</w:t>
            </w:r>
            <w:r>
              <w:rPr>
                <w:rFonts w:ascii="宋体" w:hAnsi="宋体" w:cs="宋体"/>
                <w:color w:val="000000"/>
                <w:sz w:val="24"/>
              </w:rPr>
              <w:t xml:space="preserve">项目组成员</w:t>
            </w:r>
            <w:r>
              <w:rPr>
                <w:rFonts w:hint="eastAsia" w:ascii="宋体" w:hAnsi="宋体" w:cs="宋体"/>
                <w:color w:val="000000"/>
                <w:sz w:val="24"/>
              </w:rPr>
              <w:t xml:space="preserve">配备</w:t>
            </w:r>
            <w:r>
              <w:rPr>
                <w:rFonts w:ascii="宋体" w:hAnsi="宋体"/>
                <w:sz w:val="24"/>
              </w:rPr>
            </w:r>
            <w:r/>
          </w:p>
        </w:tc>
        <w:tc>
          <w:tcPr>
            <w:tcBorders>
              <w:top w:val="single" w:color="CBCDD1" w:sz="6" w:space="0"/>
              <w:left w:val="single" w:color="000000" w:sz="6" w:space="0"/>
              <w:bottom w:val="single" w:color="000000" w:sz="6" w:space="0"/>
              <w:right w:val="single" w:color="000000" w:sz="6" w:space="0"/>
            </w:tcBorders>
            <w:tcMar>
              <w:left w:w="60" w:type="dxa"/>
              <w:top w:w="60" w:type="dxa"/>
              <w:right w:w="60" w:type="dxa"/>
              <w:bottom w:w="45" w:type="dxa"/>
            </w:tcMar>
            <w:tcW w:w="6088" w:type="dxa"/>
            <w:vAlign w:val="center"/>
            <w:textDirection w:val="lrTb"/>
            <w:noWrap w:val="false"/>
          </w:tcPr>
          <w:p>
            <w:pPr>
              <w:pStyle w:val="886"/>
              <w:rPr>
                <w:rFonts w:ascii="宋体" w:hAnsi="宋体"/>
                <w:sz w:val="24"/>
              </w:rPr>
            </w:pPr>
            <w:r>
              <w:rPr>
                <w:rFonts w:ascii="宋体" w:hAnsi="宋体" w:cs="宋体"/>
                <w:color w:val="000000"/>
                <w:sz w:val="24"/>
              </w:rPr>
              <w:t xml:space="preserve">为本项目配备人员1</w:t>
            </w:r>
            <w:r>
              <w:rPr>
                <w:rFonts w:hint="eastAsia" w:ascii="宋体" w:hAnsi="宋体" w:cs="宋体"/>
                <w:color w:val="000000"/>
                <w:sz w:val="24"/>
              </w:rPr>
              <w:t xml:space="preserve">2</w:t>
            </w:r>
            <w:r>
              <w:rPr>
                <w:rFonts w:ascii="宋体" w:hAnsi="宋体" w:cs="宋体"/>
                <w:color w:val="000000"/>
                <w:sz w:val="24"/>
              </w:rPr>
              <w:t xml:space="preserve">人及以上的</w:t>
            </w:r>
            <w:r>
              <w:rPr>
                <w:rFonts w:hint="eastAsia" w:ascii="宋体" w:hAnsi="宋体" w:cs="宋体"/>
                <w:color w:val="000000"/>
                <w:sz w:val="24"/>
              </w:rPr>
              <w:t xml:space="preserve">,</w:t>
            </w:r>
            <w:r>
              <w:rPr>
                <w:rFonts w:ascii="宋体" w:hAnsi="宋体" w:cs="宋体"/>
                <w:color w:val="000000"/>
                <w:sz w:val="24"/>
              </w:rPr>
              <w:t xml:space="preserve">得</w:t>
            </w:r>
            <w:r>
              <w:rPr>
                <w:rFonts w:hint="eastAsia" w:ascii="宋体" w:hAnsi="宋体" w:cs="宋体"/>
                <w:color w:val="000000"/>
                <w:sz w:val="24"/>
              </w:rPr>
              <w:t xml:space="preserve">8</w:t>
            </w:r>
            <w:r>
              <w:rPr>
                <w:rFonts w:ascii="宋体" w:hAnsi="宋体" w:cs="宋体"/>
                <w:color w:val="000000"/>
                <w:sz w:val="24"/>
              </w:rPr>
              <w:t xml:space="preserve">分，为本项目配备人员</w:t>
            </w:r>
            <w:r>
              <w:rPr>
                <w:rFonts w:hint="eastAsia" w:ascii="宋体" w:hAnsi="宋体" w:cs="宋体"/>
                <w:color w:val="000000"/>
                <w:sz w:val="24"/>
              </w:rPr>
              <w:t xml:space="preserve">10</w:t>
            </w:r>
            <w:r>
              <w:rPr>
                <w:rFonts w:ascii="宋体" w:hAnsi="宋体" w:cs="宋体"/>
                <w:color w:val="000000"/>
                <w:sz w:val="24"/>
              </w:rPr>
              <w:t xml:space="preserve">到</w:t>
            </w:r>
            <w:r>
              <w:rPr>
                <w:rFonts w:hint="eastAsia" w:ascii="宋体" w:hAnsi="宋体" w:cs="宋体"/>
                <w:color w:val="000000"/>
                <w:sz w:val="24"/>
              </w:rPr>
              <w:t xml:space="preserve">11</w:t>
            </w:r>
            <w:r>
              <w:rPr>
                <w:rFonts w:ascii="宋体" w:hAnsi="宋体" w:cs="宋体"/>
                <w:color w:val="000000"/>
                <w:sz w:val="24"/>
              </w:rPr>
              <w:t xml:space="preserve">人得</w:t>
            </w:r>
            <w:r>
              <w:rPr>
                <w:rFonts w:hint="eastAsia" w:ascii="宋体" w:hAnsi="宋体" w:cs="宋体"/>
                <w:color w:val="000000"/>
                <w:sz w:val="24"/>
              </w:rPr>
              <w:t xml:space="preserve">6</w:t>
            </w:r>
            <w:r>
              <w:rPr>
                <w:rFonts w:ascii="宋体" w:hAnsi="宋体" w:cs="宋体"/>
                <w:color w:val="000000"/>
                <w:sz w:val="24"/>
              </w:rPr>
              <w:t xml:space="preserve">分</w:t>
            </w:r>
            <w:r>
              <w:rPr>
                <w:rFonts w:hint="eastAsia" w:ascii="宋体" w:hAnsi="宋体" w:cs="宋体"/>
                <w:color w:val="000000"/>
                <w:sz w:val="24"/>
              </w:rPr>
              <w:t xml:space="preserve">，</w:t>
            </w:r>
            <w:r>
              <w:rPr>
                <w:rFonts w:ascii="宋体" w:hAnsi="宋体" w:cs="宋体"/>
                <w:color w:val="000000"/>
                <w:sz w:val="24"/>
              </w:rPr>
              <w:t xml:space="preserve">为本项目配备人员8到9人得4分，为本项目配备人员6到7人得2分，6人以下不得分（项目负责人、技术负责人除外，根据投标单位提供投标人员一览表及社保证明进行打分）。</w:t>
            </w:r>
            <w:r>
              <w:rPr>
                <w:rFonts w:ascii="宋体" w:hAnsi="宋体"/>
                <w:sz w:val="24"/>
              </w:rPr>
            </w:r>
            <w:r/>
          </w:p>
        </w:tc>
        <w:tc>
          <w:tcPr>
            <w:tcBorders>
              <w:top w:val="single" w:color="CBCDD1" w:sz="6" w:space="0"/>
              <w:left w:val="single" w:color="000000" w:sz="6" w:space="0"/>
              <w:bottom w:val="single" w:color="000000" w:sz="6" w:space="0"/>
              <w:right w:val="single" w:color="000000" w:sz="6" w:space="0"/>
            </w:tcBorders>
            <w:tcMar>
              <w:left w:w="60" w:type="dxa"/>
              <w:top w:w="60" w:type="dxa"/>
              <w:right w:w="60" w:type="dxa"/>
              <w:bottom w:w="45" w:type="dxa"/>
            </w:tcMar>
            <w:tcW w:w="829" w:type="dxa"/>
            <w:vAlign w:val="center"/>
            <w:textDirection w:val="lrTb"/>
            <w:noWrap w:val="false"/>
          </w:tcPr>
          <w:p>
            <w:pPr>
              <w:pStyle w:val="886"/>
              <w:jc w:val="center"/>
              <w:spacing w:before="100" w:after="120"/>
              <w:rPr>
                <w:rFonts w:ascii="宋体" w:hAnsi="宋体"/>
                <w:sz w:val="24"/>
              </w:rPr>
            </w:pPr>
            <w:r>
              <w:rPr>
                <w:rFonts w:hint="eastAsia" w:ascii="宋体" w:hAnsi="宋体" w:cs="宋体"/>
                <w:color w:val="000000"/>
                <w:sz w:val="24"/>
              </w:rPr>
              <w:t xml:space="preserve">8</w:t>
            </w:r>
            <w:r>
              <w:rPr>
                <w:rFonts w:ascii="宋体" w:hAnsi="宋体"/>
                <w:sz w:val="24"/>
              </w:rPr>
            </w:r>
            <w:r/>
          </w:p>
        </w:tc>
      </w:tr>
      <w:tr>
        <w:trPr>
          <w:cantSplit/>
          <w:trHeight w:val="2727"/>
        </w:trPr>
        <w:tc>
          <w:tcPr>
            <w:tcBorders>
              <w:top w:val="single" w:color="CBCDD1" w:sz="6" w:space="0"/>
              <w:left w:val="single" w:color="000000" w:sz="6" w:space="0"/>
              <w:bottom w:val="single" w:color="000000" w:sz="6" w:space="0"/>
              <w:right w:val="single" w:color="000000" w:sz="6" w:space="0"/>
            </w:tcBorders>
            <w:tcMar>
              <w:left w:w="60" w:type="dxa"/>
              <w:top w:w="60" w:type="dxa"/>
              <w:right w:w="60" w:type="dxa"/>
              <w:bottom w:w="45" w:type="dxa"/>
            </w:tcMar>
            <w:tcW w:w="1129" w:type="dxa"/>
            <w:vAlign w:val="center"/>
            <w:vMerge w:val="continue"/>
            <w:textDirection w:val="lrTb"/>
            <w:noWrap w:val="false"/>
          </w:tcPr>
          <w:p>
            <w:pPr>
              <w:pStyle w:val="886"/>
              <w:rPr>
                <w:rFonts w:ascii="宋体" w:hAnsi="宋体"/>
                <w:sz w:val="24"/>
              </w:rPr>
            </w:pPr>
            <w:r>
              <w:rPr>
                <w:rFonts w:ascii="宋体" w:hAnsi="宋体"/>
                <w:sz w:val="24"/>
              </w:rPr>
            </w:r>
            <w:r/>
          </w:p>
        </w:tc>
        <w:tc>
          <w:tcPr>
            <w:tcBorders>
              <w:top w:val="single" w:color="000000" w:sz="6" w:space="0"/>
              <w:left w:val="single" w:color="000000" w:sz="6" w:space="0"/>
              <w:bottom w:val="single" w:color="000000" w:sz="6" w:space="0"/>
              <w:right w:val="single" w:color="000000" w:sz="6" w:space="0"/>
            </w:tcBorders>
            <w:tcMar>
              <w:left w:w="60" w:type="dxa"/>
              <w:top w:w="60" w:type="dxa"/>
              <w:right w:w="60" w:type="dxa"/>
              <w:bottom w:w="45" w:type="dxa"/>
            </w:tcMar>
            <w:tcW w:w="1051" w:type="dxa"/>
            <w:vAlign w:val="center"/>
            <w:textDirection w:val="lrTb"/>
            <w:noWrap w:val="false"/>
          </w:tcPr>
          <w:p>
            <w:pPr>
              <w:pStyle w:val="886"/>
              <w:spacing w:before="100" w:after="120"/>
              <w:rPr>
                <w:rFonts w:ascii="宋体" w:hAnsi="宋体"/>
                <w:sz w:val="24"/>
              </w:rPr>
            </w:pPr>
            <w:r>
              <w:rPr>
                <w:rFonts w:hint="eastAsia" w:ascii="宋体" w:hAnsi="宋体" w:cs="宋体"/>
                <w:color w:val="000000"/>
                <w:sz w:val="24"/>
              </w:rPr>
              <w:t xml:space="preserve">4.</w:t>
            </w:r>
            <w:r>
              <w:rPr>
                <w:rFonts w:ascii="宋体" w:hAnsi="宋体" w:cs="宋体"/>
                <w:color w:val="000000"/>
                <w:sz w:val="24"/>
              </w:rPr>
              <w:t xml:space="preserve">人员配备方案</w:t>
            </w:r>
            <w:r>
              <w:rPr>
                <w:rFonts w:ascii="宋体" w:hAnsi="宋体"/>
                <w:sz w:val="24"/>
              </w:rPr>
            </w:r>
            <w:r/>
          </w:p>
        </w:tc>
        <w:tc>
          <w:tcPr>
            <w:tcBorders>
              <w:top w:val="single" w:color="CBCDD1" w:sz="6" w:space="0"/>
              <w:left w:val="single" w:color="000000" w:sz="6" w:space="0"/>
              <w:bottom w:val="single" w:color="000000" w:sz="6" w:space="0"/>
              <w:right w:val="single" w:color="000000" w:sz="6" w:space="0"/>
            </w:tcBorders>
            <w:tcMar>
              <w:left w:w="60" w:type="dxa"/>
              <w:top w:w="60" w:type="dxa"/>
              <w:right w:w="60" w:type="dxa"/>
              <w:bottom w:w="45" w:type="dxa"/>
            </w:tcMar>
            <w:tcW w:w="6088" w:type="dxa"/>
            <w:vAlign w:val="center"/>
            <w:textDirection w:val="lrTb"/>
            <w:noWrap w:val="false"/>
          </w:tcPr>
          <w:p>
            <w:pPr>
              <w:pStyle w:val="886"/>
              <w:rPr>
                <w:rFonts w:ascii="宋体" w:hAnsi="宋体"/>
                <w:color w:val="000000"/>
                <w:sz w:val="24"/>
              </w:rPr>
            </w:pPr>
            <w:r>
              <w:rPr>
                <w:rFonts w:ascii="宋体" w:hAnsi="宋体" w:cs="宋体"/>
                <w:color w:val="000000"/>
                <w:sz w:val="24"/>
              </w:rPr>
              <w:t xml:space="preserve">a.</w:t>
            </w:r>
            <w:r>
              <w:rPr>
                <w:rFonts w:hint="eastAsia" w:ascii="宋体" w:hAnsi="宋体"/>
                <w:color w:val="000000"/>
                <w:sz w:val="24"/>
              </w:rPr>
              <w:t xml:space="preserve">具备注册环境影响评价师或注册环保工程师或环境类高级工程师职称的，有1个得2分，最高8分</w:t>
            </w:r>
            <w:r>
              <w:rPr>
                <w:rFonts w:ascii="宋体" w:hAnsi="宋体"/>
                <w:color w:val="000000"/>
                <w:sz w:val="24"/>
              </w:rPr>
            </w:r>
            <w:r/>
          </w:p>
          <w:p>
            <w:pPr>
              <w:pStyle w:val="886"/>
              <w:rPr>
                <w:rFonts w:ascii="宋体" w:hAnsi="宋体"/>
                <w:color w:val="000000"/>
                <w:sz w:val="24"/>
              </w:rPr>
            </w:pPr>
            <w:r>
              <w:rPr>
                <w:rFonts w:ascii="宋体" w:hAnsi="宋体"/>
                <w:color w:val="000000"/>
                <w:sz w:val="24"/>
              </w:rPr>
              <w:t xml:space="preserve">b.</w:t>
            </w:r>
            <w:r>
              <w:rPr>
                <w:rFonts w:hint="eastAsia" w:ascii="宋体" w:hAnsi="宋体"/>
                <w:color w:val="000000"/>
                <w:sz w:val="24"/>
              </w:rPr>
              <w:t xml:space="preserve">1人或1人以上为省级生态环境领域专家库成员的；得3分</w:t>
            </w:r>
            <w:r>
              <w:rPr>
                <w:rFonts w:ascii="宋体" w:hAnsi="宋体"/>
                <w:color w:val="000000"/>
                <w:sz w:val="24"/>
              </w:rPr>
            </w:r>
            <w:r/>
          </w:p>
          <w:p>
            <w:pPr>
              <w:pStyle w:val="886"/>
              <w:rPr>
                <w:rFonts w:hint="eastAsia" w:ascii="宋体" w:hAnsi="宋体"/>
                <w:color w:val="000000"/>
                <w:sz w:val="24"/>
              </w:rPr>
            </w:pPr>
            <w:r>
              <w:rPr>
                <w:rFonts w:hint="eastAsia" w:ascii="宋体" w:hAnsi="宋体"/>
                <w:color w:val="000000"/>
                <w:sz w:val="24"/>
              </w:rPr>
              <w:t xml:space="preserve">c.</w:t>
            </w:r>
            <w:r>
              <w:rPr>
                <w:rFonts w:ascii="宋体" w:hAnsi="宋体"/>
                <w:color w:val="000000"/>
                <w:sz w:val="24"/>
              </w:rPr>
              <w:t xml:space="preserve">5人或5人以上具备环保类中级工程师职称且具备环保类工作3年以上工作经验；得5分</w:t>
            </w:r>
            <w:r>
              <w:rPr>
                <w:rFonts w:hint="eastAsia" w:ascii="宋体" w:hAnsi="宋体"/>
                <w:color w:val="000000"/>
                <w:sz w:val="24"/>
              </w:rPr>
            </w:r>
            <w:r/>
          </w:p>
          <w:p>
            <w:pPr>
              <w:pStyle w:val="886"/>
              <w:rPr>
                <w:rFonts w:ascii="宋体" w:hAnsi="宋体"/>
                <w:sz w:val="24"/>
              </w:rPr>
            </w:pPr>
            <w:r>
              <w:rPr>
                <w:rFonts w:ascii="宋体" w:hAnsi="宋体"/>
                <w:color w:val="000000"/>
                <w:sz w:val="24"/>
              </w:rPr>
              <w:t xml:space="preserve">以上人员</w:t>
            </w:r>
            <w:r>
              <w:rPr>
                <w:rFonts w:hint="eastAsia" w:ascii="宋体" w:hAnsi="宋体"/>
                <w:color w:val="000000"/>
                <w:sz w:val="24"/>
              </w:rPr>
              <w:t xml:space="preserve">（不包括项目负责人、技术负责人）</w:t>
            </w:r>
            <w:r>
              <w:rPr>
                <w:rFonts w:ascii="宋体" w:hAnsi="宋体"/>
                <w:color w:val="000000"/>
                <w:sz w:val="24"/>
              </w:rPr>
              <w:t xml:space="preserve">必须为本单位正式职工，提供相关证书、至少包括在本单位缴纳的连续6个月社保证明材料。人员配备不包含项目负责人和技术负责人。以上条件不满足则不得分，满分1</w:t>
            </w:r>
            <w:r>
              <w:rPr>
                <w:rFonts w:hint="eastAsia" w:ascii="宋体" w:hAnsi="宋体"/>
                <w:color w:val="000000"/>
                <w:sz w:val="24"/>
              </w:rPr>
              <w:t xml:space="preserve">6</w:t>
            </w:r>
            <w:r>
              <w:rPr>
                <w:rFonts w:ascii="宋体" w:hAnsi="宋体"/>
                <w:color w:val="000000"/>
                <w:sz w:val="24"/>
              </w:rPr>
              <w:t xml:space="preserve">分，同一人员不重复得分。（提供相应学历、职称材料和社保证明进行打分）</w:t>
            </w:r>
            <w:r>
              <w:rPr>
                <w:rFonts w:ascii="宋体" w:hAnsi="宋体"/>
                <w:sz w:val="24"/>
              </w:rPr>
            </w:r>
            <w:r/>
          </w:p>
        </w:tc>
        <w:tc>
          <w:tcPr>
            <w:tcBorders>
              <w:top w:val="single" w:color="CBCDD1" w:sz="6" w:space="0"/>
              <w:left w:val="single" w:color="000000" w:sz="6" w:space="0"/>
              <w:bottom w:val="single" w:color="000000" w:sz="6" w:space="0"/>
              <w:right w:val="single" w:color="000000" w:sz="6" w:space="0"/>
            </w:tcBorders>
            <w:tcMar>
              <w:left w:w="60" w:type="dxa"/>
              <w:top w:w="60" w:type="dxa"/>
              <w:right w:w="60" w:type="dxa"/>
              <w:bottom w:w="45" w:type="dxa"/>
            </w:tcMar>
            <w:tcW w:w="829" w:type="dxa"/>
            <w:vAlign w:val="center"/>
            <w:textDirection w:val="lrTb"/>
            <w:noWrap w:val="false"/>
          </w:tcPr>
          <w:p>
            <w:pPr>
              <w:pStyle w:val="886"/>
              <w:jc w:val="center"/>
              <w:spacing w:before="100" w:after="120"/>
              <w:rPr>
                <w:rFonts w:hint="eastAsia" w:ascii="宋体" w:hAnsi="宋体"/>
                <w:sz w:val="24"/>
              </w:rPr>
            </w:pPr>
            <w:r>
              <w:rPr>
                <w:rFonts w:hint="eastAsia" w:ascii="宋体" w:hAnsi="宋体" w:cs="宋体"/>
                <w:color w:val="000000"/>
                <w:sz w:val="24"/>
              </w:rPr>
              <w:t xml:space="preserve">16</w:t>
            </w:r>
            <w:r>
              <w:rPr>
                <w:rFonts w:hint="eastAsia" w:ascii="宋体" w:hAnsi="宋体"/>
                <w:sz w:val="24"/>
              </w:rPr>
            </w:r>
            <w:r/>
          </w:p>
        </w:tc>
      </w:tr>
      <w:tr>
        <w:trPr>
          <w:cantSplit/>
          <w:trHeight w:val="744"/>
        </w:trPr>
        <w:tc>
          <w:tcPr>
            <w:tcBorders>
              <w:top w:val="single" w:color="000000" w:sz="6" w:space="0"/>
              <w:left w:val="single" w:color="000000" w:sz="6" w:space="0"/>
              <w:bottom w:val="single" w:color="000000" w:sz="6" w:space="0"/>
              <w:right w:val="single" w:color="000000" w:sz="6" w:space="0"/>
            </w:tcBorders>
            <w:tcMar>
              <w:left w:w="60" w:type="dxa"/>
              <w:top w:w="60" w:type="dxa"/>
              <w:right w:w="60" w:type="dxa"/>
              <w:bottom w:w="45" w:type="dxa"/>
            </w:tcMar>
            <w:tcW w:w="1129" w:type="dxa"/>
            <w:vAlign w:val="center"/>
            <w:vMerge w:val="restart"/>
            <w:textDirection w:val="lrTb"/>
            <w:noWrap w:val="false"/>
          </w:tcPr>
          <w:p>
            <w:pPr>
              <w:pStyle w:val="886"/>
              <w:rPr>
                <w:rFonts w:ascii="宋体" w:hAnsi="宋体"/>
                <w:sz w:val="24"/>
              </w:rPr>
            </w:pPr>
            <w:r>
              <w:rPr>
                <w:rFonts w:ascii="宋体" w:hAnsi="宋体" w:cs="宋体"/>
                <w:color w:val="000000"/>
                <w:sz w:val="24"/>
              </w:rPr>
              <w:t xml:space="preserve">（二）服务方案应急响应(</w:t>
            </w:r>
            <w:r>
              <w:rPr>
                <w:rFonts w:hint="eastAsia" w:ascii="宋体" w:hAnsi="宋体" w:cs="宋体"/>
                <w:color w:val="000000"/>
                <w:sz w:val="24"/>
              </w:rPr>
              <w:t xml:space="preserve">21分</w:t>
            </w:r>
            <w:r>
              <w:rPr>
                <w:rFonts w:ascii="宋体" w:hAnsi="宋体" w:cs="宋体"/>
                <w:color w:val="000000"/>
                <w:sz w:val="24"/>
              </w:rPr>
              <w:t xml:space="preserve">)</w:t>
            </w:r>
            <w:r>
              <w:rPr>
                <w:rFonts w:ascii="宋体" w:hAnsi="宋体"/>
                <w:sz w:val="24"/>
              </w:rPr>
            </w:r>
            <w:r/>
          </w:p>
        </w:tc>
        <w:tc>
          <w:tcPr>
            <w:tcBorders>
              <w:top w:val="single" w:color="CBCDD1" w:sz="6" w:space="0"/>
              <w:left w:val="single" w:color="000000" w:sz="6" w:space="0"/>
              <w:bottom w:val="single" w:color="000000" w:sz="6" w:space="0"/>
              <w:right w:val="single" w:color="000000" w:sz="6" w:space="0"/>
            </w:tcBorders>
            <w:tcMar>
              <w:left w:w="60" w:type="dxa"/>
              <w:top w:w="60" w:type="dxa"/>
              <w:right w:w="60" w:type="dxa"/>
              <w:bottom w:w="45" w:type="dxa"/>
            </w:tcMar>
            <w:tcW w:w="1051" w:type="dxa"/>
            <w:vAlign w:val="center"/>
            <w:textDirection w:val="lrTb"/>
            <w:noWrap w:val="false"/>
          </w:tcPr>
          <w:p>
            <w:pPr>
              <w:pStyle w:val="886"/>
              <w:rPr>
                <w:rFonts w:ascii="宋体" w:hAnsi="宋体"/>
                <w:sz w:val="24"/>
              </w:rPr>
            </w:pPr>
            <w:r>
              <w:rPr>
                <w:rFonts w:hint="eastAsia" w:ascii="宋体" w:hAnsi="宋体" w:cs="宋体"/>
                <w:color w:val="000000"/>
                <w:sz w:val="24"/>
              </w:rPr>
              <w:t xml:space="preserve">1.</w:t>
            </w:r>
            <w:r>
              <w:rPr>
                <w:rFonts w:ascii="宋体" w:hAnsi="宋体" w:cs="宋体"/>
                <w:color w:val="000000"/>
                <w:sz w:val="24"/>
              </w:rPr>
              <w:t xml:space="preserve">服务方案</w:t>
            </w:r>
            <w:r>
              <w:rPr>
                <w:rFonts w:ascii="宋体" w:hAnsi="宋体"/>
                <w:sz w:val="24"/>
              </w:rPr>
            </w:r>
            <w:r/>
          </w:p>
        </w:tc>
        <w:tc>
          <w:tcPr>
            <w:tcBorders>
              <w:top w:val="single" w:color="CBCDD1" w:sz="6" w:space="0"/>
              <w:left w:val="single" w:color="000000" w:sz="6" w:space="0"/>
              <w:bottom w:val="single" w:color="000000" w:sz="6" w:space="0"/>
              <w:right w:val="single" w:color="000000" w:sz="6" w:space="0"/>
            </w:tcBorders>
            <w:tcMar>
              <w:left w:w="60" w:type="dxa"/>
              <w:top w:w="60" w:type="dxa"/>
              <w:right w:w="60" w:type="dxa"/>
              <w:bottom w:w="45" w:type="dxa"/>
            </w:tcMar>
            <w:tcW w:w="6088" w:type="dxa"/>
            <w:vAlign w:val="center"/>
            <w:textDirection w:val="lrTb"/>
            <w:noWrap w:val="false"/>
          </w:tcPr>
          <w:p>
            <w:pPr>
              <w:pStyle w:val="886"/>
              <w:rPr>
                <w:rFonts w:ascii="宋体" w:hAnsi="宋体"/>
                <w:sz w:val="24"/>
              </w:rPr>
            </w:pPr>
            <w:r>
              <w:rPr>
                <w:rFonts w:ascii="宋体" w:hAnsi="宋体" w:cs="宋体"/>
                <w:color w:val="000000"/>
                <w:sz w:val="24"/>
              </w:rPr>
              <w:t xml:space="preserve">制定与本项目匹配的服务方案，制定管理模式，</w:t>
            </w:r>
            <w:r>
              <w:rPr>
                <w:rFonts w:hint="eastAsia" w:ascii="宋体" w:hAnsi="宋体" w:cs="宋体"/>
                <w:color w:val="000000"/>
                <w:sz w:val="24"/>
              </w:rPr>
              <w:t xml:space="preserve">5</w:t>
            </w:r>
            <w:r>
              <w:rPr>
                <w:rFonts w:ascii="宋体" w:hAnsi="宋体" w:cs="宋体"/>
                <w:color w:val="000000"/>
                <w:sz w:val="24"/>
              </w:rPr>
              <w:t xml:space="preserve">分；任务进度推进方案，</w:t>
            </w:r>
            <w:r>
              <w:rPr>
                <w:rFonts w:hint="eastAsia" w:ascii="宋体" w:hAnsi="宋体" w:cs="宋体"/>
                <w:color w:val="000000"/>
                <w:sz w:val="24"/>
              </w:rPr>
              <w:t xml:space="preserve">5</w:t>
            </w:r>
            <w:r>
              <w:rPr>
                <w:rFonts w:ascii="宋体" w:hAnsi="宋体" w:cs="宋体"/>
                <w:color w:val="000000"/>
                <w:sz w:val="24"/>
              </w:rPr>
              <w:t xml:space="preserve">分；履约保障措施，</w:t>
            </w:r>
            <w:r>
              <w:rPr>
                <w:rFonts w:hint="eastAsia" w:ascii="宋体" w:hAnsi="宋体" w:cs="宋体"/>
                <w:color w:val="000000"/>
                <w:sz w:val="24"/>
              </w:rPr>
              <w:t xml:space="preserve">5</w:t>
            </w:r>
            <w:r>
              <w:rPr>
                <w:rFonts w:ascii="宋体" w:hAnsi="宋体" w:cs="宋体"/>
                <w:color w:val="000000"/>
                <w:sz w:val="24"/>
              </w:rPr>
              <w:t xml:space="preserve">分。</w:t>
            </w:r>
            <w:r>
              <w:rPr>
                <w:rFonts w:ascii="宋体" w:hAnsi="宋体"/>
                <w:sz w:val="24"/>
              </w:rPr>
            </w:r>
            <w:r/>
          </w:p>
          <w:p>
            <w:pPr>
              <w:pStyle w:val="886"/>
              <w:rPr>
                <w:rFonts w:ascii="宋体" w:hAnsi="宋体"/>
                <w:sz w:val="24"/>
              </w:rPr>
            </w:pPr>
            <w:r>
              <w:rPr>
                <w:rFonts w:ascii="宋体" w:hAnsi="宋体" w:cs="宋体"/>
                <w:color w:val="000000"/>
                <w:sz w:val="24"/>
              </w:rPr>
              <w:t xml:space="preserve">服务方案需实际情况且详细完善。</w:t>
            </w:r>
            <w:r>
              <w:rPr>
                <w:rFonts w:ascii="宋体" w:hAnsi="宋体"/>
                <w:sz w:val="24"/>
              </w:rPr>
            </w:r>
            <w:r/>
          </w:p>
        </w:tc>
        <w:tc>
          <w:tcPr>
            <w:tcBorders>
              <w:top w:val="single" w:color="CBCDD1" w:sz="6" w:space="0"/>
              <w:left w:val="single" w:color="000000" w:sz="6" w:space="0"/>
              <w:bottom w:val="single" w:color="000000" w:sz="6" w:space="0"/>
              <w:right w:val="single" w:color="000000" w:sz="6" w:space="0"/>
            </w:tcBorders>
            <w:tcMar>
              <w:left w:w="60" w:type="dxa"/>
              <w:top w:w="60" w:type="dxa"/>
              <w:right w:w="60" w:type="dxa"/>
              <w:bottom w:w="45" w:type="dxa"/>
            </w:tcMar>
            <w:tcW w:w="829" w:type="dxa"/>
            <w:vAlign w:val="center"/>
            <w:textDirection w:val="lrTb"/>
            <w:noWrap w:val="false"/>
          </w:tcPr>
          <w:p>
            <w:pPr>
              <w:pStyle w:val="886"/>
              <w:jc w:val="center"/>
              <w:spacing w:before="100" w:after="120"/>
              <w:rPr>
                <w:rFonts w:ascii="宋体" w:hAnsi="宋体"/>
                <w:sz w:val="24"/>
              </w:rPr>
            </w:pPr>
            <w:r>
              <w:rPr>
                <w:rFonts w:hint="eastAsia" w:ascii="宋体" w:hAnsi="宋体" w:cs="宋体"/>
                <w:color w:val="000000"/>
                <w:sz w:val="24"/>
              </w:rPr>
              <w:t xml:space="preserve">15</w:t>
            </w:r>
            <w:r>
              <w:rPr>
                <w:rFonts w:ascii="宋体" w:hAnsi="宋体"/>
                <w:sz w:val="24"/>
              </w:rPr>
            </w:r>
            <w:r/>
          </w:p>
        </w:tc>
      </w:tr>
      <w:tr>
        <w:trPr>
          <w:cantSplit/>
          <w:trHeight w:val="2245"/>
        </w:trPr>
        <w:tc>
          <w:tcPr>
            <w:tcBorders>
              <w:top w:val="single" w:color="CBCDD1" w:sz="6" w:space="0"/>
              <w:left w:val="single" w:color="000000" w:sz="6" w:space="0"/>
              <w:bottom w:val="single" w:color="000000" w:sz="6" w:space="0"/>
              <w:right w:val="single" w:color="000000" w:sz="6" w:space="0"/>
            </w:tcBorders>
            <w:tcMar>
              <w:left w:w="60" w:type="dxa"/>
              <w:top w:w="60" w:type="dxa"/>
              <w:right w:w="60" w:type="dxa"/>
              <w:bottom w:w="45" w:type="dxa"/>
            </w:tcMar>
            <w:tcW w:w="1129" w:type="dxa"/>
            <w:vAlign w:val="center"/>
            <w:vMerge w:val="continue"/>
            <w:textDirection w:val="lrTb"/>
            <w:noWrap w:val="false"/>
          </w:tcPr>
          <w:p>
            <w:pPr>
              <w:pStyle w:val="886"/>
              <w:rPr>
                <w:rFonts w:ascii="宋体" w:hAnsi="宋体"/>
                <w:sz w:val="24"/>
              </w:rPr>
            </w:pPr>
            <w:r>
              <w:rPr>
                <w:rFonts w:ascii="宋体" w:hAnsi="宋体"/>
                <w:sz w:val="24"/>
              </w:rPr>
            </w:r>
            <w:r/>
          </w:p>
        </w:tc>
        <w:tc>
          <w:tcPr>
            <w:tcBorders>
              <w:top w:val="single" w:color="000000" w:sz="6" w:space="0"/>
              <w:left w:val="single" w:color="000000" w:sz="6" w:space="0"/>
              <w:bottom w:val="single" w:color="000000" w:sz="6" w:space="0"/>
              <w:right w:val="single" w:color="000000" w:sz="6" w:space="0"/>
            </w:tcBorders>
            <w:tcMar>
              <w:left w:w="60" w:type="dxa"/>
              <w:top w:w="60" w:type="dxa"/>
              <w:right w:w="60" w:type="dxa"/>
              <w:bottom w:w="45" w:type="dxa"/>
            </w:tcMar>
            <w:tcW w:w="1051" w:type="dxa"/>
            <w:vAlign w:val="center"/>
            <w:textDirection w:val="lrTb"/>
            <w:noWrap w:val="false"/>
          </w:tcPr>
          <w:p>
            <w:pPr>
              <w:pStyle w:val="886"/>
              <w:spacing w:before="100" w:after="120"/>
              <w:rPr>
                <w:rFonts w:ascii="宋体" w:hAnsi="宋体"/>
                <w:sz w:val="24"/>
              </w:rPr>
            </w:pPr>
            <w:r>
              <w:rPr>
                <w:rFonts w:hint="eastAsia" w:ascii="宋体" w:hAnsi="宋体" w:cs="宋体"/>
                <w:color w:val="000000"/>
                <w:sz w:val="24"/>
              </w:rPr>
              <w:t xml:space="preserve">2.</w:t>
            </w:r>
            <w:r>
              <w:rPr>
                <w:rFonts w:ascii="宋体" w:hAnsi="宋体" w:cs="宋体"/>
                <w:color w:val="000000"/>
                <w:sz w:val="24"/>
              </w:rPr>
              <w:t xml:space="preserve">日常检查保障</w:t>
            </w:r>
            <w:r>
              <w:rPr>
                <w:rFonts w:ascii="宋体" w:hAnsi="宋体"/>
                <w:sz w:val="24"/>
              </w:rPr>
            </w:r>
            <w:r/>
          </w:p>
        </w:tc>
        <w:tc>
          <w:tcPr>
            <w:tcBorders>
              <w:top w:val="single" w:color="CBCDD1" w:sz="6" w:space="0"/>
              <w:left w:val="single" w:color="000000" w:sz="6" w:space="0"/>
              <w:bottom w:val="single" w:color="000000" w:sz="6" w:space="0"/>
              <w:right w:val="single" w:color="000000" w:sz="6" w:space="0"/>
            </w:tcBorders>
            <w:tcMar>
              <w:left w:w="60" w:type="dxa"/>
              <w:top w:w="60" w:type="dxa"/>
              <w:right w:w="60" w:type="dxa"/>
              <w:bottom w:w="45" w:type="dxa"/>
            </w:tcMar>
            <w:tcW w:w="6088" w:type="dxa"/>
            <w:vAlign w:val="center"/>
            <w:textDirection w:val="lrTb"/>
            <w:noWrap w:val="false"/>
          </w:tcPr>
          <w:p>
            <w:pPr>
              <w:pStyle w:val="886"/>
              <w:rPr>
                <w:rFonts w:ascii="宋体" w:hAnsi="宋体" w:cs="宋体"/>
                <w:color w:val="000000"/>
                <w:sz w:val="24"/>
              </w:rPr>
            </w:pPr>
            <w:r>
              <w:rPr>
                <w:rFonts w:ascii="宋体" w:hAnsi="宋体" w:cs="宋体"/>
                <w:color w:val="000000"/>
                <w:sz w:val="24"/>
              </w:rPr>
              <w:t xml:space="preserve">a</w:t>
            </w:r>
            <w:r>
              <w:rPr>
                <w:rFonts w:hint="eastAsia" w:ascii="宋体" w:hAnsi="宋体" w:cs="宋体"/>
                <w:color w:val="000000"/>
                <w:sz w:val="24"/>
              </w:rPr>
              <w:t xml:space="preserve">.</w:t>
            </w:r>
            <w:r>
              <w:rPr>
                <w:rFonts w:ascii="宋体" w:hAnsi="宋体" w:cs="宋体"/>
                <w:color w:val="000000"/>
                <w:sz w:val="24"/>
              </w:rPr>
              <w:t xml:space="preserve">投标</w:t>
            </w:r>
            <w:r>
              <w:rPr>
                <w:rFonts w:hint="eastAsia" w:ascii="宋体" w:hAnsi="宋体" w:cs="宋体"/>
                <w:color w:val="000000"/>
                <w:sz w:val="24"/>
              </w:rPr>
              <w:t xml:space="preserve">单位</w:t>
            </w:r>
            <w:r>
              <w:rPr>
                <w:rFonts w:ascii="宋体" w:hAnsi="宋体" w:cs="宋体"/>
                <w:color w:val="000000"/>
                <w:sz w:val="24"/>
              </w:rPr>
              <w:t xml:space="preserve">承诺中标后一个月内在昆山地区</w:t>
            </w:r>
            <w:r>
              <w:rPr>
                <w:rFonts w:hint="eastAsia" w:ascii="宋体" w:hAnsi="宋体" w:cs="宋体"/>
                <w:color w:val="000000"/>
                <w:sz w:val="24"/>
              </w:rPr>
              <w:t xml:space="preserve">设立</w:t>
            </w:r>
            <w:r>
              <w:rPr>
                <w:rFonts w:ascii="宋体" w:hAnsi="宋体" w:cs="宋体"/>
                <w:color w:val="000000"/>
                <w:sz w:val="24"/>
              </w:rPr>
              <w:t xml:space="preserve">固定办公场所得</w:t>
            </w:r>
            <w:r>
              <w:rPr>
                <w:rFonts w:hint="eastAsia" w:ascii="宋体" w:hAnsi="宋体" w:cs="宋体"/>
                <w:color w:val="000000"/>
                <w:sz w:val="24"/>
              </w:rPr>
              <w:t xml:space="preserve">2</w:t>
            </w:r>
            <w:r>
              <w:rPr>
                <w:rFonts w:ascii="宋体" w:hAnsi="宋体" w:cs="宋体"/>
                <w:color w:val="000000"/>
                <w:sz w:val="24"/>
              </w:rPr>
              <w:t xml:space="preserve">分（提供承诺书）。</w:t>
            </w:r>
            <w:r/>
          </w:p>
          <w:p>
            <w:pPr>
              <w:pStyle w:val="886"/>
              <w:rPr>
                <w:rFonts w:ascii="宋体" w:hAnsi="宋体" w:cs="宋体"/>
                <w:color w:val="000000"/>
                <w:sz w:val="24"/>
              </w:rPr>
            </w:pPr>
            <w:r>
              <w:rPr>
                <w:rFonts w:ascii="宋体" w:hAnsi="宋体" w:cs="宋体"/>
                <w:color w:val="000000"/>
                <w:sz w:val="24"/>
              </w:rPr>
              <w:t xml:space="preserve">b</w:t>
            </w:r>
            <w:r>
              <w:rPr>
                <w:rFonts w:hint="eastAsia" w:ascii="宋体" w:hAnsi="宋体" w:cs="宋体"/>
                <w:color w:val="000000"/>
                <w:sz w:val="24"/>
              </w:rPr>
              <w:t xml:space="preserve">.</w:t>
            </w:r>
            <w:r>
              <w:rPr>
                <w:rFonts w:ascii="宋体" w:hAnsi="宋体" w:cs="宋体"/>
                <w:color w:val="000000"/>
                <w:sz w:val="24"/>
              </w:rPr>
              <w:t xml:space="preserve">项目负责人服务期内常驻项目所在地（昆山市）办公的得2分（提供承诺书）。</w:t>
            </w:r>
            <w:r/>
          </w:p>
          <w:p>
            <w:pPr>
              <w:pStyle w:val="886"/>
              <w:rPr>
                <w:rFonts w:ascii="宋体" w:hAnsi="宋体"/>
                <w:sz w:val="24"/>
              </w:rPr>
            </w:pPr>
            <w:r>
              <w:rPr>
                <w:rFonts w:ascii="宋体" w:hAnsi="宋体" w:cs="宋体"/>
                <w:color w:val="000000"/>
                <w:sz w:val="24"/>
              </w:rPr>
              <w:t xml:space="preserve">c</w:t>
            </w:r>
            <w:r>
              <w:rPr>
                <w:rFonts w:hint="eastAsia" w:ascii="宋体" w:hAnsi="宋体" w:cs="宋体"/>
                <w:color w:val="000000"/>
                <w:sz w:val="24"/>
              </w:rPr>
              <w:t xml:space="preserve">.</w:t>
            </w:r>
            <w:r>
              <w:rPr>
                <w:rFonts w:ascii="宋体" w:hAnsi="宋体" w:cs="宋体"/>
                <w:color w:val="000000"/>
                <w:sz w:val="24"/>
              </w:rPr>
              <w:t xml:space="preserve">项目组人员5人或5人以上服务期内常驻项目所在地（昆山市）办公的得2分（提供承诺书）。</w:t>
            </w:r>
            <w:r>
              <w:rPr>
                <w:rFonts w:ascii="宋体" w:hAnsi="宋体"/>
                <w:sz w:val="24"/>
              </w:rPr>
            </w:r>
            <w:r/>
          </w:p>
        </w:tc>
        <w:tc>
          <w:tcPr>
            <w:tcBorders>
              <w:top w:val="single" w:color="CBCDD1" w:sz="6" w:space="0"/>
              <w:left w:val="single" w:color="000000" w:sz="6" w:space="0"/>
              <w:bottom w:val="single" w:color="000000" w:sz="6" w:space="0"/>
              <w:right w:val="single" w:color="000000" w:sz="6" w:space="0"/>
            </w:tcBorders>
            <w:tcMar>
              <w:left w:w="60" w:type="dxa"/>
              <w:top w:w="60" w:type="dxa"/>
              <w:right w:w="60" w:type="dxa"/>
              <w:bottom w:w="45" w:type="dxa"/>
            </w:tcMar>
            <w:tcW w:w="829" w:type="dxa"/>
            <w:vAlign w:val="center"/>
            <w:textDirection w:val="lrTb"/>
            <w:noWrap w:val="false"/>
          </w:tcPr>
          <w:p>
            <w:pPr>
              <w:pStyle w:val="886"/>
              <w:jc w:val="center"/>
              <w:spacing w:before="100" w:after="120"/>
              <w:rPr>
                <w:rFonts w:hint="eastAsia" w:ascii="宋体" w:hAnsi="宋体"/>
                <w:sz w:val="24"/>
              </w:rPr>
            </w:pPr>
            <w:r>
              <w:rPr>
                <w:rFonts w:hint="eastAsia" w:ascii="宋体" w:hAnsi="宋体" w:cs="宋体"/>
                <w:color w:val="000000"/>
                <w:sz w:val="24"/>
              </w:rPr>
              <w:t xml:space="preserve">6</w:t>
            </w:r>
            <w:r>
              <w:rPr>
                <w:rFonts w:hint="eastAsia" w:ascii="宋体" w:hAnsi="宋体"/>
                <w:sz w:val="24"/>
              </w:rPr>
            </w:r>
            <w:r/>
          </w:p>
        </w:tc>
      </w:tr>
      <w:tr>
        <w:trPr>
          <w:trHeight w:val="636"/>
        </w:trPr>
        <w:tc>
          <w:tcPr>
            <w:tcBorders>
              <w:top w:val="single" w:color="000000" w:sz="6" w:space="0"/>
              <w:left w:val="single" w:color="000000" w:sz="6" w:space="0"/>
              <w:bottom w:val="single" w:color="000000" w:sz="6" w:space="0"/>
              <w:right w:val="single" w:color="000000" w:sz="6" w:space="0"/>
            </w:tcBorders>
            <w:tcMar>
              <w:left w:w="60" w:type="dxa"/>
              <w:top w:w="60" w:type="dxa"/>
              <w:right w:w="60" w:type="dxa"/>
              <w:bottom w:w="45" w:type="dxa"/>
            </w:tcMar>
            <w:tcW w:w="1129" w:type="dxa"/>
            <w:vAlign w:val="center"/>
            <w:textDirection w:val="lrTb"/>
            <w:noWrap w:val="false"/>
          </w:tcPr>
          <w:p>
            <w:pPr>
              <w:pStyle w:val="886"/>
              <w:rPr>
                <w:rFonts w:ascii="宋体" w:hAnsi="宋体"/>
                <w:sz w:val="24"/>
              </w:rPr>
            </w:pPr>
            <w:r>
              <w:rPr>
                <w:rFonts w:ascii="宋体" w:hAnsi="宋体" w:cs="宋体"/>
                <w:color w:val="000000"/>
                <w:sz w:val="24"/>
              </w:rPr>
              <w:t xml:space="preserve">（三）合理化建议（9分）</w:t>
            </w:r>
            <w:r>
              <w:rPr>
                <w:rFonts w:ascii="宋体" w:hAnsi="宋体"/>
                <w:sz w:val="24"/>
              </w:rPr>
            </w:r>
            <w:r/>
          </w:p>
        </w:tc>
        <w:tc>
          <w:tcPr>
            <w:tcBorders>
              <w:top w:val="single" w:color="CBCDD1" w:sz="6" w:space="0"/>
              <w:left w:val="single" w:color="000000" w:sz="6" w:space="0"/>
              <w:bottom w:val="single" w:color="000000" w:sz="6" w:space="0"/>
              <w:right w:val="single" w:color="000000" w:sz="6" w:space="0"/>
            </w:tcBorders>
            <w:tcMar>
              <w:left w:w="60" w:type="dxa"/>
              <w:top w:w="60" w:type="dxa"/>
              <w:right w:w="60" w:type="dxa"/>
              <w:bottom w:w="45" w:type="dxa"/>
            </w:tcMar>
            <w:tcW w:w="1051" w:type="dxa"/>
            <w:vAlign w:val="center"/>
            <w:textDirection w:val="lrTb"/>
            <w:noWrap w:val="false"/>
          </w:tcPr>
          <w:p>
            <w:pPr>
              <w:pStyle w:val="886"/>
              <w:rPr>
                <w:rFonts w:ascii="宋体" w:hAnsi="宋体"/>
                <w:sz w:val="24"/>
              </w:rPr>
            </w:pPr>
            <w:r>
              <w:rPr>
                <w:rFonts w:ascii="宋体" w:hAnsi="宋体" w:cs="宋体"/>
                <w:color w:val="000000"/>
                <w:sz w:val="24"/>
              </w:rPr>
              <w:t xml:space="preserve">合理化建议</w:t>
            </w:r>
            <w:r>
              <w:rPr>
                <w:rFonts w:ascii="宋体" w:hAnsi="宋体"/>
                <w:sz w:val="24"/>
              </w:rPr>
            </w:r>
            <w:r/>
          </w:p>
        </w:tc>
        <w:tc>
          <w:tcPr>
            <w:tcBorders>
              <w:top w:val="single" w:color="CBCDD1" w:sz="6" w:space="0"/>
              <w:left w:val="single" w:color="000000" w:sz="6" w:space="0"/>
              <w:bottom w:val="single" w:color="000000" w:sz="6" w:space="0"/>
              <w:right w:val="single" w:color="000000" w:sz="6" w:space="0"/>
            </w:tcBorders>
            <w:tcMar>
              <w:left w:w="60" w:type="dxa"/>
              <w:top w:w="60" w:type="dxa"/>
              <w:right w:w="60" w:type="dxa"/>
              <w:bottom w:w="45" w:type="dxa"/>
            </w:tcMar>
            <w:tcW w:w="6088" w:type="dxa"/>
            <w:vAlign w:val="center"/>
            <w:textDirection w:val="lrTb"/>
            <w:noWrap w:val="false"/>
          </w:tcPr>
          <w:p>
            <w:pPr>
              <w:pStyle w:val="886"/>
              <w:rPr>
                <w:rFonts w:ascii="宋体" w:hAnsi="宋体"/>
                <w:sz w:val="24"/>
              </w:rPr>
            </w:pPr>
            <w:r>
              <w:rPr>
                <w:rFonts w:ascii="宋体" w:hAnsi="宋体" w:cs="宋体"/>
                <w:sz w:val="24"/>
              </w:rPr>
              <w:t xml:space="preserve">提出与本项目相关的合理化建议，每有一项得3分，不契合本项目的不得分，最高得9分。</w:t>
            </w:r>
            <w:r>
              <w:rPr>
                <w:rFonts w:ascii="宋体" w:hAnsi="宋体"/>
                <w:sz w:val="24"/>
              </w:rPr>
            </w:r>
            <w:r/>
          </w:p>
        </w:tc>
        <w:tc>
          <w:tcPr>
            <w:tcBorders>
              <w:top w:val="single" w:color="CBCDD1" w:sz="6" w:space="0"/>
              <w:left w:val="single" w:color="000000" w:sz="6" w:space="0"/>
              <w:bottom w:val="single" w:color="000000" w:sz="6" w:space="0"/>
              <w:right w:val="single" w:color="000000" w:sz="6" w:space="0"/>
            </w:tcBorders>
            <w:tcMar>
              <w:left w:w="60" w:type="dxa"/>
              <w:top w:w="60" w:type="dxa"/>
              <w:right w:w="60" w:type="dxa"/>
              <w:bottom w:w="45" w:type="dxa"/>
            </w:tcMar>
            <w:tcW w:w="829" w:type="dxa"/>
            <w:vAlign w:val="center"/>
            <w:textDirection w:val="lrTb"/>
            <w:noWrap w:val="false"/>
          </w:tcPr>
          <w:p>
            <w:pPr>
              <w:pStyle w:val="886"/>
              <w:jc w:val="center"/>
              <w:rPr>
                <w:rFonts w:ascii="宋体" w:hAnsi="宋体"/>
                <w:sz w:val="24"/>
              </w:rPr>
            </w:pPr>
            <w:r>
              <w:rPr>
                <w:rFonts w:ascii="宋体" w:hAnsi="宋体" w:cs="宋体"/>
                <w:color w:val="000000"/>
                <w:sz w:val="24"/>
              </w:rPr>
              <w:t xml:space="preserve">9</w:t>
            </w:r>
            <w:r>
              <w:rPr>
                <w:rFonts w:ascii="宋体" w:hAnsi="宋体"/>
                <w:sz w:val="24"/>
              </w:rPr>
            </w:r>
            <w:r/>
          </w:p>
        </w:tc>
      </w:tr>
      <w:tr>
        <w:trPr>
          <w:cantSplit/>
          <w:trHeight w:val="513"/>
        </w:trPr>
        <w:tc>
          <w:tcPr>
            <w:tcBorders>
              <w:top w:val="single" w:color="000000" w:sz="6" w:space="0"/>
              <w:left w:val="single" w:color="000000" w:sz="6" w:space="0"/>
              <w:right w:val="single" w:color="000000" w:sz="6" w:space="0"/>
            </w:tcBorders>
            <w:tcMar>
              <w:left w:w="60" w:type="dxa"/>
              <w:top w:w="60" w:type="dxa"/>
              <w:right w:w="60" w:type="dxa"/>
              <w:bottom w:w="45" w:type="dxa"/>
            </w:tcMar>
            <w:tcW w:w="1129" w:type="dxa"/>
            <w:vAlign w:val="center"/>
            <w:vMerge w:val="restart"/>
            <w:textDirection w:val="lrTb"/>
            <w:noWrap w:val="false"/>
          </w:tcPr>
          <w:p>
            <w:pPr>
              <w:pStyle w:val="886"/>
              <w:rPr>
                <w:rFonts w:ascii="宋体" w:hAnsi="宋体"/>
                <w:sz w:val="24"/>
              </w:rPr>
            </w:pPr>
            <w:r>
              <w:rPr>
                <w:rFonts w:ascii="宋体" w:hAnsi="宋体"/>
                <w:color w:val="000000"/>
                <w:sz w:val="24"/>
              </w:rPr>
              <w:t xml:space="preserve">（四）综合实力</w:t>
            </w:r>
            <w:r>
              <w:rPr>
                <w:rFonts w:ascii="宋体" w:hAnsi="宋体"/>
                <w:sz w:val="24"/>
              </w:rPr>
            </w:r>
            <w:r/>
          </w:p>
          <w:p>
            <w:pPr>
              <w:pStyle w:val="886"/>
              <w:rPr>
                <w:rFonts w:ascii="宋体" w:hAnsi="宋体"/>
                <w:sz w:val="24"/>
              </w:rPr>
            </w:pPr>
            <w:r>
              <w:rPr>
                <w:rFonts w:ascii="宋体" w:hAnsi="宋体"/>
                <w:color w:val="000000"/>
                <w:sz w:val="24"/>
              </w:rPr>
              <w:t xml:space="preserve">（</w:t>
            </w:r>
            <w:r>
              <w:rPr>
                <w:rFonts w:hint="eastAsia" w:ascii="宋体" w:hAnsi="宋体"/>
                <w:color w:val="000000"/>
                <w:sz w:val="24"/>
              </w:rPr>
              <w:t xml:space="preserve">18</w:t>
            </w:r>
            <w:r>
              <w:rPr>
                <w:rFonts w:ascii="宋体" w:hAnsi="宋体"/>
                <w:color w:val="000000"/>
                <w:sz w:val="24"/>
              </w:rPr>
              <w:t xml:space="preserve">分）</w:t>
            </w:r>
            <w:r>
              <w:rPr>
                <w:rFonts w:ascii="宋体" w:hAnsi="宋体"/>
                <w:sz w:val="24"/>
              </w:rPr>
            </w:r>
            <w:r/>
          </w:p>
          <w:p>
            <w:pPr>
              <w:pStyle w:val="886"/>
              <w:rPr>
                <w:rFonts w:ascii="宋体" w:hAnsi="宋体"/>
                <w:sz w:val="24"/>
              </w:rPr>
            </w:pPr>
            <w:r>
              <w:rPr>
                <w:rFonts w:ascii="宋体" w:hAnsi="宋体"/>
                <w:sz w:val="24"/>
              </w:rPr>
            </w:r>
            <w:r/>
          </w:p>
          <w:p>
            <w:pPr>
              <w:pStyle w:val="886"/>
              <w:spacing w:before="100" w:after="120"/>
              <w:rPr>
                <w:rFonts w:ascii="宋体" w:hAnsi="宋体"/>
                <w:sz w:val="24"/>
              </w:rPr>
            </w:pPr>
            <w:r>
              <w:rPr>
                <w:rFonts w:ascii="宋体" w:hAnsi="宋体"/>
                <w:sz w:val="24"/>
              </w:rPr>
            </w:r>
            <w:r/>
          </w:p>
        </w:tc>
        <w:tc>
          <w:tcPr>
            <w:tcBorders>
              <w:top w:val="single" w:color="CBCDD1" w:sz="6" w:space="0"/>
              <w:left w:val="single" w:color="000000" w:sz="6" w:space="0"/>
              <w:bottom w:val="single" w:color="000000" w:sz="6" w:space="0"/>
              <w:right w:val="single" w:color="000000" w:sz="6" w:space="0"/>
            </w:tcBorders>
            <w:tcMar>
              <w:left w:w="60" w:type="dxa"/>
              <w:top w:w="60" w:type="dxa"/>
              <w:right w:w="60" w:type="dxa"/>
              <w:bottom w:w="45" w:type="dxa"/>
            </w:tcMar>
            <w:tcW w:w="1051" w:type="dxa"/>
            <w:vAlign w:val="center"/>
            <w:textDirection w:val="lrTb"/>
            <w:noWrap w:val="false"/>
          </w:tcPr>
          <w:p>
            <w:pPr>
              <w:pStyle w:val="886"/>
              <w:rPr>
                <w:rFonts w:ascii="宋体" w:hAnsi="宋体"/>
                <w:sz w:val="24"/>
              </w:rPr>
            </w:pPr>
            <w:r>
              <w:rPr>
                <w:rFonts w:hint="eastAsia" w:ascii="宋体" w:hAnsi="宋体" w:cs="宋体"/>
                <w:color w:val="000000"/>
                <w:sz w:val="24"/>
              </w:rPr>
              <w:t xml:space="preserve">1.</w:t>
            </w:r>
            <w:r>
              <w:rPr>
                <w:rFonts w:ascii="宋体" w:hAnsi="宋体" w:cs="宋体"/>
                <w:color w:val="000000"/>
                <w:sz w:val="24"/>
              </w:rPr>
              <w:t xml:space="preserve">体系认证</w:t>
            </w:r>
            <w:r>
              <w:rPr>
                <w:rFonts w:ascii="宋体" w:hAnsi="宋体"/>
                <w:sz w:val="24"/>
              </w:rPr>
            </w:r>
            <w:r/>
          </w:p>
        </w:tc>
        <w:tc>
          <w:tcPr>
            <w:tcBorders>
              <w:top w:val="single" w:color="CBCDD1" w:sz="6" w:space="0"/>
              <w:left w:val="single" w:color="000000" w:sz="6" w:space="0"/>
              <w:bottom w:val="single" w:color="000000" w:sz="6" w:space="0"/>
              <w:right w:val="single" w:color="000000" w:sz="6" w:space="0"/>
            </w:tcBorders>
            <w:tcMar>
              <w:left w:w="60" w:type="dxa"/>
              <w:top w:w="60" w:type="dxa"/>
              <w:right w:w="60" w:type="dxa"/>
              <w:bottom w:w="45" w:type="dxa"/>
            </w:tcMar>
            <w:tcW w:w="6088" w:type="dxa"/>
            <w:vAlign w:val="center"/>
            <w:textDirection w:val="lrTb"/>
            <w:noWrap w:val="false"/>
          </w:tcPr>
          <w:p>
            <w:pPr>
              <w:pStyle w:val="886"/>
              <w:rPr>
                <w:rFonts w:ascii="宋体" w:hAnsi="宋体"/>
                <w:sz w:val="24"/>
              </w:rPr>
            </w:pPr>
            <w:r>
              <w:rPr>
                <w:rFonts w:ascii="宋体" w:hAnsi="宋体" w:cs="宋体"/>
                <w:sz w:val="24"/>
              </w:rPr>
              <w:t xml:space="preserve">投标单位具有有效期内的环境管理体系认证、质量管理体系认证、职业健康安全管理体系认证证书</w:t>
            </w:r>
            <w:r>
              <w:rPr>
                <w:rFonts w:hint="eastAsia" w:ascii="宋体" w:hAnsi="宋体" w:cs="宋体"/>
                <w:sz w:val="24"/>
              </w:rPr>
              <w:t xml:space="preserve">的,提供齐全的得3分。（提供有效证明材料）</w:t>
            </w:r>
            <w:r>
              <w:rPr>
                <w:rFonts w:ascii="宋体" w:hAnsi="宋体"/>
                <w:sz w:val="24"/>
              </w:rPr>
            </w:r>
            <w:r/>
          </w:p>
        </w:tc>
        <w:tc>
          <w:tcPr>
            <w:tcBorders>
              <w:top w:val="single" w:color="CBCDD1" w:sz="6" w:space="0"/>
              <w:left w:val="single" w:color="000000" w:sz="6" w:space="0"/>
              <w:bottom w:val="single" w:color="000000" w:sz="6" w:space="0"/>
              <w:right w:val="single" w:color="000000" w:sz="6" w:space="0"/>
            </w:tcBorders>
            <w:tcMar>
              <w:left w:w="60" w:type="dxa"/>
              <w:top w:w="60" w:type="dxa"/>
              <w:right w:w="60" w:type="dxa"/>
              <w:bottom w:w="45" w:type="dxa"/>
            </w:tcMar>
            <w:tcW w:w="829" w:type="dxa"/>
            <w:vAlign w:val="center"/>
            <w:textDirection w:val="lrTb"/>
            <w:noWrap w:val="false"/>
          </w:tcPr>
          <w:p>
            <w:pPr>
              <w:pStyle w:val="886"/>
              <w:jc w:val="center"/>
              <w:rPr>
                <w:rFonts w:hint="eastAsia" w:ascii="宋体" w:hAnsi="宋体"/>
                <w:sz w:val="24"/>
              </w:rPr>
            </w:pPr>
            <w:r>
              <w:rPr>
                <w:rFonts w:hint="eastAsia" w:ascii="宋体" w:hAnsi="宋体" w:cs="宋体"/>
                <w:color w:val="000000"/>
                <w:sz w:val="24"/>
              </w:rPr>
              <w:t xml:space="preserve">3</w:t>
            </w:r>
            <w:r>
              <w:rPr>
                <w:rFonts w:hint="eastAsia" w:ascii="宋体" w:hAnsi="宋体"/>
                <w:sz w:val="24"/>
              </w:rPr>
            </w:r>
            <w:r/>
          </w:p>
        </w:tc>
      </w:tr>
      <w:tr>
        <w:trPr>
          <w:cantSplit/>
          <w:trHeight w:val="1094"/>
        </w:trPr>
        <w:tc>
          <w:tcPr>
            <w:tcBorders>
              <w:top w:val="single" w:color="000000" w:sz="6" w:space="0"/>
              <w:left w:val="single" w:color="000000" w:sz="6" w:space="0"/>
              <w:bottom w:val="single" w:color="000000" w:sz="6" w:space="0"/>
              <w:right w:val="single" w:color="000000" w:sz="6" w:space="0"/>
            </w:tcBorders>
            <w:tcMar>
              <w:left w:w="60" w:type="dxa"/>
              <w:top w:w="60" w:type="dxa"/>
              <w:right w:w="60" w:type="dxa"/>
              <w:bottom w:w="45" w:type="dxa"/>
            </w:tcMar>
            <w:tcW w:w="1129" w:type="dxa"/>
            <w:vAlign w:val="center"/>
            <w:vMerge w:val="continue"/>
            <w:textDirection w:val="lrTb"/>
            <w:noWrap w:val="false"/>
          </w:tcPr>
          <w:p>
            <w:pPr>
              <w:pStyle w:val="886"/>
              <w:spacing w:before="100" w:after="120"/>
              <w:rPr>
                <w:rFonts w:ascii="宋体" w:hAnsi="宋体"/>
                <w:sz w:val="24"/>
              </w:rPr>
            </w:pPr>
            <w:r>
              <w:rPr>
                <w:rFonts w:ascii="宋体" w:hAnsi="宋体"/>
                <w:sz w:val="24"/>
              </w:rPr>
            </w:r>
            <w:r/>
          </w:p>
        </w:tc>
        <w:tc>
          <w:tcPr>
            <w:tcBorders>
              <w:top w:val="single" w:color="CBCDD1" w:sz="6" w:space="0"/>
              <w:left w:val="single" w:color="000000" w:sz="6" w:space="0"/>
              <w:bottom w:val="single" w:color="000000" w:sz="6" w:space="0"/>
              <w:right w:val="single" w:color="000000" w:sz="6" w:space="0"/>
            </w:tcBorders>
            <w:tcMar>
              <w:left w:w="60" w:type="dxa"/>
              <w:top w:w="60" w:type="dxa"/>
              <w:right w:w="60" w:type="dxa"/>
              <w:bottom w:w="45" w:type="dxa"/>
            </w:tcMar>
            <w:tcW w:w="1051" w:type="dxa"/>
            <w:vAlign w:val="center"/>
            <w:textDirection w:val="lrTb"/>
            <w:noWrap w:val="false"/>
          </w:tcPr>
          <w:p>
            <w:pPr>
              <w:pStyle w:val="886"/>
              <w:spacing w:before="100" w:after="120"/>
              <w:rPr>
                <w:rFonts w:ascii="宋体" w:hAnsi="宋体"/>
                <w:sz w:val="24"/>
              </w:rPr>
            </w:pPr>
            <w:r>
              <w:rPr>
                <w:rFonts w:hint="eastAsia" w:ascii="宋体" w:hAnsi="宋体" w:cs="宋体"/>
                <w:color w:val="000000"/>
                <w:sz w:val="24"/>
              </w:rPr>
              <w:t xml:space="preserve">2.</w:t>
            </w:r>
            <w:r>
              <w:rPr>
                <w:rFonts w:ascii="宋体" w:hAnsi="宋体" w:cs="宋体"/>
                <w:color w:val="000000"/>
                <w:sz w:val="24"/>
              </w:rPr>
              <w:t xml:space="preserve">类似业绩</w:t>
            </w:r>
            <w:r>
              <w:rPr>
                <w:rFonts w:ascii="宋体" w:hAnsi="宋体"/>
                <w:sz w:val="24"/>
              </w:rPr>
            </w:r>
            <w:r/>
          </w:p>
        </w:tc>
        <w:tc>
          <w:tcPr>
            <w:tcBorders>
              <w:top w:val="single" w:color="CBCDD1" w:sz="6" w:space="0"/>
              <w:left w:val="single" w:color="000000" w:sz="6" w:space="0"/>
              <w:bottom w:val="single" w:color="000000" w:sz="6" w:space="0"/>
              <w:right w:val="single" w:color="000000" w:sz="6" w:space="0"/>
            </w:tcBorders>
            <w:tcMar>
              <w:left w:w="60" w:type="dxa"/>
              <w:top w:w="60" w:type="dxa"/>
              <w:right w:w="60" w:type="dxa"/>
              <w:bottom w:w="45" w:type="dxa"/>
            </w:tcMar>
            <w:tcW w:w="6088" w:type="dxa"/>
            <w:vAlign w:val="center"/>
            <w:textDirection w:val="lrTb"/>
            <w:noWrap w:val="false"/>
          </w:tcPr>
          <w:p>
            <w:pPr>
              <w:pStyle w:val="886"/>
              <w:rPr>
                <w:rFonts w:ascii="宋体" w:hAnsi="宋体"/>
                <w:sz w:val="24"/>
              </w:rPr>
            </w:pPr>
            <w:r>
              <w:rPr>
                <w:rFonts w:ascii="宋体" w:hAnsi="宋体" w:cs="宋体"/>
                <w:sz w:val="24"/>
              </w:rPr>
              <w:t xml:space="preserve">投标单位202</w:t>
            </w:r>
            <w:r>
              <w:rPr>
                <w:rFonts w:hint="eastAsia" w:ascii="宋体" w:hAnsi="宋体" w:cs="宋体"/>
                <w:sz w:val="24"/>
              </w:rPr>
              <w:t xml:space="preserve">2</w:t>
            </w:r>
            <w:r>
              <w:rPr>
                <w:rFonts w:ascii="宋体" w:hAnsi="宋体" w:cs="宋体"/>
                <w:sz w:val="24"/>
              </w:rPr>
              <w:t xml:space="preserve">年</w:t>
            </w:r>
            <w:r>
              <w:rPr>
                <w:rFonts w:hint="eastAsia" w:ascii="宋体" w:hAnsi="宋体" w:cs="宋体"/>
                <w:sz w:val="24"/>
              </w:rPr>
              <w:t xml:space="preserve">1月1日</w:t>
            </w:r>
            <w:r>
              <w:rPr>
                <w:rFonts w:ascii="宋体" w:hAnsi="宋体" w:cs="宋体"/>
                <w:sz w:val="24"/>
              </w:rPr>
              <w:t xml:space="preserve">至今（以合同签订时间为准）独立承担过环境管理部门委托的第三方服务项目，包括环保项目检查、环保专项排查、环保整治验收、污染物排放核查、环保管家服务、排污许可证核发审核、大气污染源清单审核项目，承担过上述类别三次或三次以上不同类别项目。每项得5分，满分15分。（提供独立承担过的三次或三次以上不同类别项目佐证材料，单个项目包含多种类别服务只计1项得分）</w:t>
            </w:r>
            <w:r>
              <w:rPr>
                <w:rFonts w:ascii="宋体" w:hAnsi="宋体"/>
                <w:sz w:val="24"/>
              </w:rPr>
            </w:r>
            <w:r/>
          </w:p>
        </w:tc>
        <w:tc>
          <w:tcPr>
            <w:tcBorders>
              <w:top w:val="single" w:color="CBCDD1" w:sz="6" w:space="0"/>
              <w:left w:val="single" w:color="000000" w:sz="6" w:space="0"/>
              <w:bottom w:val="single" w:color="000000" w:sz="6" w:space="0"/>
              <w:right w:val="single" w:color="000000" w:sz="6" w:space="0"/>
            </w:tcBorders>
            <w:tcMar>
              <w:left w:w="60" w:type="dxa"/>
              <w:top w:w="60" w:type="dxa"/>
              <w:right w:w="60" w:type="dxa"/>
              <w:bottom w:w="45" w:type="dxa"/>
            </w:tcMar>
            <w:tcW w:w="829" w:type="dxa"/>
            <w:vAlign w:val="center"/>
            <w:textDirection w:val="lrTb"/>
            <w:noWrap w:val="false"/>
          </w:tcPr>
          <w:p>
            <w:pPr>
              <w:pStyle w:val="886"/>
              <w:jc w:val="center"/>
              <w:spacing w:before="100" w:after="120"/>
              <w:rPr>
                <w:rFonts w:ascii="宋体" w:hAnsi="宋体"/>
                <w:sz w:val="24"/>
              </w:rPr>
            </w:pPr>
            <w:r>
              <w:rPr>
                <w:rFonts w:ascii="宋体" w:hAnsi="宋体" w:cs="宋体"/>
                <w:color w:val="000000"/>
                <w:sz w:val="24"/>
              </w:rPr>
              <w:t xml:space="preserve">15</w:t>
            </w:r>
            <w:r>
              <w:rPr>
                <w:rFonts w:ascii="宋体" w:hAnsi="宋体"/>
                <w:sz w:val="24"/>
              </w:rPr>
            </w:r>
            <w:r/>
          </w:p>
        </w:tc>
      </w:tr>
    </w:tbl>
    <w:p>
      <w:pPr>
        <w:pStyle w:val="886"/>
        <w:spacing w:line="360" w:lineRule="auto"/>
        <w:rPr>
          <w:rFonts w:eastAsia="Times New Roman"/>
          <w:color w:val="000000"/>
        </w:rPr>
      </w:pPr>
      <w:r/>
      <w:bookmarkEnd w:id="76"/>
      <w:r/>
      <w:bookmarkEnd w:id="77"/>
      <w:r/>
      <w:bookmarkEnd w:id="78"/>
      <w:r>
        <w:rPr>
          <w:rFonts w:eastAsia="Times New Roman"/>
          <w:color w:val="000000"/>
        </w:rPr>
      </w:r>
      <w:r/>
    </w:p>
    <w:p>
      <w:pPr>
        <w:pStyle w:val="886"/>
        <w:ind w:left="360"/>
        <w:spacing w:line="360" w:lineRule="auto"/>
        <w:rPr>
          <w:rFonts w:ascii="宋体"/>
          <w:sz w:val="24"/>
        </w:rPr>
      </w:pPr>
      <w:r/>
      <w:bookmarkStart w:id="79" w:name="gpc_score_horizontal_4"/>
      <w:r>
        <w:rPr>
          <w:rFonts w:hint="eastAsia" w:ascii="宋体"/>
          <w:sz w:val="24"/>
        </w:rPr>
        <w:t xml:space="preserve">复审评审指标（标段四、五）：</w:t>
      </w:r>
      <w:r>
        <w:rPr>
          <w:rFonts w:ascii="宋体"/>
          <w:sz w:val="24"/>
        </w:rPr>
      </w:r>
      <w:r/>
    </w:p>
    <w:tbl>
      <w:tblPr>
        <w:tblW w:w="879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71"/>
        <w:gridCol w:w="1605"/>
        <w:gridCol w:w="5235"/>
        <w:gridCol w:w="788"/>
      </w:tblGrid>
      <w:tr>
        <w:trPr>
          <w:trHeight w:val="632"/>
        </w:trPr>
        <w:tc>
          <w:tcPr>
            <w:tcBorders>
              <w:top w:val="single" w:color="000000" w:sz="6" w:space="0"/>
              <w:left w:val="single" w:color="000000" w:sz="6" w:space="0"/>
              <w:bottom w:val="single" w:color="000000" w:sz="6" w:space="0"/>
              <w:right w:val="single" w:color="000000" w:sz="6" w:space="0"/>
            </w:tcBorders>
            <w:tcMar>
              <w:left w:w="60" w:type="dxa"/>
              <w:top w:w="60" w:type="dxa"/>
              <w:right w:w="60" w:type="dxa"/>
              <w:bottom w:w="45" w:type="dxa"/>
            </w:tcMar>
            <w:tcW w:w="1171" w:type="dxa"/>
            <w:vAlign w:val="center"/>
            <w:textDirection w:val="lrTb"/>
            <w:noWrap w:val="false"/>
          </w:tcPr>
          <w:p>
            <w:pPr>
              <w:pStyle w:val="886"/>
              <w:jc w:val="center"/>
              <w:spacing w:before="100" w:after="120"/>
              <w:rPr>
                <w:rFonts w:ascii="宋体" w:hAnsi="宋体"/>
                <w:sz w:val="24"/>
              </w:rPr>
            </w:pPr>
            <w:r/>
            <w:bookmarkEnd w:id="79"/>
            <w:r>
              <w:rPr>
                <w:rFonts w:ascii="宋体" w:hAnsi="宋体" w:cs="宋体"/>
                <w:color w:val="000000"/>
                <w:sz w:val="24"/>
              </w:rPr>
              <w:t xml:space="preserve">评审类别</w:t>
            </w:r>
            <w:r>
              <w:rPr>
                <w:rFonts w:ascii="宋体" w:hAnsi="宋体"/>
                <w:sz w:val="24"/>
              </w:rPr>
            </w:r>
            <w:r/>
          </w:p>
        </w:tc>
        <w:tc>
          <w:tcPr>
            <w:tcBorders>
              <w:top w:val="single" w:color="000000" w:sz="6" w:space="0"/>
              <w:left w:val="single" w:color="000000" w:sz="6" w:space="0"/>
              <w:bottom w:val="single" w:color="000000" w:sz="6" w:space="0"/>
              <w:right w:val="single" w:color="000000" w:sz="6" w:space="0"/>
            </w:tcBorders>
            <w:tcMar>
              <w:left w:w="60" w:type="dxa"/>
              <w:top w:w="60" w:type="dxa"/>
              <w:right w:w="60" w:type="dxa"/>
              <w:bottom w:w="45" w:type="dxa"/>
            </w:tcMar>
            <w:tcW w:w="1605" w:type="dxa"/>
            <w:vAlign w:val="center"/>
            <w:textDirection w:val="lrTb"/>
            <w:noWrap w:val="false"/>
          </w:tcPr>
          <w:p>
            <w:pPr>
              <w:pStyle w:val="886"/>
              <w:jc w:val="center"/>
              <w:spacing w:before="100" w:after="120"/>
              <w:rPr>
                <w:rFonts w:ascii="宋体" w:hAnsi="宋体"/>
                <w:sz w:val="24"/>
              </w:rPr>
            </w:pPr>
            <w:r>
              <w:rPr>
                <w:rFonts w:ascii="宋体" w:hAnsi="宋体" w:cs="宋体"/>
                <w:color w:val="000000"/>
                <w:sz w:val="24"/>
              </w:rPr>
              <w:t xml:space="preserve">评审项</w:t>
            </w:r>
            <w:r>
              <w:rPr>
                <w:rFonts w:ascii="宋体" w:hAnsi="宋体"/>
                <w:sz w:val="24"/>
              </w:rPr>
            </w:r>
            <w:r/>
          </w:p>
        </w:tc>
        <w:tc>
          <w:tcPr>
            <w:tcBorders>
              <w:top w:val="single" w:color="000000" w:sz="6" w:space="0"/>
              <w:left w:val="single" w:color="000000" w:sz="6" w:space="0"/>
              <w:bottom w:val="single" w:color="000000" w:sz="6" w:space="0"/>
              <w:right w:val="single" w:color="000000" w:sz="6" w:space="0"/>
            </w:tcBorders>
            <w:tcMar>
              <w:left w:w="60" w:type="dxa"/>
              <w:top w:w="60" w:type="dxa"/>
              <w:right w:w="60" w:type="dxa"/>
              <w:bottom w:w="45" w:type="dxa"/>
            </w:tcMar>
            <w:tcW w:w="5235" w:type="dxa"/>
            <w:vAlign w:val="center"/>
            <w:textDirection w:val="lrTb"/>
            <w:noWrap w:val="false"/>
          </w:tcPr>
          <w:p>
            <w:pPr>
              <w:pStyle w:val="886"/>
              <w:jc w:val="center"/>
              <w:spacing w:before="100" w:after="120"/>
              <w:rPr>
                <w:rFonts w:ascii="宋体" w:hAnsi="宋体"/>
                <w:sz w:val="24"/>
              </w:rPr>
            </w:pPr>
            <w:r>
              <w:rPr>
                <w:rFonts w:ascii="宋体" w:hAnsi="宋体" w:cs="宋体"/>
                <w:color w:val="000000"/>
                <w:sz w:val="24"/>
              </w:rPr>
              <w:t xml:space="preserve">评审规则</w:t>
            </w:r>
            <w:r>
              <w:rPr>
                <w:rFonts w:ascii="宋体" w:hAnsi="宋体"/>
                <w:sz w:val="24"/>
              </w:rPr>
            </w:r>
            <w:r/>
          </w:p>
        </w:tc>
        <w:tc>
          <w:tcPr>
            <w:tcBorders>
              <w:top w:val="single" w:color="000000" w:sz="6" w:space="0"/>
              <w:left w:val="single" w:color="000000" w:sz="6" w:space="0"/>
              <w:bottom w:val="single" w:color="000000" w:sz="6" w:space="0"/>
              <w:right w:val="single" w:color="000000" w:sz="6" w:space="0"/>
            </w:tcBorders>
            <w:tcMar>
              <w:left w:w="60" w:type="dxa"/>
              <w:top w:w="60" w:type="dxa"/>
              <w:right w:w="60" w:type="dxa"/>
              <w:bottom w:w="45" w:type="dxa"/>
            </w:tcMar>
            <w:tcW w:w="788" w:type="dxa"/>
            <w:vAlign w:val="center"/>
            <w:textDirection w:val="lrTb"/>
            <w:noWrap w:val="false"/>
          </w:tcPr>
          <w:p>
            <w:pPr>
              <w:pStyle w:val="886"/>
              <w:jc w:val="center"/>
              <w:spacing w:before="100" w:after="120"/>
              <w:rPr>
                <w:rFonts w:ascii="宋体" w:hAnsi="宋体"/>
                <w:sz w:val="24"/>
              </w:rPr>
            </w:pPr>
            <w:r>
              <w:rPr>
                <w:rFonts w:ascii="宋体" w:hAnsi="宋体" w:cs="宋体"/>
                <w:color w:val="000000"/>
                <w:sz w:val="24"/>
              </w:rPr>
              <w:t xml:space="preserve">分值</w:t>
            </w:r>
            <w:r>
              <w:rPr>
                <w:rFonts w:ascii="宋体" w:hAnsi="宋体"/>
                <w:sz w:val="24"/>
              </w:rPr>
            </w:r>
            <w:r/>
          </w:p>
        </w:tc>
      </w:tr>
      <w:tr>
        <w:trPr>
          <w:cantSplit/>
          <w:trHeight w:val="1146"/>
        </w:trPr>
        <w:tc>
          <w:tcPr>
            <w:tcBorders>
              <w:top w:val="single" w:color="000000" w:sz="6" w:space="0"/>
              <w:left w:val="single" w:color="000000" w:sz="6" w:space="0"/>
              <w:bottom w:val="single" w:color="000000" w:sz="6" w:space="0"/>
              <w:right w:val="single" w:color="000000" w:sz="6" w:space="0"/>
            </w:tcBorders>
            <w:tcMar>
              <w:left w:w="60" w:type="dxa"/>
              <w:top w:w="60" w:type="dxa"/>
              <w:right w:w="60" w:type="dxa"/>
              <w:bottom w:w="45" w:type="dxa"/>
            </w:tcMar>
            <w:tcW w:w="1171" w:type="dxa"/>
            <w:vAlign w:val="center"/>
            <w:vMerge w:val="restart"/>
            <w:textDirection w:val="lrTb"/>
            <w:noWrap w:val="false"/>
          </w:tcPr>
          <w:p>
            <w:pPr>
              <w:pStyle w:val="886"/>
              <w:rPr>
                <w:rFonts w:ascii="宋体" w:hAnsi="宋体"/>
                <w:sz w:val="24"/>
              </w:rPr>
            </w:pPr>
            <w:r>
              <w:rPr>
                <w:rFonts w:ascii="宋体" w:hAnsi="宋体" w:cs="宋体"/>
                <w:color w:val="000000"/>
                <w:sz w:val="24"/>
              </w:rPr>
              <w:t xml:space="preserve">（一）服务方案 (</w:t>
            </w:r>
            <w:r>
              <w:rPr>
                <w:rFonts w:hint="eastAsia" w:ascii="宋体" w:hAnsi="宋体" w:cs="宋体"/>
                <w:color w:val="000000"/>
                <w:sz w:val="24"/>
              </w:rPr>
              <w:t xml:space="preserve">43分</w:t>
            </w:r>
            <w:r>
              <w:rPr>
                <w:rFonts w:ascii="宋体" w:hAnsi="宋体" w:cs="宋体"/>
                <w:color w:val="000000"/>
                <w:sz w:val="24"/>
              </w:rPr>
              <w:t xml:space="preserve">)</w:t>
            </w:r>
            <w:r>
              <w:rPr>
                <w:rFonts w:ascii="宋体" w:hAnsi="宋体"/>
                <w:sz w:val="24"/>
              </w:rPr>
            </w:r>
            <w:r/>
          </w:p>
        </w:tc>
        <w:tc>
          <w:tcPr>
            <w:tcBorders>
              <w:top w:val="single" w:color="CBCDD1" w:sz="6" w:space="0"/>
              <w:left w:val="single" w:color="000000" w:sz="6" w:space="0"/>
              <w:bottom w:val="single" w:color="000000" w:sz="6" w:space="0"/>
              <w:right w:val="single" w:color="000000" w:sz="6" w:space="0"/>
            </w:tcBorders>
            <w:tcMar>
              <w:left w:w="60" w:type="dxa"/>
              <w:top w:w="60" w:type="dxa"/>
              <w:right w:w="60" w:type="dxa"/>
              <w:bottom w:w="45" w:type="dxa"/>
            </w:tcMar>
            <w:tcW w:w="1605" w:type="dxa"/>
            <w:vAlign w:val="center"/>
            <w:textDirection w:val="lrTb"/>
            <w:noWrap w:val="false"/>
          </w:tcPr>
          <w:p>
            <w:pPr>
              <w:pStyle w:val="886"/>
              <w:jc w:val="center"/>
              <w:rPr>
                <w:rFonts w:hint="eastAsia" w:ascii="宋体" w:hAnsi="宋体"/>
                <w:sz w:val="24"/>
              </w:rPr>
            </w:pPr>
            <w:r>
              <w:rPr>
                <w:rFonts w:hint="eastAsia" w:ascii="宋体" w:hAnsi="宋体"/>
                <w:sz w:val="24"/>
              </w:rPr>
              <w:t xml:space="preserve">1.项目理解程度</w:t>
            </w:r>
            <w:r/>
          </w:p>
        </w:tc>
        <w:tc>
          <w:tcPr>
            <w:tcBorders>
              <w:top w:val="single" w:color="CBCDD1" w:sz="6" w:space="0"/>
              <w:left w:val="single" w:color="000000" w:sz="6" w:space="0"/>
              <w:bottom w:val="single" w:color="000000" w:sz="6" w:space="0"/>
              <w:right w:val="single" w:color="000000" w:sz="6" w:space="0"/>
            </w:tcBorders>
            <w:tcMar>
              <w:left w:w="60" w:type="dxa"/>
              <w:top w:w="60" w:type="dxa"/>
              <w:right w:w="60" w:type="dxa"/>
              <w:bottom w:w="45" w:type="dxa"/>
            </w:tcMar>
            <w:tcW w:w="5235" w:type="dxa"/>
            <w:vAlign w:val="center"/>
            <w:textDirection w:val="lrTb"/>
            <w:noWrap w:val="false"/>
          </w:tcPr>
          <w:p>
            <w:pPr>
              <w:pStyle w:val="1210"/>
              <w:ind w:firstLine="0"/>
              <w:jc w:val="left"/>
              <w:rPr>
                <w:rFonts w:hint="eastAsia" w:ascii="宋体" w:hAnsi="宋体"/>
                <w:sz w:val="24"/>
              </w:rPr>
            </w:pPr>
            <w:r>
              <w:rPr>
                <w:rFonts w:hint="eastAsia" w:ascii="宋体" w:hAnsi="宋体"/>
                <w:sz w:val="24"/>
              </w:rPr>
              <w:t xml:space="preserve">根据投标单位提供的项目理解程度方案：项目工作背景、工作目标、工作熟悉情况、最终成果，每项1分，最高得4分。</w:t>
            </w:r>
            <w:r/>
          </w:p>
        </w:tc>
        <w:tc>
          <w:tcPr>
            <w:tcBorders>
              <w:top w:val="single" w:color="CBCDD1" w:sz="6" w:space="0"/>
              <w:left w:val="single" w:color="000000" w:sz="6" w:space="0"/>
              <w:bottom w:val="single" w:color="000000" w:sz="6" w:space="0"/>
              <w:right w:val="single" w:color="000000" w:sz="6" w:space="0"/>
            </w:tcBorders>
            <w:tcMar>
              <w:left w:w="60" w:type="dxa"/>
              <w:top w:w="60" w:type="dxa"/>
              <w:right w:w="60" w:type="dxa"/>
              <w:bottom w:w="45" w:type="dxa"/>
            </w:tcMar>
            <w:tcW w:w="788" w:type="dxa"/>
            <w:vAlign w:val="center"/>
            <w:textDirection w:val="lrTb"/>
            <w:noWrap w:val="false"/>
          </w:tcPr>
          <w:p>
            <w:pPr>
              <w:pStyle w:val="886"/>
              <w:jc w:val="center"/>
              <w:widowControl/>
              <w:rPr>
                <w:rFonts w:hint="eastAsia" w:ascii="宋体" w:hAnsi="宋体"/>
                <w:sz w:val="24"/>
              </w:rPr>
            </w:pPr>
            <w:r>
              <w:rPr>
                <w:rFonts w:hint="eastAsia" w:ascii="宋体" w:hAnsi="宋体"/>
                <w:sz w:val="24"/>
              </w:rPr>
              <w:t xml:space="preserve">4</w:t>
            </w:r>
            <w:r/>
          </w:p>
        </w:tc>
      </w:tr>
      <w:tr>
        <w:trPr>
          <w:cantSplit/>
          <w:trHeight w:val="1469"/>
        </w:trPr>
        <w:tc>
          <w:tcPr>
            <w:tcBorders>
              <w:top w:val="single" w:color="000000" w:sz="6" w:space="0"/>
              <w:left w:val="single" w:color="000000" w:sz="6" w:space="0"/>
              <w:bottom w:val="single" w:color="000000" w:sz="6" w:space="0"/>
              <w:right w:val="single" w:color="000000" w:sz="6" w:space="0"/>
            </w:tcBorders>
            <w:tcMar>
              <w:left w:w="60" w:type="dxa"/>
              <w:top w:w="60" w:type="dxa"/>
              <w:right w:w="60" w:type="dxa"/>
              <w:bottom w:w="45" w:type="dxa"/>
            </w:tcMar>
            <w:tcW w:w="1171" w:type="dxa"/>
            <w:vAlign w:val="center"/>
            <w:vMerge w:val="continue"/>
            <w:textDirection w:val="lrTb"/>
            <w:noWrap w:val="false"/>
          </w:tcPr>
          <w:p>
            <w:pPr>
              <w:pStyle w:val="886"/>
              <w:rPr>
                <w:rFonts w:ascii="宋体" w:hAnsi="宋体" w:cs="宋体"/>
                <w:color w:val="000000"/>
                <w:sz w:val="24"/>
              </w:rPr>
            </w:pPr>
            <w:r>
              <w:rPr>
                <w:rFonts w:ascii="宋体" w:hAnsi="宋体" w:cs="宋体"/>
                <w:color w:val="000000"/>
                <w:sz w:val="24"/>
              </w:rPr>
            </w:r>
            <w:r/>
          </w:p>
        </w:tc>
        <w:tc>
          <w:tcPr>
            <w:tcBorders>
              <w:top w:val="single" w:color="CBCDD1" w:sz="6" w:space="0"/>
              <w:left w:val="single" w:color="000000" w:sz="6" w:space="0"/>
              <w:bottom w:val="single" w:color="000000" w:sz="6" w:space="0"/>
              <w:right w:val="single" w:color="000000" w:sz="6" w:space="0"/>
            </w:tcBorders>
            <w:tcMar>
              <w:left w:w="60" w:type="dxa"/>
              <w:top w:w="60" w:type="dxa"/>
              <w:right w:w="60" w:type="dxa"/>
              <w:bottom w:w="45" w:type="dxa"/>
            </w:tcMar>
            <w:tcW w:w="1605" w:type="dxa"/>
            <w:vAlign w:val="center"/>
            <w:textDirection w:val="lrTb"/>
            <w:noWrap w:val="false"/>
          </w:tcPr>
          <w:p>
            <w:pPr>
              <w:pStyle w:val="886"/>
              <w:jc w:val="center"/>
              <w:rPr>
                <w:rFonts w:hint="eastAsia" w:ascii="宋体" w:hAnsi="宋体"/>
                <w:sz w:val="24"/>
              </w:rPr>
            </w:pPr>
            <w:r>
              <w:rPr>
                <w:rFonts w:hint="eastAsia" w:ascii="宋体" w:hAnsi="宋体"/>
                <w:sz w:val="24"/>
              </w:rPr>
              <w:t xml:space="preserve">2.涉VOCs排放企业数据动态管理平台建立方案</w:t>
            </w:r>
            <w:r/>
          </w:p>
        </w:tc>
        <w:tc>
          <w:tcPr>
            <w:tcBorders>
              <w:top w:val="single" w:color="CBCDD1" w:sz="6" w:space="0"/>
              <w:left w:val="single" w:color="000000" w:sz="6" w:space="0"/>
              <w:bottom w:val="single" w:color="000000" w:sz="6" w:space="0"/>
              <w:right w:val="single" w:color="000000" w:sz="6" w:space="0"/>
            </w:tcBorders>
            <w:tcMar>
              <w:left w:w="60" w:type="dxa"/>
              <w:top w:w="60" w:type="dxa"/>
              <w:right w:w="60" w:type="dxa"/>
              <w:bottom w:w="45" w:type="dxa"/>
            </w:tcMar>
            <w:tcW w:w="5235" w:type="dxa"/>
            <w:vAlign w:val="center"/>
            <w:textDirection w:val="lrTb"/>
            <w:noWrap w:val="false"/>
          </w:tcPr>
          <w:p>
            <w:pPr>
              <w:pStyle w:val="886"/>
              <w:jc w:val="left"/>
              <w:rPr>
                <w:rFonts w:ascii="宋体" w:hAnsi="宋体"/>
                <w:sz w:val="24"/>
              </w:rPr>
            </w:pPr>
            <w:r>
              <w:rPr>
                <w:rFonts w:hint="eastAsia" w:ascii="宋体" w:hAnsi="宋体"/>
                <w:sz w:val="24"/>
              </w:rPr>
              <w:t xml:space="preserve">根据投标单位提供的涉VOCs排放企业数据动态管理平台建立方案（标准依据、技术路线、实施方案、人员安排、保障措施等内容），每项1分，最高5分。</w:t>
            </w:r>
            <w:r>
              <w:rPr>
                <w:rFonts w:ascii="宋体" w:hAnsi="宋体"/>
                <w:sz w:val="24"/>
              </w:rPr>
            </w:r>
            <w:r/>
          </w:p>
        </w:tc>
        <w:tc>
          <w:tcPr>
            <w:tcBorders>
              <w:top w:val="single" w:color="CBCDD1" w:sz="6" w:space="0"/>
              <w:left w:val="single" w:color="000000" w:sz="6" w:space="0"/>
              <w:bottom w:val="single" w:color="000000" w:sz="6" w:space="0"/>
              <w:right w:val="single" w:color="000000" w:sz="6" w:space="0"/>
            </w:tcBorders>
            <w:tcMar>
              <w:left w:w="60" w:type="dxa"/>
              <w:top w:w="60" w:type="dxa"/>
              <w:right w:w="60" w:type="dxa"/>
              <w:bottom w:w="45" w:type="dxa"/>
            </w:tcMar>
            <w:tcW w:w="788" w:type="dxa"/>
            <w:vAlign w:val="center"/>
            <w:textDirection w:val="lrTb"/>
            <w:noWrap w:val="false"/>
          </w:tcPr>
          <w:p>
            <w:pPr>
              <w:pStyle w:val="886"/>
              <w:jc w:val="center"/>
              <w:rPr>
                <w:rFonts w:hint="eastAsia" w:ascii="宋体" w:hAnsi="宋体"/>
                <w:sz w:val="24"/>
              </w:rPr>
            </w:pPr>
            <w:r>
              <w:rPr>
                <w:rFonts w:hint="eastAsia" w:ascii="宋体" w:hAnsi="宋体"/>
                <w:sz w:val="24"/>
              </w:rPr>
              <w:t xml:space="preserve">5</w:t>
            </w:r>
            <w:r/>
          </w:p>
        </w:tc>
      </w:tr>
      <w:tr>
        <w:trPr>
          <w:cantSplit/>
          <w:trHeight w:val="1357"/>
        </w:trPr>
        <w:tc>
          <w:tcPr>
            <w:tcBorders>
              <w:top w:val="single" w:color="000000" w:sz="6" w:space="0"/>
              <w:left w:val="single" w:color="000000" w:sz="6" w:space="0"/>
              <w:bottom w:val="single" w:color="000000" w:sz="6" w:space="0"/>
              <w:right w:val="single" w:color="000000" w:sz="6" w:space="0"/>
            </w:tcBorders>
            <w:tcMar>
              <w:left w:w="60" w:type="dxa"/>
              <w:top w:w="60" w:type="dxa"/>
              <w:right w:w="60" w:type="dxa"/>
              <w:bottom w:w="45" w:type="dxa"/>
            </w:tcMar>
            <w:tcW w:w="1171" w:type="dxa"/>
            <w:vAlign w:val="center"/>
            <w:vMerge w:val="continue"/>
            <w:textDirection w:val="lrTb"/>
            <w:noWrap w:val="false"/>
          </w:tcPr>
          <w:p>
            <w:pPr>
              <w:pStyle w:val="886"/>
              <w:rPr>
                <w:rFonts w:ascii="宋体" w:hAnsi="宋体" w:cs="宋体"/>
                <w:color w:val="000000"/>
                <w:sz w:val="24"/>
              </w:rPr>
            </w:pPr>
            <w:r>
              <w:rPr>
                <w:rFonts w:ascii="宋体" w:hAnsi="宋体" w:cs="宋体"/>
                <w:color w:val="000000"/>
                <w:sz w:val="24"/>
              </w:rPr>
            </w:r>
            <w:r/>
          </w:p>
        </w:tc>
        <w:tc>
          <w:tcPr>
            <w:tcBorders>
              <w:top w:val="single" w:color="CBCDD1" w:sz="6" w:space="0"/>
              <w:left w:val="single" w:color="000000" w:sz="6" w:space="0"/>
              <w:bottom w:val="single" w:color="000000" w:sz="6" w:space="0"/>
              <w:right w:val="single" w:color="000000" w:sz="6" w:space="0"/>
            </w:tcBorders>
            <w:tcMar>
              <w:left w:w="60" w:type="dxa"/>
              <w:top w:w="60" w:type="dxa"/>
              <w:right w:w="60" w:type="dxa"/>
              <w:bottom w:w="45" w:type="dxa"/>
            </w:tcMar>
            <w:tcW w:w="1605" w:type="dxa"/>
            <w:vAlign w:val="center"/>
            <w:textDirection w:val="lrTb"/>
            <w:noWrap w:val="false"/>
          </w:tcPr>
          <w:p>
            <w:pPr>
              <w:pStyle w:val="886"/>
              <w:jc w:val="center"/>
              <w:rPr>
                <w:rFonts w:hint="eastAsia" w:ascii="宋体" w:hAnsi="宋体"/>
                <w:sz w:val="24"/>
              </w:rPr>
            </w:pPr>
            <w:r>
              <w:rPr>
                <w:rFonts w:hint="eastAsia" w:ascii="宋体" w:hAnsi="宋体"/>
                <w:sz w:val="24"/>
              </w:rPr>
              <w:t xml:space="preserve">3.企业VOCs污染全过程排查方案</w:t>
            </w:r>
            <w:r/>
          </w:p>
        </w:tc>
        <w:tc>
          <w:tcPr>
            <w:tcBorders>
              <w:top w:val="single" w:color="CBCDD1" w:sz="6" w:space="0"/>
              <w:left w:val="single" w:color="000000" w:sz="6" w:space="0"/>
              <w:bottom w:val="single" w:color="000000" w:sz="6" w:space="0"/>
              <w:right w:val="single" w:color="000000" w:sz="6" w:space="0"/>
            </w:tcBorders>
            <w:tcMar>
              <w:left w:w="60" w:type="dxa"/>
              <w:top w:w="60" w:type="dxa"/>
              <w:right w:w="60" w:type="dxa"/>
              <w:bottom w:w="45" w:type="dxa"/>
            </w:tcMar>
            <w:tcW w:w="5235" w:type="dxa"/>
            <w:vAlign w:val="center"/>
            <w:textDirection w:val="lrTb"/>
            <w:noWrap w:val="false"/>
          </w:tcPr>
          <w:p>
            <w:pPr>
              <w:pStyle w:val="886"/>
              <w:jc w:val="left"/>
              <w:rPr>
                <w:rFonts w:ascii="宋体" w:hAnsi="宋体"/>
                <w:sz w:val="24"/>
              </w:rPr>
            </w:pPr>
            <w:r>
              <w:rPr>
                <w:rFonts w:ascii="宋体" w:hAnsi="宋体"/>
                <w:sz w:val="24"/>
              </w:rPr>
              <w:t xml:space="preserve">根据</w:t>
            </w:r>
            <w:r>
              <w:rPr>
                <w:rFonts w:hint="eastAsia" w:ascii="宋体" w:hAnsi="宋体"/>
                <w:sz w:val="24"/>
              </w:rPr>
              <w:t xml:space="preserve">投标单位</w:t>
            </w:r>
            <w:r>
              <w:rPr>
                <w:rFonts w:ascii="宋体" w:hAnsi="宋体"/>
                <w:sz w:val="24"/>
              </w:rPr>
              <w:t xml:space="preserve">提供的</w:t>
            </w:r>
            <w:r>
              <w:rPr>
                <w:rFonts w:hint="eastAsia" w:ascii="宋体" w:hAnsi="宋体"/>
                <w:sz w:val="24"/>
              </w:rPr>
              <w:t xml:space="preserve">企业VOCs污染全过程排查方案（标准依据、技术路线、实施方案、人员安排、保障措施等内容），每项1分，最高5分。</w:t>
            </w:r>
            <w:r>
              <w:rPr>
                <w:rFonts w:ascii="宋体" w:hAnsi="宋体"/>
                <w:sz w:val="24"/>
              </w:rPr>
            </w:r>
            <w:r/>
          </w:p>
        </w:tc>
        <w:tc>
          <w:tcPr>
            <w:tcBorders>
              <w:top w:val="single" w:color="CBCDD1" w:sz="6" w:space="0"/>
              <w:left w:val="single" w:color="000000" w:sz="6" w:space="0"/>
              <w:bottom w:val="single" w:color="000000" w:sz="6" w:space="0"/>
              <w:right w:val="single" w:color="000000" w:sz="6" w:space="0"/>
            </w:tcBorders>
            <w:tcMar>
              <w:left w:w="60" w:type="dxa"/>
              <w:top w:w="60" w:type="dxa"/>
              <w:right w:w="60" w:type="dxa"/>
              <w:bottom w:w="45" w:type="dxa"/>
            </w:tcMar>
            <w:tcW w:w="788" w:type="dxa"/>
            <w:vAlign w:val="center"/>
            <w:textDirection w:val="lrTb"/>
            <w:noWrap w:val="false"/>
          </w:tcPr>
          <w:p>
            <w:pPr>
              <w:pStyle w:val="886"/>
              <w:jc w:val="center"/>
              <w:rPr>
                <w:rFonts w:hint="eastAsia" w:ascii="宋体" w:hAnsi="宋体"/>
                <w:sz w:val="24"/>
              </w:rPr>
            </w:pPr>
            <w:r>
              <w:rPr>
                <w:rFonts w:hint="eastAsia" w:ascii="宋体" w:hAnsi="宋体"/>
                <w:sz w:val="24"/>
              </w:rPr>
              <w:t xml:space="preserve">5</w:t>
            </w:r>
            <w:r/>
          </w:p>
        </w:tc>
      </w:tr>
      <w:tr>
        <w:trPr>
          <w:cantSplit/>
          <w:trHeight w:val="1206"/>
        </w:trPr>
        <w:tc>
          <w:tcPr>
            <w:tcBorders>
              <w:top w:val="single" w:color="000000" w:sz="6" w:space="0"/>
              <w:left w:val="single" w:color="000000" w:sz="6" w:space="0"/>
              <w:bottom w:val="single" w:color="000000" w:sz="6" w:space="0"/>
              <w:right w:val="single" w:color="000000" w:sz="6" w:space="0"/>
            </w:tcBorders>
            <w:tcMar>
              <w:left w:w="60" w:type="dxa"/>
              <w:top w:w="60" w:type="dxa"/>
              <w:right w:w="60" w:type="dxa"/>
              <w:bottom w:w="45" w:type="dxa"/>
            </w:tcMar>
            <w:tcW w:w="1171" w:type="dxa"/>
            <w:vAlign w:val="center"/>
            <w:vMerge w:val="continue"/>
            <w:textDirection w:val="lrTb"/>
            <w:noWrap w:val="false"/>
          </w:tcPr>
          <w:p>
            <w:pPr>
              <w:pStyle w:val="886"/>
              <w:rPr>
                <w:rFonts w:ascii="宋体" w:hAnsi="宋体" w:cs="宋体"/>
                <w:color w:val="000000"/>
                <w:sz w:val="24"/>
              </w:rPr>
            </w:pPr>
            <w:r>
              <w:rPr>
                <w:rFonts w:ascii="宋体" w:hAnsi="宋体" w:cs="宋体"/>
                <w:color w:val="000000"/>
                <w:sz w:val="24"/>
              </w:rPr>
            </w:r>
            <w:r/>
          </w:p>
        </w:tc>
        <w:tc>
          <w:tcPr>
            <w:tcBorders>
              <w:top w:val="single" w:color="CBCDD1" w:sz="6" w:space="0"/>
              <w:left w:val="single" w:color="000000" w:sz="6" w:space="0"/>
              <w:bottom w:val="single" w:color="000000" w:sz="6" w:space="0"/>
              <w:right w:val="single" w:color="000000" w:sz="6" w:space="0"/>
            </w:tcBorders>
            <w:tcMar>
              <w:left w:w="60" w:type="dxa"/>
              <w:top w:w="60" w:type="dxa"/>
              <w:right w:w="60" w:type="dxa"/>
              <w:bottom w:w="45" w:type="dxa"/>
            </w:tcMar>
            <w:tcW w:w="1605" w:type="dxa"/>
            <w:vAlign w:val="center"/>
            <w:textDirection w:val="lrTb"/>
            <w:noWrap w:val="false"/>
          </w:tcPr>
          <w:p>
            <w:pPr>
              <w:pStyle w:val="886"/>
              <w:jc w:val="center"/>
              <w:rPr>
                <w:rFonts w:ascii="宋体" w:hAnsi="宋体"/>
                <w:sz w:val="24"/>
              </w:rPr>
            </w:pPr>
            <w:r>
              <w:rPr>
                <w:rFonts w:hint="eastAsia" w:ascii="宋体" w:hAnsi="宋体"/>
                <w:sz w:val="24"/>
              </w:rPr>
              <w:t xml:space="preserve">4.治理过程指导评估方案</w:t>
            </w:r>
            <w:r>
              <w:rPr>
                <w:rFonts w:ascii="宋体" w:hAnsi="宋体"/>
                <w:sz w:val="24"/>
              </w:rPr>
            </w:r>
            <w:r/>
          </w:p>
        </w:tc>
        <w:tc>
          <w:tcPr>
            <w:tcBorders>
              <w:top w:val="single" w:color="CBCDD1" w:sz="6" w:space="0"/>
              <w:left w:val="single" w:color="000000" w:sz="6" w:space="0"/>
              <w:bottom w:val="single" w:color="000000" w:sz="6" w:space="0"/>
              <w:right w:val="single" w:color="000000" w:sz="6" w:space="0"/>
            </w:tcBorders>
            <w:tcMar>
              <w:left w:w="60" w:type="dxa"/>
              <w:top w:w="60" w:type="dxa"/>
              <w:right w:w="60" w:type="dxa"/>
              <w:bottom w:w="45" w:type="dxa"/>
            </w:tcMar>
            <w:tcW w:w="5235" w:type="dxa"/>
            <w:vAlign w:val="center"/>
            <w:textDirection w:val="lrTb"/>
            <w:noWrap w:val="false"/>
          </w:tcPr>
          <w:p>
            <w:pPr>
              <w:pStyle w:val="1210"/>
              <w:ind w:firstLine="0"/>
              <w:jc w:val="left"/>
              <w:rPr>
                <w:rFonts w:ascii="宋体" w:hAnsi="宋体"/>
                <w:sz w:val="24"/>
              </w:rPr>
            </w:pPr>
            <w:r>
              <w:rPr>
                <w:rFonts w:hint="eastAsia" w:ascii="宋体" w:hAnsi="宋体"/>
                <w:sz w:val="24"/>
              </w:rPr>
              <w:t xml:space="preserve">根据投标单位提供的治理过程指导评估方案（标准依据、技术路线、实施方案、人员安排、保障措施等内容），每项1分，最高5分。</w:t>
            </w:r>
            <w:r>
              <w:rPr>
                <w:rFonts w:ascii="宋体" w:hAnsi="宋体"/>
                <w:sz w:val="24"/>
              </w:rPr>
            </w:r>
            <w:r/>
          </w:p>
        </w:tc>
        <w:tc>
          <w:tcPr>
            <w:tcBorders>
              <w:top w:val="single" w:color="CBCDD1" w:sz="6" w:space="0"/>
              <w:left w:val="single" w:color="000000" w:sz="6" w:space="0"/>
              <w:bottom w:val="single" w:color="000000" w:sz="6" w:space="0"/>
              <w:right w:val="single" w:color="000000" w:sz="6" w:space="0"/>
            </w:tcBorders>
            <w:tcMar>
              <w:left w:w="60" w:type="dxa"/>
              <w:top w:w="60" w:type="dxa"/>
              <w:right w:w="60" w:type="dxa"/>
              <w:bottom w:w="45" w:type="dxa"/>
            </w:tcMar>
            <w:tcW w:w="788" w:type="dxa"/>
            <w:vAlign w:val="center"/>
            <w:textDirection w:val="lrTb"/>
            <w:noWrap w:val="false"/>
          </w:tcPr>
          <w:p>
            <w:pPr>
              <w:pStyle w:val="886"/>
              <w:jc w:val="center"/>
              <w:rPr>
                <w:rFonts w:hint="eastAsia" w:ascii="宋体" w:hAnsi="宋体"/>
                <w:sz w:val="24"/>
              </w:rPr>
            </w:pPr>
            <w:r>
              <w:rPr>
                <w:rFonts w:hint="eastAsia" w:ascii="宋体" w:hAnsi="宋体"/>
                <w:sz w:val="24"/>
              </w:rPr>
              <w:t xml:space="preserve">5</w:t>
            </w:r>
            <w:r/>
          </w:p>
        </w:tc>
      </w:tr>
      <w:tr>
        <w:trPr>
          <w:cantSplit/>
          <w:trHeight w:val="1533"/>
        </w:trPr>
        <w:tc>
          <w:tcPr>
            <w:tcBorders>
              <w:top w:val="single" w:color="000000" w:sz="6" w:space="0"/>
              <w:left w:val="single" w:color="000000" w:sz="6" w:space="0"/>
              <w:bottom w:val="single" w:color="000000" w:sz="6" w:space="0"/>
              <w:right w:val="single" w:color="000000" w:sz="6" w:space="0"/>
            </w:tcBorders>
            <w:tcMar>
              <w:left w:w="60" w:type="dxa"/>
              <w:top w:w="60" w:type="dxa"/>
              <w:right w:w="60" w:type="dxa"/>
              <w:bottom w:w="45" w:type="dxa"/>
            </w:tcMar>
            <w:tcW w:w="1171" w:type="dxa"/>
            <w:vAlign w:val="center"/>
            <w:vMerge w:val="continue"/>
            <w:textDirection w:val="lrTb"/>
            <w:noWrap w:val="false"/>
          </w:tcPr>
          <w:p>
            <w:pPr>
              <w:pStyle w:val="886"/>
              <w:rPr>
                <w:rFonts w:ascii="宋体" w:hAnsi="宋体" w:cs="宋体"/>
                <w:color w:val="000000"/>
                <w:sz w:val="24"/>
              </w:rPr>
            </w:pPr>
            <w:r>
              <w:rPr>
                <w:rFonts w:ascii="宋体" w:hAnsi="宋体" w:cs="宋体"/>
                <w:color w:val="000000"/>
                <w:sz w:val="24"/>
              </w:rPr>
            </w:r>
            <w:r/>
          </w:p>
        </w:tc>
        <w:tc>
          <w:tcPr>
            <w:tcBorders>
              <w:top w:val="single" w:color="CBCDD1" w:sz="6" w:space="0"/>
              <w:left w:val="single" w:color="000000" w:sz="6" w:space="0"/>
              <w:bottom w:val="single" w:color="000000" w:sz="6" w:space="0"/>
              <w:right w:val="single" w:color="000000" w:sz="6" w:space="0"/>
            </w:tcBorders>
            <w:tcMar>
              <w:left w:w="60" w:type="dxa"/>
              <w:top w:w="60" w:type="dxa"/>
              <w:right w:w="60" w:type="dxa"/>
              <w:bottom w:w="45" w:type="dxa"/>
            </w:tcMar>
            <w:tcW w:w="1605" w:type="dxa"/>
            <w:vAlign w:val="center"/>
            <w:textDirection w:val="lrTb"/>
            <w:noWrap w:val="false"/>
          </w:tcPr>
          <w:p>
            <w:pPr>
              <w:pStyle w:val="886"/>
              <w:jc w:val="center"/>
              <w:rPr>
                <w:rFonts w:ascii="宋体" w:hAnsi="宋体"/>
                <w:sz w:val="24"/>
              </w:rPr>
            </w:pPr>
            <w:r>
              <w:rPr>
                <w:rFonts w:hint="eastAsia" w:ascii="宋体" w:hAnsi="宋体"/>
                <w:sz w:val="24"/>
              </w:rPr>
              <w:t xml:space="preserve">5.日常巡查检查及业务培训方案</w:t>
            </w:r>
            <w:r>
              <w:rPr>
                <w:rFonts w:ascii="宋体" w:hAnsi="宋体"/>
                <w:sz w:val="24"/>
              </w:rPr>
            </w:r>
            <w:r/>
          </w:p>
        </w:tc>
        <w:tc>
          <w:tcPr>
            <w:tcBorders>
              <w:top w:val="single" w:color="CBCDD1" w:sz="6" w:space="0"/>
              <w:left w:val="single" w:color="000000" w:sz="6" w:space="0"/>
              <w:bottom w:val="single" w:color="000000" w:sz="6" w:space="0"/>
              <w:right w:val="single" w:color="000000" w:sz="6" w:space="0"/>
            </w:tcBorders>
            <w:tcMar>
              <w:left w:w="60" w:type="dxa"/>
              <w:top w:w="60" w:type="dxa"/>
              <w:right w:w="60" w:type="dxa"/>
              <w:bottom w:w="45" w:type="dxa"/>
            </w:tcMar>
            <w:tcW w:w="5235" w:type="dxa"/>
            <w:vAlign w:val="center"/>
            <w:textDirection w:val="lrTb"/>
            <w:noWrap w:val="false"/>
          </w:tcPr>
          <w:p>
            <w:pPr>
              <w:pStyle w:val="886"/>
              <w:jc w:val="left"/>
              <w:rPr>
                <w:rFonts w:ascii="宋体" w:hAnsi="宋体"/>
                <w:sz w:val="24"/>
              </w:rPr>
            </w:pPr>
            <w:r>
              <w:rPr>
                <w:rFonts w:hint="eastAsia" w:ascii="宋体" w:hAnsi="宋体"/>
                <w:sz w:val="24"/>
              </w:rPr>
              <w:t xml:space="preserve">根据投标单位提供的日常巡查检查及业务培训方案（标准依据、技术路线、巡查方案、培训方案、人员安排、保障措施等内容），每项1分，最高6分。</w:t>
            </w:r>
            <w:r>
              <w:rPr>
                <w:rFonts w:ascii="宋体" w:hAnsi="宋体"/>
                <w:sz w:val="24"/>
              </w:rPr>
            </w:r>
            <w:r/>
          </w:p>
        </w:tc>
        <w:tc>
          <w:tcPr>
            <w:tcBorders>
              <w:top w:val="single" w:color="CBCDD1" w:sz="6" w:space="0"/>
              <w:left w:val="single" w:color="000000" w:sz="6" w:space="0"/>
              <w:bottom w:val="single" w:color="000000" w:sz="6" w:space="0"/>
              <w:right w:val="single" w:color="000000" w:sz="6" w:space="0"/>
            </w:tcBorders>
            <w:tcMar>
              <w:left w:w="60" w:type="dxa"/>
              <w:top w:w="60" w:type="dxa"/>
              <w:right w:w="60" w:type="dxa"/>
              <w:bottom w:w="45" w:type="dxa"/>
            </w:tcMar>
            <w:tcW w:w="788" w:type="dxa"/>
            <w:vAlign w:val="center"/>
            <w:textDirection w:val="lrTb"/>
            <w:noWrap w:val="false"/>
          </w:tcPr>
          <w:p>
            <w:pPr>
              <w:pStyle w:val="886"/>
              <w:jc w:val="center"/>
              <w:rPr>
                <w:rFonts w:hint="eastAsia" w:ascii="宋体" w:hAnsi="宋体"/>
                <w:sz w:val="24"/>
              </w:rPr>
            </w:pPr>
            <w:r>
              <w:rPr>
                <w:rFonts w:hint="eastAsia" w:ascii="宋体" w:hAnsi="宋体"/>
                <w:sz w:val="24"/>
              </w:rPr>
              <w:t xml:space="preserve">6</w:t>
            </w:r>
            <w:r/>
          </w:p>
        </w:tc>
      </w:tr>
      <w:tr>
        <w:trPr>
          <w:cantSplit/>
          <w:trHeight w:val="1969"/>
        </w:trPr>
        <w:tc>
          <w:tcPr>
            <w:tcBorders>
              <w:top w:val="single" w:color="000000" w:sz="6" w:space="0"/>
              <w:left w:val="single" w:color="000000" w:sz="6" w:space="0"/>
              <w:bottom w:val="single" w:color="000000" w:sz="6" w:space="0"/>
              <w:right w:val="single" w:color="000000" w:sz="6" w:space="0"/>
            </w:tcBorders>
            <w:tcMar>
              <w:left w:w="60" w:type="dxa"/>
              <w:top w:w="60" w:type="dxa"/>
              <w:right w:w="60" w:type="dxa"/>
              <w:bottom w:w="45" w:type="dxa"/>
            </w:tcMar>
            <w:tcW w:w="1171" w:type="dxa"/>
            <w:vAlign w:val="center"/>
            <w:vMerge w:val="continue"/>
            <w:textDirection w:val="lrTb"/>
            <w:noWrap w:val="false"/>
          </w:tcPr>
          <w:p>
            <w:pPr>
              <w:pStyle w:val="886"/>
              <w:rPr>
                <w:rFonts w:ascii="宋体" w:hAnsi="宋体" w:cs="宋体"/>
                <w:color w:val="000000"/>
                <w:sz w:val="24"/>
              </w:rPr>
            </w:pPr>
            <w:r>
              <w:rPr>
                <w:rFonts w:ascii="宋体" w:hAnsi="宋体" w:cs="宋体"/>
                <w:color w:val="000000"/>
                <w:sz w:val="24"/>
              </w:rPr>
            </w:r>
            <w:r/>
          </w:p>
        </w:tc>
        <w:tc>
          <w:tcPr>
            <w:tcBorders>
              <w:top w:val="single" w:color="CBCDD1" w:sz="6" w:space="0"/>
              <w:left w:val="single" w:color="000000" w:sz="6" w:space="0"/>
              <w:bottom w:val="single" w:color="000000" w:sz="6" w:space="0"/>
              <w:right w:val="single" w:color="000000" w:sz="6" w:space="0"/>
            </w:tcBorders>
            <w:tcMar>
              <w:left w:w="60" w:type="dxa"/>
              <w:top w:w="60" w:type="dxa"/>
              <w:right w:w="60" w:type="dxa"/>
              <w:bottom w:w="45" w:type="dxa"/>
            </w:tcMar>
            <w:tcW w:w="1605" w:type="dxa"/>
            <w:vAlign w:val="center"/>
            <w:textDirection w:val="lrTb"/>
            <w:noWrap w:val="false"/>
          </w:tcPr>
          <w:p>
            <w:pPr>
              <w:pStyle w:val="886"/>
              <w:jc w:val="center"/>
              <w:rPr>
                <w:rFonts w:ascii="宋体" w:hAnsi="宋体"/>
                <w:sz w:val="24"/>
              </w:rPr>
            </w:pPr>
            <w:r>
              <w:rPr>
                <w:rFonts w:hint="eastAsia" w:ascii="宋体" w:hAnsi="宋体"/>
                <w:sz w:val="24"/>
              </w:rPr>
              <w:t xml:space="preserve">6.其他服务方案（重污染应急管控、</w:t>
            </w:r>
            <w:r>
              <w:rPr>
                <w:rFonts w:ascii="宋体" w:hAnsi="宋体"/>
                <w:sz w:val="24"/>
              </w:rPr>
              <w:t xml:space="preserve">治理成效量化核算评估</w:t>
            </w:r>
            <w:r>
              <w:rPr>
                <w:rFonts w:hint="eastAsia" w:ascii="宋体" w:hAnsi="宋体"/>
                <w:sz w:val="24"/>
              </w:rPr>
              <w:t xml:space="preserve">方案）</w:t>
            </w:r>
            <w:r>
              <w:rPr>
                <w:rFonts w:ascii="宋体" w:hAnsi="宋体"/>
                <w:sz w:val="24"/>
              </w:rPr>
            </w:r>
            <w:r/>
          </w:p>
        </w:tc>
        <w:tc>
          <w:tcPr>
            <w:tcBorders>
              <w:top w:val="single" w:color="CBCDD1" w:sz="6" w:space="0"/>
              <w:left w:val="single" w:color="000000" w:sz="6" w:space="0"/>
              <w:bottom w:val="single" w:color="000000" w:sz="6" w:space="0"/>
              <w:right w:val="single" w:color="000000" w:sz="6" w:space="0"/>
            </w:tcBorders>
            <w:tcMar>
              <w:left w:w="60" w:type="dxa"/>
              <w:top w:w="60" w:type="dxa"/>
              <w:right w:w="60" w:type="dxa"/>
              <w:bottom w:w="45" w:type="dxa"/>
            </w:tcMar>
            <w:tcW w:w="5235" w:type="dxa"/>
            <w:vAlign w:val="center"/>
            <w:textDirection w:val="lrTb"/>
            <w:noWrap w:val="false"/>
          </w:tcPr>
          <w:p>
            <w:pPr>
              <w:pStyle w:val="1210"/>
              <w:ind w:firstLine="0"/>
              <w:jc w:val="left"/>
              <w:rPr>
                <w:rFonts w:ascii="宋体" w:hAnsi="宋体"/>
                <w:sz w:val="24"/>
              </w:rPr>
            </w:pPr>
            <w:r>
              <w:rPr>
                <w:rFonts w:hint="eastAsia" w:ascii="宋体" w:hAnsi="宋体"/>
                <w:sz w:val="24"/>
              </w:rPr>
              <w:t xml:space="preserve">根据投标单位提供的重污染应急管控、</w:t>
            </w:r>
            <w:r>
              <w:rPr>
                <w:rFonts w:ascii="宋体" w:hAnsi="宋体"/>
                <w:sz w:val="24"/>
              </w:rPr>
              <w:t xml:space="preserve">治理成效量化核算评估</w:t>
            </w:r>
            <w:r>
              <w:rPr>
                <w:rFonts w:hint="eastAsia" w:ascii="宋体" w:hAnsi="宋体"/>
                <w:sz w:val="24"/>
              </w:rPr>
              <w:t xml:space="preserve">方案（标准依据、技术路线、重污染应急管控方案、治理成效量化核算评估方案、人员安排、保障措施等内容），每项1分，最高得6分。</w:t>
            </w:r>
            <w:r>
              <w:rPr>
                <w:rFonts w:ascii="宋体" w:hAnsi="宋体"/>
                <w:sz w:val="24"/>
              </w:rPr>
            </w:r>
            <w:r/>
          </w:p>
        </w:tc>
        <w:tc>
          <w:tcPr>
            <w:tcBorders>
              <w:top w:val="single" w:color="CBCDD1" w:sz="6" w:space="0"/>
              <w:left w:val="single" w:color="000000" w:sz="6" w:space="0"/>
              <w:bottom w:val="single" w:color="000000" w:sz="6" w:space="0"/>
              <w:right w:val="single" w:color="000000" w:sz="6" w:space="0"/>
            </w:tcBorders>
            <w:tcMar>
              <w:left w:w="60" w:type="dxa"/>
              <w:top w:w="60" w:type="dxa"/>
              <w:right w:w="60" w:type="dxa"/>
              <w:bottom w:w="45" w:type="dxa"/>
            </w:tcMar>
            <w:tcW w:w="788" w:type="dxa"/>
            <w:vAlign w:val="center"/>
            <w:textDirection w:val="lrTb"/>
            <w:noWrap w:val="false"/>
          </w:tcPr>
          <w:p>
            <w:pPr>
              <w:pStyle w:val="886"/>
              <w:jc w:val="center"/>
              <w:rPr>
                <w:rFonts w:hint="eastAsia" w:ascii="宋体" w:hAnsi="宋体"/>
                <w:sz w:val="24"/>
              </w:rPr>
            </w:pPr>
            <w:r>
              <w:rPr>
                <w:rFonts w:hint="eastAsia" w:ascii="宋体" w:hAnsi="宋体"/>
                <w:sz w:val="24"/>
              </w:rPr>
              <w:t xml:space="preserve">6</w:t>
            </w:r>
            <w:r/>
          </w:p>
        </w:tc>
      </w:tr>
      <w:tr>
        <w:trPr>
          <w:cantSplit/>
          <w:trHeight w:val="1784"/>
        </w:trPr>
        <w:tc>
          <w:tcPr>
            <w:tcBorders>
              <w:top w:val="single" w:color="000000" w:sz="6" w:space="0"/>
              <w:left w:val="single" w:color="000000" w:sz="6" w:space="0"/>
              <w:bottom w:val="single" w:color="000000" w:sz="6" w:space="0"/>
              <w:right w:val="single" w:color="000000" w:sz="6" w:space="0"/>
            </w:tcBorders>
            <w:tcMar>
              <w:left w:w="60" w:type="dxa"/>
              <w:top w:w="60" w:type="dxa"/>
              <w:right w:w="60" w:type="dxa"/>
              <w:bottom w:w="45" w:type="dxa"/>
            </w:tcMar>
            <w:tcW w:w="1171" w:type="dxa"/>
            <w:vAlign w:val="center"/>
            <w:vMerge w:val="continue"/>
            <w:textDirection w:val="lrTb"/>
            <w:noWrap w:val="false"/>
          </w:tcPr>
          <w:p>
            <w:pPr>
              <w:pStyle w:val="886"/>
              <w:rPr>
                <w:rFonts w:ascii="宋体" w:hAnsi="宋体" w:cs="宋体"/>
                <w:color w:val="000000"/>
                <w:sz w:val="24"/>
              </w:rPr>
            </w:pPr>
            <w:r>
              <w:rPr>
                <w:rFonts w:ascii="宋体" w:hAnsi="宋体" w:cs="宋体"/>
                <w:color w:val="000000"/>
                <w:sz w:val="24"/>
              </w:rPr>
            </w:r>
            <w:r/>
          </w:p>
        </w:tc>
        <w:tc>
          <w:tcPr>
            <w:tcBorders>
              <w:top w:val="single" w:color="CBCDD1" w:sz="6" w:space="0"/>
              <w:left w:val="single" w:color="000000" w:sz="6" w:space="0"/>
              <w:bottom w:val="single" w:color="000000" w:sz="6" w:space="0"/>
              <w:right w:val="single" w:color="000000" w:sz="6" w:space="0"/>
            </w:tcBorders>
            <w:tcMar>
              <w:left w:w="60" w:type="dxa"/>
              <w:top w:w="60" w:type="dxa"/>
              <w:right w:w="60" w:type="dxa"/>
              <w:bottom w:w="45" w:type="dxa"/>
            </w:tcMar>
            <w:tcW w:w="1605" w:type="dxa"/>
            <w:vAlign w:val="center"/>
            <w:textDirection w:val="lrTb"/>
            <w:noWrap w:val="false"/>
          </w:tcPr>
          <w:p>
            <w:pPr>
              <w:pStyle w:val="886"/>
              <w:jc w:val="center"/>
              <w:rPr>
                <w:rFonts w:ascii="宋体" w:hAnsi="宋体"/>
                <w:sz w:val="24"/>
              </w:rPr>
            </w:pPr>
            <w:r>
              <w:rPr>
                <w:rFonts w:hint="eastAsia" w:ascii="宋体" w:hAnsi="宋体"/>
                <w:sz w:val="24"/>
              </w:rPr>
              <w:t xml:space="preserve">7.进度安排及质量保障措施</w:t>
            </w:r>
            <w:r>
              <w:rPr>
                <w:rFonts w:ascii="宋体" w:hAnsi="宋体"/>
                <w:sz w:val="24"/>
              </w:rPr>
            </w:r>
            <w:r/>
          </w:p>
        </w:tc>
        <w:tc>
          <w:tcPr>
            <w:tcBorders>
              <w:top w:val="single" w:color="CBCDD1" w:sz="6" w:space="0"/>
              <w:left w:val="single" w:color="000000" w:sz="6" w:space="0"/>
              <w:bottom w:val="single" w:color="000000" w:sz="6" w:space="0"/>
              <w:right w:val="single" w:color="000000" w:sz="6" w:space="0"/>
            </w:tcBorders>
            <w:tcMar>
              <w:left w:w="60" w:type="dxa"/>
              <w:top w:w="60" w:type="dxa"/>
              <w:right w:w="60" w:type="dxa"/>
              <w:bottom w:w="45" w:type="dxa"/>
            </w:tcMar>
            <w:tcW w:w="5235" w:type="dxa"/>
            <w:vAlign w:val="center"/>
            <w:textDirection w:val="lrTb"/>
            <w:noWrap w:val="false"/>
          </w:tcPr>
          <w:p>
            <w:pPr>
              <w:pStyle w:val="886"/>
              <w:jc w:val="left"/>
              <w:rPr>
                <w:rFonts w:ascii="宋体" w:hAnsi="宋体"/>
                <w:sz w:val="24"/>
              </w:rPr>
            </w:pPr>
            <w:r>
              <w:rPr>
                <w:rFonts w:hint="eastAsia" w:ascii="宋体" w:hAnsi="宋体"/>
                <w:sz w:val="24"/>
              </w:rPr>
              <w:t xml:space="preserve">a.投标单位在分析项目需求的基础上，制定详细完整的的工作进度计划方案（项目进度计划图表，进度保障措施），2分。</w:t>
            </w:r>
            <w:r>
              <w:rPr>
                <w:rFonts w:ascii="宋体" w:hAnsi="宋体"/>
                <w:sz w:val="24"/>
              </w:rPr>
            </w:r>
            <w:r/>
          </w:p>
          <w:p>
            <w:pPr>
              <w:pStyle w:val="886"/>
              <w:jc w:val="left"/>
              <w:rPr>
                <w:rFonts w:hint="eastAsia" w:ascii="宋体" w:hAnsi="宋体"/>
                <w:sz w:val="24"/>
              </w:rPr>
            </w:pPr>
            <w:r>
              <w:rPr>
                <w:rFonts w:hint="eastAsia" w:ascii="宋体" w:hAnsi="宋体"/>
                <w:sz w:val="24"/>
              </w:rPr>
              <w:t xml:space="preserve">b.</w:t>
            </w:r>
            <w:r>
              <w:rPr>
                <w:rFonts w:ascii="宋体" w:hAnsi="宋体"/>
                <w:sz w:val="24"/>
              </w:rPr>
              <w:t xml:space="preserve">根据</w:t>
            </w:r>
            <w:r>
              <w:rPr>
                <w:rFonts w:hint="eastAsia" w:ascii="宋体" w:hAnsi="宋体"/>
                <w:sz w:val="24"/>
              </w:rPr>
              <w:t xml:space="preserve">投标单位</w:t>
            </w:r>
            <w:r>
              <w:rPr>
                <w:rFonts w:ascii="宋体" w:hAnsi="宋体"/>
                <w:sz w:val="24"/>
              </w:rPr>
              <w:t xml:space="preserve">提供详细完整的</w:t>
            </w:r>
            <w:r>
              <w:rPr>
                <w:rFonts w:hint="eastAsia" w:ascii="宋体" w:hAnsi="宋体"/>
                <w:sz w:val="24"/>
              </w:rPr>
              <w:t xml:space="preserve">服务质量保障</w:t>
            </w:r>
            <w:r>
              <w:rPr>
                <w:rFonts w:ascii="宋体" w:hAnsi="宋体"/>
                <w:sz w:val="24"/>
              </w:rPr>
              <w:t xml:space="preserve">措施</w:t>
            </w:r>
            <w:r>
              <w:rPr>
                <w:rFonts w:hint="eastAsia" w:ascii="宋体" w:hAnsi="宋体"/>
                <w:sz w:val="24"/>
              </w:rPr>
              <w:t xml:space="preserve">（质控细则质控保障）,2分。</w:t>
            </w:r>
            <w:r/>
          </w:p>
        </w:tc>
        <w:tc>
          <w:tcPr>
            <w:tcBorders>
              <w:top w:val="single" w:color="CBCDD1" w:sz="6" w:space="0"/>
              <w:left w:val="single" w:color="000000" w:sz="6" w:space="0"/>
              <w:bottom w:val="single" w:color="000000" w:sz="6" w:space="0"/>
              <w:right w:val="single" w:color="000000" w:sz="6" w:space="0"/>
            </w:tcBorders>
            <w:tcMar>
              <w:left w:w="60" w:type="dxa"/>
              <w:top w:w="60" w:type="dxa"/>
              <w:right w:w="60" w:type="dxa"/>
              <w:bottom w:w="45" w:type="dxa"/>
            </w:tcMar>
            <w:tcW w:w="788" w:type="dxa"/>
            <w:vAlign w:val="center"/>
            <w:textDirection w:val="lrTb"/>
            <w:noWrap w:val="false"/>
          </w:tcPr>
          <w:p>
            <w:pPr>
              <w:pStyle w:val="886"/>
              <w:jc w:val="center"/>
              <w:rPr>
                <w:rFonts w:hint="eastAsia" w:ascii="宋体" w:hAnsi="宋体"/>
                <w:sz w:val="24"/>
              </w:rPr>
            </w:pPr>
            <w:r>
              <w:rPr>
                <w:rFonts w:hint="eastAsia" w:ascii="宋体" w:hAnsi="宋体"/>
                <w:sz w:val="24"/>
              </w:rPr>
              <w:t xml:space="preserve">4</w:t>
            </w:r>
            <w:r/>
          </w:p>
        </w:tc>
      </w:tr>
      <w:tr>
        <w:trPr>
          <w:cantSplit/>
          <w:trHeight w:val="1839"/>
        </w:trPr>
        <w:tc>
          <w:tcPr>
            <w:tcBorders>
              <w:top w:val="single" w:color="CBCDD1" w:sz="6" w:space="0"/>
              <w:left w:val="single" w:color="000000" w:sz="6" w:space="0"/>
              <w:bottom w:val="single" w:color="000000" w:sz="6" w:space="0"/>
              <w:right w:val="single" w:color="000000" w:sz="6" w:space="0"/>
            </w:tcBorders>
            <w:tcMar>
              <w:left w:w="60" w:type="dxa"/>
              <w:top w:w="60" w:type="dxa"/>
              <w:right w:w="60" w:type="dxa"/>
              <w:bottom w:w="45" w:type="dxa"/>
            </w:tcMar>
            <w:tcW w:w="1171" w:type="dxa"/>
            <w:vAlign w:val="center"/>
            <w:vMerge w:val="continue"/>
            <w:textDirection w:val="lrTb"/>
            <w:noWrap w:val="false"/>
          </w:tcPr>
          <w:p>
            <w:pPr>
              <w:pStyle w:val="886"/>
              <w:rPr>
                <w:rFonts w:ascii="宋体" w:hAnsi="宋体"/>
                <w:sz w:val="24"/>
              </w:rPr>
            </w:pPr>
            <w:r>
              <w:rPr>
                <w:rFonts w:ascii="宋体" w:hAnsi="宋体"/>
                <w:sz w:val="24"/>
              </w:rPr>
            </w:r>
            <w:r/>
          </w:p>
        </w:tc>
        <w:tc>
          <w:tcPr>
            <w:tcBorders>
              <w:top w:val="single" w:color="000000" w:sz="6" w:space="0"/>
              <w:left w:val="single" w:color="000000" w:sz="6" w:space="0"/>
              <w:bottom w:val="single" w:color="000000" w:sz="6" w:space="0"/>
              <w:right w:val="single" w:color="000000" w:sz="6" w:space="0"/>
            </w:tcBorders>
            <w:tcMar>
              <w:left w:w="60" w:type="dxa"/>
              <w:top w:w="60" w:type="dxa"/>
              <w:right w:w="60" w:type="dxa"/>
              <w:bottom w:w="45" w:type="dxa"/>
            </w:tcMar>
            <w:tcW w:w="1605" w:type="dxa"/>
            <w:vAlign w:val="center"/>
            <w:textDirection w:val="lrTb"/>
            <w:noWrap w:val="false"/>
          </w:tcPr>
          <w:p>
            <w:pPr>
              <w:pStyle w:val="886"/>
              <w:jc w:val="center"/>
              <w:rPr>
                <w:rFonts w:hint="eastAsia" w:ascii="宋体" w:hAnsi="宋体"/>
                <w:sz w:val="24"/>
              </w:rPr>
            </w:pPr>
            <w:r>
              <w:rPr>
                <w:rFonts w:hint="eastAsia" w:ascii="宋体" w:hAnsi="宋体"/>
                <w:sz w:val="24"/>
              </w:rPr>
              <w:t xml:space="preserve">8.管家创新提升工作方案</w:t>
            </w:r>
            <w:r/>
          </w:p>
        </w:tc>
        <w:tc>
          <w:tcPr>
            <w:tcBorders>
              <w:top w:val="single" w:color="CBCDD1" w:sz="6" w:space="0"/>
              <w:left w:val="single" w:color="000000" w:sz="6" w:space="0"/>
              <w:bottom w:val="single" w:color="000000" w:sz="6" w:space="0"/>
              <w:right w:val="single" w:color="000000" w:sz="6" w:space="0"/>
            </w:tcBorders>
            <w:tcMar>
              <w:left w:w="60" w:type="dxa"/>
              <w:top w:w="60" w:type="dxa"/>
              <w:right w:w="60" w:type="dxa"/>
              <w:bottom w:w="45" w:type="dxa"/>
            </w:tcMar>
            <w:tcW w:w="5235" w:type="dxa"/>
            <w:vAlign w:val="center"/>
            <w:textDirection w:val="lrTb"/>
            <w:noWrap w:val="false"/>
          </w:tcPr>
          <w:p>
            <w:pPr>
              <w:pStyle w:val="886"/>
              <w:jc w:val="left"/>
              <w:rPr>
                <w:rFonts w:hint="eastAsia" w:ascii="宋体" w:hAnsi="宋体"/>
                <w:sz w:val="24"/>
              </w:rPr>
            </w:pPr>
            <w:r>
              <w:rPr>
                <w:rFonts w:hint="eastAsia" w:ascii="宋体" w:hAnsi="宋体"/>
                <w:sz w:val="24"/>
              </w:rPr>
              <w:t xml:space="preserve">投标单位在VOCs驻点管家3年工作基础上，在长效管理阶段，围绕昆山高新区域空气质量综合提升（臭氧活性物种库、大气监测站点保障分析、臭氧削峰路径研究等方面）、涉活性炭装置企业全流程管理等创新提升工作思路方面提出建议方案。每项2分，最高得8分。</w:t>
            </w:r>
            <w:r/>
          </w:p>
        </w:tc>
        <w:tc>
          <w:tcPr>
            <w:tcBorders>
              <w:top w:val="single" w:color="CBCDD1" w:sz="6" w:space="0"/>
              <w:left w:val="single" w:color="000000" w:sz="6" w:space="0"/>
              <w:bottom w:val="single" w:color="000000" w:sz="6" w:space="0"/>
              <w:right w:val="single" w:color="000000" w:sz="6" w:space="0"/>
            </w:tcBorders>
            <w:tcMar>
              <w:left w:w="60" w:type="dxa"/>
              <w:top w:w="60" w:type="dxa"/>
              <w:right w:w="60" w:type="dxa"/>
              <w:bottom w:w="45" w:type="dxa"/>
            </w:tcMar>
            <w:tcW w:w="788" w:type="dxa"/>
            <w:vAlign w:val="center"/>
            <w:textDirection w:val="lrTb"/>
            <w:noWrap w:val="false"/>
          </w:tcPr>
          <w:p>
            <w:pPr>
              <w:pStyle w:val="886"/>
              <w:jc w:val="center"/>
              <w:rPr>
                <w:rFonts w:hint="eastAsia" w:ascii="宋体" w:hAnsi="宋体"/>
                <w:sz w:val="24"/>
              </w:rPr>
            </w:pPr>
            <w:r>
              <w:rPr>
                <w:rFonts w:hint="eastAsia" w:ascii="宋体" w:hAnsi="宋体"/>
                <w:sz w:val="24"/>
              </w:rPr>
              <w:t xml:space="preserve">8</w:t>
            </w:r>
            <w:r/>
          </w:p>
        </w:tc>
      </w:tr>
      <w:tr>
        <w:trPr>
          <w:cantSplit/>
          <w:trHeight w:val="5243"/>
        </w:trPr>
        <w:tc>
          <w:tcPr>
            <w:tcBorders>
              <w:top w:val="single" w:color="CBCDD1" w:sz="6" w:space="0"/>
              <w:left w:val="single" w:color="000000" w:sz="6" w:space="0"/>
              <w:right w:val="single" w:color="000000" w:sz="6" w:space="0"/>
            </w:tcBorders>
            <w:tcMar>
              <w:left w:w="60" w:type="dxa"/>
              <w:top w:w="60" w:type="dxa"/>
              <w:right w:w="60" w:type="dxa"/>
              <w:bottom w:w="45" w:type="dxa"/>
            </w:tcMar>
            <w:tcW w:w="1171" w:type="dxa"/>
            <w:vAlign w:val="center"/>
            <w:vMerge w:val="restart"/>
            <w:textDirection w:val="lrTb"/>
            <w:noWrap w:val="false"/>
          </w:tcPr>
          <w:p>
            <w:pPr>
              <w:pStyle w:val="886"/>
              <w:rPr>
                <w:rFonts w:ascii="宋体" w:hAnsi="宋体"/>
                <w:sz w:val="24"/>
              </w:rPr>
            </w:pPr>
            <w:r>
              <w:rPr>
                <w:rFonts w:ascii="宋体" w:hAnsi="宋体" w:cs="宋体"/>
                <w:color w:val="000000"/>
                <w:sz w:val="24"/>
              </w:rPr>
              <w:t xml:space="preserve">（二）</w:t>
            </w:r>
            <w:r>
              <w:rPr>
                <w:rFonts w:hint="eastAsia" w:ascii="宋体" w:hAnsi="宋体" w:cs="宋体"/>
                <w:color w:val="000000"/>
                <w:sz w:val="24"/>
              </w:rPr>
              <w:t xml:space="preserve">人员</w:t>
            </w:r>
            <w:r>
              <w:rPr>
                <w:rFonts w:ascii="宋体" w:hAnsi="宋体" w:cs="宋体"/>
                <w:color w:val="000000"/>
                <w:sz w:val="24"/>
              </w:rPr>
              <w:t xml:space="preserve">配备（</w:t>
            </w:r>
            <w:r>
              <w:rPr>
                <w:rFonts w:hint="eastAsia" w:ascii="宋体" w:hAnsi="宋体" w:cs="宋体"/>
                <w:color w:val="000000"/>
                <w:sz w:val="24"/>
              </w:rPr>
              <w:t xml:space="preserve">30</w:t>
            </w:r>
            <w:r>
              <w:rPr>
                <w:rFonts w:ascii="宋体" w:hAnsi="宋体" w:cs="宋体"/>
                <w:color w:val="000000"/>
                <w:sz w:val="24"/>
              </w:rPr>
              <w:t xml:space="preserve">分）</w:t>
            </w:r>
            <w:r>
              <w:rPr>
                <w:rFonts w:ascii="宋体" w:hAnsi="宋体"/>
                <w:sz w:val="24"/>
              </w:rPr>
            </w:r>
            <w:r/>
          </w:p>
        </w:tc>
        <w:tc>
          <w:tcPr>
            <w:tcBorders>
              <w:top w:val="single" w:color="000000" w:sz="6" w:space="0"/>
              <w:left w:val="single" w:color="000000" w:sz="6" w:space="0"/>
              <w:bottom w:val="single" w:color="000000" w:sz="6" w:space="0"/>
              <w:right w:val="single" w:color="000000" w:sz="6" w:space="0"/>
            </w:tcBorders>
            <w:tcMar>
              <w:left w:w="60" w:type="dxa"/>
              <w:top w:w="60" w:type="dxa"/>
              <w:right w:w="60" w:type="dxa"/>
              <w:bottom w:w="45" w:type="dxa"/>
            </w:tcMar>
            <w:tcW w:w="1605" w:type="dxa"/>
            <w:vAlign w:val="center"/>
            <w:textDirection w:val="lrTb"/>
            <w:noWrap w:val="false"/>
          </w:tcPr>
          <w:p>
            <w:pPr>
              <w:pStyle w:val="886"/>
              <w:rPr>
                <w:rFonts w:ascii="宋体" w:hAnsi="宋体"/>
                <w:sz w:val="24"/>
              </w:rPr>
            </w:pPr>
            <w:r>
              <w:rPr>
                <w:rFonts w:hint="eastAsia" w:ascii="宋体" w:hAnsi="宋体" w:cs="宋体"/>
                <w:color w:val="000000"/>
                <w:sz w:val="24"/>
              </w:rPr>
              <w:t xml:space="preserve">1.</w:t>
            </w:r>
            <w:r>
              <w:rPr>
                <w:rFonts w:ascii="宋体" w:hAnsi="宋体" w:cs="宋体"/>
                <w:color w:val="000000"/>
                <w:sz w:val="24"/>
              </w:rPr>
              <w:t xml:space="preserve">项目负责人</w:t>
            </w:r>
            <w:r>
              <w:rPr>
                <w:rFonts w:ascii="宋体" w:hAnsi="宋体"/>
                <w:sz w:val="24"/>
              </w:rPr>
            </w:r>
            <w:r/>
          </w:p>
        </w:tc>
        <w:tc>
          <w:tcPr>
            <w:tcBorders>
              <w:top w:val="single" w:color="CBCDD1" w:sz="6" w:space="0"/>
              <w:left w:val="single" w:color="000000" w:sz="6" w:space="0"/>
              <w:bottom w:val="single" w:color="000000" w:sz="6" w:space="0"/>
              <w:right w:val="single" w:color="000000" w:sz="6" w:space="0"/>
            </w:tcBorders>
            <w:tcMar>
              <w:left w:w="60" w:type="dxa"/>
              <w:top w:w="60" w:type="dxa"/>
              <w:right w:w="60" w:type="dxa"/>
              <w:bottom w:w="45" w:type="dxa"/>
            </w:tcMar>
            <w:tcW w:w="5235" w:type="dxa"/>
            <w:vAlign w:val="center"/>
            <w:textDirection w:val="lrTb"/>
            <w:noWrap w:val="false"/>
          </w:tcPr>
          <w:p>
            <w:pPr>
              <w:pStyle w:val="886"/>
              <w:jc w:val="left"/>
              <w:widowControl/>
              <w:rPr>
                <w:rFonts w:ascii="宋体" w:hAnsi="宋体"/>
                <w:sz w:val="24"/>
              </w:rPr>
            </w:pPr>
            <w:r>
              <w:rPr>
                <w:rFonts w:hint="eastAsia" w:ascii="宋体" w:hAnsi="宋体"/>
                <w:sz w:val="24"/>
              </w:rPr>
              <w:t xml:space="preserve">a.</w:t>
            </w:r>
            <w:r>
              <w:rPr>
                <w:rFonts w:hint="eastAsia" w:ascii="宋体" w:hAnsi="宋体"/>
                <w:sz w:val="24"/>
              </w:rPr>
              <w:t xml:space="preserve">拟投入本项目的总负责人具有环保相关高级职称及环保相关硕士（含）以上学位的得4分；具有环保相关高级职称及环保相关学士学位的得2分；本小项最高得4分。</w:t>
            </w:r>
            <w:r>
              <w:rPr>
                <w:rFonts w:ascii="宋体" w:hAnsi="宋体"/>
                <w:sz w:val="24"/>
              </w:rPr>
            </w:r>
            <w:r/>
          </w:p>
          <w:p>
            <w:pPr>
              <w:pStyle w:val="886"/>
              <w:rPr>
                <w:rFonts w:hint="eastAsia" w:ascii="宋体" w:hAnsi="宋体"/>
                <w:sz w:val="24"/>
              </w:rPr>
            </w:pPr>
            <w:r>
              <w:rPr>
                <w:rFonts w:hint="eastAsia" w:ascii="宋体" w:hAnsi="宋体"/>
                <w:sz w:val="24"/>
              </w:rPr>
              <w:t xml:space="preserve">b.</w:t>
            </w:r>
            <w:r>
              <w:rPr>
                <w:rFonts w:hint="eastAsia" w:ascii="宋体" w:hAnsi="宋体"/>
                <w:sz w:val="24"/>
              </w:rPr>
              <w:t xml:space="preserve">拟投入本项目的总负责人参与过省级以上生态环境管理部门组织的挥发性有机物治理书刊（或期刊）编著或规范制定的得2分。</w:t>
            </w:r>
            <w:r/>
          </w:p>
          <w:p>
            <w:pPr>
              <w:pStyle w:val="886"/>
              <w:rPr>
                <w:rFonts w:hint="eastAsia" w:ascii="宋体" w:hAnsi="宋体"/>
                <w:sz w:val="24"/>
              </w:rPr>
            </w:pPr>
            <w:r>
              <w:rPr>
                <w:rFonts w:hint="eastAsia" w:ascii="宋体" w:hAnsi="宋体"/>
                <w:sz w:val="24"/>
              </w:rPr>
              <w:t xml:space="preserve">c.拟投入本项目的总负责人属于地市级（或以上）环保类专家库成员（以管理部门正式发文为准）的得2分</w:t>
            </w:r>
            <w:r>
              <w:rPr>
                <w:rFonts w:ascii="宋体" w:hAnsi="宋体"/>
                <w:sz w:val="24"/>
              </w:rPr>
              <w:t xml:space="preserve">。</w:t>
            </w:r>
            <w:r>
              <w:rPr>
                <w:rFonts w:hint="eastAsia" w:ascii="宋体" w:hAnsi="宋体"/>
                <w:sz w:val="24"/>
              </w:rPr>
            </w:r>
            <w:r/>
          </w:p>
          <w:p>
            <w:pPr>
              <w:pStyle w:val="886"/>
              <w:jc w:val="left"/>
              <w:widowControl/>
              <w:rPr>
                <w:rFonts w:ascii="宋体" w:hAnsi="宋体"/>
                <w:sz w:val="24"/>
              </w:rPr>
            </w:pPr>
            <w:r>
              <w:rPr>
                <w:rFonts w:hint="eastAsia" w:ascii="宋体" w:hAnsi="宋体"/>
                <w:sz w:val="24"/>
              </w:rPr>
              <w:t xml:space="preserve">注：上述评分项涉及针对本项目配备的负责人不得重复，所有人员须提供投标单位为其缴纳的近6个月社保或股东注册说明材料（股东提供查询链接及截图），以及评分项中要求提供的其他证书（如学位证书、职称证书等）证明材料，复印件加盖公章，资料提供不全则相应人员不得分。</w:t>
            </w:r>
            <w:r>
              <w:rPr>
                <w:rFonts w:ascii="宋体" w:hAnsi="宋体"/>
                <w:sz w:val="24"/>
              </w:rPr>
            </w:r>
            <w:r/>
          </w:p>
        </w:tc>
        <w:tc>
          <w:tcPr>
            <w:tcBorders>
              <w:top w:val="single" w:color="CBCDD1" w:sz="6" w:space="0"/>
              <w:left w:val="single" w:color="000000" w:sz="6" w:space="0"/>
              <w:bottom w:val="single" w:color="000000" w:sz="6" w:space="0"/>
              <w:right w:val="single" w:color="000000" w:sz="6" w:space="0"/>
            </w:tcBorders>
            <w:tcMar>
              <w:left w:w="60" w:type="dxa"/>
              <w:top w:w="60" w:type="dxa"/>
              <w:right w:w="60" w:type="dxa"/>
              <w:bottom w:w="45" w:type="dxa"/>
            </w:tcMar>
            <w:tcW w:w="788" w:type="dxa"/>
            <w:vAlign w:val="center"/>
            <w:textDirection w:val="lrTb"/>
            <w:noWrap w:val="false"/>
          </w:tcPr>
          <w:p>
            <w:pPr>
              <w:pStyle w:val="886"/>
              <w:jc w:val="center"/>
              <w:spacing w:before="100" w:after="120"/>
              <w:rPr>
                <w:rFonts w:hint="eastAsia" w:ascii="宋体" w:hAnsi="宋体"/>
                <w:sz w:val="24"/>
              </w:rPr>
            </w:pPr>
            <w:r>
              <w:rPr>
                <w:rFonts w:hint="eastAsia" w:ascii="宋体" w:hAnsi="宋体" w:cs="宋体"/>
                <w:color w:val="000000"/>
                <w:sz w:val="24"/>
              </w:rPr>
              <w:t xml:space="preserve">8</w:t>
            </w:r>
            <w:r>
              <w:rPr>
                <w:rFonts w:hint="eastAsia" w:ascii="宋体" w:hAnsi="宋体"/>
                <w:sz w:val="24"/>
              </w:rPr>
            </w:r>
            <w:r/>
          </w:p>
          <w:p>
            <w:pPr>
              <w:pStyle w:val="886"/>
              <w:jc w:val="center"/>
              <w:rPr>
                <w:rFonts w:ascii="宋体" w:hAnsi="宋体"/>
                <w:sz w:val="24"/>
              </w:rPr>
            </w:pPr>
            <w:r>
              <w:rPr>
                <w:rFonts w:ascii="宋体" w:hAnsi="宋体"/>
                <w:sz w:val="24"/>
              </w:rPr>
            </w:r>
            <w:r/>
          </w:p>
          <w:p>
            <w:pPr>
              <w:pStyle w:val="886"/>
              <w:jc w:val="center"/>
              <w:rPr>
                <w:rFonts w:ascii="宋体" w:hAnsi="宋体"/>
                <w:sz w:val="24"/>
              </w:rPr>
            </w:pPr>
            <w:r>
              <w:rPr>
                <w:rFonts w:ascii="宋体" w:hAnsi="宋体"/>
                <w:sz w:val="24"/>
              </w:rPr>
            </w:r>
            <w:r/>
          </w:p>
          <w:p>
            <w:pPr>
              <w:pStyle w:val="886"/>
              <w:jc w:val="center"/>
              <w:rPr>
                <w:rFonts w:ascii="宋体" w:hAnsi="宋体"/>
                <w:sz w:val="24"/>
              </w:rPr>
            </w:pPr>
            <w:r>
              <w:rPr>
                <w:rFonts w:ascii="宋体" w:hAnsi="宋体"/>
                <w:sz w:val="24"/>
              </w:rPr>
            </w:r>
            <w:r/>
          </w:p>
        </w:tc>
      </w:tr>
      <w:tr>
        <w:trPr>
          <w:cantSplit/>
          <w:trHeight w:val="4443"/>
        </w:trPr>
        <w:tc>
          <w:tcPr>
            <w:tcBorders>
              <w:left w:val="single" w:color="000000" w:sz="6" w:space="0"/>
              <w:right w:val="single" w:color="000000" w:sz="6" w:space="0"/>
            </w:tcBorders>
            <w:tcMar>
              <w:left w:w="60" w:type="dxa"/>
              <w:top w:w="60" w:type="dxa"/>
              <w:right w:w="60" w:type="dxa"/>
              <w:bottom w:w="45" w:type="dxa"/>
            </w:tcMar>
            <w:tcW w:w="1171" w:type="dxa"/>
            <w:vAlign w:val="center"/>
            <w:vMerge w:val="continue"/>
            <w:textDirection w:val="lrTb"/>
            <w:noWrap w:val="false"/>
          </w:tcPr>
          <w:p>
            <w:pPr>
              <w:pStyle w:val="886"/>
              <w:rPr>
                <w:rFonts w:ascii="宋体" w:hAnsi="宋体"/>
                <w:sz w:val="24"/>
              </w:rPr>
            </w:pPr>
            <w:r>
              <w:rPr>
                <w:rFonts w:ascii="宋体" w:hAnsi="宋体"/>
                <w:sz w:val="24"/>
              </w:rPr>
            </w:r>
            <w:r/>
          </w:p>
        </w:tc>
        <w:tc>
          <w:tcPr>
            <w:tcBorders>
              <w:top w:val="single" w:color="000000" w:sz="6" w:space="0"/>
              <w:left w:val="single" w:color="000000" w:sz="6" w:space="0"/>
              <w:bottom w:val="single" w:color="000000" w:sz="6" w:space="0"/>
              <w:right w:val="single" w:color="000000" w:sz="6" w:space="0"/>
            </w:tcBorders>
            <w:tcMar>
              <w:left w:w="60" w:type="dxa"/>
              <w:top w:w="60" w:type="dxa"/>
              <w:right w:w="60" w:type="dxa"/>
              <w:bottom w:w="45" w:type="dxa"/>
            </w:tcMar>
            <w:tcW w:w="1605" w:type="dxa"/>
            <w:vAlign w:val="center"/>
            <w:textDirection w:val="lrTb"/>
            <w:noWrap w:val="false"/>
          </w:tcPr>
          <w:p>
            <w:pPr>
              <w:pStyle w:val="886"/>
              <w:spacing w:before="100" w:after="120"/>
              <w:rPr>
                <w:rFonts w:ascii="宋体" w:hAnsi="宋体"/>
                <w:sz w:val="24"/>
              </w:rPr>
            </w:pPr>
            <w:r>
              <w:rPr>
                <w:rFonts w:hint="eastAsia" w:ascii="宋体" w:hAnsi="宋体" w:cs="宋体"/>
                <w:color w:val="000000"/>
                <w:sz w:val="24"/>
              </w:rPr>
              <w:t xml:space="preserve">2.</w:t>
            </w:r>
            <w:r>
              <w:rPr>
                <w:rFonts w:ascii="宋体" w:hAnsi="宋体" w:cs="宋体"/>
                <w:color w:val="000000"/>
                <w:sz w:val="24"/>
              </w:rPr>
              <w:t xml:space="preserve">技术负责人</w:t>
            </w:r>
            <w:r>
              <w:rPr>
                <w:rFonts w:ascii="宋体" w:hAnsi="宋体"/>
                <w:sz w:val="24"/>
              </w:rPr>
            </w:r>
            <w:r/>
          </w:p>
        </w:tc>
        <w:tc>
          <w:tcPr>
            <w:tcBorders>
              <w:top w:val="single" w:color="CBCDD1" w:sz="6" w:space="0"/>
              <w:left w:val="single" w:color="000000" w:sz="6" w:space="0"/>
              <w:bottom w:val="single" w:color="000000" w:sz="6" w:space="0"/>
              <w:right w:val="single" w:color="000000" w:sz="6" w:space="0"/>
            </w:tcBorders>
            <w:tcMar>
              <w:left w:w="60" w:type="dxa"/>
              <w:top w:w="60" w:type="dxa"/>
              <w:right w:w="60" w:type="dxa"/>
              <w:bottom w:w="45" w:type="dxa"/>
            </w:tcMar>
            <w:tcW w:w="5235" w:type="dxa"/>
            <w:vAlign w:val="center"/>
            <w:textDirection w:val="lrTb"/>
            <w:noWrap w:val="false"/>
          </w:tcPr>
          <w:p>
            <w:pPr>
              <w:pStyle w:val="886"/>
              <w:rPr>
                <w:rFonts w:ascii="宋体" w:hAnsi="宋体"/>
                <w:sz w:val="24"/>
              </w:rPr>
            </w:pPr>
            <w:r>
              <w:rPr>
                <w:rFonts w:hint="eastAsia" w:ascii="宋体" w:hAnsi="宋体"/>
                <w:sz w:val="24"/>
              </w:rPr>
              <w:t xml:space="preserve">a. 拟投入本项目的技术负责人具有环保相关高级职称及环保相关硕士（含）以上学位的得3分；具有环保相关高级职称及环保相关学士学位的得1分；本小项最高得3分。</w:t>
            </w:r>
            <w:r>
              <w:rPr>
                <w:rFonts w:ascii="宋体" w:hAnsi="宋体"/>
                <w:sz w:val="24"/>
              </w:rPr>
            </w:r>
            <w:r/>
          </w:p>
          <w:p>
            <w:pPr>
              <w:pStyle w:val="886"/>
              <w:rPr>
                <w:rFonts w:hint="eastAsia" w:ascii="宋体" w:hAnsi="宋体"/>
                <w:sz w:val="24"/>
              </w:rPr>
            </w:pPr>
            <w:r>
              <w:rPr>
                <w:rFonts w:hint="eastAsia" w:ascii="宋体" w:hAnsi="宋体"/>
                <w:sz w:val="24"/>
              </w:rPr>
              <w:t xml:space="preserve">b. 拟投入本项目的技术负责人人属于地市级（或以上）环保类专家库成员（以管理部门正式发文为准）的得2分</w:t>
            </w:r>
            <w:r>
              <w:rPr>
                <w:rFonts w:ascii="宋体" w:hAnsi="宋体"/>
                <w:sz w:val="24"/>
              </w:rPr>
              <w:t xml:space="preserve">。</w:t>
            </w:r>
            <w:r>
              <w:rPr>
                <w:rFonts w:hint="eastAsia" w:ascii="宋体" w:hAnsi="宋体"/>
                <w:sz w:val="24"/>
              </w:rPr>
            </w:r>
            <w:r/>
          </w:p>
          <w:p>
            <w:pPr>
              <w:pStyle w:val="886"/>
              <w:rPr>
                <w:rFonts w:ascii="宋体" w:hAnsi="宋体"/>
                <w:sz w:val="24"/>
              </w:rPr>
            </w:pPr>
            <w:r>
              <w:rPr>
                <w:rFonts w:hint="eastAsia" w:ascii="宋体" w:hAnsi="宋体"/>
                <w:sz w:val="24"/>
              </w:rPr>
              <w:t xml:space="preserve">注：上述评分项涉及针对本项目配备的负责人不得重复，所有人员须提供投标单位为其缴纳的近6个月社保或股东注册说明材料（股东提供查询链接及截图），以及评分项中要求提供的其他证书（如学位证书、职称证书等）证明材料，复印件加盖公章，资料提供不全则相应人员不得分。</w:t>
            </w:r>
            <w:r>
              <w:rPr>
                <w:rFonts w:ascii="宋体" w:hAnsi="宋体"/>
                <w:sz w:val="24"/>
              </w:rPr>
            </w:r>
            <w:r/>
          </w:p>
        </w:tc>
        <w:tc>
          <w:tcPr>
            <w:tcBorders>
              <w:top w:val="single" w:color="CBCDD1" w:sz="6" w:space="0"/>
              <w:left w:val="single" w:color="000000" w:sz="6" w:space="0"/>
              <w:bottom w:val="single" w:color="000000" w:sz="6" w:space="0"/>
              <w:right w:val="single" w:color="000000" w:sz="6" w:space="0"/>
            </w:tcBorders>
            <w:tcMar>
              <w:left w:w="60" w:type="dxa"/>
              <w:top w:w="60" w:type="dxa"/>
              <w:right w:w="60" w:type="dxa"/>
              <w:bottom w:w="45" w:type="dxa"/>
            </w:tcMar>
            <w:tcW w:w="788" w:type="dxa"/>
            <w:vAlign w:val="center"/>
            <w:textDirection w:val="lrTb"/>
            <w:noWrap w:val="false"/>
          </w:tcPr>
          <w:p>
            <w:pPr>
              <w:pStyle w:val="886"/>
              <w:jc w:val="center"/>
              <w:spacing w:before="100" w:after="120"/>
              <w:rPr>
                <w:rFonts w:ascii="宋体" w:hAnsi="宋体"/>
                <w:sz w:val="24"/>
              </w:rPr>
            </w:pPr>
            <w:r>
              <w:rPr>
                <w:rFonts w:hint="eastAsia" w:ascii="宋体" w:hAnsi="宋体" w:cs="宋体"/>
                <w:color w:val="000000"/>
                <w:sz w:val="24"/>
              </w:rPr>
              <w:t xml:space="preserve">5</w:t>
            </w:r>
            <w:r>
              <w:rPr>
                <w:rFonts w:ascii="宋体" w:hAnsi="宋体"/>
                <w:sz w:val="24"/>
              </w:rPr>
            </w:r>
            <w:r/>
          </w:p>
        </w:tc>
      </w:tr>
      <w:tr>
        <w:trPr>
          <w:cantSplit/>
          <w:trHeight w:val="90"/>
        </w:trPr>
        <w:tc>
          <w:tcPr>
            <w:tcBorders>
              <w:left w:val="single" w:color="000000" w:sz="6" w:space="0"/>
              <w:bottom w:val="single" w:color="000000" w:sz="6" w:space="0"/>
              <w:right w:val="single" w:color="000000" w:sz="6" w:space="0"/>
            </w:tcBorders>
            <w:tcMar>
              <w:left w:w="60" w:type="dxa"/>
              <w:top w:w="60" w:type="dxa"/>
              <w:right w:w="60" w:type="dxa"/>
              <w:bottom w:w="45" w:type="dxa"/>
            </w:tcMar>
            <w:tcW w:w="1171" w:type="dxa"/>
            <w:vAlign w:val="center"/>
            <w:vMerge w:val="continue"/>
            <w:textDirection w:val="lrTb"/>
            <w:noWrap w:val="false"/>
          </w:tcPr>
          <w:p>
            <w:pPr>
              <w:pStyle w:val="886"/>
              <w:rPr>
                <w:rFonts w:ascii="宋体" w:hAnsi="宋体"/>
                <w:sz w:val="24"/>
              </w:rPr>
            </w:pPr>
            <w:r>
              <w:rPr>
                <w:rFonts w:ascii="宋体" w:hAnsi="宋体"/>
                <w:sz w:val="24"/>
              </w:rPr>
            </w:r>
            <w:r/>
          </w:p>
        </w:tc>
        <w:tc>
          <w:tcPr>
            <w:tcBorders>
              <w:top w:val="single" w:color="000000" w:sz="6" w:space="0"/>
              <w:left w:val="single" w:color="000000" w:sz="6" w:space="0"/>
              <w:bottom w:val="single" w:color="000000" w:sz="6" w:space="0"/>
              <w:right w:val="single" w:color="000000" w:sz="6" w:space="0"/>
            </w:tcBorders>
            <w:tcMar>
              <w:left w:w="60" w:type="dxa"/>
              <w:top w:w="60" w:type="dxa"/>
              <w:right w:w="60" w:type="dxa"/>
              <w:bottom w:w="45" w:type="dxa"/>
            </w:tcMar>
            <w:tcW w:w="1605" w:type="dxa"/>
            <w:vAlign w:val="center"/>
            <w:textDirection w:val="lrTb"/>
            <w:noWrap w:val="false"/>
          </w:tcPr>
          <w:p>
            <w:pPr>
              <w:pStyle w:val="886"/>
              <w:spacing w:before="100" w:after="120"/>
              <w:rPr>
                <w:rFonts w:ascii="宋体" w:hAnsi="宋体"/>
                <w:sz w:val="24"/>
              </w:rPr>
            </w:pPr>
            <w:r>
              <w:rPr>
                <w:rFonts w:hint="eastAsia" w:ascii="宋体" w:hAnsi="宋体" w:cs="宋体"/>
                <w:color w:val="000000"/>
                <w:sz w:val="24"/>
              </w:rPr>
              <w:t xml:space="preserve">3.其他</w:t>
            </w:r>
            <w:r>
              <w:rPr>
                <w:rFonts w:ascii="宋体" w:hAnsi="宋体" w:cs="宋体"/>
                <w:color w:val="000000"/>
                <w:sz w:val="24"/>
              </w:rPr>
              <w:t xml:space="preserve">人员</w:t>
            </w:r>
            <w:r>
              <w:rPr>
                <w:rFonts w:ascii="宋体" w:hAnsi="宋体"/>
                <w:sz w:val="24"/>
              </w:rPr>
            </w:r>
            <w:r/>
          </w:p>
        </w:tc>
        <w:tc>
          <w:tcPr>
            <w:tcBorders>
              <w:top w:val="single" w:color="CBCDD1" w:sz="6" w:space="0"/>
              <w:left w:val="single" w:color="000000" w:sz="6" w:space="0"/>
              <w:bottom w:val="single" w:color="000000" w:sz="6" w:space="0"/>
              <w:right w:val="single" w:color="000000" w:sz="6" w:space="0"/>
            </w:tcBorders>
            <w:tcMar>
              <w:left w:w="60" w:type="dxa"/>
              <w:top w:w="60" w:type="dxa"/>
              <w:right w:w="60" w:type="dxa"/>
              <w:bottom w:w="45" w:type="dxa"/>
            </w:tcMar>
            <w:tcW w:w="5235" w:type="dxa"/>
            <w:vAlign w:val="center"/>
            <w:textDirection w:val="lrTb"/>
            <w:noWrap w:val="false"/>
          </w:tcPr>
          <w:p>
            <w:pPr>
              <w:pStyle w:val="886"/>
              <w:rPr>
                <w:rFonts w:hint="eastAsia" w:ascii="宋体" w:hAnsi="宋体"/>
                <w:sz w:val="24"/>
              </w:rPr>
            </w:pPr>
            <w:r>
              <w:rPr>
                <w:rFonts w:hint="eastAsia" w:ascii="宋体" w:hAnsi="宋体"/>
                <w:sz w:val="24"/>
              </w:rPr>
              <w:t xml:space="preserve">a.投标单位拟投入本项目的项目组其他组成人员（不包括项目总负责人、技术负责人、质控负责人、培训负责人）具有本科学历人数达1</w:t>
            </w:r>
            <w:r>
              <w:rPr>
                <w:rFonts w:ascii="宋体" w:hAnsi="宋体"/>
                <w:sz w:val="24"/>
              </w:rPr>
              <w:t xml:space="preserve">5</w:t>
            </w:r>
            <w:r>
              <w:rPr>
                <w:rFonts w:hint="eastAsia" w:ascii="宋体" w:hAnsi="宋体"/>
                <w:sz w:val="24"/>
              </w:rPr>
              <w:t xml:space="preserve">人的得4分，达到10人低于15人的得2分，低于10人不得分。</w:t>
            </w:r>
            <w:r/>
          </w:p>
          <w:p>
            <w:pPr>
              <w:pStyle w:val="886"/>
              <w:rPr>
                <w:rFonts w:hint="eastAsia" w:ascii="宋体" w:hAnsi="宋体"/>
                <w:sz w:val="24"/>
              </w:rPr>
            </w:pPr>
            <w:r>
              <w:rPr>
                <w:rFonts w:hint="eastAsia" w:ascii="宋体" w:hAnsi="宋体"/>
                <w:sz w:val="24"/>
              </w:rPr>
              <w:t xml:space="preserve">b.项目培训负责人：具有环保相关高级职称及环保相关硕士（含）以上学位的得2分；</w:t>
            </w:r>
            <w:r/>
          </w:p>
          <w:p>
            <w:pPr>
              <w:pStyle w:val="886"/>
              <w:rPr>
                <w:rFonts w:hint="eastAsia" w:ascii="宋体" w:hAnsi="宋体"/>
                <w:sz w:val="24"/>
              </w:rPr>
            </w:pPr>
            <w:r>
              <w:rPr>
                <w:rFonts w:hint="eastAsia" w:ascii="宋体" w:hAnsi="宋体"/>
                <w:sz w:val="24"/>
              </w:rPr>
              <w:t xml:space="preserve">具有环保相关高级职称及环保相关学士学位的得1分</w:t>
            </w:r>
            <w:r>
              <w:rPr>
                <w:rFonts w:ascii="宋体" w:hAnsi="宋体"/>
                <w:sz w:val="24"/>
              </w:rPr>
              <w:t xml:space="preserve">。</w:t>
            </w:r>
            <w:r>
              <w:rPr>
                <w:rFonts w:hint="eastAsia" w:ascii="宋体" w:hAnsi="宋体"/>
                <w:sz w:val="24"/>
              </w:rPr>
              <w:t xml:space="preserve">具有环评工程师证书的得2分；</w:t>
            </w:r>
            <w:r/>
          </w:p>
          <w:p>
            <w:pPr>
              <w:pStyle w:val="886"/>
              <w:rPr>
                <w:rFonts w:hint="eastAsia" w:ascii="宋体" w:hAnsi="宋体"/>
                <w:sz w:val="24"/>
              </w:rPr>
            </w:pPr>
            <w:r>
              <w:rPr>
                <w:rFonts w:hint="eastAsia" w:ascii="宋体" w:hAnsi="宋体"/>
                <w:sz w:val="24"/>
              </w:rPr>
              <w:t xml:space="preserve">属于地市级（或以上）环保类专家库成员（以管理部门正式发文为准）的得2分</w:t>
            </w:r>
            <w:r>
              <w:rPr>
                <w:rFonts w:ascii="宋体" w:hAnsi="宋体"/>
                <w:sz w:val="24"/>
              </w:rPr>
              <w:t xml:space="preserve">。</w:t>
            </w:r>
            <w:r>
              <w:rPr>
                <w:rFonts w:hint="eastAsia" w:ascii="宋体" w:hAnsi="宋体"/>
                <w:sz w:val="24"/>
              </w:rPr>
              <w:t xml:space="preserve">本小项最高得分6分。</w:t>
            </w:r>
            <w:r/>
          </w:p>
          <w:p>
            <w:pPr>
              <w:pStyle w:val="886"/>
              <w:rPr>
                <w:rFonts w:hint="eastAsia" w:ascii="宋体" w:hAnsi="宋体"/>
                <w:sz w:val="24"/>
              </w:rPr>
            </w:pPr>
            <w:r>
              <w:rPr>
                <w:rFonts w:hint="eastAsia" w:ascii="宋体" w:hAnsi="宋体"/>
                <w:sz w:val="24"/>
              </w:rPr>
              <w:t xml:space="preserve">c.项目质控负责人：具有高级职称及硕士（含）以上学位的得3分；具有高级职称及学士（含）以上学位的得1分</w:t>
            </w:r>
            <w:r>
              <w:rPr>
                <w:rFonts w:ascii="宋体" w:hAnsi="宋体"/>
                <w:sz w:val="24"/>
              </w:rPr>
              <w:t xml:space="preserve">。</w:t>
            </w:r>
            <w:r>
              <w:rPr>
                <w:rFonts w:hint="eastAsia" w:ascii="宋体" w:hAnsi="宋体"/>
                <w:sz w:val="24"/>
              </w:rPr>
            </w:r>
            <w:r/>
          </w:p>
          <w:p>
            <w:pPr>
              <w:pStyle w:val="886"/>
              <w:rPr>
                <w:rFonts w:hint="eastAsia" w:ascii="宋体" w:hAnsi="宋体"/>
                <w:sz w:val="24"/>
              </w:rPr>
            </w:pPr>
            <w:r>
              <w:rPr>
                <w:rFonts w:hint="eastAsia" w:ascii="宋体" w:hAnsi="宋体"/>
                <w:sz w:val="24"/>
              </w:rPr>
              <w:t xml:space="preserve">属于地市级（或以上）环保类专家库成员（以管理部门正式发文为准）的得2分</w:t>
            </w:r>
            <w:r>
              <w:rPr>
                <w:rFonts w:ascii="宋体" w:hAnsi="宋体"/>
                <w:sz w:val="24"/>
              </w:rPr>
              <w:t xml:space="preserve">。</w:t>
            </w:r>
            <w:r>
              <w:rPr>
                <w:rFonts w:hint="eastAsia" w:ascii="宋体" w:hAnsi="宋体"/>
                <w:sz w:val="24"/>
              </w:rPr>
              <w:t xml:space="preserve">本小项最高得分5分。</w:t>
            </w:r>
            <w:r/>
          </w:p>
          <w:p>
            <w:pPr>
              <w:pStyle w:val="886"/>
              <w:rPr>
                <w:rFonts w:hint="eastAsia" w:ascii="宋体" w:hAnsi="宋体"/>
                <w:sz w:val="24"/>
              </w:rPr>
            </w:pPr>
            <w:r>
              <w:rPr>
                <w:rFonts w:hint="eastAsia" w:ascii="宋体" w:hAnsi="宋体"/>
                <w:sz w:val="24"/>
              </w:rPr>
              <w:t xml:space="preserve">d. 除项目总负责人、技术负责人、质控负责人、培训负责人外，项目团队中具有环保相关高级职称或注册环评工程师或注册环保工程师的有1人得2分，最高得2分。</w:t>
            </w:r>
            <w:r/>
          </w:p>
          <w:p>
            <w:pPr>
              <w:pStyle w:val="886"/>
              <w:rPr>
                <w:rFonts w:ascii="宋体" w:hAnsi="宋体"/>
                <w:sz w:val="24"/>
              </w:rPr>
            </w:pPr>
            <w:r>
              <w:rPr>
                <w:rFonts w:hint="eastAsia" w:ascii="宋体" w:hAnsi="宋体"/>
                <w:sz w:val="24"/>
              </w:rPr>
              <w:t xml:space="preserve">注：上述评分项涉及针对本项目配备的负责人不得重复，所有人员须提供投标单位为其缴纳的近6个月社保或股东注册说明材料（股东提供查询链接及截图），以及评分项中要求提供的其他证书（如学位证书、职称证书等）证明材料，复印件加盖公章，资料提供不全则相应人员不得分。</w:t>
            </w:r>
            <w:r>
              <w:rPr>
                <w:rFonts w:ascii="宋体" w:hAnsi="宋体"/>
                <w:sz w:val="24"/>
              </w:rPr>
            </w:r>
            <w:r/>
          </w:p>
        </w:tc>
        <w:tc>
          <w:tcPr>
            <w:tcBorders>
              <w:top w:val="single" w:color="CBCDD1" w:sz="6" w:space="0"/>
              <w:left w:val="single" w:color="000000" w:sz="6" w:space="0"/>
              <w:bottom w:val="single" w:color="000000" w:sz="6" w:space="0"/>
              <w:right w:val="single" w:color="000000" w:sz="6" w:space="0"/>
            </w:tcBorders>
            <w:tcMar>
              <w:left w:w="60" w:type="dxa"/>
              <w:top w:w="60" w:type="dxa"/>
              <w:right w:w="60" w:type="dxa"/>
              <w:bottom w:w="45" w:type="dxa"/>
            </w:tcMar>
            <w:tcW w:w="788" w:type="dxa"/>
            <w:vAlign w:val="center"/>
            <w:textDirection w:val="lrTb"/>
            <w:noWrap w:val="false"/>
          </w:tcPr>
          <w:p>
            <w:pPr>
              <w:pStyle w:val="886"/>
              <w:jc w:val="center"/>
              <w:spacing w:before="100" w:after="120"/>
              <w:rPr>
                <w:rFonts w:ascii="宋体" w:hAnsi="宋体"/>
                <w:sz w:val="24"/>
              </w:rPr>
            </w:pPr>
            <w:r>
              <w:rPr>
                <w:rFonts w:hint="eastAsia" w:ascii="宋体" w:hAnsi="宋体" w:cs="宋体"/>
                <w:color w:val="000000"/>
                <w:sz w:val="24"/>
              </w:rPr>
              <w:t xml:space="preserve">17</w:t>
            </w:r>
            <w:r>
              <w:rPr>
                <w:rFonts w:ascii="宋体" w:hAnsi="宋体"/>
                <w:sz w:val="24"/>
              </w:rPr>
            </w:r>
            <w:r/>
          </w:p>
        </w:tc>
      </w:tr>
      <w:tr>
        <w:trPr>
          <w:cantSplit/>
          <w:trHeight w:val="1206"/>
        </w:trPr>
        <w:tc>
          <w:tcPr>
            <w:tcBorders>
              <w:top w:val="single" w:color="000000" w:sz="6" w:space="0"/>
              <w:left w:val="single" w:color="000000" w:sz="6" w:space="0"/>
              <w:bottom w:val="single" w:color="000000" w:sz="6" w:space="0"/>
              <w:right w:val="single" w:color="000000" w:sz="6" w:space="0"/>
            </w:tcBorders>
            <w:tcMar>
              <w:left w:w="60" w:type="dxa"/>
              <w:top w:w="60" w:type="dxa"/>
              <w:right w:w="60" w:type="dxa"/>
              <w:bottom w:w="45" w:type="dxa"/>
            </w:tcMar>
            <w:tcW w:w="1171" w:type="dxa"/>
            <w:vAlign w:val="center"/>
            <w:vMerge w:val="restart"/>
            <w:textDirection w:val="lrTb"/>
            <w:noWrap w:val="false"/>
          </w:tcPr>
          <w:p>
            <w:pPr>
              <w:pStyle w:val="886"/>
              <w:rPr>
                <w:rFonts w:ascii="宋体" w:hAnsi="宋体"/>
                <w:sz w:val="24"/>
              </w:rPr>
            </w:pPr>
            <w:r>
              <w:rPr>
                <w:rFonts w:ascii="宋体" w:hAnsi="宋体"/>
                <w:color w:val="000000"/>
                <w:sz w:val="24"/>
              </w:rPr>
              <w:t xml:space="preserve">（三）综合实力</w:t>
            </w:r>
            <w:r>
              <w:rPr>
                <w:rFonts w:ascii="宋体" w:hAnsi="宋体"/>
                <w:sz w:val="24"/>
              </w:rPr>
            </w:r>
            <w:r/>
          </w:p>
          <w:p>
            <w:pPr>
              <w:pStyle w:val="886"/>
              <w:rPr>
                <w:rFonts w:ascii="宋体" w:hAnsi="宋体"/>
                <w:sz w:val="24"/>
              </w:rPr>
            </w:pPr>
            <w:r>
              <w:rPr>
                <w:rFonts w:ascii="宋体" w:hAnsi="宋体"/>
                <w:color w:val="000000"/>
                <w:sz w:val="24"/>
              </w:rPr>
              <w:t xml:space="preserve">（</w:t>
            </w:r>
            <w:r>
              <w:rPr>
                <w:rFonts w:hint="eastAsia" w:ascii="宋体" w:hAnsi="宋体"/>
                <w:color w:val="000000"/>
                <w:sz w:val="24"/>
              </w:rPr>
              <w:t xml:space="preserve">17</w:t>
            </w:r>
            <w:r>
              <w:rPr>
                <w:rFonts w:ascii="宋体" w:hAnsi="宋体"/>
                <w:color w:val="000000"/>
                <w:sz w:val="24"/>
              </w:rPr>
              <w:t xml:space="preserve">分）</w:t>
            </w:r>
            <w:r>
              <w:rPr>
                <w:rFonts w:ascii="宋体" w:hAnsi="宋体"/>
                <w:sz w:val="24"/>
              </w:rPr>
            </w:r>
            <w:r/>
          </w:p>
          <w:p>
            <w:pPr>
              <w:pStyle w:val="886"/>
              <w:rPr>
                <w:rFonts w:ascii="宋体" w:hAnsi="宋体"/>
                <w:sz w:val="24"/>
              </w:rPr>
            </w:pPr>
            <w:r>
              <w:rPr>
                <w:rFonts w:ascii="宋体" w:hAnsi="宋体"/>
                <w:sz w:val="24"/>
              </w:rPr>
            </w:r>
            <w:r/>
          </w:p>
          <w:p>
            <w:pPr>
              <w:pStyle w:val="886"/>
              <w:spacing w:before="100" w:after="120"/>
              <w:rPr>
                <w:rFonts w:ascii="宋体" w:hAnsi="宋体"/>
                <w:sz w:val="24"/>
              </w:rPr>
            </w:pPr>
            <w:r>
              <w:rPr>
                <w:rFonts w:ascii="宋体" w:hAnsi="宋体"/>
                <w:sz w:val="24"/>
              </w:rPr>
            </w:r>
            <w:r/>
          </w:p>
        </w:tc>
        <w:tc>
          <w:tcPr>
            <w:tcBorders>
              <w:top w:val="single" w:color="CBCDD1" w:sz="6" w:space="0"/>
              <w:left w:val="single" w:color="000000" w:sz="6" w:space="0"/>
              <w:bottom w:val="single" w:color="000000" w:sz="6" w:space="0"/>
              <w:right w:val="single" w:color="000000" w:sz="6" w:space="0"/>
            </w:tcBorders>
            <w:tcMar>
              <w:left w:w="60" w:type="dxa"/>
              <w:top w:w="60" w:type="dxa"/>
              <w:right w:w="60" w:type="dxa"/>
              <w:bottom w:w="45" w:type="dxa"/>
            </w:tcMar>
            <w:tcW w:w="1605" w:type="dxa"/>
            <w:vAlign w:val="center"/>
            <w:textDirection w:val="lrTb"/>
            <w:noWrap w:val="false"/>
          </w:tcPr>
          <w:p>
            <w:pPr>
              <w:pStyle w:val="886"/>
              <w:rPr>
                <w:rFonts w:ascii="宋体" w:hAnsi="宋体"/>
                <w:sz w:val="24"/>
              </w:rPr>
            </w:pPr>
            <w:r>
              <w:rPr>
                <w:rFonts w:hint="eastAsia" w:ascii="宋体" w:hAnsi="宋体" w:cs="宋体"/>
                <w:color w:val="000000"/>
                <w:sz w:val="24"/>
              </w:rPr>
              <w:t xml:space="preserve">1.</w:t>
            </w:r>
            <w:r>
              <w:rPr>
                <w:rFonts w:ascii="宋体" w:hAnsi="宋体" w:cs="宋体"/>
                <w:color w:val="000000"/>
                <w:sz w:val="24"/>
              </w:rPr>
              <w:t xml:space="preserve">体系认证</w:t>
            </w:r>
            <w:r>
              <w:rPr>
                <w:rFonts w:ascii="宋体" w:hAnsi="宋体"/>
                <w:sz w:val="24"/>
              </w:rPr>
            </w:r>
            <w:r/>
          </w:p>
        </w:tc>
        <w:tc>
          <w:tcPr>
            <w:tcBorders>
              <w:top w:val="single" w:color="CBCDD1" w:sz="6" w:space="0"/>
              <w:left w:val="single" w:color="000000" w:sz="6" w:space="0"/>
              <w:bottom w:val="single" w:color="000000" w:sz="6" w:space="0"/>
              <w:right w:val="single" w:color="000000" w:sz="6" w:space="0"/>
            </w:tcBorders>
            <w:tcMar>
              <w:left w:w="60" w:type="dxa"/>
              <w:top w:w="60" w:type="dxa"/>
              <w:right w:w="60" w:type="dxa"/>
              <w:bottom w:w="45" w:type="dxa"/>
            </w:tcMar>
            <w:tcW w:w="5235" w:type="dxa"/>
            <w:vAlign w:val="center"/>
            <w:textDirection w:val="lrTb"/>
            <w:noWrap w:val="false"/>
          </w:tcPr>
          <w:p>
            <w:pPr>
              <w:pStyle w:val="886"/>
              <w:rPr>
                <w:rFonts w:ascii="宋体" w:hAnsi="宋体"/>
                <w:sz w:val="24"/>
              </w:rPr>
            </w:pPr>
            <w:r>
              <w:rPr>
                <w:rFonts w:ascii="宋体" w:hAnsi="宋体" w:cs="宋体"/>
                <w:sz w:val="24"/>
              </w:rPr>
              <w:t xml:space="preserve">投标</w:t>
            </w:r>
            <w:r>
              <w:rPr>
                <w:rFonts w:hint="eastAsia" w:ascii="宋体" w:hAnsi="宋体" w:cs="宋体"/>
                <w:sz w:val="24"/>
              </w:rPr>
              <w:t xml:space="preserve">单位</w:t>
            </w:r>
            <w:r>
              <w:rPr>
                <w:rFonts w:ascii="宋体" w:hAnsi="宋体" w:cs="宋体"/>
                <w:sz w:val="24"/>
              </w:rPr>
              <w:t xml:space="preserve">具有有效期内的环境管理体系认证、质量管理体系认证、职业健康安全管理体系认证证书</w:t>
            </w:r>
            <w:r>
              <w:rPr>
                <w:rFonts w:hint="eastAsia" w:ascii="宋体" w:hAnsi="宋体" w:cs="宋体"/>
                <w:sz w:val="24"/>
              </w:rPr>
              <w:t xml:space="preserve">的，提供齐全的得2</w:t>
            </w:r>
            <w:r>
              <w:rPr>
                <w:rFonts w:ascii="宋体" w:hAnsi="宋体" w:cs="宋体"/>
                <w:sz w:val="24"/>
              </w:rPr>
              <w:t xml:space="preserve">分。（提供有效证明材料）</w:t>
            </w:r>
            <w:r>
              <w:rPr>
                <w:rFonts w:ascii="宋体" w:hAnsi="宋体"/>
                <w:sz w:val="24"/>
              </w:rPr>
            </w:r>
            <w:r/>
          </w:p>
        </w:tc>
        <w:tc>
          <w:tcPr>
            <w:tcBorders>
              <w:top w:val="single" w:color="CBCDD1" w:sz="6" w:space="0"/>
              <w:left w:val="single" w:color="000000" w:sz="6" w:space="0"/>
              <w:bottom w:val="single" w:color="000000" w:sz="6" w:space="0"/>
              <w:right w:val="single" w:color="000000" w:sz="6" w:space="0"/>
            </w:tcBorders>
            <w:tcMar>
              <w:left w:w="60" w:type="dxa"/>
              <w:top w:w="60" w:type="dxa"/>
              <w:right w:w="60" w:type="dxa"/>
              <w:bottom w:w="45" w:type="dxa"/>
            </w:tcMar>
            <w:tcW w:w="788" w:type="dxa"/>
            <w:vAlign w:val="center"/>
            <w:textDirection w:val="lrTb"/>
            <w:noWrap w:val="false"/>
          </w:tcPr>
          <w:p>
            <w:pPr>
              <w:pStyle w:val="886"/>
              <w:jc w:val="center"/>
              <w:rPr>
                <w:rFonts w:hint="eastAsia" w:ascii="宋体" w:hAnsi="宋体"/>
                <w:sz w:val="24"/>
              </w:rPr>
            </w:pPr>
            <w:r>
              <w:rPr>
                <w:rFonts w:hint="eastAsia" w:ascii="宋体" w:hAnsi="宋体" w:cs="宋体"/>
                <w:color w:val="000000"/>
                <w:sz w:val="24"/>
              </w:rPr>
              <w:t xml:space="preserve">2</w:t>
            </w:r>
            <w:r>
              <w:rPr>
                <w:rFonts w:hint="eastAsia" w:ascii="宋体" w:hAnsi="宋体"/>
                <w:sz w:val="24"/>
              </w:rPr>
            </w:r>
            <w:r/>
          </w:p>
        </w:tc>
      </w:tr>
      <w:tr>
        <w:trPr>
          <w:cantSplit/>
          <w:trHeight w:val="1401"/>
        </w:trPr>
        <w:tc>
          <w:tcPr>
            <w:tcBorders>
              <w:top w:val="single" w:color="000000" w:sz="6" w:space="0"/>
              <w:left w:val="single" w:color="000000" w:sz="6" w:space="0"/>
              <w:bottom w:val="single" w:color="000000" w:sz="6" w:space="0"/>
              <w:right w:val="single" w:color="000000" w:sz="6" w:space="0"/>
            </w:tcBorders>
            <w:tcMar>
              <w:left w:w="60" w:type="dxa"/>
              <w:top w:w="60" w:type="dxa"/>
              <w:right w:w="60" w:type="dxa"/>
              <w:bottom w:w="45" w:type="dxa"/>
            </w:tcMar>
            <w:tcW w:w="1171" w:type="dxa"/>
            <w:vAlign w:val="center"/>
            <w:vMerge w:val="continue"/>
            <w:textDirection w:val="lrTb"/>
            <w:noWrap w:val="false"/>
          </w:tcPr>
          <w:p>
            <w:pPr>
              <w:pStyle w:val="886"/>
              <w:rPr>
                <w:rFonts w:ascii="宋体" w:hAnsi="宋体"/>
                <w:color w:val="000000"/>
                <w:sz w:val="24"/>
              </w:rPr>
            </w:pPr>
            <w:r>
              <w:rPr>
                <w:rFonts w:ascii="宋体" w:hAnsi="宋体"/>
                <w:color w:val="000000"/>
                <w:sz w:val="24"/>
              </w:rPr>
            </w:r>
            <w:r/>
          </w:p>
        </w:tc>
        <w:tc>
          <w:tcPr>
            <w:tcBorders>
              <w:top w:val="single" w:color="CBCDD1" w:sz="6" w:space="0"/>
              <w:left w:val="single" w:color="000000" w:sz="6" w:space="0"/>
              <w:bottom w:val="single" w:color="000000" w:sz="6" w:space="0"/>
              <w:right w:val="single" w:color="000000" w:sz="6" w:space="0"/>
            </w:tcBorders>
            <w:tcMar>
              <w:left w:w="60" w:type="dxa"/>
              <w:top w:w="60" w:type="dxa"/>
              <w:right w:w="60" w:type="dxa"/>
              <w:bottom w:w="45" w:type="dxa"/>
            </w:tcMar>
            <w:tcW w:w="1605" w:type="dxa"/>
            <w:vAlign w:val="center"/>
            <w:textDirection w:val="lrTb"/>
            <w:noWrap w:val="false"/>
          </w:tcPr>
          <w:p>
            <w:pPr>
              <w:pStyle w:val="886"/>
              <w:rPr>
                <w:rFonts w:hint="eastAsia" w:ascii="宋体" w:hAnsi="宋体" w:cs="宋体"/>
                <w:color w:val="000000"/>
                <w:sz w:val="24"/>
              </w:rPr>
            </w:pPr>
            <w:r>
              <w:rPr>
                <w:rFonts w:hint="eastAsia" w:ascii="宋体" w:hAnsi="宋体" w:cs="宋体"/>
                <w:color w:val="000000"/>
                <w:sz w:val="24"/>
              </w:rPr>
              <w:t xml:space="preserve">2.检测仪器</w:t>
            </w:r>
            <w:r/>
          </w:p>
        </w:tc>
        <w:tc>
          <w:tcPr>
            <w:tcBorders>
              <w:top w:val="single" w:color="CBCDD1" w:sz="6" w:space="0"/>
              <w:left w:val="single" w:color="000000" w:sz="6" w:space="0"/>
              <w:bottom w:val="single" w:color="000000" w:sz="6" w:space="0"/>
              <w:right w:val="single" w:color="000000" w:sz="6" w:space="0"/>
            </w:tcBorders>
            <w:tcMar>
              <w:left w:w="60" w:type="dxa"/>
              <w:top w:w="60" w:type="dxa"/>
              <w:right w:w="60" w:type="dxa"/>
              <w:bottom w:w="45" w:type="dxa"/>
            </w:tcMar>
            <w:tcW w:w="5235" w:type="dxa"/>
            <w:vAlign w:val="center"/>
            <w:textDirection w:val="lrTb"/>
            <w:noWrap w:val="false"/>
          </w:tcPr>
          <w:p>
            <w:pPr>
              <w:pStyle w:val="886"/>
              <w:jc w:val="left"/>
              <w:rPr>
                <w:rFonts w:ascii="宋体" w:hAnsi="宋体" w:cs="宋体"/>
                <w:sz w:val="24"/>
              </w:rPr>
            </w:pPr>
            <w:r>
              <w:rPr>
                <w:rFonts w:hint="eastAsia" w:ascii="宋体" w:hAnsi="宋体" w:cs="宋体"/>
                <w:sz w:val="24"/>
              </w:rPr>
              <w:t xml:space="preserve">投标单位针对该项目提供具有计量校准证书的FID便携式VOCs检测仪器，有1台得1分，最高得2分。（提供发票复印件、计量校准证书复印件）</w:t>
            </w:r>
            <w:r>
              <w:rPr>
                <w:rFonts w:ascii="宋体" w:hAnsi="宋体" w:cs="宋体"/>
                <w:sz w:val="24"/>
              </w:rPr>
            </w:r>
            <w:r/>
          </w:p>
        </w:tc>
        <w:tc>
          <w:tcPr>
            <w:tcBorders>
              <w:top w:val="single" w:color="CBCDD1" w:sz="6" w:space="0"/>
              <w:left w:val="single" w:color="000000" w:sz="6" w:space="0"/>
              <w:bottom w:val="single" w:color="000000" w:sz="6" w:space="0"/>
              <w:right w:val="single" w:color="000000" w:sz="6" w:space="0"/>
            </w:tcBorders>
            <w:tcMar>
              <w:left w:w="60" w:type="dxa"/>
              <w:top w:w="60" w:type="dxa"/>
              <w:right w:w="60" w:type="dxa"/>
              <w:bottom w:w="45" w:type="dxa"/>
            </w:tcMar>
            <w:tcW w:w="788" w:type="dxa"/>
            <w:vAlign w:val="center"/>
            <w:textDirection w:val="lrTb"/>
            <w:noWrap w:val="false"/>
          </w:tcPr>
          <w:p>
            <w:pPr>
              <w:pStyle w:val="886"/>
              <w:jc w:val="center"/>
              <w:rPr>
                <w:rFonts w:hint="eastAsia" w:ascii="宋体" w:hAnsi="宋体" w:cs="宋体"/>
                <w:color w:val="000000"/>
                <w:sz w:val="24"/>
              </w:rPr>
            </w:pPr>
            <w:r>
              <w:rPr>
                <w:rFonts w:hint="eastAsia" w:ascii="宋体" w:hAnsi="宋体" w:cs="宋体"/>
                <w:color w:val="000000"/>
                <w:sz w:val="24"/>
              </w:rPr>
              <w:t xml:space="preserve">2</w:t>
            </w:r>
            <w:r/>
          </w:p>
        </w:tc>
      </w:tr>
      <w:tr>
        <w:trPr>
          <w:cantSplit/>
          <w:trHeight w:val="2341"/>
        </w:trPr>
        <w:tc>
          <w:tcPr>
            <w:tcBorders>
              <w:top w:val="single" w:color="000000" w:sz="6" w:space="0"/>
              <w:left w:val="single" w:color="000000" w:sz="6" w:space="0"/>
              <w:bottom w:val="single" w:color="000000" w:sz="6" w:space="0"/>
              <w:right w:val="single" w:color="000000" w:sz="6" w:space="0"/>
            </w:tcBorders>
            <w:tcMar>
              <w:left w:w="60" w:type="dxa"/>
              <w:top w:w="60" w:type="dxa"/>
              <w:right w:w="60" w:type="dxa"/>
              <w:bottom w:w="45" w:type="dxa"/>
            </w:tcMar>
            <w:tcW w:w="1171" w:type="dxa"/>
            <w:vAlign w:val="center"/>
            <w:vMerge w:val="continue"/>
            <w:textDirection w:val="lrTb"/>
            <w:noWrap w:val="false"/>
          </w:tcPr>
          <w:p>
            <w:pPr>
              <w:pStyle w:val="886"/>
              <w:rPr>
                <w:rFonts w:ascii="宋体" w:hAnsi="宋体"/>
                <w:color w:val="000000"/>
                <w:sz w:val="24"/>
              </w:rPr>
            </w:pPr>
            <w:r>
              <w:rPr>
                <w:rFonts w:ascii="宋体" w:hAnsi="宋体"/>
                <w:color w:val="000000"/>
                <w:sz w:val="24"/>
              </w:rPr>
            </w:r>
            <w:r/>
          </w:p>
        </w:tc>
        <w:tc>
          <w:tcPr>
            <w:tcBorders>
              <w:top w:val="single" w:color="CBCDD1" w:sz="6" w:space="0"/>
              <w:left w:val="single" w:color="000000" w:sz="6" w:space="0"/>
              <w:bottom w:val="single" w:color="000000" w:sz="6" w:space="0"/>
              <w:right w:val="single" w:color="000000" w:sz="6" w:space="0"/>
            </w:tcBorders>
            <w:tcMar>
              <w:left w:w="60" w:type="dxa"/>
              <w:top w:w="60" w:type="dxa"/>
              <w:right w:w="60" w:type="dxa"/>
              <w:bottom w:w="45" w:type="dxa"/>
            </w:tcMar>
            <w:tcW w:w="1605" w:type="dxa"/>
            <w:vAlign w:val="center"/>
            <w:textDirection w:val="lrTb"/>
            <w:noWrap w:val="false"/>
          </w:tcPr>
          <w:p>
            <w:pPr>
              <w:pStyle w:val="886"/>
              <w:rPr>
                <w:rFonts w:hint="eastAsia" w:ascii="宋体" w:hAnsi="宋体" w:cs="宋体"/>
                <w:color w:val="000000"/>
                <w:sz w:val="24"/>
              </w:rPr>
            </w:pPr>
            <w:r>
              <w:rPr>
                <w:rFonts w:hint="eastAsia" w:ascii="宋体" w:hAnsi="宋体" w:cs="宋体"/>
                <w:color w:val="000000"/>
                <w:sz w:val="24"/>
              </w:rPr>
              <w:t xml:space="preserve">3.软件著作权</w:t>
            </w:r>
            <w:r/>
          </w:p>
        </w:tc>
        <w:tc>
          <w:tcPr>
            <w:tcBorders>
              <w:top w:val="single" w:color="CBCDD1" w:sz="6" w:space="0"/>
              <w:left w:val="single" w:color="000000" w:sz="6" w:space="0"/>
              <w:bottom w:val="single" w:color="000000" w:sz="6" w:space="0"/>
              <w:right w:val="single" w:color="000000" w:sz="6" w:space="0"/>
            </w:tcBorders>
            <w:tcMar>
              <w:left w:w="60" w:type="dxa"/>
              <w:top w:w="60" w:type="dxa"/>
              <w:right w:w="60" w:type="dxa"/>
              <w:bottom w:w="45" w:type="dxa"/>
            </w:tcMar>
            <w:tcW w:w="5235" w:type="dxa"/>
            <w:vAlign w:val="center"/>
            <w:textDirection w:val="lrTb"/>
            <w:noWrap w:val="false"/>
          </w:tcPr>
          <w:p>
            <w:pPr>
              <w:pStyle w:val="886"/>
              <w:jc w:val="left"/>
              <w:spacing w:line="320" w:lineRule="exact"/>
              <w:rPr>
                <w:rFonts w:hint="eastAsia" w:ascii="宋体" w:hAnsi="宋体" w:cs="宋体"/>
                <w:sz w:val="24"/>
              </w:rPr>
            </w:pPr>
            <w:r>
              <w:rPr>
                <w:rFonts w:hint="eastAsia" w:ascii="宋体" w:hAnsi="宋体" w:cs="宋体"/>
                <w:sz w:val="24"/>
              </w:rPr>
              <w:t xml:space="preserve">投标单位具有VOCs驻点管家数据平台建设经验的得3分。（提供服务合同复印件、软件著作权证书复印件、平台界面截图（需涵盖VOCs清单、VOCs全流程排查、治理提升过程评估、日常定期巡查、相关业务培训5个模块）、登录链接、使用手册证明共5大项证明材料得3分，缺1项及以上证明材料的不得分）</w:t>
            </w:r>
            <w:r/>
          </w:p>
        </w:tc>
        <w:tc>
          <w:tcPr>
            <w:tcBorders>
              <w:top w:val="single" w:color="CBCDD1" w:sz="6" w:space="0"/>
              <w:left w:val="single" w:color="000000" w:sz="6" w:space="0"/>
              <w:bottom w:val="single" w:color="000000" w:sz="6" w:space="0"/>
              <w:right w:val="single" w:color="000000" w:sz="6" w:space="0"/>
            </w:tcBorders>
            <w:tcMar>
              <w:left w:w="60" w:type="dxa"/>
              <w:top w:w="60" w:type="dxa"/>
              <w:right w:w="60" w:type="dxa"/>
              <w:bottom w:w="45" w:type="dxa"/>
            </w:tcMar>
            <w:tcW w:w="788" w:type="dxa"/>
            <w:vAlign w:val="center"/>
            <w:textDirection w:val="lrTb"/>
            <w:noWrap w:val="false"/>
          </w:tcPr>
          <w:p>
            <w:pPr>
              <w:pStyle w:val="886"/>
              <w:jc w:val="center"/>
              <w:rPr>
                <w:rFonts w:hint="eastAsia" w:ascii="宋体" w:hAnsi="宋体" w:cs="宋体"/>
                <w:color w:val="000000"/>
                <w:sz w:val="24"/>
              </w:rPr>
            </w:pPr>
            <w:r>
              <w:rPr>
                <w:rFonts w:hint="eastAsia" w:ascii="宋体" w:hAnsi="宋体" w:cs="宋体"/>
                <w:color w:val="000000"/>
                <w:sz w:val="24"/>
              </w:rPr>
              <w:t xml:space="preserve">3</w:t>
            </w:r>
            <w:r/>
          </w:p>
        </w:tc>
      </w:tr>
      <w:tr>
        <w:trPr>
          <w:cantSplit/>
          <w:trHeight w:val="2033"/>
        </w:trPr>
        <w:tc>
          <w:tcPr>
            <w:tcBorders>
              <w:top w:val="single" w:color="000000" w:sz="6" w:space="0"/>
              <w:left w:val="single" w:color="000000" w:sz="6" w:space="0"/>
              <w:bottom w:val="single" w:color="000000" w:sz="6" w:space="0"/>
              <w:right w:val="single" w:color="000000" w:sz="6" w:space="0"/>
            </w:tcBorders>
            <w:tcMar>
              <w:left w:w="60" w:type="dxa"/>
              <w:top w:w="60" w:type="dxa"/>
              <w:right w:w="60" w:type="dxa"/>
              <w:bottom w:w="45" w:type="dxa"/>
            </w:tcMar>
            <w:tcW w:w="1171" w:type="dxa"/>
            <w:vAlign w:val="center"/>
            <w:vMerge w:val="continue"/>
            <w:textDirection w:val="lrTb"/>
            <w:noWrap w:val="false"/>
          </w:tcPr>
          <w:p>
            <w:pPr>
              <w:pStyle w:val="886"/>
              <w:spacing w:before="100" w:after="120"/>
              <w:rPr>
                <w:rFonts w:ascii="宋体" w:hAnsi="宋体"/>
                <w:sz w:val="24"/>
              </w:rPr>
            </w:pPr>
            <w:r>
              <w:rPr>
                <w:rFonts w:ascii="宋体" w:hAnsi="宋体"/>
                <w:sz w:val="24"/>
              </w:rPr>
            </w:r>
            <w:r/>
          </w:p>
        </w:tc>
        <w:tc>
          <w:tcPr>
            <w:tcBorders>
              <w:top w:val="single" w:color="CBCDD1" w:sz="6" w:space="0"/>
              <w:left w:val="single" w:color="000000" w:sz="6" w:space="0"/>
              <w:bottom w:val="single" w:color="000000" w:sz="6" w:space="0"/>
              <w:right w:val="single" w:color="000000" w:sz="6" w:space="0"/>
            </w:tcBorders>
            <w:tcMar>
              <w:left w:w="60" w:type="dxa"/>
              <w:top w:w="60" w:type="dxa"/>
              <w:right w:w="60" w:type="dxa"/>
              <w:bottom w:w="45" w:type="dxa"/>
            </w:tcMar>
            <w:tcW w:w="1605" w:type="dxa"/>
            <w:vAlign w:val="center"/>
            <w:textDirection w:val="lrTb"/>
            <w:noWrap w:val="false"/>
          </w:tcPr>
          <w:p>
            <w:pPr>
              <w:pStyle w:val="886"/>
              <w:spacing w:before="100" w:after="120"/>
              <w:rPr>
                <w:rFonts w:ascii="宋体" w:hAnsi="宋体"/>
                <w:sz w:val="24"/>
              </w:rPr>
            </w:pPr>
            <w:r>
              <w:rPr>
                <w:rFonts w:hint="eastAsia" w:ascii="宋体" w:hAnsi="宋体" w:cs="宋体"/>
                <w:color w:val="000000"/>
                <w:sz w:val="24"/>
              </w:rPr>
              <w:t xml:space="preserve">4.</w:t>
            </w:r>
            <w:r>
              <w:rPr>
                <w:rFonts w:ascii="宋体" w:hAnsi="宋体" w:cs="宋体"/>
                <w:color w:val="000000"/>
                <w:sz w:val="24"/>
              </w:rPr>
              <w:t xml:space="preserve">类似业绩</w:t>
            </w:r>
            <w:r>
              <w:rPr>
                <w:rFonts w:ascii="宋体" w:hAnsi="宋体"/>
                <w:sz w:val="24"/>
              </w:rPr>
            </w:r>
            <w:r/>
          </w:p>
        </w:tc>
        <w:tc>
          <w:tcPr>
            <w:tcBorders>
              <w:top w:val="single" w:color="CBCDD1" w:sz="6" w:space="0"/>
              <w:left w:val="single" w:color="000000" w:sz="6" w:space="0"/>
              <w:bottom w:val="single" w:color="000000" w:sz="6" w:space="0"/>
              <w:right w:val="single" w:color="000000" w:sz="6" w:space="0"/>
            </w:tcBorders>
            <w:tcMar>
              <w:left w:w="60" w:type="dxa"/>
              <w:top w:w="60" w:type="dxa"/>
              <w:right w:w="60" w:type="dxa"/>
              <w:bottom w:w="45" w:type="dxa"/>
            </w:tcMar>
            <w:tcW w:w="5235" w:type="dxa"/>
            <w:vAlign w:val="center"/>
            <w:textDirection w:val="lrTb"/>
            <w:noWrap w:val="false"/>
          </w:tcPr>
          <w:p>
            <w:pPr>
              <w:pStyle w:val="922"/>
              <w:jc w:val="left"/>
              <w:rPr>
                <w:rFonts w:ascii="宋体" w:hAnsi="宋体" w:eastAsia="宋体" w:cs="宋体"/>
                <w:sz w:val="24"/>
                <w:szCs w:val="24"/>
              </w:rPr>
            </w:pPr>
            <w:r>
              <w:rPr>
                <w:rFonts w:hint="eastAsia" w:ascii="宋体" w:hAnsi="宋体" w:eastAsia="宋体" w:cs="宋体"/>
                <w:position w:val="0"/>
                <w:sz w:val="24"/>
                <w:szCs w:val="24"/>
              </w:rPr>
              <w:t xml:space="preserve">投标单位2022年1月1日至今（以合同签订时间为准）独立承担过环境管理部门委托的挥发性有机物治理驻点管家服务的，每有1份得2分，最高得10分。（</w:t>
            </w:r>
            <w:r>
              <w:rPr>
                <w:rFonts w:ascii="宋体" w:hAnsi="宋体" w:eastAsia="宋体" w:cs="宋体"/>
                <w:position w:val="0"/>
                <w:sz w:val="24"/>
                <w:szCs w:val="24"/>
              </w:rPr>
              <w:t xml:space="preserve">注：</w:t>
            </w:r>
            <w:r>
              <w:rPr>
                <w:rFonts w:hint="eastAsia" w:ascii="宋体" w:hAnsi="宋体" w:eastAsia="宋体" w:cs="宋体"/>
                <w:position w:val="0"/>
                <w:sz w:val="24"/>
                <w:szCs w:val="24"/>
              </w:rPr>
              <w:t xml:space="preserve">投标单位需在</w:t>
            </w:r>
            <w:r>
              <w:rPr>
                <w:rFonts w:ascii="宋体" w:hAnsi="宋体" w:eastAsia="宋体" w:cs="宋体"/>
                <w:position w:val="0"/>
                <w:sz w:val="24"/>
                <w:szCs w:val="24"/>
              </w:rPr>
              <w:t xml:space="preserve">响应文件中提供</w:t>
            </w:r>
            <w:r>
              <w:rPr>
                <w:rFonts w:hint="eastAsia" w:ascii="宋体" w:hAnsi="宋体" w:eastAsia="宋体" w:cs="宋体"/>
                <w:position w:val="0"/>
                <w:sz w:val="24"/>
                <w:szCs w:val="24"/>
              </w:rPr>
              <w:t xml:space="preserve">与上述有效业绩</w:t>
            </w:r>
            <w:r>
              <w:rPr>
                <w:rFonts w:ascii="宋体" w:hAnsi="宋体" w:eastAsia="宋体" w:cs="宋体"/>
                <w:position w:val="0"/>
                <w:sz w:val="24"/>
                <w:szCs w:val="24"/>
              </w:rPr>
              <w:t xml:space="preserve">合同</w:t>
            </w:r>
            <w:r>
              <w:rPr>
                <w:rFonts w:hint="eastAsia" w:ascii="宋体" w:hAnsi="宋体" w:eastAsia="宋体" w:cs="宋体"/>
                <w:position w:val="0"/>
                <w:sz w:val="24"/>
                <w:szCs w:val="24"/>
              </w:rPr>
              <w:t xml:space="preserve">证明材料</w:t>
            </w:r>
            <w:r>
              <w:rPr>
                <w:rFonts w:ascii="宋体" w:hAnsi="宋体" w:eastAsia="宋体" w:cs="宋体"/>
                <w:position w:val="0"/>
                <w:sz w:val="24"/>
                <w:szCs w:val="24"/>
              </w:rPr>
              <w:t xml:space="preserve">，未提供或提供的证明材料无法佐证的不得分。</w:t>
            </w:r>
            <w:r>
              <w:rPr>
                <w:rFonts w:hint="eastAsia" w:ascii="宋体" w:hAnsi="宋体" w:eastAsia="宋体" w:cs="宋体"/>
                <w:position w:val="0"/>
                <w:sz w:val="24"/>
                <w:szCs w:val="24"/>
              </w:rPr>
              <w:t xml:space="preserve">）</w:t>
            </w:r>
            <w:r>
              <w:rPr>
                <w:rFonts w:ascii="宋体" w:hAnsi="宋体" w:eastAsia="宋体" w:cs="宋体"/>
                <w:sz w:val="24"/>
                <w:szCs w:val="24"/>
              </w:rPr>
            </w:r>
            <w:r/>
          </w:p>
        </w:tc>
        <w:tc>
          <w:tcPr>
            <w:tcBorders>
              <w:top w:val="single" w:color="CBCDD1" w:sz="6" w:space="0"/>
              <w:left w:val="single" w:color="000000" w:sz="6" w:space="0"/>
              <w:bottom w:val="single" w:color="000000" w:sz="6" w:space="0"/>
              <w:right w:val="single" w:color="000000" w:sz="6" w:space="0"/>
            </w:tcBorders>
            <w:tcMar>
              <w:left w:w="60" w:type="dxa"/>
              <w:top w:w="60" w:type="dxa"/>
              <w:right w:w="60" w:type="dxa"/>
              <w:bottom w:w="45" w:type="dxa"/>
            </w:tcMar>
            <w:tcW w:w="788" w:type="dxa"/>
            <w:vAlign w:val="center"/>
            <w:textDirection w:val="lrTb"/>
            <w:noWrap w:val="false"/>
          </w:tcPr>
          <w:p>
            <w:pPr>
              <w:pStyle w:val="886"/>
              <w:jc w:val="center"/>
              <w:spacing w:before="100" w:after="120"/>
              <w:rPr>
                <w:rFonts w:hint="eastAsia" w:ascii="宋体" w:hAnsi="宋体"/>
                <w:sz w:val="24"/>
              </w:rPr>
            </w:pPr>
            <w:r>
              <w:rPr>
                <w:rFonts w:hint="eastAsia" w:ascii="宋体" w:hAnsi="宋体" w:cs="宋体"/>
                <w:color w:val="000000"/>
                <w:sz w:val="24"/>
              </w:rPr>
              <w:t xml:space="preserve">10</w:t>
            </w:r>
            <w:r>
              <w:rPr>
                <w:rFonts w:hint="eastAsia" w:ascii="宋体" w:hAnsi="宋体"/>
                <w:sz w:val="24"/>
              </w:rPr>
            </w:r>
            <w:r/>
          </w:p>
        </w:tc>
      </w:tr>
    </w:tbl>
    <w:p>
      <w:pPr>
        <w:pStyle w:val="1006"/>
        <w:rPr>
          <w:rFonts w:ascii="宋体" w:hAnsi="宋体"/>
          <w:sz w:val="30"/>
          <w:szCs w:val="30"/>
          <w:lang w:eastAsia="zh-CN"/>
        </w:rPr>
      </w:pPr>
      <w:r>
        <w:rPr>
          <w:rFonts w:hint="eastAsia" w:ascii="宋体" w:hAnsi="宋体"/>
          <w:sz w:val="30"/>
          <w:szCs w:val="30"/>
          <w:lang w:eastAsia="zh-CN"/>
        </w:rPr>
        <w:t xml:space="preserve">备注：</w:t>
      </w:r>
      <w:r>
        <w:rPr>
          <w:rFonts w:ascii="宋体" w:hAnsi="宋体"/>
          <w:sz w:val="30"/>
          <w:szCs w:val="30"/>
          <w:lang w:eastAsia="zh-CN"/>
        </w:rPr>
      </w:r>
      <w:r/>
    </w:p>
    <w:p>
      <w:pPr>
        <w:pStyle w:val="1210"/>
        <w:numPr>
          <w:ilvl w:val="0"/>
          <w:numId w:val="3"/>
        </w:numPr>
        <w:ind w:left="0" w:firstLine="0"/>
        <w:spacing w:line="360" w:lineRule="auto"/>
        <w:rPr>
          <w:rFonts w:hint="eastAsia" w:ascii="宋体" w:hAnsi="宋体"/>
          <w:szCs w:val="21"/>
        </w:rPr>
      </w:pPr>
      <w:r>
        <w:rPr>
          <w:rFonts w:hint="eastAsia" w:ascii="宋体" w:hAnsi="宋体"/>
          <w:szCs w:val="21"/>
        </w:rPr>
        <w:t xml:space="preserve">为确保货物、服务质量，投标单位技术部分得分低于其75%作无效标处理。</w:t>
      </w:r>
      <w:r/>
    </w:p>
    <w:p>
      <w:pPr>
        <w:pStyle w:val="1210"/>
        <w:numPr>
          <w:ilvl w:val="0"/>
          <w:numId w:val="3"/>
        </w:numPr>
        <w:ind w:left="0" w:firstLine="0"/>
        <w:spacing w:line="360" w:lineRule="auto"/>
        <w:rPr>
          <w:rFonts w:ascii="宋体" w:hAnsi="宋体"/>
          <w:szCs w:val="21"/>
        </w:rPr>
      </w:pPr>
      <w:r>
        <w:rPr>
          <w:rFonts w:hint="eastAsia" w:ascii="宋体" w:hAnsi="宋体"/>
          <w:szCs w:val="21"/>
        </w:rPr>
        <w:t xml:space="preserve">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r>
        <w:rPr>
          <w:rFonts w:ascii="宋体" w:hAnsi="宋体"/>
          <w:szCs w:val="21"/>
        </w:rPr>
      </w:r>
      <w:r/>
    </w:p>
    <w:p>
      <w:pPr>
        <w:pStyle w:val="1210"/>
        <w:numPr>
          <w:ilvl w:val="0"/>
          <w:numId w:val="3"/>
        </w:numPr>
        <w:ind w:left="0" w:firstLine="0"/>
        <w:spacing w:line="360" w:lineRule="auto"/>
        <w:rPr>
          <w:rFonts w:ascii="宋体" w:hAnsi="宋体"/>
          <w:szCs w:val="21"/>
        </w:rPr>
      </w:pPr>
      <w:r>
        <w:rPr>
          <w:rFonts w:hint="eastAsia" w:ascii="宋体" w:hAnsi="宋体"/>
          <w:szCs w:val="21"/>
        </w:rPr>
        <w:t xml:space="preserve">各投标人必须进行该项目网上电子投标，否则视为无效投标。</w:t>
      </w:r>
      <w:r>
        <w:rPr>
          <w:rFonts w:ascii="宋体" w:hAnsi="宋体"/>
          <w:szCs w:val="21"/>
        </w:rPr>
      </w:r>
      <w:r/>
    </w:p>
    <w:p>
      <w:pPr>
        <w:pStyle w:val="1210"/>
        <w:numPr>
          <w:ilvl w:val="0"/>
          <w:numId w:val="3"/>
        </w:numPr>
        <w:ind w:left="0" w:firstLine="0"/>
        <w:spacing w:line="360" w:lineRule="auto"/>
        <w:rPr>
          <w:rFonts w:ascii="宋体" w:hAnsi="宋体"/>
          <w:szCs w:val="21"/>
        </w:rPr>
      </w:pPr>
      <w:r>
        <w:rPr>
          <w:rFonts w:hint="eastAsia" w:ascii="宋体" w:hAnsi="宋体"/>
          <w:szCs w:val="21"/>
        </w:rPr>
        <w:t xml:space="preserve">投标文件中的内容需和招标文件相关指标对应绑定，无绑定不得分。</w:t>
      </w:r>
      <w:r>
        <w:rPr>
          <w:rFonts w:ascii="宋体" w:hAnsi="宋体"/>
          <w:szCs w:val="21"/>
        </w:rPr>
      </w:r>
      <w:r/>
    </w:p>
    <w:p>
      <w:pPr>
        <w:pStyle w:val="1210"/>
        <w:numPr>
          <w:ilvl w:val="0"/>
          <w:numId w:val="3"/>
        </w:numPr>
        <w:ind w:left="0" w:firstLine="0"/>
        <w:spacing w:line="360" w:lineRule="auto"/>
        <w:rPr>
          <w:rFonts w:ascii="宋体" w:hAnsi="宋体"/>
          <w:szCs w:val="21"/>
        </w:rPr>
      </w:pPr>
      <w:r>
        <w:rPr>
          <w:rFonts w:hint="eastAsia" w:ascii="宋体" w:hAnsi="宋体"/>
          <w:szCs w:val="21"/>
        </w:rPr>
        <w:t xml:space="preserve">技术标内一律不得含有报价，否则视为无效投标。</w:t>
      </w:r>
      <w:r>
        <w:rPr>
          <w:rFonts w:ascii="宋体" w:hAnsi="宋体"/>
          <w:szCs w:val="21"/>
        </w:rPr>
      </w:r>
      <w:r/>
    </w:p>
    <w:p>
      <w:pPr>
        <w:pStyle w:val="1210"/>
        <w:numPr>
          <w:ilvl w:val="0"/>
          <w:numId w:val="3"/>
        </w:numPr>
        <w:ind w:left="0" w:firstLine="0"/>
        <w:spacing w:line="360" w:lineRule="auto"/>
        <w:rPr>
          <w:rFonts w:ascii="宋体" w:hAnsi="宋体"/>
          <w:szCs w:val="21"/>
        </w:rPr>
      </w:pPr>
      <w:r>
        <w:rPr>
          <w:rFonts w:hint="eastAsia" w:ascii="宋体" w:hAnsi="宋体"/>
          <w:szCs w:val="21"/>
        </w:rPr>
        <w:t xml:space="preserve">针对评分标准中评分的每一条，投标人均应提供相关资料或作出相应说明供评委评判。</w:t>
      </w:r>
      <w:r>
        <w:rPr>
          <w:rFonts w:ascii="宋体" w:hAnsi="宋体"/>
          <w:szCs w:val="21"/>
        </w:rPr>
      </w:r>
      <w:r/>
    </w:p>
    <w:p>
      <w:pPr>
        <w:pStyle w:val="1210"/>
        <w:numPr>
          <w:ilvl w:val="0"/>
          <w:numId w:val="3"/>
        </w:numPr>
        <w:ind w:left="0" w:firstLine="0"/>
        <w:spacing w:line="360" w:lineRule="auto"/>
        <w:rPr>
          <w:rFonts w:ascii="宋体" w:hAnsi="宋体"/>
          <w:szCs w:val="21"/>
        </w:rPr>
      </w:pPr>
      <w:r>
        <w:rPr>
          <w:rFonts w:hint="eastAsia" w:ascii="宋体" w:hAnsi="宋体"/>
          <w:szCs w:val="21"/>
        </w:rPr>
        <w:t xml:space="preserve">投标文件中如出现前后不一致时，评委有权请投标人澄清说明，澄清说明事项涉及评分时，评委有权酌情扣分。</w:t>
      </w:r>
      <w:r>
        <w:rPr>
          <w:rFonts w:ascii="宋体" w:hAnsi="宋体"/>
          <w:szCs w:val="21"/>
        </w:rPr>
      </w:r>
      <w:r/>
    </w:p>
    <w:p>
      <w:pPr>
        <w:pStyle w:val="1210"/>
        <w:numPr>
          <w:ilvl w:val="0"/>
          <w:numId w:val="3"/>
        </w:numPr>
        <w:ind w:left="0" w:firstLine="0"/>
        <w:spacing w:line="360" w:lineRule="auto"/>
        <w:rPr>
          <w:rFonts w:ascii="宋体" w:hAnsi="宋体"/>
          <w:szCs w:val="21"/>
        </w:rPr>
      </w:pPr>
      <w:r>
        <w:rPr>
          <w:rFonts w:hint="eastAsia" w:ascii="宋体" w:hAnsi="宋体"/>
          <w:szCs w:val="21"/>
        </w:rPr>
        <w:t xml:space="preserve">投标单位在进行网上投标时，以收到系统自动发回的PDF格式投标回执为上传成功的唯一标志，否则视为无效投标。</w:t>
      </w:r>
      <w:r>
        <w:rPr>
          <w:rFonts w:ascii="宋体" w:hAnsi="宋体"/>
          <w:szCs w:val="21"/>
        </w:rPr>
      </w:r>
      <w:r/>
    </w:p>
    <w:p>
      <w:pPr>
        <w:pStyle w:val="1210"/>
        <w:numPr>
          <w:ilvl w:val="0"/>
          <w:numId w:val="3"/>
        </w:numPr>
        <w:ind w:left="0" w:firstLine="0"/>
        <w:spacing w:line="360" w:lineRule="auto"/>
        <w:rPr>
          <w:rFonts w:ascii="宋体" w:hAnsi="宋体"/>
          <w:szCs w:val="21"/>
        </w:rPr>
      </w:pPr>
      <w:r>
        <w:rPr>
          <w:rFonts w:hint="eastAsia" w:ascii="宋体" w:hAnsi="宋体"/>
          <w:szCs w:val="21"/>
        </w:rPr>
        <w:t xml:space="preserve">投标报价超过财政审批预算金额的，投标单位不得进入评标程序。</w:t>
      </w:r>
      <w:r>
        <w:rPr>
          <w:rFonts w:ascii="宋体" w:hAnsi="宋体"/>
          <w:szCs w:val="21"/>
        </w:rPr>
      </w:r>
      <w:r/>
    </w:p>
    <w:p>
      <w:pPr>
        <w:pStyle w:val="1210"/>
        <w:numPr>
          <w:ilvl w:val="0"/>
          <w:numId w:val="3"/>
        </w:numPr>
        <w:ind w:left="0" w:firstLine="0"/>
        <w:spacing w:line="360" w:lineRule="auto"/>
        <w:rPr>
          <w:rFonts w:ascii="宋体" w:hAnsi="宋体"/>
          <w:szCs w:val="21"/>
        </w:rPr>
      </w:pPr>
      <w:r>
        <w:rPr>
          <w:rFonts w:ascii="宋体" w:hAnsi="宋体"/>
          <w:szCs w:val="21"/>
        </w:rPr>
        <w:t xml:space="preserve">本项目由评委会经综合评标法确定</w:t>
      </w:r>
      <w:r>
        <w:rPr>
          <w:rFonts w:hint="eastAsia" w:ascii="宋体" w:hAnsi="宋体"/>
          <w:szCs w:val="21"/>
        </w:rPr>
        <w:t xml:space="preserve">中标</w:t>
      </w:r>
      <w:r>
        <w:rPr>
          <w:rFonts w:ascii="宋体" w:hAnsi="宋体"/>
          <w:szCs w:val="21"/>
        </w:rPr>
        <w:t xml:space="preserve">单位，最低的报价并不能成为</w:t>
      </w:r>
      <w:r>
        <w:rPr>
          <w:rFonts w:hint="eastAsia" w:ascii="宋体" w:hAnsi="宋体"/>
          <w:szCs w:val="21"/>
        </w:rPr>
        <w:t xml:space="preserve">中标</w:t>
      </w:r>
      <w:r>
        <w:rPr>
          <w:rFonts w:ascii="宋体" w:hAnsi="宋体"/>
          <w:szCs w:val="21"/>
        </w:rPr>
        <w:t xml:space="preserve">的唯一依据。</w:t>
      </w:r>
      <w:r/>
    </w:p>
    <w:p>
      <w:pPr>
        <w:pStyle w:val="1210"/>
        <w:ind w:firstLine="0"/>
        <w:jc w:val="right"/>
        <w:spacing w:line="360" w:lineRule="auto"/>
        <w:rPr>
          <w:rFonts w:ascii="宋体" w:hAnsi="宋体"/>
          <w:b/>
          <w:szCs w:val="21"/>
        </w:rPr>
      </w:pPr>
      <w:r>
        <w:rPr>
          <w:rFonts w:ascii="宋体" w:hAnsi="宋体"/>
          <w:b/>
          <w:szCs w:val="21"/>
        </w:rPr>
        <w:t xml:space="preserve">全文完</w:t>
      </w:r>
      <w:r/>
    </w:p>
    <w:sectPr>
      <w:headerReference w:type="default" r:id="rId9"/>
      <w:headerReference w:type="first" r:id="rId10"/>
      <w:footerReference w:type="default" r:id="rId11"/>
      <w:footerReference w:type="even" r:id="rId12"/>
      <w:footnotePr/>
      <w:endnotePr/>
      <w:type w:val="nextPage"/>
      <w:pgSz w:w="11906" w:h="16838" w:orient="portrait"/>
      <w:pgMar w:top="1247" w:right="1134" w:bottom="1021" w:left="1701"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华文新魏">
    <w:panose1 w:val="02010800040101010101"/>
  </w:font>
  <w:font w:name="方正黑体_GBK">
    <w:panose1 w:val="020B0503020202020204"/>
  </w:font>
  <w:font w:name="方正仿宋_GBK">
    <w:panose1 w:val="020B0503020202020204"/>
  </w:font>
  <w:font w:name="等线">
    <w:panose1 w:val="02010600030101010101"/>
  </w:font>
  <w:font w:name="文鼎粗黑">
    <w:panose1 w:val="020B0503020202020204"/>
  </w:font>
  <w:font w:name="隶书">
    <w:panose1 w:val="02010509060101010101"/>
  </w:font>
  <w:font w:name="Arial Unicode MS">
    <w:panose1 w:val="020B0604020202020204"/>
  </w:font>
  <w:font w:name="&amp;amp;#23435;&amp;amp;#20307;">
    <w:panose1 w:val="020B0503020202020204"/>
  </w:font>
  <w:font w:name="全真中明體">
    <w:panose1 w:val="020B0503020202020204"/>
  </w:font>
  <w:font w:name="Microsoft Sans Serif">
    <w:panose1 w:val="020B0604020202020204"/>
  </w:font>
  <w:font w:name="Courier New">
    <w:panose1 w:val="02070309020205020404"/>
  </w:font>
  <w:font w:name="方正仿宋简体">
    <w:panose1 w:val="020B0503020202020204"/>
  </w:font>
  <w:font w:name="Tahoma">
    <w:panose1 w:val="020B0604030504040204"/>
  </w:font>
  <w:font w:name="Calibri">
    <w:panose1 w:val="020F0502020204030204"/>
  </w:font>
  <w:font w:name="Futura Heavy">
    <w:panose1 w:val="020B0503020202020204"/>
  </w:font>
  <w:font w:name="方正大黑简体">
    <w:panose1 w:val="020B0503020202020204"/>
  </w:font>
  <w:font w:name="Cambria">
    <w:panose1 w:val="02040503050406030204"/>
  </w:font>
  <w:font w:name="华文中宋">
    <w:panose1 w:val="02010600040101010101"/>
  </w:font>
  <w:font w:name="Verdana">
    <w:panose1 w:val="020B0604030504040204"/>
  </w:font>
  <w:font w:name="仿宋_GB2312">
    <w:panose1 w:val="02010609060101010101"/>
  </w:font>
  <w:font w:name="幼圆">
    <w:panose1 w:val="02010509060101010101"/>
  </w:font>
  <w:font w:name="黑体">
    <w:panose1 w:val="02010609060101010101"/>
  </w:font>
  <w:font w:name="楷体_GB2312">
    <w:panose1 w:val="02010609060101010101"/>
  </w:font>
  <w:font w:name="ˎ̥">
    <w:panose1 w:val="020B0503020202020204"/>
  </w:font>
  <w:font w:name="Arial">
    <w:panose1 w:val="020B0604020202020204"/>
  </w:font>
  <w:font w:name="创艺简仿宋">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9"/>
      <w:jc w:val="center"/>
      <w:rPr>
        <w:rFonts w:ascii="宋体" w:hAnsi="宋体"/>
      </w:rPr>
    </w:pPr>
    <w:r>
      <w:rPr>
        <w:rFonts w:hint="eastAsia" w:ascii="宋体" w:hAnsi="宋体"/>
      </w:rPr>
      <w:t xml:space="preserve">第 </w:t>
    </w:r>
    <w:r>
      <w:rPr>
        <w:rFonts w:ascii="宋体" w:hAnsi="宋体"/>
      </w:rPr>
      <w:fldChar w:fldCharType="begin"/>
    </w:r>
    <w:r>
      <w:instrText xml:space="preserve"> PAGE </w:instrText>
    </w:r>
    <w:r>
      <w:rPr>
        <w:rFonts w:ascii="宋体" w:hAnsi="宋体"/>
      </w:rPr>
      <w:fldChar w:fldCharType="separate"/>
    </w:r>
    <w:r>
      <w:t xml:space="preserve">52</w:t>
    </w:r>
    <w:r>
      <w:rPr>
        <w:rFonts w:ascii="宋体" w:hAnsi="宋体"/>
      </w:rPr>
      <w:fldChar w:fldCharType="end"/>
    </w:r>
    <w:r>
      <w:rPr>
        <w:rFonts w:hint="eastAsia"/>
      </w:rPr>
      <w:t xml:space="preserve"> 页 共 </w:t>
    </w:r>
    <w:r>
      <w:rPr>
        <w:rFonts w:ascii="宋体" w:hAnsi="宋体"/>
      </w:rPr>
      <w:fldChar w:fldCharType="begin"/>
    </w:r>
    <w:r>
      <w:instrText xml:space="preserve"> NUMPAGES </w:instrText>
    </w:r>
    <w:r>
      <w:rPr>
        <w:rFonts w:ascii="宋体" w:hAnsi="宋体"/>
      </w:rPr>
      <w:fldChar w:fldCharType="separate"/>
    </w:r>
    <w:r>
      <w:t xml:space="preserve">54</w:t>
    </w:r>
    <w:r>
      <w:rPr>
        <w:rFonts w:ascii="宋体" w:hAnsi="宋体"/>
      </w:rPr>
      <w:fldChar w:fldCharType="end"/>
    </w:r>
    <w:r>
      <w:rPr>
        <w:rFonts w:hint="eastAsia"/>
      </w:rPr>
      <w:t xml:space="preserve"> 页</w:t>
    </w:r>
    <w:r>
      <w:rPr>
        <w:rFonts w:ascii="宋体" w:hAnsi="宋体"/>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9"/>
      <w:rPr>
        <w:rStyle w:val="972"/>
      </w:rPr>
      <w:framePr w:wrap="around" w:vAnchor="text" w:hAnchor="margin" w:xAlign="center" w:y="1"/>
    </w:pPr>
    <w:r>
      <w:fldChar w:fldCharType="begin"/>
    </w:r>
    <w:r>
      <w:rPr>
        <w:rStyle w:val="972"/>
      </w:rPr>
      <w:instrText xml:space="preserve">PAGE  </w:instrText>
    </w:r>
    <w:r>
      <w:fldChar w:fldCharType="separate"/>
    </w:r>
    <w:r>
      <w:rPr>
        <w:rStyle w:val="972"/>
      </w:rPr>
      <w:t xml:space="preserve">46</w:t>
    </w:r>
    <w:r>
      <w:fldChar w:fldCharType="end"/>
    </w:r>
    <w:r>
      <w:rPr>
        <w:rStyle w:val="972"/>
      </w:rPr>
    </w:r>
    <w:r/>
  </w:p>
  <w:p>
    <w:pPr>
      <w:pStyle w:val="939"/>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1"/>
      <w:rPr>
        <w:rFonts w:hint="eastAsia"/>
      </w:rPr>
    </w:pPr>
    <w:r>
      <w:rPr>
        <w:rFonts w:hint="eastAsia" w:ascii="宋体" w:hAnsi="宋体" w:eastAsia="宋体"/>
      </w:rPr>
      <w:t xml:space="preserve">苏州公正招标                                            项目编号：</w:t>
    </w:r>
    <w:r>
      <w:rPr>
        <w:rFonts w:hint="eastAsia" w:ascii="宋体" w:hAnsi="宋体"/>
        <w:color w:val="000000"/>
        <w:szCs w:val="21"/>
      </w:rPr>
      <w:t xml:space="preserve">JSZC-320583-SZGZ-G2025-0057</w:t>
    </w:r>
    <w:r>
      <w:rPr>
        <w:rFonts w:hint="eastAsia" w:ascii="宋体" w:hAnsi="宋体" w:eastAsia="宋体"/>
      </w:rPr>
      <w:t xml:space="preserve">号</w:t>
    </w:r>
    <w:r>
      <w:rPr>
        <w:rFonts w:hint="eastAsia"/>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1"/>
      <w:jc w:val="both"/>
    </w:pPr>
    <w:r>
      <w:rPr>
        <w:rFonts w:hint="eastAsia" w:ascii="宋体" w:hAnsi="宋体" w:eastAsia="宋体"/>
        <w:color w:val="000000"/>
        <w:szCs w:val="18"/>
      </w:rPr>
      <w:t xml:space="preserve">招标编号：</w:t>
    </w:r>
    <w:r>
      <w:rPr>
        <w:rFonts w:hint="eastAsia" w:ascii="宋体" w:hAnsi="宋体" w:eastAsia="宋体"/>
      </w:rPr>
      <w:t xml:space="preserve">SZZX2017-KS-G-014</w:t>
    </w:r>
    <w:r>
      <w:rPr>
        <w:rFonts w:hint="eastAsia" w:ascii="宋体" w:hAnsi="宋体" w:eastAsia="宋体"/>
        <w:color w:val="000000"/>
        <w:szCs w:val="18"/>
      </w:rPr>
      <w:t xml:space="preserve">             </w:t>
    </w:r>
    <w:r>
      <w:rPr>
        <w:rFonts w:hint="eastAsia" w:ascii="华文新魏" w:hAnsi="华文中宋" w:eastAsia="华文新魏"/>
      </w:rPr>
      <w:t xml:space="preserve">                                      </w:t>
    </w:r>
    <w:r>
      <w:rPr>
        <w:rFonts w:hint="eastAsia" w:ascii="宋体" w:hAnsi="宋体" w:eastAsia="宋体"/>
      </w:rPr>
      <w:t xml:space="preserve">苏州正信公开招标</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pStyle w:val="886"/>
        <w:ind w:left="425" w:hanging="425"/>
      </w:pPr>
      <w:rPr>
        <w:rFonts w:hint="eastAsia"/>
      </w:rPr>
    </w:lvl>
    <w:lvl w:ilvl="1">
      <w:start w:val="1"/>
      <w:numFmt w:val="decimal"/>
      <w:isLgl w:val="false"/>
      <w:suff w:val="tab"/>
      <w:lvlText w:val="%1.%2"/>
      <w:lvlJc w:val="left"/>
      <w:pPr>
        <w:pStyle w:val="886"/>
        <w:ind w:left="992" w:hanging="567"/>
      </w:pPr>
    </w:lvl>
    <w:lvl w:ilvl="2">
      <w:start w:val="1"/>
      <w:numFmt w:val="decimal"/>
      <w:isLgl w:val="false"/>
      <w:suff w:val="tab"/>
      <w:lvlText w:val="%1.%2.%3"/>
      <w:lvlJc w:val="left"/>
      <w:pPr>
        <w:pStyle w:val="886"/>
        <w:ind w:left="1418" w:hanging="567"/>
      </w:pPr>
    </w:lvl>
    <w:lvl w:ilvl="3">
      <w:start w:val="1"/>
      <w:numFmt w:val="decimal"/>
      <w:isLgl w:val="false"/>
      <w:suff w:val="tab"/>
      <w:lvlText w:val="%1.%2.%3.%4"/>
      <w:lvlJc w:val="left"/>
      <w:pPr>
        <w:pStyle w:val="886"/>
        <w:ind w:left="1984" w:hanging="708"/>
      </w:pPr>
    </w:lvl>
    <w:lvl w:ilvl="4">
      <w:start w:val="1"/>
      <w:numFmt w:val="decimal"/>
      <w:isLgl w:val="false"/>
      <w:suff w:val="tab"/>
      <w:lvlText w:val="%1.%2.%3.%4.%5"/>
      <w:lvlJc w:val="left"/>
      <w:pPr>
        <w:pStyle w:val="886"/>
        <w:ind w:left="2551" w:hanging="850"/>
      </w:pPr>
    </w:lvl>
    <w:lvl w:ilvl="5">
      <w:start w:val="1"/>
      <w:numFmt w:val="decimal"/>
      <w:isLgl w:val="false"/>
      <w:suff w:val="tab"/>
      <w:lvlText w:val="%1.%2.%3.%4.%5.%6"/>
      <w:lvlJc w:val="left"/>
      <w:pPr>
        <w:pStyle w:val="886"/>
        <w:ind w:left="3260" w:hanging="1134"/>
      </w:pPr>
    </w:lvl>
    <w:lvl w:ilvl="6">
      <w:start w:val="1"/>
      <w:numFmt w:val="decimal"/>
      <w:isLgl w:val="false"/>
      <w:suff w:val="tab"/>
      <w:lvlText w:val="%1.%2.%3.%4.%5.%6.%7"/>
      <w:lvlJc w:val="left"/>
      <w:pPr>
        <w:pStyle w:val="886"/>
        <w:ind w:left="3827" w:hanging="1276"/>
      </w:pPr>
    </w:lvl>
    <w:lvl w:ilvl="7">
      <w:start w:val="1"/>
      <w:numFmt w:val="decimal"/>
      <w:isLgl w:val="false"/>
      <w:suff w:val="tab"/>
      <w:lvlText w:val="%1.%2.%3.%4.%5.%6.%7.%8"/>
      <w:lvlJc w:val="left"/>
      <w:pPr>
        <w:pStyle w:val="886"/>
        <w:ind w:left="4394" w:hanging="1418"/>
      </w:pPr>
    </w:lvl>
    <w:lvl w:ilvl="8">
      <w:start w:val="1"/>
      <w:numFmt w:val="decimal"/>
      <w:isLgl w:val="false"/>
      <w:suff w:val="tab"/>
      <w:lvlText w:val="%1.%2.%3.%4.%5.%6.%7.%8.%9"/>
      <w:lvlJc w:val="left"/>
      <w:pPr>
        <w:pStyle w:val="886"/>
        <w:ind w:left="5102" w:hanging="1700"/>
      </w:pPr>
    </w:lvl>
  </w:abstractNum>
  <w:abstractNum w:abstractNumId="1">
    <w:multiLevelType w:val="hybridMultilevel"/>
    <w:lvl w:ilvl="0">
      <w:start w:val="1"/>
      <w:numFmt w:val="chineseCountingThousand"/>
      <w:isLgl w:val="false"/>
      <w:suff w:val="tab"/>
      <w:lvlText w:val="%1、"/>
      <w:lvlJc w:val="left"/>
      <w:pPr>
        <w:pStyle w:val="886"/>
        <w:ind w:left="844" w:hanging="420"/>
      </w:pPr>
    </w:lvl>
    <w:lvl w:ilvl="1">
      <w:start w:val="2"/>
      <w:numFmt w:val="decimal"/>
      <w:isLgl w:val="false"/>
      <w:suff w:val="tab"/>
      <w:lvlText w:val="%2、"/>
      <w:lvlJc w:val="left"/>
      <w:pPr>
        <w:pStyle w:val="886"/>
        <w:ind w:left="1204" w:hanging="360"/>
      </w:pPr>
    </w:lvl>
    <w:lvl w:ilvl="2">
      <w:start w:val="1"/>
      <w:numFmt w:val="lowerRoman"/>
      <w:isLgl w:val="false"/>
      <w:suff w:val="tab"/>
      <w:lvlText w:val="%3."/>
      <w:lvlJc w:val="right"/>
      <w:pPr>
        <w:pStyle w:val="886"/>
        <w:ind w:left="1684" w:hanging="420"/>
      </w:pPr>
    </w:lvl>
    <w:lvl w:ilvl="3">
      <w:start w:val="1"/>
      <w:numFmt w:val="decimal"/>
      <w:isLgl w:val="false"/>
      <w:suff w:val="tab"/>
      <w:lvlText w:val="%4."/>
      <w:lvlJc w:val="left"/>
      <w:pPr>
        <w:pStyle w:val="886"/>
        <w:ind w:left="2104" w:hanging="420"/>
      </w:pPr>
    </w:lvl>
    <w:lvl w:ilvl="4">
      <w:start w:val="1"/>
      <w:numFmt w:val="lowerLetter"/>
      <w:isLgl w:val="false"/>
      <w:suff w:val="tab"/>
      <w:lvlText w:val="%5)"/>
      <w:lvlJc w:val="left"/>
      <w:pPr>
        <w:pStyle w:val="886"/>
        <w:ind w:left="2524" w:hanging="420"/>
      </w:pPr>
    </w:lvl>
    <w:lvl w:ilvl="5">
      <w:start w:val="1"/>
      <w:numFmt w:val="lowerRoman"/>
      <w:isLgl w:val="false"/>
      <w:suff w:val="tab"/>
      <w:lvlText w:val="%6."/>
      <w:lvlJc w:val="right"/>
      <w:pPr>
        <w:pStyle w:val="886"/>
        <w:ind w:left="2944" w:hanging="420"/>
      </w:pPr>
    </w:lvl>
    <w:lvl w:ilvl="6">
      <w:start w:val="1"/>
      <w:numFmt w:val="decimal"/>
      <w:isLgl w:val="false"/>
      <w:suff w:val="tab"/>
      <w:lvlText w:val="%7."/>
      <w:lvlJc w:val="left"/>
      <w:pPr>
        <w:pStyle w:val="886"/>
        <w:ind w:left="3364" w:hanging="420"/>
      </w:pPr>
    </w:lvl>
    <w:lvl w:ilvl="7">
      <w:start w:val="1"/>
      <w:numFmt w:val="lowerLetter"/>
      <w:isLgl w:val="false"/>
      <w:suff w:val="tab"/>
      <w:lvlText w:val="%8)"/>
      <w:lvlJc w:val="left"/>
      <w:pPr>
        <w:pStyle w:val="886"/>
        <w:ind w:left="3784" w:hanging="420"/>
      </w:pPr>
    </w:lvl>
    <w:lvl w:ilvl="8">
      <w:start w:val="1"/>
      <w:numFmt w:val="lowerRoman"/>
      <w:isLgl w:val="false"/>
      <w:suff w:val="tab"/>
      <w:lvlText w:val="%9."/>
      <w:lvlJc w:val="right"/>
      <w:pPr>
        <w:pStyle w:val="886"/>
        <w:ind w:left="4204" w:hanging="420"/>
      </w:pPr>
    </w:lvl>
  </w:abstractNum>
  <w:abstractNum w:abstractNumId="2">
    <w:multiLevelType w:val="hybridMultilevel"/>
    <w:lvl w:ilvl="0">
      <w:start w:val="1"/>
      <w:numFmt w:val="decimal"/>
      <w:isLgl w:val="false"/>
      <w:suff w:val="tab"/>
      <w:lvlText w:val="%1."/>
      <w:lvlJc w:val="left"/>
      <w:pPr>
        <w:pStyle w:val="886"/>
        <w:ind w:left="360" w:hanging="360"/>
      </w:pPr>
    </w:lvl>
    <w:lvl w:ilvl="1">
      <w:start w:val="1"/>
      <w:numFmt w:val="lowerLetter"/>
      <w:isLgl w:val="false"/>
      <w:suff w:val="tab"/>
      <w:lvlText w:val="%2)"/>
      <w:lvlJc w:val="left"/>
      <w:pPr>
        <w:pStyle w:val="886"/>
        <w:ind w:left="840" w:hanging="420"/>
      </w:pPr>
    </w:lvl>
    <w:lvl w:ilvl="2">
      <w:start w:val="1"/>
      <w:numFmt w:val="lowerRoman"/>
      <w:isLgl w:val="false"/>
      <w:suff w:val="tab"/>
      <w:lvlText w:val="%3."/>
      <w:lvlJc w:val="right"/>
      <w:pPr>
        <w:pStyle w:val="886"/>
        <w:ind w:left="1260" w:hanging="420"/>
      </w:pPr>
    </w:lvl>
    <w:lvl w:ilvl="3">
      <w:start w:val="1"/>
      <w:numFmt w:val="decimal"/>
      <w:isLgl w:val="false"/>
      <w:suff w:val="tab"/>
      <w:lvlText w:val="%4."/>
      <w:lvlJc w:val="left"/>
      <w:pPr>
        <w:pStyle w:val="886"/>
        <w:ind w:left="1680" w:hanging="420"/>
      </w:pPr>
    </w:lvl>
    <w:lvl w:ilvl="4">
      <w:start w:val="1"/>
      <w:numFmt w:val="lowerLetter"/>
      <w:isLgl w:val="false"/>
      <w:suff w:val="tab"/>
      <w:lvlText w:val="%5)"/>
      <w:lvlJc w:val="left"/>
      <w:pPr>
        <w:pStyle w:val="886"/>
        <w:ind w:left="2100" w:hanging="420"/>
      </w:pPr>
    </w:lvl>
    <w:lvl w:ilvl="5">
      <w:start w:val="1"/>
      <w:numFmt w:val="lowerRoman"/>
      <w:isLgl w:val="false"/>
      <w:suff w:val="tab"/>
      <w:lvlText w:val="%6."/>
      <w:lvlJc w:val="right"/>
      <w:pPr>
        <w:pStyle w:val="886"/>
        <w:ind w:left="2520" w:hanging="420"/>
      </w:pPr>
    </w:lvl>
    <w:lvl w:ilvl="6">
      <w:start w:val="1"/>
      <w:numFmt w:val="decimal"/>
      <w:isLgl w:val="false"/>
      <w:suff w:val="tab"/>
      <w:lvlText w:val="%7."/>
      <w:lvlJc w:val="left"/>
      <w:pPr>
        <w:pStyle w:val="886"/>
        <w:ind w:left="2940" w:hanging="420"/>
      </w:pPr>
    </w:lvl>
    <w:lvl w:ilvl="7">
      <w:start w:val="1"/>
      <w:numFmt w:val="lowerLetter"/>
      <w:isLgl w:val="false"/>
      <w:suff w:val="tab"/>
      <w:lvlText w:val="%8)"/>
      <w:lvlJc w:val="left"/>
      <w:pPr>
        <w:pStyle w:val="886"/>
        <w:ind w:left="3360" w:hanging="420"/>
      </w:pPr>
    </w:lvl>
    <w:lvl w:ilvl="8">
      <w:start w:val="1"/>
      <w:numFmt w:val="lowerRoman"/>
      <w:isLgl w:val="false"/>
      <w:suff w:val="tab"/>
      <w:lvlText w:val="%9."/>
      <w:lvlJc w:val="right"/>
      <w:pPr>
        <w:pStyle w:val="886"/>
        <w:ind w:left="3780" w:hanging="42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09">
    <w:name w:val="Heading 1"/>
    <w:basedOn w:val="886"/>
    <w:next w:val="886"/>
    <w:link w:val="710"/>
    <w:uiPriority w:val="9"/>
    <w:qFormat/>
    <w:pPr>
      <w:keepLines/>
      <w:keepNext/>
      <w:spacing w:before="480" w:after="200"/>
      <w:outlineLvl w:val="0"/>
    </w:pPr>
    <w:rPr>
      <w:rFonts w:ascii="Arial" w:hAnsi="Arial" w:eastAsia="Arial" w:cs="Arial"/>
      <w:sz w:val="40"/>
      <w:szCs w:val="40"/>
    </w:rPr>
  </w:style>
  <w:style w:type="character" w:styleId="710">
    <w:name w:val="Heading 1 Char"/>
    <w:link w:val="709"/>
    <w:uiPriority w:val="9"/>
    <w:rPr>
      <w:rFonts w:ascii="Arial" w:hAnsi="Arial" w:eastAsia="Arial" w:cs="Arial"/>
      <w:sz w:val="40"/>
      <w:szCs w:val="40"/>
    </w:rPr>
  </w:style>
  <w:style w:type="paragraph" w:styleId="711">
    <w:name w:val="Heading 2"/>
    <w:basedOn w:val="886"/>
    <w:next w:val="886"/>
    <w:link w:val="712"/>
    <w:uiPriority w:val="9"/>
    <w:unhideWhenUsed/>
    <w:qFormat/>
    <w:pPr>
      <w:keepLines/>
      <w:keepNext/>
      <w:spacing w:before="360" w:after="200"/>
      <w:outlineLvl w:val="1"/>
    </w:pPr>
    <w:rPr>
      <w:rFonts w:ascii="Arial" w:hAnsi="Arial" w:eastAsia="Arial" w:cs="Arial"/>
      <w:sz w:val="34"/>
    </w:rPr>
  </w:style>
  <w:style w:type="character" w:styleId="712">
    <w:name w:val="Heading 2 Char"/>
    <w:link w:val="711"/>
    <w:uiPriority w:val="9"/>
    <w:rPr>
      <w:rFonts w:ascii="Arial" w:hAnsi="Arial" w:eastAsia="Arial" w:cs="Arial"/>
      <w:sz w:val="34"/>
    </w:rPr>
  </w:style>
  <w:style w:type="paragraph" w:styleId="713">
    <w:name w:val="Heading 3"/>
    <w:basedOn w:val="886"/>
    <w:next w:val="886"/>
    <w:link w:val="714"/>
    <w:uiPriority w:val="9"/>
    <w:unhideWhenUsed/>
    <w:qFormat/>
    <w:pPr>
      <w:keepLines/>
      <w:keepNext/>
      <w:spacing w:before="320" w:after="200"/>
      <w:outlineLvl w:val="2"/>
    </w:pPr>
    <w:rPr>
      <w:rFonts w:ascii="Arial" w:hAnsi="Arial" w:eastAsia="Arial" w:cs="Arial"/>
      <w:sz w:val="30"/>
      <w:szCs w:val="30"/>
    </w:rPr>
  </w:style>
  <w:style w:type="character" w:styleId="714">
    <w:name w:val="Heading 3 Char"/>
    <w:link w:val="713"/>
    <w:uiPriority w:val="9"/>
    <w:rPr>
      <w:rFonts w:ascii="Arial" w:hAnsi="Arial" w:eastAsia="Arial" w:cs="Arial"/>
      <w:sz w:val="30"/>
      <w:szCs w:val="30"/>
    </w:rPr>
  </w:style>
  <w:style w:type="paragraph" w:styleId="715">
    <w:name w:val="Heading 4"/>
    <w:basedOn w:val="886"/>
    <w:next w:val="886"/>
    <w:link w:val="716"/>
    <w:uiPriority w:val="9"/>
    <w:unhideWhenUsed/>
    <w:qFormat/>
    <w:pPr>
      <w:keepLines/>
      <w:keepNext/>
      <w:spacing w:before="320" w:after="200"/>
      <w:outlineLvl w:val="3"/>
    </w:pPr>
    <w:rPr>
      <w:rFonts w:ascii="Arial" w:hAnsi="Arial" w:eastAsia="Arial" w:cs="Arial"/>
      <w:b/>
      <w:bCs/>
      <w:sz w:val="26"/>
      <w:szCs w:val="26"/>
    </w:rPr>
  </w:style>
  <w:style w:type="character" w:styleId="716">
    <w:name w:val="Heading 4 Char"/>
    <w:link w:val="715"/>
    <w:uiPriority w:val="9"/>
    <w:rPr>
      <w:rFonts w:ascii="Arial" w:hAnsi="Arial" w:eastAsia="Arial" w:cs="Arial"/>
      <w:b/>
      <w:bCs/>
      <w:sz w:val="26"/>
      <w:szCs w:val="26"/>
    </w:rPr>
  </w:style>
  <w:style w:type="paragraph" w:styleId="717">
    <w:name w:val="Heading 5"/>
    <w:basedOn w:val="886"/>
    <w:next w:val="886"/>
    <w:link w:val="718"/>
    <w:uiPriority w:val="9"/>
    <w:unhideWhenUsed/>
    <w:qFormat/>
    <w:pPr>
      <w:keepLines/>
      <w:keepNext/>
      <w:spacing w:before="320" w:after="200"/>
      <w:outlineLvl w:val="4"/>
    </w:pPr>
    <w:rPr>
      <w:rFonts w:ascii="Arial" w:hAnsi="Arial" w:eastAsia="Arial" w:cs="Arial"/>
      <w:b/>
      <w:bCs/>
      <w:sz w:val="24"/>
      <w:szCs w:val="24"/>
    </w:rPr>
  </w:style>
  <w:style w:type="character" w:styleId="718">
    <w:name w:val="Heading 5 Char"/>
    <w:link w:val="717"/>
    <w:uiPriority w:val="9"/>
    <w:rPr>
      <w:rFonts w:ascii="Arial" w:hAnsi="Arial" w:eastAsia="Arial" w:cs="Arial"/>
      <w:b/>
      <w:bCs/>
      <w:sz w:val="24"/>
      <w:szCs w:val="24"/>
    </w:rPr>
  </w:style>
  <w:style w:type="paragraph" w:styleId="719">
    <w:name w:val="Heading 6"/>
    <w:basedOn w:val="886"/>
    <w:next w:val="886"/>
    <w:link w:val="720"/>
    <w:uiPriority w:val="9"/>
    <w:unhideWhenUsed/>
    <w:qFormat/>
    <w:pPr>
      <w:keepLines/>
      <w:keepNext/>
      <w:spacing w:before="320" w:after="200"/>
      <w:outlineLvl w:val="5"/>
    </w:pPr>
    <w:rPr>
      <w:rFonts w:ascii="Arial" w:hAnsi="Arial" w:eastAsia="Arial" w:cs="Arial"/>
      <w:b/>
      <w:bCs/>
      <w:sz w:val="22"/>
      <w:szCs w:val="22"/>
    </w:rPr>
  </w:style>
  <w:style w:type="character" w:styleId="720">
    <w:name w:val="Heading 6 Char"/>
    <w:link w:val="719"/>
    <w:uiPriority w:val="9"/>
    <w:rPr>
      <w:rFonts w:ascii="Arial" w:hAnsi="Arial" w:eastAsia="Arial" w:cs="Arial"/>
      <w:b/>
      <w:bCs/>
      <w:sz w:val="22"/>
      <w:szCs w:val="22"/>
    </w:rPr>
  </w:style>
  <w:style w:type="paragraph" w:styleId="721">
    <w:name w:val="Heading 7"/>
    <w:basedOn w:val="886"/>
    <w:next w:val="886"/>
    <w:link w:val="722"/>
    <w:uiPriority w:val="9"/>
    <w:unhideWhenUsed/>
    <w:qFormat/>
    <w:pPr>
      <w:keepLines/>
      <w:keepNext/>
      <w:spacing w:before="320" w:after="200"/>
      <w:outlineLvl w:val="6"/>
    </w:pPr>
    <w:rPr>
      <w:rFonts w:ascii="Arial" w:hAnsi="Arial" w:eastAsia="Arial" w:cs="Arial"/>
      <w:b/>
      <w:bCs/>
      <w:i/>
      <w:iCs/>
      <w:sz w:val="22"/>
      <w:szCs w:val="22"/>
    </w:rPr>
  </w:style>
  <w:style w:type="character" w:styleId="722">
    <w:name w:val="Heading 7 Char"/>
    <w:link w:val="721"/>
    <w:uiPriority w:val="9"/>
    <w:rPr>
      <w:rFonts w:ascii="Arial" w:hAnsi="Arial" w:eastAsia="Arial" w:cs="Arial"/>
      <w:b/>
      <w:bCs/>
      <w:i/>
      <w:iCs/>
      <w:sz w:val="22"/>
      <w:szCs w:val="22"/>
    </w:rPr>
  </w:style>
  <w:style w:type="paragraph" w:styleId="723">
    <w:name w:val="Heading 8"/>
    <w:basedOn w:val="886"/>
    <w:next w:val="886"/>
    <w:link w:val="724"/>
    <w:uiPriority w:val="9"/>
    <w:unhideWhenUsed/>
    <w:qFormat/>
    <w:pPr>
      <w:keepLines/>
      <w:keepNext/>
      <w:spacing w:before="320" w:after="200"/>
      <w:outlineLvl w:val="7"/>
    </w:pPr>
    <w:rPr>
      <w:rFonts w:ascii="Arial" w:hAnsi="Arial" w:eastAsia="Arial" w:cs="Arial"/>
      <w:i/>
      <w:iCs/>
      <w:sz w:val="22"/>
      <w:szCs w:val="22"/>
    </w:rPr>
  </w:style>
  <w:style w:type="character" w:styleId="724">
    <w:name w:val="Heading 8 Char"/>
    <w:link w:val="723"/>
    <w:uiPriority w:val="9"/>
    <w:rPr>
      <w:rFonts w:ascii="Arial" w:hAnsi="Arial" w:eastAsia="Arial" w:cs="Arial"/>
      <w:i/>
      <w:iCs/>
      <w:sz w:val="22"/>
      <w:szCs w:val="22"/>
    </w:rPr>
  </w:style>
  <w:style w:type="paragraph" w:styleId="725">
    <w:name w:val="Heading 9"/>
    <w:basedOn w:val="886"/>
    <w:next w:val="886"/>
    <w:link w:val="726"/>
    <w:uiPriority w:val="9"/>
    <w:unhideWhenUsed/>
    <w:qFormat/>
    <w:pPr>
      <w:keepLines/>
      <w:keepNext/>
      <w:spacing w:before="320" w:after="200"/>
      <w:outlineLvl w:val="8"/>
    </w:pPr>
    <w:rPr>
      <w:rFonts w:ascii="Arial" w:hAnsi="Arial" w:eastAsia="Arial" w:cs="Arial"/>
      <w:i/>
      <w:iCs/>
      <w:sz w:val="21"/>
      <w:szCs w:val="21"/>
    </w:rPr>
  </w:style>
  <w:style w:type="character" w:styleId="726">
    <w:name w:val="Heading 9 Char"/>
    <w:link w:val="725"/>
    <w:uiPriority w:val="9"/>
    <w:rPr>
      <w:rFonts w:ascii="Arial" w:hAnsi="Arial" w:eastAsia="Arial" w:cs="Arial"/>
      <w:i/>
      <w:iCs/>
      <w:sz w:val="21"/>
      <w:szCs w:val="21"/>
    </w:rPr>
  </w:style>
  <w:style w:type="paragraph" w:styleId="727">
    <w:name w:val="No Spacing"/>
    <w:uiPriority w:val="1"/>
    <w:qFormat/>
    <w:pPr>
      <w:spacing w:before="0" w:after="0" w:line="240" w:lineRule="auto"/>
    </w:pPr>
  </w:style>
  <w:style w:type="paragraph" w:styleId="728">
    <w:name w:val="Title"/>
    <w:basedOn w:val="886"/>
    <w:next w:val="886"/>
    <w:link w:val="729"/>
    <w:uiPriority w:val="10"/>
    <w:qFormat/>
    <w:pPr>
      <w:contextualSpacing/>
      <w:spacing w:before="300" w:after="200"/>
    </w:pPr>
    <w:rPr>
      <w:sz w:val="48"/>
      <w:szCs w:val="48"/>
    </w:rPr>
  </w:style>
  <w:style w:type="character" w:styleId="729">
    <w:name w:val="Title Char"/>
    <w:link w:val="728"/>
    <w:uiPriority w:val="10"/>
    <w:rPr>
      <w:sz w:val="48"/>
      <w:szCs w:val="48"/>
    </w:rPr>
  </w:style>
  <w:style w:type="paragraph" w:styleId="730">
    <w:name w:val="Subtitle"/>
    <w:basedOn w:val="886"/>
    <w:next w:val="886"/>
    <w:link w:val="731"/>
    <w:uiPriority w:val="11"/>
    <w:qFormat/>
    <w:pPr>
      <w:spacing w:before="200" w:after="200"/>
    </w:pPr>
    <w:rPr>
      <w:sz w:val="24"/>
      <w:szCs w:val="24"/>
    </w:rPr>
  </w:style>
  <w:style w:type="character" w:styleId="731">
    <w:name w:val="Subtitle Char"/>
    <w:link w:val="730"/>
    <w:uiPriority w:val="11"/>
    <w:rPr>
      <w:sz w:val="24"/>
      <w:szCs w:val="24"/>
    </w:rPr>
  </w:style>
  <w:style w:type="paragraph" w:styleId="732">
    <w:name w:val="Quote"/>
    <w:basedOn w:val="886"/>
    <w:next w:val="886"/>
    <w:link w:val="733"/>
    <w:uiPriority w:val="29"/>
    <w:qFormat/>
    <w:pPr>
      <w:ind w:left="720" w:right="720"/>
    </w:pPr>
    <w:rPr>
      <w:i/>
    </w:rPr>
  </w:style>
  <w:style w:type="character" w:styleId="733">
    <w:name w:val="Quote Char"/>
    <w:link w:val="732"/>
    <w:uiPriority w:val="29"/>
    <w:rPr>
      <w:i/>
    </w:rPr>
  </w:style>
  <w:style w:type="paragraph" w:styleId="734">
    <w:name w:val="Intense Quote"/>
    <w:basedOn w:val="886"/>
    <w:next w:val="886"/>
    <w:link w:val="735"/>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35">
    <w:name w:val="Intense Quote Char"/>
    <w:link w:val="734"/>
    <w:uiPriority w:val="30"/>
    <w:rPr>
      <w:i/>
    </w:rPr>
  </w:style>
  <w:style w:type="paragraph" w:styleId="736">
    <w:name w:val="Header"/>
    <w:basedOn w:val="886"/>
    <w:link w:val="737"/>
    <w:uiPriority w:val="99"/>
    <w:unhideWhenUsed/>
    <w:pPr>
      <w:spacing w:after="0" w:line="240" w:lineRule="auto"/>
      <w:tabs>
        <w:tab w:val="center" w:pos="7143" w:leader="none"/>
        <w:tab w:val="right" w:pos="14287" w:leader="none"/>
      </w:tabs>
    </w:pPr>
  </w:style>
  <w:style w:type="character" w:styleId="737">
    <w:name w:val="Header Char"/>
    <w:link w:val="736"/>
    <w:uiPriority w:val="99"/>
  </w:style>
  <w:style w:type="paragraph" w:styleId="738">
    <w:name w:val="Footer"/>
    <w:basedOn w:val="886"/>
    <w:link w:val="741"/>
    <w:uiPriority w:val="99"/>
    <w:unhideWhenUsed/>
    <w:pPr>
      <w:spacing w:after="0" w:line="240" w:lineRule="auto"/>
      <w:tabs>
        <w:tab w:val="center" w:pos="7143" w:leader="none"/>
        <w:tab w:val="right" w:pos="14287" w:leader="none"/>
      </w:tabs>
    </w:pPr>
  </w:style>
  <w:style w:type="character" w:styleId="739">
    <w:name w:val="Footer Char"/>
    <w:link w:val="738"/>
    <w:uiPriority w:val="99"/>
  </w:style>
  <w:style w:type="paragraph" w:styleId="740">
    <w:name w:val="Caption"/>
    <w:basedOn w:val="886"/>
    <w:next w:val="886"/>
    <w:uiPriority w:val="35"/>
    <w:semiHidden/>
    <w:unhideWhenUsed/>
    <w:qFormat/>
    <w:pPr>
      <w:spacing w:line="276" w:lineRule="auto"/>
    </w:pPr>
    <w:rPr>
      <w:b/>
      <w:bCs/>
      <w:color w:val="4f81bd" w:themeColor="accent1"/>
      <w:sz w:val="18"/>
      <w:szCs w:val="18"/>
    </w:rPr>
  </w:style>
  <w:style w:type="character" w:styleId="741">
    <w:name w:val="Caption Char"/>
    <w:basedOn w:val="740"/>
    <w:link w:val="738"/>
    <w:uiPriority w:val="99"/>
  </w:style>
  <w:style w:type="table" w:styleId="742">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43">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44">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45">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46">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47">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48">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49">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50">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51">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52">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53">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54">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55">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56">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57">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58">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59">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60">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61">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62">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63">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4">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5">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6">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7">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8">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9">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0">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71">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2">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73">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74">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75">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76">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77">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78">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79">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80">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81">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82">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83">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84">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85">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86">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87">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88">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89">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90">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91">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92">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93">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94">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95">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96">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97">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98">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99">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00">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01">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02">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03">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04">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05">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06">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07">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08">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09">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10">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11">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12">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13">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14">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15">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16">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17">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18">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19">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20">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21">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22">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23">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24">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25">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26">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7">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8">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9">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0">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1">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2">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3">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34">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35">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36">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37">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38">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39">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40">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41">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42">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43">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44">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45">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46">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47">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48">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49">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50">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51">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52">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53">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54">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55">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56">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57">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58">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59">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60">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61">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62">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63">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64">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65">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66">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67">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68">
    <w:name w:val="Hyperlink"/>
    <w:uiPriority w:val="99"/>
    <w:unhideWhenUsed/>
    <w:rPr>
      <w:color w:val="0000ff" w:themeColor="hyperlink"/>
      <w:u w:val="single"/>
    </w:rPr>
  </w:style>
  <w:style w:type="paragraph" w:styleId="869">
    <w:name w:val="footnote text"/>
    <w:basedOn w:val="886"/>
    <w:link w:val="870"/>
    <w:uiPriority w:val="99"/>
    <w:semiHidden/>
    <w:unhideWhenUsed/>
    <w:pPr>
      <w:spacing w:after="40" w:line="240" w:lineRule="auto"/>
    </w:pPr>
    <w:rPr>
      <w:sz w:val="18"/>
    </w:rPr>
  </w:style>
  <w:style w:type="character" w:styleId="870">
    <w:name w:val="Footnote Text Char"/>
    <w:link w:val="869"/>
    <w:uiPriority w:val="99"/>
    <w:rPr>
      <w:sz w:val="18"/>
    </w:rPr>
  </w:style>
  <w:style w:type="character" w:styleId="871">
    <w:name w:val="footnote reference"/>
    <w:uiPriority w:val="99"/>
    <w:unhideWhenUsed/>
    <w:rPr>
      <w:vertAlign w:val="superscript"/>
    </w:rPr>
  </w:style>
  <w:style w:type="paragraph" w:styleId="872">
    <w:name w:val="endnote text"/>
    <w:basedOn w:val="886"/>
    <w:link w:val="873"/>
    <w:uiPriority w:val="99"/>
    <w:semiHidden/>
    <w:unhideWhenUsed/>
    <w:pPr>
      <w:spacing w:after="0" w:line="240" w:lineRule="auto"/>
    </w:pPr>
    <w:rPr>
      <w:sz w:val="20"/>
    </w:rPr>
  </w:style>
  <w:style w:type="character" w:styleId="873">
    <w:name w:val="Endnote Text Char"/>
    <w:link w:val="872"/>
    <w:uiPriority w:val="99"/>
    <w:rPr>
      <w:sz w:val="20"/>
    </w:rPr>
  </w:style>
  <w:style w:type="character" w:styleId="874">
    <w:name w:val="endnote reference"/>
    <w:uiPriority w:val="99"/>
    <w:semiHidden/>
    <w:unhideWhenUsed/>
    <w:rPr>
      <w:vertAlign w:val="superscript"/>
    </w:rPr>
  </w:style>
  <w:style w:type="paragraph" w:styleId="875">
    <w:name w:val="toc 1"/>
    <w:basedOn w:val="886"/>
    <w:next w:val="886"/>
    <w:uiPriority w:val="39"/>
    <w:unhideWhenUsed/>
    <w:pPr>
      <w:ind w:left="0" w:right="0" w:firstLine="0"/>
      <w:spacing w:after="57"/>
    </w:pPr>
  </w:style>
  <w:style w:type="paragraph" w:styleId="876">
    <w:name w:val="toc 2"/>
    <w:basedOn w:val="886"/>
    <w:next w:val="886"/>
    <w:uiPriority w:val="39"/>
    <w:unhideWhenUsed/>
    <w:pPr>
      <w:ind w:left="283" w:right="0" w:firstLine="0"/>
      <w:spacing w:after="57"/>
    </w:pPr>
  </w:style>
  <w:style w:type="paragraph" w:styleId="877">
    <w:name w:val="toc 3"/>
    <w:basedOn w:val="886"/>
    <w:next w:val="886"/>
    <w:uiPriority w:val="39"/>
    <w:unhideWhenUsed/>
    <w:pPr>
      <w:ind w:left="567" w:right="0" w:firstLine="0"/>
      <w:spacing w:after="57"/>
    </w:pPr>
  </w:style>
  <w:style w:type="paragraph" w:styleId="878">
    <w:name w:val="toc 4"/>
    <w:basedOn w:val="886"/>
    <w:next w:val="886"/>
    <w:uiPriority w:val="39"/>
    <w:unhideWhenUsed/>
    <w:pPr>
      <w:ind w:left="850" w:right="0" w:firstLine="0"/>
      <w:spacing w:after="57"/>
    </w:pPr>
  </w:style>
  <w:style w:type="paragraph" w:styleId="879">
    <w:name w:val="toc 5"/>
    <w:basedOn w:val="886"/>
    <w:next w:val="886"/>
    <w:uiPriority w:val="39"/>
    <w:unhideWhenUsed/>
    <w:pPr>
      <w:ind w:left="1134" w:right="0" w:firstLine="0"/>
      <w:spacing w:after="57"/>
    </w:pPr>
  </w:style>
  <w:style w:type="paragraph" w:styleId="880">
    <w:name w:val="toc 6"/>
    <w:basedOn w:val="886"/>
    <w:next w:val="886"/>
    <w:uiPriority w:val="39"/>
    <w:unhideWhenUsed/>
    <w:pPr>
      <w:ind w:left="1417" w:right="0" w:firstLine="0"/>
      <w:spacing w:after="57"/>
    </w:pPr>
  </w:style>
  <w:style w:type="paragraph" w:styleId="881">
    <w:name w:val="toc 7"/>
    <w:basedOn w:val="886"/>
    <w:next w:val="886"/>
    <w:uiPriority w:val="39"/>
    <w:unhideWhenUsed/>
    <w:pPr>
      <w:ind w:left="1701" w:right="0" w:firstLine="0"/>
      <w:spacing w:after="57"/>
    </w:pPr>
  </w:style>
  <w:style w:type="paragraph" w:styleId="882">
    <w:name w:val="toc 8"/>
    <w:basedOn w:val="886"/>
    <w:next w:val="886"/>
    <w:uiPriority w:val="39"/>
    <w:unhideWhenUsed/>
    <w:pPr>
      <w:ind w:left="1984" w:right="0" w:firstLine="0"/>
      <w:spacing w:after="57"/>
    </w:pPr>
  </w:style>
  <w:style w:type="paragraph" w:styleId="883">
    <w:name w:val="toc 9"/>
    <w:basedOn w:val="886"/>
    <w:next w:val="886"/>
    <w:uiPriority w:val="39"/>
    <w:unhideWhenUsed/>
    <w:pPr>
      <w:ind w:left="2268" w:right="0" w:firstLine="0"/>
      <w:spacing w:after="57"/>
    </w:pPr>
  </w:style>
  <w:style w:type="paragraph" w:styleId="884">
    <w:name w:val="TOC Heading"/>
    <w:uiPriority w:val="39"/>
    <w:unhideWhenUsed/>
  </w:style>
  <w:style w:type="paragraph" w:styleId="885">
    <w:name w:val="table of figures"/>
    <w:basedOn w:val="886"/>
    <w:next w:val="886"/>
    <w:uiPriority w:val="99"/>
    <w:unhideWhenUsed/>
    <w:pPr>
      <w:spacing w:after="0" w:afterAutospacing="0"/>
    </w:pPr>
  </w:style>
  <w:style w:type="paragraph" w:styleId="886" w:default="1">
    <w:name w:val="Normal"/>
    <w:next w:val="886"/>
    <w:link w:val="886"/>
    <w:qFormat/>
    <w:pPr>
      <w:jc w:val="both"/>
      <w:widowControl w:val="off"/>
    </w:pPr>
    <w:rPr>
      <w:sz w:val="21"/>
      <w:szCs w:val="24"/>
      <w:lang w:val="en-US" w:eastAsia="zh-CN" w:bidi="ar-SA"/>
    </w:rPr>
  </w:style>
  <w:style w:type="paragraph" w:styleId="887">
    <w:name w:val="标题 1"/>
    <w:basedOn w:val="886"/>
    <w:next w:val="886"/>
    <w:link w:val="899"/>
    <w:qFormat/>
    <w:pPr>
      <w:keepLines/>
      <w:keepNext/>
      <w:spacing w:before="340" w:after="330" w:line="576" w:lineRule="auto"/>
      <w:outlineLvl w:val="0"/>
    </w:pPr>
    <w:rPr>
      <w:rFonts w:eastAsia="楷体_GB2312"/>
      <w:b/>
      <w:sz w:val="44"/>
      <w:szCs w:val="20"/>
    </w:rPr>
  </w:style>
  <w:style w:type="paragraph" w:styleId="888">
    <w:name w:val="标题 2"/>
    <w:basedOn w:val="886"/>
    <w:next w:val="886"/>
    <w:link w:val="900"/>
    <w:qFormat/>
    <w:pPr>
      <w:keepLines/>
      <w:keepNext/>
      <w:spacing w:before="260" w:after="260" w:line="413" w:lineRule="auto"/>
      <w:outlineLvl w:val="1"/>
    </w:pPr>
    <w:rPr>
      <w:rFonts w:ascii="Arial" w:hAnsi="Arial" w:eastAsia="黑体"/>
      <w:b/>
      <w:bCs/>
      <w:sz w:val="32"/>
      <w:szCs w:val="32"/>
    </w:rPr>
  </w:style>
  <w:style w:type="paragraph" w:styleId="889">
    <w:name w:val="标题 3"/>
    <w:basedOn w:val="886"/>
    <w:next w:val="886"/>
    <w:link w:val="901"/>
    <w:qFormat/>
    <w:pPr>
      <w:keepLines/>
      <w:keepNext/>
      <w:spacing w:before="260" w:after="260" w:line="413" w:lineRule="auto"/>
      <w:outlineLvl w:val="2"/>
    </w:pPr>
    <w:rPr>
      <w:b/>
      <w:bCs/>
      <w:sz w:val="32"/>
      <w:szCs w:val="32"/>
    </w:rPr>
  </w:style>
  <w:style w:type="paragraph" w:styleId="890">
    <w:name w:val="标题 4"/>
    <w:basedOn w:val="886"/>
    <w:next w:val="886"/>
    <w:link w:val="902"/>
    <w:qFormat/>
    <w:pPr>
      <w:keepLines/>
      <w:keepNext/>
      <w:spacing w:before="280" w:after="290" w:line="376" w:lineRule="auto"/>
      <w:outlineLvl w:val="3"/>
    </w:pPr>
    <w:rPr>
      <w:rFonts w:ascii="Cambria" w:hAnsi="Cambria"/>
      <w:b/>
      <w:bCs/>
      <w:sz w:val="28"/>
      <w:szCs w:val="28"/>
    </w:rPr>
  </w:style>
  <w:style w:type="paragraph" w:styleId="891">
    <w:name w:val="标题 5"/>
    <w:basedOn w:val="886"/>
    <w:next w:val="886"/>
    <w:link w:val="903"/>
    <w:qFormat/>
    <w:pPr>
      <w:keepLines/>
      <w:keepNext/>
      <w:spacing w:before="280" w:after="290" w:line="376" w:lineRule="auto"/>
      <w:outlineLvl w:val="4"/>
    </w:pPr>
    <w:rPr>
      <w:rFonts w:ascii="Calibri" w:hAnsi="Calibri"/>
      <w:b/>
      <w:bCs/>
      <w:sz w:val="28"/>
      <w:szCs w:val="28"/>
    </w:rPr>
  </w:style>
  <w:style w:type="paragraph" w:styleId="892">
    <w:name w:val="标题 6"/>
    <w:basedOn w:val="886"/>
    <w:next w:val="886"/>
    <w:link w:val="904"/>
    <w:qFormat/>
    <w:pPr>
      <w:ind w:left="284" w:firstLine="1134"/>
      <w:keepLines/>
      <w:keepNext/>
      <w:tabs>
        <w:tab w:val="left" w:pos="3578" w:leader="none"/>
      </w:tabs>
      <w:outlineLvl w:val="5"/>
    </w:pPr>
    <w:rPr>
      <w:rFonts w:ascii="宋体" w:hAnsi="宋体"/>
      <w:b/>
      <w:bCs/>
      <w:sz w:val="30"/>
    </w:rPr>
  </w:style>
  <w:style w:type="paragraph" w:styleId="893">
    <w:name w:val="标题 7"/>
    <w:basedOn w:val="886"/>
    <w:next w:val="906"/>
    <w:link w:val="905"/>
    <w:qFormat/>
    <w:pPr>
      <w:keepLines/>
      <w:keepNext/>
      <w:spacing w:before="240" w:after="64" w:line="320" w:lineRule="auto"/>
      <w:outlineLvl w:val="6"/>
    </w:pPr>
    <w:rPr>
      <w:b/>
      <w:sz w:val="24"/>
      <w:szCs w:val="20"/>
    </w:rPr>
  </w:style>
  <w:style w:type="paragraph" w:styleId="894">
    <w:name w:val="标题 8"/>
    <w:basedOn w:val="886"/>
    <w:next w:val="906"/>
    <w:link w:val="908"/>
    <w:qFormat/>
    <w:pPr>
      <w:keepLines/>
      <w:keepNext/>
      <w:spacing w:before="240" w:after="64" w:line="320" w:lineRule="auto"/>
      <w:outlineLvl w:val="7"/>
    </w:pPr>
    <w:rPr>
      <w:rFonts w:ascii="Arial" w:hAnsi="Arial" w:eastAsia="黑体"/>
      <w:sz w:val="24"/>
      <w:szCs w:val="20"/>
    </w:rPr>
  </w:style>
  <w:style w:type="paragraph" w:styleId="895">
    <w:name w:val="标题 9"/>
    <w:basedOn w:val="886"/>
    <w:next w:val="906"/>
    <w:link w:val="909"/>
    <w:qFormat/>
    <w:pPr>
      <w:ind w:left="1584" w:hanging="1584"/>
      <w:keepLines/>
      <w:keepNext/>
      <w:spacing w:before="240" w:after="64" w:line="320" w:lineRule="auto"/>
      <w:tabs>
        <w:tab w:val="left" w:pos="1584" w:leader="none"/>
      </w:tabs>
      <w:outlineLvl w:val="8"/>
    </w:pPr>
    <w:rPr>
      <w:rFonts w:ascii="Arial" w:hAnsi="Arial" w:eastAsia="黑体"/>
      <w:szCs w:val="20"/>
    </w:rPr>
  </w:style>
  <w:style w:type="character" w:styleId="896">
    <w:name w:val="默认段落字体"/>
    <w:next w:val="896"/>
    <w:link w:val="886"/>
    <w:uiPriority w:val="1"/>
    <w:unhideWhenUsed/>
  </w:style>
  <w:style w:type="table" w:styleId="897">
    <w:name w:val="普通表格"/>
    <w:next w:val="897"/>
    <w:link w:val="886"/>
    <w:uiPriority w:val="99"/>
    <w:unhideWhenUsed/>
    <w:qFormat/>
    <w:pPr>
      <w:ind w:left="0" w:right="0"/>
      <w:keepLines w:val="0"/>
      <w:keepNext w:val="0"/>
      <w:spacing w:before="0" w:beforeAutospacing="0" w:after="0" w:afterAutospacing="0"/>
      <w:widowControl/>
      <w:suppressLineNumbers w:val="0"/>
    </w:pPr>
    <w:rPr>
      <w:rFonts w:ascii="Times New Roman" w:hAnsi="Times New Roman" w:cs="Times New Roman"/>
      <w:sz w:val="20"/>
      <w:szCs w:val="20"/>
    </w:rPr>
    <w:tblPr/>
  </w:style>
  <w:style w:type="numbering" w:styleId="898">
    <w:name w:val="无列表"/>
    <w:next w:val="898"/>
    <w:link w:val="886"/>
    <w:uiPriority w:val="99"/>
    <w:semiHidden/>
    <w:unhideWhenUsed/>
  </w:style>
  <w:style w:type="character" w:styleId="899">
    <w:name w:val="标题 1 Char2"/>
    <w:next w:val="899"/>
    <w:link w:val="887"/>
    <w:rPr>
      <w:rFonts w:eastAsia="楷体_GB2312"/>
      <w:b/>
      <w:sz w:val="44"/>
      <w:lang w:val="en-US" w:eastAsia="zh-CN" w:bidi="ar-SA"/>
    </w:rPr>
  </w:style>
  <w:style w:type="character" w:styleId="900">
    <w:name w:val="标题 2 Char"/>
    <w:next w:val="900"/>
    <w:link w:val="888"/>
    <w:rPr>
      <w:rFonts w:ascii="Arial" w:hAnsi="Arial" w:eastAsia="黑体"/>
      <w:b/>
      <w:bCs/>
      <w:sz w:val="32"/>
      <w:szCs w:val="32"/>
      <w:lang w:val="en-US" w:eastAsia="zh-CN" w:bidi="ar-SA"/>
    </w:rPr>
  </w:style>
  <w:style w:type="character" w:styleId="901">
    <w:name w:val="标题 3 Char"/>
    <w:next w:val="901"/>
    <w:link w:val="889"/>
    <w:rPr>
      <w:rFonts w:eastAsia="宋体"/>
      <w:b/>
      <w:bCs/>
      <w:sz w:val="32"/>
      <w:szCs w:val="32"/>
      <w:lang w:val="en-US" w:eastAsia="zh-CN" w:bidi="ar-SA"/>
    </w:rPr>
  </w:style>
  <w:style w:type="character" w:styleId="902">
    <w:name w:val="标题 4 Char"/>
    <w:next w:val="902"/>
    <w:link w:val="890"/>
    <w:rPr>
      <w:rFonts w:ascii="Cambria" w:hAnsi="Cambria" w:eastAsia="宋体"/>
      <w:b/>
      <w:bCs/>
      <w:sz w:val="28"/>
      <w:szCs w:val="28"/>
      <w:lang w:val="en-US" w:eastAsia="zh-CN" w:bidi="ar-SA"/>
    </w:rPr>
  </w:style>
  <w:style w:type="character" w:styleId="903">
    <w:name w:val="标题 5 Char"/>
    <w:next w:val="903"/>
    <w:link w:val="891"/>
    <w:rPr>
      <w:rFonts w:ascii="Calibri" w:hAnsi="Calibri"/>
      <w:b/>
      <w:bCs/>
      <w:sz w:val="28"/>
      <w:szCs w:val="28"/>
    </w:rPr>
  </w:style>
  <w:style w:type="character" w:styleId="904">
    <w:name w:val="标题 6 Char"/>
    <w:next w:val="904"/>
    <w:link w:val="892"/>
    <w:rPr>
      <w:rFonts w:ascii="宋体" w:hAnsi="宋体"/>
      <w:b/>
      <w:bCs/>
      <w:sz w:val="30"/>
      <w:szCs w:val="24"/>
    </w:rPr>
  </w:style>
  <w:style w:type="character" w:styleId="905">
    <w:name w:val="标题 7 Char"/>
    <w:next w:val="905"/>
    <w:link w:val="893"/>
    <w:rPr>
      <w:b/>
      <w:sz w:val="24"/>
    </w:rPr>
  </w:style>
  <w:style w:type="paragraph" w:styleId="906">
    <w:name w:val="正文缩进"/>
    <w:basedOn w:val="886"/>
    <w:next w:val="906"/>
    <w:link w:val="907"/>
    <w:qFormat/>
    <w:pPr>
      <w:ind w:firstLine="420"/>
      <w:jc w:val="left"/>
    </w:pPr>
    <w:rPr>
      <w:rFonts w:eastAsia="楷体_GB2312"/>
      <w:sz w:val="24"/>
      <w:szCs w:val="20"/>
    </w:rPr>
  </w:style>
  <w:style w:type="character" w:styleId="907">
    <w:name w:val="正文缩进 Char2"/>
    <w:next w:val="907"/>
    <w:link w:val="906"/>
    <w:qFormat/>
    <w:rPr>
      <w:rFonts w:eastAsia="楷体_GB2312"/>
      <w:sz w:val="24"/>
      <w:lang w:val="en-US" w:eastAsia="zh-CN" w:bidi="ar-SA"/>
    </w:rPr>
  </w:style>
  <w:style w:type="character" w:styleId="908">
    <w:name w:val="标题 8 Char"/>
    <w:next w:val="908"/>
    <w:link w:val="894"/>
    <w:rPr>
      <w:rFonts w:ascii="Arial" w:hAnsi="Arial" w:eastAsia="黑体"/>
      <w:sz w:val="24"/>
    </w:rPr>
  </w:style>
  <w:style w:type="character" w:styleId="909">
    <w:name w:val="标题 9 Char"/>
    <w:next w:val="909"/>
    <w:link w:val="895"/>
    <w:rPr>
      <w:rFonts w:ascii="Arial" w:hAnsi="Arial" w:eastAsia="黑体"/>
      <w:sz w:val="21"/>
    </w:rPr>
  </w:style>
  <w:style w:type="paragraph" w:styleId="910">
    <w:name w:val="列表 3"/>
    <w:basedOn w:val="886"/>
    <w:next w:val="910"/>
    <w:link w:val="886"/>
    <w:pPr>
      <w:ind w:left="1260" w:hanging="420"/>
    </w:pPr>
    <w:rPr>
      <w:szCs w:val="20"/>
    </w:rPr>
  </w:style>
  <w:style w:type="paragraph" w:styleId="911">
    <w:name w:val="目录 7"/>
    <w:basedOn w:val="886"/>
    <w:next w:val="886"/>
    <w:link w:val="886"/>
    <w:unhideWhenUsed/>
    <w:pPr>
      <w:ind w:left="2520"/>
    </w:pPr>
    <w:rPr>
      <w:rFonts w:ascii="Calibri" w:hAnsi="Calibri"/>
      <w:szCs w:val="22"/>
    </w:rPr>
  </w:style>
  <w:style w:type="paragraph" w:styleId="912">
    <w:name w:val="列表编号 2"/>
    <w:basedOn w:val="886"/>
    <w:next w:val="912"/>
    <w:link w:val="886"/>
    <w:pPr>
      <w:ind w:left="780" w:hanging="360"/>
      <w:keepNext/>
      <w:spacing w:line="360" w:lineRule="auto"/>
      <w:tabs>
        <w:tab w:val="left" w:pos="780" w:leader="none"/>
      </w:tabs>
    </w:pPr>
    <w:rPr>
      <w:rFonts w:ascii="Arial" w:hAnsi="Arial"/>
      <w:sz w:val="24"/>
      <w:szCs w:val="20"/>
    </w:rPr>
  </w:style>
  <w:style w:type="paragraph" w:styleId="913">
    <w:name w:val="列表编号"/>
    <w:basedOn w:val="886"/>
    <w:next w:val="913"/>
    <w:link w:val="886"/>
    <w:pPr>
      <w:ind w:left="960" w:hanging="960"/>
      <w:spacing w:line="360" w:lineRule="auto"/>
      <w:tabs>
        <w:tab w:val="left" w:pos="960" w:leader="none"/>
      </w:tabs>
    </w:pPr>
    <w:rPr>
      <w:color w:val="000000"/>
      <w:sz w:val="28"/>
      <w:szCs w:val="20"/>
    </w:rPr>
  </w:style>
  <w:style w:type="paragraph" w:styleId="914">
    <w:name w:val="题注"/>
    <w:basedOn w:val="886"/>
    <w:next w:val="886"/>
    <w:link w:val="886"/>
    <w:qFormat/>
    <w:pPr>
      <w:spacing w:before="152" w:after="160"/>
    </w:pPr>
    <w:rPr>
      <w:rFonts w:ascii="Arial" w:hAnsi="Arial" w:eastAsia="黑体" w:cs="Arial"/>
      <w:sz w:val="20"/>
      <w:szCs w:val="20"/>
    </w:rPr>
  </w:style>
  <w:style w:type="paragraph" w:styleId="915">
    <w:name w:val="文档结构图"/>
    <w:basedOn w:val="886"/>
    <w:next w:val="915"/>
    <w:link w:val="916"/>
    <w:uiPriority w:val="99"/>
    <w:pPr>
      <w:shd w:val="clear" w:color="auto" w:fill="000080"/>
    </w:pPr>
    <w:rPr>
      <w:szCs w:val="20"/>
    </w:rPr>
  </w:style>
  <w:style w:type="character" w:styleId="916">
    <w:name w:val="文档结构图 Char"/>
    <w:next w:val="916"/>
    <w:link w:val="915"/>
    <w:uiPriority w:val="99"/>
    <w:rPr>
      <w:sz w:val="21"/>
      <w:shd w:val="clear" w:color="auto" w:fill="000080"/>
    </w:rPr>
  </w:style>
  <w:style w:type="paragraph" w:styleId="917">
    <w:name w:val="引文目录标题"/>
    <w:basedOn w:val="886"/>
    <w:next w:val="886"/>
    <w:link w:val="886"/>
    <w:semiHidden/>
    <w:pPr>
      <w:spacing w:before="120" w:line="312" w:lineRule="atLeast"/>
    </w:pPr>
    <w:rPr>
      <w:rFonts w:ascii="Arial" w:hAnsi="Arial"/>
      <w:b/>
      <w:sz w:val="24"/>
    </w:rPr>
  </w:style>
  <w:style w:type="paragraph" w:styleId="918">
    <w:name w:val="批注文字"/>
    <w:basedOn w:val="886"/>
    <w:next w:val="918"/>
    <w:link w:val="919"/>
    <w:qFormat/>
    <w:pPr>
      <w:jc w:val="left"/>
    </w:pPr>
  </w:style>
  <w:style w:type="character" w:styleId="919">
    <w:name w:val="批注文字 Char1"/>
    <w:next w:val="919"/>
    <w:link w:val="918"/>
    <w:qFormat/>
    <w:rPr>
      <w:sz w:val="21"/>
      <w:szCs w:val="24"/>
    </w:rPr>
  </w:style>
  <w:style w:type="paragraph" w:styleId="920">
    <w:name w:val="正文文本 3"/>
    <w:basedOn w:val="886"/>
    <w:next w:val="920"/>
    <w:link w:val="921"/>
    <w:pPr>
      <w:spacing w:after="120"/>
    </w:pPr>
    <w:rPr>
      <w:sz w:val="16"/>
      <w:szCs w:val="16"/>
    </w:rPr>
  </w:style>
  <w:style w:type="character" w:styleId="921">
    <w:name w:val="正文文本 3 Char"/>
    <w:next w:val="921"/>
    <w:link w:val="920"/>
    <w:rPr>
      <w:sz w:val="16"/>
      <w:szCs w:val="16"/>
    </w:rPr>
  </w:style>
  <w:style w:type="paragraph" w:styleId="922">
    <w:name w:val="正文文本"/>
    <w:basedOn w:val="886"/>
    <w:next w:val="922"/>
    <w:link w:val="923"/>
    <w:pPr>
      <w:jc w:val="center"/>
    </w:pPr>
    <w:rPr>
      <w:rFonts w:ascii="方正大黑简体" w:eastAsia="方正大黑简体"/>
      <w:position w:val="6"/>
      <w:sz w:val="30"/>
      <w:szCs w:val="20"/>
    </w:rPr>
  </w:style>
  <w:style w:type="character" w:styleId="923">
    <w:name w:val="正文文本 Char"/>
    <w:next w:val="923"/>
    <w:link w:val="922"/>
    <w:rPr>
      <w:rFonts w:ascii="方正大黑简体" w:eastAsia="方正大黑简体"/>
      <w:position w:val="6"/>
      <w:sz w:val="30"/>
      <w:lang w:val="en-US" w:eastAsia="zh-CN" w:bidi="ar-SA"/>
    </w:rPr>
  </w:style>
  <w:style w:type="paragraph" w:styleId="924">
    <w:name w:val="正文文本缩进"/>
    <w:basedOn w:val="886"/>
    <w:next w:val="926"/>
    <w:link w:val="925"/>
    <w:pPr>
      <w:ind w:left="570"/>
      <w:spacing w:line="520" w:lineRule="exact"/>
    </w:pPr>
    <w:rPr>
      <w:rFonts w:ascii="方正仿宋简体" w:hAnsi="创艺简仿宋" w:eastAsia="方正仿宋简体"/>
      <w:sz w:val="24"/>
      <w:szCs w:val="20"/>
    </w:rPr>
  </w:style>
  <w:style w:type="character" w:styleId="925">
    <w:name w:val="正文文本缩进 Char"/>
    <w:next w:val="925"/>
    <w:link w:val="924"/>
    <w:rPr>
      <w:rFonts w:ascii="方正仿宋简体" w:hAnsi="创艺简仿宋" w:eastAsia="方正仿宋简体"/>
      <w:sz w:val="24"/>
      <w:lang w:val="en-US" w:eastAsia="zh-CN" w:bidi="ar-SA"/>
    </w:rPr>
  </w:style>
  <w:style w:type="paragraph" w:styleId="926">
    <w:name w:val="目录 51"/>
    <w:next w:val="886"/>
    <w:link w:val="886"/>
    <w:qFormat/>
    <w:pPr>
      <w:ind w:left="1275"/>
      <w:jc w:val="both"/>
    </w:pPr>
    <w:rPr>
      <w:sz w:val="21"/>
      <w:lang w:val="en-US" w:eastAsia="zh-CN" w:bidi="ar-SA"/>
    </w:rPr>
  </w:style>
  <w:style w:type="paragraph" w:styleId="927">
    <w:name w:val="列表 2"/>
    <w:basedOn w:val="886"/>
    <w:next w:val="927"/>
    <w:link w:val="886"/>
    <w:pPr>
      <w:ind w:left="100" w:hanging="200"/>
    </w:pPr>
  </w:style>
  <w:style w:type="paragraph" w:styleId="928">
    <w:name w:val="目录 5"/>
    <w:basedOn w:val="886"/>
    <w:next w:val="886"/>
    <w:link w:val="886"/>
    <w:unhideWhenUsed/>
    <w:pPr>
      <w:ind w:left="1680"/>
    </w:pPr>
    <w:rPr>
      <w:rFonts w:ascii="Calibri" w:hAnsi="Calibri"/>
      <w:szCs w:val="22"/>
    </w:rPr>
  </w:style>
  <w:style w:type="paragraph" w:styleId="929">
    <w:name w:val="目录 3"/>
    <w:basedOn w:val="886"/>
    <w:next w:val="886"/>
    <w:link w:val="886"/>
    <w:uiPriority w:val="39"/>
    <w:qFormat/>
    <w:pPr>
      <w:ind w:left="840"/>
    </w:pPr>
  </w:style>
  <w:style w:type="paragraph" w:styleId="930">
    <w:name w:val="纯文本"/>
    <w:basedOn w:val="886"/>
    <w:next w:val="930"/>
    <w:link w:val="931"/>
    <w:rPr>
      <w:rFonts w:ascii="宋体" w:hAnsi="Courier New" w:eastAsia="楷体_GB2312"/>
      <w:sz w:val="28"/>
      <w:szCs w:val="20"/>
    </w:rPr>
  </w:style>
  <w:style w:type="character" w:styleId="931">
    <w:name w:val="纯文本 Char"/>
    <w:next w:val="931"/>
    <w:link w:val="930"/>
    <w:rPr>
      <w:rFonts w:ascii="宋体" w:hAnsi="Courier New" w:eastAsia="楷体_GB2312"/>
      <w:sz w:val="28"/>
      <w:lang w:val="en-US" w:eastAsia="zh-CN" w:bidi="ar-SA"/>
    </w:rPr>
  </w:style>
  <w:style w:type="paragraph" w:styleId="932">
    <w:name w:val="目录 8"/>
    <w:basedOn w:val="886"/>
    <w:next w:val="886"/>
    <w:link w:val="886"/>
    <w:unhideWhenUsed/>
    <w:pPr>
      <w:ind w:left="2940"/>
    </w:pPr>
    <w:rPr>
      <w:rFonts w:ascii="Calibri" w:hAnsi="Calibri"/>
      <w:szCs w:val="22"/>
    </w:rPr>
  </w:style>
  <w:style w:type="paragraph" w:styleId="933">
    <w:name w:val="日期"/>
    <w:basedOn w:val="886"/>
    <w:next w:val="886"/>
    <w:link w:val="934"/>
    <w:qFormat/>
    <w:rPr>
      <w:rFonts w:ascii="宋体" w:hAnsi="宋体" w:eastAsia="楷体_GB2312"/>
      <w:sz w:val="24"/>
      <w:szCs w:val="20"/>
    </w:rPr>
  </w:style>
  <w:style w:type="character" w:styleId="934">
    <w:name w:val="日期 Char"/>
    <w:next w:val="934"/>
    <w:link w:val="933"/>
    <w:rPr>
      <w:rFonts w:ascii="宋体" w:hAnsi="宋体" w:eastAsia="楷体_GB2312"/>
      <w:sz w:val="24"/>
    </w:rPr>
  </w:style>
  <w:style w:type="paragraph" w:styleId="935">
    <w:name w:val="正文文本缩进 2"/>
    <w:basedOn w:val="886"/>
    <w:next w:val="935"/>
    <w:link w:val="936"/>
    <w:pPr>
      <w:ind w:firstLine="540"/>
      <w:spacing w:line="360" w:lineRule="auto"/>
    </w:pPr>
    <w:rPr>
      <w:rFonts w:ascii="宋体" w:hAnsi="宋体"/>
      <w:sz w:val="24"/>
    </w:rPr>
  </w:style>
  <w:style w:type="character" w:styleId="936">
    <w:name w:val="正文文本缩进 2 Char"/>
    <w:next w:val="936"/>
    <w:link w:val="935"/>
    <w:rPr>
      <w:rFonts w:ascii="宋体" w:hAnsi="宋体" w:eastAsia="宋体"/>
      <w:sz w:val="24"/>
      <w:szCs w:val="24"/>
      <w:lang w:val="en-US" w:eastAsia="zh-CN" w:bidi="ar-SA"/>
    </w:rPr>
  </w:style>
  <w:style w:type="paragraph" w:styleId="937">
    <w:name w:val="批注框文本"/>
    <w:basedOn w:val="886"/>
    <w:next w:val="937"/>
    <w:link w:val="938"/>
    <w:rPr>
      <w:rFonts w:ascii="Calibri" w:hAnsi="Calibri"/>
      <w:sz w:val="18"/>
      <w:szCs w:val="18"/>
    </w:rPr>
  </w:style>
  <w:style w:type="character" w:styleId="938">
    <w:name w:val="批注框文本 Char"/>
    <w:next w:val="938"/>
    <w:link w:val="937"/>
    <w:rPr>
      <w:rFonts w:ascii="Calibri" w:hAnsi="Calibri" w:eastAsia="宋体"/>
      <w:sz w:val="18"/>
      <w:szCs w:val="18"/>
      <w:lang w:val="en-US" w:eastAsia="zh-CN" w:bidi="ar-SA"/>
    </w:rPr>
  </w:style>
  <w:style w:type="paragraph" w:styleId="939">
    <w:name w:val="页脚"/>
    <w:basedOn w:val="886"/>
    <w:next w:val="939"/>
    <w:link w:val="940"/>
    <w:uiPriority w:val="99"/>
    <w:qFormat/>
    <w:pPr>
      <w:jc w:val="left"/>
      <w:tabs>
        <w:tab w:val="center" w:pos="4153" w:leader="none"/>
        <w:tab w:val="right" w:pos="8306" w:leader="none"/>
      </w:tabs>
    </w:pPr>
    <w:rPr>
      <w:sz w:val="18"/>
      <w:szCs w:val="18"/>
    </w:rPr>
  </w:style>
  <w:style w:type="character" w:styleId="940">
    <w:name w:val="页脚 Char"/>
    <w:next w:val="940"/>
    <w:link w:val="939"/>
    <w:uiPriority w:val="99"/>
    <w:qFormat/>
    <w:rPr>
      <w:rFonts w:eastAsia="宋体"/>
      <w:sz w:val="18"/>
      <w:szCs w:val="18"/>
      <w:lang w:val="en-US" w:eastAsia="zh-CN" w:bidi="ar-SA"/>
    </w:rPr>
  </w:style>
  <w:style w:type="paragraph" w:styleId="941">
    <w:name w:val="页眉"/>
    <w:basedOn w:val="886"/>
    <w:next w:val="941"/>
    <w:link w:val="942"/>
    <w:uiPriority w:val="99"/>
    <w:pPr>
      <w:jc w:val="center"/>
      <w:tabs>
        <w:tab w:val="center" w:pos="4153" w:leader="none"/>
        <w:tab w:val="right" w:pos="8306" w:leader="none"/>
      </w:tabs>
      <w:pBdr>
        <w:bottom w:val="single" w:color="000000" w:sz="6" w:space="1"/>
      </w:pBdr>
    </w:pPr>
    <w:rPr>
      <w:rFonts w:eastAsia="楷体_GB2312"/>
      <w:sz w:val="18"/>
      <w:szCs w:val="20"/>
    </w:rPr>
  </w:style>
  <w:style w:type="character" w:styleId="942">
    <w:name w:val="页眉 Char"/>
    <w:next w:val="942"/>
    <w:link w:val="941"/>
    <w:uiPriority w:val="99"/>
    <w:rPr>
      <w:rFonts w:eastAsia="楷体_GB2312"/>
      <w:sz w:val="18"/>
      <w:lang w:val="en-US" w:eastAsia="zh-CN" w:bidi="ar-SA"/>
    </w:rPr>
  </w:style>
  <w:style w:type="paragraph" w:styleId="943">
    <w:name w:val="目录 1"/>
    <w:basedOn w:val="886"/>
    <w:next w:val="886"/>
    <w:link w:val="886"/>
    <w:uiPriority w:val="39"/>
    <w:qFormat/>
    <w:pPr>
      <w:spacing w:line="360" w:lineRule="auto"/>
      <w:tabs>
        <w:tab w:val="right" w:pos="8296" w:leader="dot"/>
      </w:tabs>
    </w:pPr>
    <w:rPr>
      <w:rFonts w:ascii="宋体" w:hAnsi="宋体"/>
      <w:b/>
      <w:lang w:val="en-US" w:eastAsia="zh-CN"/>
    </w:rPr>
  </w:style>
  <w:style w:type="paragraph" w:styleId="944">
    <w:name w:val="目录 4"/>
    <w:basedOn w:val="886"/>
    <w:next w:val="886"/>
    <w:link w:val="886"/>
    <w:uiPriority w:val="39"/>
    <w:unhideWhenUsed/>
    <w:pPr>
      <w:ind w:left="1260"/>
    </w:pPr>
    <w:rPr>
      <w:rFonts w:ascii="Calibri" w:hAnsi="Calibri"/>
      <w:szCs w:val="22"/>
    </w:rPr>
  </w:style>
  <w:style w:type="paragraph" w:styleId="945">
    <w:name w:val="索引标题"/>
    <w:basedOn w:val="886"/>
    <w:next w:val="946"/>
    <w:link w:val="886"/>
    <w:rPr>
      <w:rFonts w:ascii="Arial" w:hAnsi="Arial" w:cs="Arial"/>
      <w:b/>
      <w:bCs/>
    </w:rPr>
  </w:style>
  <w:style w:type="paragraph" w:styleId="946">
    <w:name w:val="索引 1"/>
    <w:basedOn w:val="886"/>
    <w:next w:val="886"/>
    <w:link w:val="886"/>
    <w:pPr>
      <w:jc w:val="center"/>
      <w:spacing w:line="270" w:lineRule="atLeast"/>
      <w:widowControl/>
    </w:pPr>
    <w:rPr>
      <w:rFonts w:ascii="宋体" w:hAnsi="宋体"/>
      <w:b/>
      <w:szCs w:val="18"/>
    </w:rPr>
  </w:style>
  <w:style w:type="paragraph" w:styleId="947">
    <w:name w:val="副标题"/>
    <w:basedOn w:val="886"/>
    <w:next w:val="886"/>
    <w:link w:val="948"/>
    <w:qFormat/>
    <w:pPr>
      <w:jc w:val="center"/>
      <w:spacing w:before="240" w:after="60" w:line="312" w:lineRule="auto"/>
      <w:outlineLvl w:val="1"/>
    </w:pPr>
    <w:rPr>
      <w:rFonts w:ascii="Cambria" w:hAnsi="Cambria"/>
      <w:b/>
      <w:bCs/>
      <w:sz w:val="32"/>
      <w:szCs w:val="32"/>
    </w:rPr>
  </w:style>
  <w:style w:type="character" w:styleId="948">
    <w:name w:val="副标题 Char"/>
    <w:next w:val="948"/>
    <w:link w:val="947"/>
    <w:rPr>
      <w:rFonts w:ascii="Cambria" w:hAnsi="Cambria"/>
      <w:b/>
      <w:bCs/>
      <w:sz w:val="32"/>
      <w:szCs w:val="32"/>
    </w:rPr>
  </w:style>
  <w:style w:type="paragraph" w:styleId="949">
    <w:name w:val="目录 6"/>
    <w:basedOn w:val="886"/>
    <w:next w:val="886"/>
    <w:link w:val="886"/>
    <w:unhideWhenUsed/>
    <w:pPr>
      <w:ind w:left="2100"/>
    </w:pPr>
    <w:rPr>
      <w:rFonts w:ascii="Calibri" w:hAnsi="Calibri"/>
      <w:szCs w:val="22"/>
    </w:rPr>
  </w:style>
  <w:style w:type="paragraph" w:styleId="950">
    <w:name w:val="正文文本缩进 3"/>
    <w:basedOn w:val="886"/>
    <w:next w:val="950"/>
    <w:link w:val="951"/>
    <w:pPr>
      <w:ind w:left="420"/>
      <w:spacing w:after="120"/>
    </w:pPr>
    <w:rPr>
      <w:sz w:val="16"/>
      <w:szCs w:val="16"/>
    </w:rPr>
  </w:style>
  <w:style w:type="character" w:styleId="951">
    <w:name w:val="正文文本缩进 3 Char"/>
    <w:next w:val="951"/>
    <w:link w:val="950"/>
    <w:rPr>
      <w:sz w:val="16"/>
      <w:szCs w:val="16"/>
    </w:rPr>
  </w:style>
  <w:style w:type="paragraph" w:styleId="952">
    <w:name w:val="目录 2"/>
    <w:basedOn w:val="886"/>
    <w:next w:val="886"/>
    <w:link w:val="886"/>
    <w:uiPriority w:val="39"/>
    <w:qFormat/>
    <w:pPr>
      <w:ind w:left="420"/>
    </w:pPr>
    <w:rPr>
      <w:szCs w:val="20"/>
    </w:rPr>
  </w:style>
  <w:style w:type="paragraph" w:styleId="953">
    <w:name w:val="目录 9"/>
    <w:basedOn w:val="886"/>
    <w:next w:val="886"/>
    <w:link w:val="886"/>
    <w:unhideWhenUsed/>
    <w:pPr>
      <w:ind w:left="3360"/>
    </w:pPr>
    <w:rPr>
      <w:rFonts w:ascii="Calibri" w:hAnsi="Calibri"/>
      <w:szCs w:val="22"/>
    </w:rPr>
  </w:style>
  <w:style w:type="paragraph" w:styleId="954">
    <w:name w:val="正文文本 2"/>
    <w:basedOn w:val="886"/>
    <w:next w:val="954"/>
    <w:link w:val="955"/>
    <w:pPr>
      <w:ind w:firstLine="250"/>
      <w:spacing w:after="120" w:line="480" w:lineRule="auto"/>
    </w:pPr>
    <w:rPr>
      <w:sz w:val="24"/>
    </w:rPr>
  </w:style>
  <w:style w:type="character" w:styleId="955">
    <w:name w:val="正文文本 2 Char"/>
    <w:next w:val="955"/>
    <w:link w:val="954"/>
    <w:rPr>
      <w:sz w:val="24"/>
      <w:szCs w:val="24"/>
    </w:rPr>
  </w:style>
  <w:style w:type="paragraph" w:styleId="956">
    <w:name w:val="HTML 预设格式"/>
    <w:basedOn w:val="886"/>
    <w:next w:val="956"/>
    <w:link w:val="957"/>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rPr>
  </w:style>
  <w:style w:type="character" w:styleId="957">
    <w:name w:val="HTML 预设格式 Char"/>
    <w:next w:val="957"/>
    <w:link w:val="956"/>
    <w:rPr>
      <w:rFonts w:ascii="宋体" w:hAnsi="宋体" w:cs="宋体"/>
      <w:sz w:val="24"/>
      <w:szCs w:val="24"/>
    </w:rPr>
  </w:style>
  <w:style w:type="paragraph" w:styleId="958">
    <w:name w:val="普通(网站)"/>
    <w:basedOn w:val="886"/>
    <w:next w:val="958"/>
    <w:link w:val="886"/>
    <w:qFormat/>
    <w:pPr>
      <w:jc w:val="left"/>
      <w:spacing w:before="100" w:beforeAutospacing="1" w:after="100" w:afterAutospacing="1"/>
      <w:widowControl/>
    </w:pPr>
    <w:rPr>
      <w:rFonts w:ascii="宋体" w:hAnsi="宋体" w:cs="宋体"/>
      <w:sz w:val="24"/>
    </w:rPr>
  </w:style>
  <w:style w:type="paragraph" w:styleId="959">
    <w:name w:val="标题"/>
    <w:basedOn w:val="886"/>
    <w:next w:val="959"/>
    <w:link w:val="960"/>
    <w:qFormat/>
    <w:pPr>
      <w:jc w:val="center"/>
      <w:spacing w:before="240" w:after="60" w:line="360" w:lineRule="auto"/>
      <w:outlineLvl w:val="0"/>
    </w:pPr>
    <w:rPr>
      <w:rFonts w:ascii="宋体" w:hAnsi="宋体"/>
      <w:b/>
      <w:bCs/>
      <w:sz w:val="32"/>
      <w:szCs w:val="32"/>
    </w:rPr>
  </w:style>
  <w:style w:type="character" w:styleId="960">
    <w:name w:val="标题 Char1"/>
    <w:next w:val="960"/>
    <w:link w:val="959"/>
    <w:rPr>
      <w:rFonts w:ascii="宋体" w:hAnsi="宋体" w:cs="Arial"/>
      <w:b/>
      <w:bCs/>
      <w:sz w:val="32"/>
      <w:szCs w:val="32"/>
    </w:rPr>
  </w:style>
  <w:style w:type="paragraph" w:styleId="961">
    <w:name w:val="批注主题"/>
    <w:basedOn w:val="918"/>
    <w:next w:val="918"/>
    <w:link w:val="962"/>
    <w:rPr>
      <w:b/>
      <w:bCs/>
    </w:rPr>
  </w:style>
  <w:style w:type="character" w:styleId="962">
    <w:name w:val="批注主题 Char"/>
    <w:next w:val="962"/>
    <w:link w:val="961"/>
    <w:rPr>
      <w:b/>
      <w:bCs/>
      <w:sz w:val="21"/>
      <w:szCs w:val="24"/>
    </w:rPr>
  </w:style>
  <w:style w:type="paragraph" w:styleId="963">
    <w:name w:val="正文首行缩进"/>
    <w:basedOn w:val="922"/>
    <w:next w:val="963"/>
    <w:link w:val="964"/>
    <w:pPr>
      <w:ind w:firstLine="420"/>
      <w:jc w:val="both"/>
      <w:spacing w:after="120" w:line="300" w:lineRule="auto"/>
    </w:pPr>
    <w:rPr>
      <w:sz w:val="24"/>
      <w:szCs w:val="24"/>
    </w:rPr>
  </w:style>
  <w:style w:type="character" w:styleId="964">
    <w:name w:val="正文首行缩进 Char"/>
    <w:next w:val="964"/>
    <w:link w:val="963"/>
    <w:rPr>
      <w:rFonts w:ascii="方正大黑简体" w:eastAsia="方正大黑简体"/>
      <w:position w:val="6"/>
      <w:sz w:val="24"/>
      <w:szCs w:val="24"/>
      <w:lang w:val="en-US" w:eastAsia="zh-CN" w:bidi="ar-SA"/>
    </w:rPr>
  </w:style>
  <w:style w:type="paragraph" w:styleId="965">
    <w:name w:val="正文首行缩进 2"/>
    <w:basedOn w:val="924"/>
    <w:next w:val="965"/>
    <w:link w:val="966"/>
    <w:pPr>
      <w:ind w:left="420" w:firstLine="420"/>
      <w:spacing w:after="120" w:line="240" w:lineRule="auto"/>
    </w:pPr>
    <w:rPr>
      <w:rFonts w:ascii="Times New Roman" w:hAnsi="Times New Roman" w:eastAsia="宋体"/>
      <w:sz w:val="21"/>
      <w:szCs w:val="24"/>
    </w:rPr>
  </w:style>
  <w:style w:type="character" w:styleId="966">
    <w:name w:val="正文首行缩进 2 Char"/>
    <w:next w:val="966"/>
    <w:link w:val="965"/>
    <w:rPr>
      <w:sz w:val="21"/>
      <w:szCs w:val="24"/>
      <w:lang w:val="en-US" w:eastAsia="zh-CN" w:bidi="ar-SA"/>
    </w:rPr>
  </w:style>
  <w:style w:type="table" w:styleId="967">
    <w:name w:val="网格型"/>
    <w:basedOn w:val="897"/>
    <w:next w:val="967"/>
    <w:link w:val="886"/>
    <w:uiPriority w:val="59"/>
    <w:qFormat/>
    <w:pPr>
      <w:jc w:val="both"/>
      <w:widowControl w:val="off"/>
    </w:pPr>
    <w:tblPr/>
  </w:style>
  <w:style w:type="table" w:styleId="968">
    <w:name w:val="网格型 1"/>
    <w:basedOn w:val="897"/>
    <w:next w:val="968"/>
    <w:link w:val="886"/>
    <w:pPr>
      <w:jc w:val="both"/>
      <w:widowControl w:val="off"/>
    </w:pPr>
    <w:tblPr/>
  </w:style>
  <w:style w:type="table" w:styleId="969">
    <w:name w:val="网格型 8"/>
    <w:basedOn w:val="897"/>
    <w:next w:val="969"/>
    <w:link w:val="886"/>
    <w:pPr>
      <w:ind w:firstLine="250"/>
      <w:jc w:val="both"/>
      <w:spacing w:line="300" w:lineRule="auto"/>
      <w:widowControl w:val="off"/>
    </w:pPr>
    <w:tblPr/>
  </w:style>
  <w:style w:type="table" w:styleId="970">
    <w:name w:val="专业型"/>
    <w:basedOn w:val="897"/>
    <w:next w:val="970"/>
    <w:link w:val="886"/>
    <w:pPr>
      <w:ind w:firstLine="250"/>
      <w:jc w:val="both"/>
      <w:spacing w:line="300" w:lineRule="auto"/>
      <w:widowControl w:val="off"/>
    </w:pPr>
    <w:tblPr/>
  </w:style>
  <w:style w:type="character" w:styleId="971">
    <w:name w:val="要点"/>
    <w:next w:val="971"/>
    <w:link w:val="886"/>
    <w:uiPriority w:val="22"/>
    <w:qFormat/>
    <w:rPr>
      <w:b/>
      <w:bCs/>
    </w:rPr>
  </w:style>
  <w:style w:type="character" w:styleId="972">
    <w:name w:val="页码"/>
    <w:next w:val="972"/>
    <w:link w:val="886"/>
    <w:uiPriority w:val="99"/>
  </w:style>
  <w:style w:type="character" w:styleId="973">
    <w:name w:val="访问过的超链接"/>
    <w:next w:val="973"/>
    <w:link w:val="886"/>
    <w:uiPriority w:val="99"/>
    <w:rPr>
      <w:color w:val="800080"/>
      <w:u w:val="single"/>
    </w:rPr>
  </w:style>
  <w:style w:type="character" w:styleId="974">
    <w:name w:val="强调"/>
    <w:next w:val="974"/>
    <w:link w:val="886"/>
    <w:qFormat/>
    <w:rPr>
      <w:b/>
      <w:bCs/>
    </w:rPr>
  </w:style>
  <w:style w:type="character" w:styleId="975">
    <w:name w:val="HTML 打字机"/>
    <w:next w:val="975"/>
    <w:link w:val="886"/>
    <w:rPr>
      <w:rFonts w:ascii="黑体" w:hAnsi="Courier New" w:eastAsia="黑体" w:cs="Courier New"/>
      <w:sz w:val="14"/>
      <w:szCs w:val="14"/>
    </w:rPr>
  </w:style>
  <w:style w:type="character" w:styleId="976">
    <w:name w:val="超链接"/>
    <w:next w:val="976"/>
    <w:link w:val="886"/>
    <w:uiPriority w:val="99"/>
    <w:rPr>
      <w:color w:val="0000ff"/>
      <w:u w:val="single"/>
    </w:rPr>
  </w:style>
  <w:style w:type="character" w:styleId="977">
    <w:name w:val="批注引用"/>
    <w:next w:val="977"/>
    <w:link w:val="886"/>
    <w:uiPriority w:val="99"/>
    <w:rPr>
      <w:sz w:val="21"/>
      <w:szCs w:val="21"/>
    </w:rPr>
  </w:style>
  <w:style w:type="paragraph" w:styleId="978">
    <w:name w:val="段"/>
    <w:next w:val="886"/>
    <w:link w:val="886"/>
    <w:qFormat/>
    <w:pPr>
      <w:ind w:firstLine="200"/>
      <w:jc w:val="both"/>
    </w:pPr>
    <w:rPr>
      <w:rFonts w:ascii="宋体"/>
      <w:sz w:val="21"/>
      <w:lang w:val="en-US" w:eastAsia="zh-CN" w:bidi="ar-SA"/>
    </w:rPr>
  </w:style>
  <w:style w:type="character" w:styleId="979">
    <w:name w:val="gray_b"/>
    <w:next w:val="979"/>
    <w:link w:val="886"/>
  </w:style>
  <w:style w:type="character" w:styleId="980">
    <w:name w:val="unnamed31"/>
    <w:next w:val="980"/>
    <w:link w:val="886"/>
    <w:rPr>
      <w:rFonts w:hint="eastAsia" w:ascii="宋体" w:hAnsi="宋体" w:eastAsia="宋体"/>
      <w:color w:val="000099"/>
      <w:spacing w:val="0"/>
      <w:sz w:val="18"/>
      <w:szCs w:val="18"/>
      <w:u w:val="none"/>
    </w:rPr>
  </w:style>
  <w:style w:type="character" w:styleId="981">
    <w:name w:val="title_emph1"/>
    <w:next w:val="981"/>
    <w:link w:val="886"/>
    <w:rPr>
      <w:rFonts w:ascii="Arial" w:hAnsi="Arial"/>
      <w:b/>
      <w:sz w:val="18"/>
    </w:rPr>
  </w:style>
  <w:style w:type="character" w:styleId="982">
    <w:name w:val="华宇段落1 Char Char"/>
    <w:next w:val="982"/>
    <w:link w:val="886"/>
    <w:rPr>
      <w:rFonts w:eastAsia="宋体"/>
      <w:sz w:val="24"/>
      <w:lang w:val="en-US" w:eastAsia="zh-CN"/>
    </w:rPr>
  </w:style>
  <w:style w:type="character" w:styleId="983">
    <w:name w:val="s"/>
    <w:next w:val="983"/>
    <w:link w:val="886"/>
  </w:style>
  <w:style w:type="character" w:styleId="984">
    <w:name w:val="正文文本 3 Char1"/>
    <w:next w:val="984"/>
    <w:link w:val="886"/>
    <w:rPr>
      <w:sz w:val="16"/>
      <w:szCs w:val="16"/>
    </w:rPr>
  </w:style>
  <w:style w:type="character" w:styleId="985">
    <w:name w:val="不明显强调"/>
    <w:next w:val="985"/>
    <w:link w:val="886"/>
    <w:qFormat/>
    <w:rPr>
      <w:i/>
      <w:iCs/>
      <w:color w:val="808080"/>
    </w:rPr>
  </w:style>
  <w:style w:type="character" w:styleId="986">
    <w:name w:val="style1"/>
    <w:next w:val="986"/>
    <w:link w:val="886"/>
  </w:style>
  <w:style w:type="character" w:styleId="987">
    <w:name w:val="maywed421"/>
    <w:next w:val="987"/>
    <w:link w:val="886"/>
    <w:rPr>
      <w:color w:val="366fb6"/>
      <w:u w:val="none"/>
    </w:rPr>
  </w:style>
  <w:style w:type="character" w:styleId="988">
    <w:name w:val="label"/>
    <w:next w:val="988"/>
    <w:link w:val="886"/>
  </w:style>
  <w:style w:type="character" w:styleId="989">
    <w:name w:val="xiangxicanshu_txt21"/>
    <w:next w:val="989"/>
    <w:link w:val="886"/>
    <w:rPr>
      <w:rFonts w:ascii="Arial" w:hAnsi="Arial" w:cs="Arial"/>
      <w:color w:val="6f6f6f"/>
      <w:sz w:val="18"/>
      <w:szCs w:val="18"/>
    </w:rPr>
  </w:style>
  <w:style w:type="character" w:styleId="990">
    <w:name w:val="普通 (Web) Char Char Char"/>
    <w:next w:val="990"/>
    <w:link w:val="886"/>
    <w:rPr>
      <w:rFonts w:eastAsia="宋体"/>
      <w:sz w:val="24"/>
      <w:lang w:val="en-US" w:eastAsia="zh-CN"/>
    </w:rPr>
  </w:style>
  <w:style w:type="character" w:styleId="991">
    <w:name w:val="Normal with Symbol Char"/>
    <w:next w:val="991"/>
    <w:link w:val="992"/>
    <w:rPr>
      <w:rFonts w:ascii="Arial" w:hAnsi="Arial"/>
      <w:sz w:val="24"/>
      <w:szCs w:val="24"/>
    </w:rPr>
  </w:style>
  <w:style w:type="paragraph" w:styleId="992">
    <w:name w:val="Normal with Symbol"/>
    <w:basedOn w:val="886"/>
    <w:next w:val="992"/>
    <w:link w:val="991"/>
    <w:qFormat/>
    <w:pPr>
      <w:ind w:left="990" w:hanging="180"/>
      <w:jc w:val="left"/>
      <w:spacing w:before="120" w:after="120"/>
      <w:widowControl/>
      <w:tabs>
        <w:tab w:val="left" w:pos="990" w:leader="none"/>
      </w:tabs>
    </w:pPr>
    <w:rPr>
      <w:rFonts w:ascii="Arial" w:hAnsi="Arial"/>
      <w:sz w:val="24"/>
    </w:rPr>
  </w:style>
  <w:style w:type="character" w:styleId="993">
    <w:name w:val="wenzi41"/>
    <w:next w:val="993"/>
    <w:link w:val="886"/>
    <w:rPr>
      <w:b/>
      <w:bCs/>
      <w:color w:val="c52900"/>
      <w:sz w:val="18"/>
      <w:szCs w:val="18"/>
      <w:u w:val="none"/>
    </w:rPr>
  </w:style>
  <w:style w:type="character" w:styleId="994">
    <w:name w:val="font41"/>
    <w:next w:val="994"/>
    <w:link w:val="886"/>
    <w:qFormat/>
    <w:rPr>
      <w:rFonts w:hint="eastAsia" w:ascii="宋体" w:hAnsi="宋体" w:eastAsia="宋体"/>
      <w:color w:val="ff0000"/>
      <w:sz w:val="21"/>
      <w:szCs w:val="21"/>
      <w:u w:val="none"/>
    </w:rPr>
  </w:style>
  <w:style w:type="character" w:styleId="995">
    <w:name w:val="页眉 Char1"/>
    <w:next w:val="995"/>
    <w:link w:val="886"/>
    <w:rPr>
      <w:sz w:val="18"/>
      <w:szCs w:val="18"/>
    </w:rPr>
  </w:style>
  <w:style w:type="character" w:styleId="996">
    <w:name w:val="style21"/>
    <w:next w:val="996"/>
    <w:link w:val="886"/>
    <w:rPr>
      <w:b/>
      <w:bCs/>
      <w:sz w:val="24"/>
      <w:szCs w:val="24"/>
    </w:rPr>
  </w:style>
  <w:style w:type="character" w:styleId="997">
    <w:name w:val="newsbg1"/>
    <w:next w:val="997"/>
    <w:link w:val="886"/>
  </w:style>
  <w:style w:type="character" w:styleId="998">
    <w:name w:val="页脚 Char1"/>
    <w:next w:val="998"/>
    <w:link w:val="886"/>
    <w:rPr>
      <w:sz w:val="18"/>
      <w:szCs w:val="18"/>
    </w:rPr>
  </w:style>
  <w:style w:type="character" w:styleId="999">
    <w:name w:val="Default Char"/>
    <w:next w:val="999"/>
    <w:link w:val="1000"/>
    <w:rPr>
      <w:rFonts w:ascii="Futura Heavy" w:eastAsia="Futura Heavy"/>
      <w:color w:val="000000"/>
      <w:sz w:val="24"/>
      <w:szCs w:val="24"/>
      <w:lang w:val="en-US" w:eastAsia="zh-CN" w:bidi="ar-SA"/>
    </w:rPr>
  </w:style>
  <w:style w:type="paragraph" w:styleId="1000">
    <w:name w:val="Default"/>
    <w:next w:val="1000"/>
    <w:link w:val="999"/>
    <w:qFormat/>
    <w:pPr>
      <w:widowControl w:val="off"/>
    </w:pPr>
    <w:rPr>
      <w:rFonts w:ascii="Futura Heavy" w:eastAsia="Futura Heavy"/>
      <w:color w:val="000000"/>
      <w:sz w:val="24"/>
      <w:szCs w:val="24"/>
      <w:lang w:val="en-US" w:eastAsia="zh-CN" w:bidi="ar-SA"/>
    </w:rPr>
  </w:style>
  <w:style w:type="character" w:styleId="1001">
    <w:name w:val="正文文本缩进 3 Char1"/>
    <w:next w:val="1001"/>
    <w:link w:val="886"/>
    <w:rPr>
      <w:sz w:val="16"/>
      <w:szCs w:val="16"/>
    </w:rPr>
  </w:style>
  <w:style w:type="character" w:styleId="1002">
    <w:name w:val="bei21"/>
    <w:next w:val="1002"/>
    <w:link w:val="886"/>
  </w:style>
  <w:style w:type="character" w:styleId="1003">
    <w:name w:val="Char Char5"/>
    <w:next w:val="1003"/>
    <w:link w:val="886"/>
    <w:semiHidden/>
    <w:rPr>
      <w:b/>
      <w:bCs/>
      <w:sz w:val="32"/>
      <w:szCs w:val="32"/>
    </w:rPr>
  </w:style>
  <w:style w:type="character" w:styleId="1004">
    <w:name w:val="NICMAN Body Text Char Char"/>
    <w:next w:val="1004"/>
    <w:link w:val="886"/>
    <w:rPr>
      <w:rFonts w:ascii="方正大黑简体" w:eastAsia="方正大黑简体"/>
      <w:position w:val="6"/>
      <w:sz w:val="30"/>
      <w:lang w:val="en-US" w:eastAsia="zh-CN" w:bidi="ar-SA"/>
    </w:rPr>
  </w:style>
  <w:style w:type="character" w:styleId="1005">
    <w:name w:val="No Spacing Char"/>
    <w:next w:val="1005"/>
    <w:link w:val="1006"/>
    <w:rPr>
      <w:lang w:val="en-GB" w:eastAsia="en-US" w:bidi="ar-SA"/>
    </w:rPr>
  </w:style>
  <w:style w:type="paragraph" w:styleId="1006">
    <w:name w:val="无间隔1"/>
    <w:next w:val="1006"/>
    <w:link w:val="1005"/>
    <w:qFormat/>
    <w:pPr>
      <w:spacing w:line="240" w:lineRule="atLeast"/>
    </w:pPr>
    <w:rPr>
      <w:lang w:val="en-GB" w:eastAsia="en-US" w:bidi="ar-SA"/>
    </w:rPr>
  </w:style>
  <w:style w:type="character" w:styleId="1007">
    <w:name w:val="apple-style-span"/>
    <w:next w:val="1007"/>
    <w:link w:val="886"/>
  </w:style>
  <w:style w:type="character" w:styleId="1008">
    <w:name w:val="加点正文缩进 Char"/>
    <w:next w:val="1008"/>
    <w:link w:val="1009"/>
    <w:rPr>
      <w:rFonts w:ascii="宋体" w:hAnsi="宋体"/>
      <w:sz w:val="24"/>
      <w:szCs w:val="24"/>
    </w:rPr>
  </w:style>
  <w:style w:type="paragraph" w:styleId="1009">
    <w:name w:val="加点正文缩进"/>
    <w:basedOn w:val="886"/>
    <w:next w:val="1009"/>
    <w:link w:val="1008"/>
    <w:pPr>
      <w:ind w:left="840" w:hanging="420"/>
      <w:spacing w:line="300" w:lineRule="auto"/>
      <w:tabs>
        <w:tab w:val="left" w:pos="840" w:leader="none"/>
      </w:tabs>
    </w:pPr>
    <w:rPr>
      <w:rFonts w:ascii="宋体" w:hAnsi="宋体"/>
      <w:sz w:val="24"/>
    </w:rPr>
  </w:style>
  <w:style w:type="character" w:styleId="1010">
    <w:name w:val="标题 6 Char1,H6 Char,Bullet list Char,第五层条 Char,BOD 4 Char,h6 Char,Third Subheading Char,PIM 6 Char,Legal Level 1. Char,L6 Char,正文六级标题 Char,Bullet (Single Lines) Char,(I) Char,•H6 Char,Ref Heading 3 Char,rh3 Char,Ref Heading 31 Char,rh31 Char,H61 Char"/>
    <w:next w:val="1010"/>
    <w:link w:val="886"/>
    <w:rPr>
      <w:rFonts w:ascii="Cambria" w:hAnsi="Cambria" w:eastAsia="宋体" w:cs="Times New Roman"/>
      <w:b/>
      <w:bCs/>
      <w:sz w:val="24"/>
      <w:szCs w:val="24"/>
    </w:rPr>
  </w:style>
  <w:style w:type="character" w:styleId="1011">
    <w:name w:val="indetail1"/>
    <w:next w:val="1011"/>
    <w:link w:val="886"/>
    <w:rPr>
      <w:sz w:val="18"/>
      <w:szCs w:val="18"/>
    </w:rPr>
  </w:style>
  <w:style w:type="character" w:styleId="1012">
    <w:name w:val="font01"/>
    <w:next w:val="1012"/>
    <w:link w:val="886"/>
    <w:qFormat/>
    <w:rPr>
      <w:rFonts w:ascii="Times New Roman" w:hAnsi="Times New Roman" w:cs="Times New Roman"/>
      <w:color w:val="000000"/>
      <w:sz w:val="24"/>
      <w:szCs w:val="24"/>
      <w:u w:val="none"/>
    </w:rPr>
  </w:style>
  <w:style w:type="character" w:styleId="1013">
    <w:name w:val="param_td12"/>
    <w:next w:val="1013"/>
    <w:link w:val="886"/>
  </w:style>
  <w:style w:type="character" w:styleId="1014">
    <w:name w:val="方案正文 Char"/>
    <w:next w:val="1014"/>
    <w:link w:val="1015"/>
    <w:rPr>
      <w:sz w:val="24"/>
      <w:szCs w:val="24"/>
    </w:rPr>
  </w:style>
  <w:style w:type="paragraph" w:styleId="1015">
    <w:name w:val="方案正文"/>
    <w:basedOn w:val="886"/>
    <w:next w:val="1015"/>
    <w:link w:val="1014"/>
    <w:pPr>
      <w:spacing w:line="360" w:lineRule="auto"/>
    </w:pPr>
    <w:rPr>
      <w:sz w:val="24"/>
    </w:rPr>
  </w:style>
  <w:style w:type="character" w:styleId="1016">
    <w:name w:val="Formatvorlage Formatvorlage Links:  0&quot; Hängend:  13.5 ch + MingLiU Zchn"/>
    <w:next w:val="1016"/>
    <w:link w:val="1017"/>
    <w:rPr>
      <w:rFonts w:ascii="Arial" w:hAnsi="Arial" w:eastAsia="Times New Roman"/>
      <w:sz w:val="24"/>
    </w:rPr>
  </w:style>
  <w:style w:type="paragraph" w:styleId="1017">
    <w:name w:val="Formatvorlage Formatvorlage Links:  0&quot; Hängend:  13.5 ch + MingLiU"/>
    <w:basedOn w:val="886"/>
    <w:next w:val="1017"/>
    <w:link w:val="1016"/>
    <w:pPr>
      <w:ind w:left="3240" w:hanging="3240"/>
    </w:pPr>
    <w:rPr>
      <w:rFonts w:ascii="Arial" w:hAnsi="Arial" w:eastAsia="Times New Roman"/>
      <w:sz w:val="24"/>
      <w:szCs w:val="20"/>
    </w:rPr>
  </w:style>
  <w:style w:type="character" w:styleId="1018">
    <w:name w:val="标题 7 Char1"/>
    <w:next w:val="1018"/>
    <w:link w:val="886"/>
    <w:rPr>
      <w:b/>
      <w:bCs/>
      <w:sz w:val="24"/>
      <w:szCs w:val="24"/>
    </w:rPr>
  </w:style>
  <w:style w:type="character" w:styleId="1019">
    <w:name w:val="h3 Char1,Heading 3 - old Char1,Level 3 Head Char1,H3 Char1,level_3 Char1,PIM 3 Char1,sect1.2.3 Char1,sect1.2.31 Char1,sect1.2.32 Char1,sect1.2.311 Char1,sect1.2.33 Char1,sect1.2.312 Char1,l3 Char1,CT Char1,3rd level Char1,ISO2 Char1,L3 Char1,3 Char1"/>
    <w:next w:val="1019"/>
    <w:link w:val="886"/>
    <w:rPr>
      <w:rFonts w:ascii="宋体" w:hAnsi="宋体" w:eastAsia="宋体"/>
      <w:sz w:val="28"/>
      <w:lang w:val="en-US" w:eastAsia="zh-CN" w:bidi="ar-SA"/>
    </w:rPr>
  </w:style>
  <w:style w:type="character" w:styleId="1020">
    <w:name w:val="td1301"/>
    <w:next w:val="1020"/>
    <w:link w:val="886"/>
  </w:style>
  <w:style w:type="character" w:styleId="1021">
    <w:name w:val="11"/>
    <w:next w:val="1021"/>
    <w:link w:val="886"/>
    <w:rPr>
      <w:sz w:val="36"/>
      <w:szCs w:val="36"/>
    </w:rPr>
  </w:style>
  <w:style w:type="character" w:styleId="1022">
    <w:name w:val="zi61"/>
    <w:next w:val="1022"/>
    <w:link w:val="886"/>
    <w:rPr>
      <w:b/>
      <w:bCs/>
      <w:color w:val="ff0000"/>
      <w:sz w:val="24"/>
      <w:szCs w:val="24"/>
      <w:u w:val="none"/>
    </w:rPr>
  </w:style>
  <w:style w:type="character" w:styleId="1023">
    <w:name w:val="标书正文格式 Char1"/>
    <w:next w:val="1023"/>
    <w:link w:val="1024"/>
    <w:rPr>
      <w:rFonts w:eastAsia="楷体_GB2312"/>
      <w:sz w:val="24"/>
      <w:szCs w:val="24"/>
      <w:lang w:val="en-US" w:eastAsia="zh-CN" w:bidi="ar-SA"/>
    </w:rPr>
  </w:style>
  <w:style w:type="paragraph" w:styleId="1024">
    <w:name w:val="标书正文格式"/>
    <w:next w:val="1024"/>
    <w:link w:val="1023"/>
    <w:pPr>
      <w:ind w:firstLine="200"/>
      <w:spacing w:line="360" w:lineRule="auto"/>
    </w:pPr>
    <w:rPr>
      <w:rFonts w:eastAsia="楷体_GB2312"/>
      <w:sz w:val="24"/>
      <w:szCs w:val="24"/>
      <w:lang w:val="en-US" w:eastAsia="zh-CN" w:bidi="ar-SA"/>
    </w:rPr>
  </w:style>
  <w:style w:type="character" w:styleId="1025">
    <w:name w:val="digest1"/>
    <w:next w:val="1025"/>
    <w:link w:val="886"/>
    <w:rPr>
      <w:rFonts w:eastAsia="宋体"/>
      <w:color w:val="3a4343"/>
      <w:sz w:val="20"/>
      <w:lang w:val="en-US" w:eastAsia="zh-CN"/>
    </w:rPr>
  </w:style>
  <w:style w:type="character" w:styleId="1026">
    <w:name w:val="rmv1"/>
    <w:next w:val="1026"/>
    <w:link w:val="886"/>
  </w:style>
  <w:style w:type="character" w:styleId="1027">
    <w:name w:val="纯文本 Char1"/>
    <w:next w:val="1027"/>
    <w:link w:val="886"/>
    <w:rPr>
      <w:rFonts w:ascii="宋体" w:hAnsi="Courier New" w:cs="Courier New"/>
      <w:sz w:val="21"/>
      <w:szCs w:val="21"/>
    </w:rPr>
  </w:style>
  <w:style w:type="character" w:styleId="1028">
    <w:name w:val="info4"/>
    <w:next w:val="1028"/>
    <w:link w:val="886"/>
  </w:style>
  <w:style w:type="character" w:styleId="1029">
    <w:name w:val="文档结构图 Char1"/>
    <w:next w:val="1029"/>
    <w:link w:val="886"/>
    <w:rPr>
      <w:rFonts w:ascii="宋体"/>
      <w:sz w:val="18"/>
      <w:szCs w:val="18"/>
    </w:rPr>
  </w:style>
  <w:style w:type="character" w:styleId="1030">
    <w:name w:val="释义正文2"/>
    <w:next w:val="1030"/>
    <w:link w:val="886"/>
    <w:rPr>
      <w:sz w:val="24"/>
    </w:rPr>
  </w:style>
  <w:style w:type="character" w:styleId="1031">
    <w:name w:val="unnamed101"/>
    <w:next w:val="1031"/>
    <w:link w:val="886"/>
    <w:rPr>
      <w:sz w:val="20"/>
      <w:szCs w:val="20"/>
    </w:rPr>
  </w:style>
  <w:style w:type="character" w:styleId="1032">
    <w:name w:val="style141"/>
    <w:next w:val="1032"/>
    <w:link w:val="886"/>
    <w:rPr>
      <w:rFonts w:hint="eastAsia" w:ascii="黑体" w:eastAsia="黑体"/>
      <w:b/>
      <w:bCs/>
      <w:color w:val="be4040"/>
      <w:sz w:val="41"/>
      <w:szCs w:val="41"/>
    </w:rPr>
  </w:style>
  <w:style w:type="character" w:styleId="1033">
    <w:name w:val="line"/>
    <w:next w:val="1033"/>
    <w:link w:val="886"/>
  </w:style>
  <w:style w:type="character" w:styleId="1034">
    <w:name w:val="Char Char2"/>
    <w:next w:val="1034"/>
    <w:link w:val="886"/>
    <w:semiHidden/>
    <w:rPr>
      <w:rFonts w:ascii="Cambria" w:hAnsi="Cambria" w:eastAsia="宋体" w:cs="Times New Roman"/>
      <w:b/>
      <w:bCs/>
      <w:sz w:val="24"/>
      <w:szCs w:val="24"/>
    </w:rPr>
  </w:style>
  <w:style w:type="character" w:styleId="1035">
    <w:name w:val="p_inzi_cu1"/>
    <w:next w:val="1035"/>
    <w:link w:val="886"/>
    <w:rPr>
      <w:b/>
      <w:bCs/>
      <w:color w:val="171717"/>
      <w:sz w:val="17"/>
      <w:szCs w:val="17"/>
    </w:rPr>
  </w:style>
  <w:style w:type="character" w:styleId="1036">
    <w:name w:val="style101"/>
    <w:next w:val="1036"/>
    <w:link w:val="886"/>
    <w:rPr>
      <w:rFonts w:ascii="Arial" w:hAnsi="Arial" w:cs="Arial"/>
      <w:b/>
      <w:bCs/>
      <w:color w:val="003272"/>
      <w:sz w:val="36"/>
      <w:szCs w:val="36"/>
    </w:rPr>
  </w:style>
  <w:style w:type="character" w:styleId="1037">
    <w:name w:val="style2"/>
    <w:next w:val="1037"/>
    <w:link w:val="886"/>
  </w:style>
  <w:style w:type="character" w:styleId="1038">
    <w:name w:val="grame"/>
    <w:next w:val="1038"/>
    <w:link w:val="886"/>
  </w:style>
  <w:style w:type="character" w:styleId="1039">
    <w:name w:val="样式 仿宋_GB2312 四号 黑色"/>
    <w:next w:val="1039"/>
    <w:link w:val="886"/>
    <w:rPr>
      <w:rFonts w:ascii="仿宋_GB2312" w:hAnsi="仿宋_GB2312" w:eastAsia="仿宋_GB2312"/>
      <w:color w:val="000000"/>
      <w:sz w:val="24"/>
    </w:rPr>
  </w:style>
  <w:style w:type="character" w:styleId="1040">
    <w:name w:val="Char Char4"/>
    <w:next w:val="1040"/>
    <w:link w:val="886"/>
    <w:semiHidden/>
    <w:rPr>
      <w:rFonts w:ascii="Cambria" w:hAnsi="Cambria" w:eastAsia="宋体" w:cs="Times New Roman"/>
      <w:b/>
      <w:bCs/>
      <w:sz w:val="28"/>
      <w:szCs w:val="28"/>
    </w:rPr>
  </w:style>
  <w:style w:type="character" w:styleId="1041">
    <w:name w:val="titleblack14px1"/>
    <w:next w:val="1041"/>
    <w:link w:val="886"/>
    <w:rPr>
      <w:b/>
      <w:color w:val="000000"/>
      <w:sz w:val="28"/>
    </w:rPr>
  </w:style>
  <w:style w:type="character" w:styleId="1042">
    <w:name w:val="txt1"/>
    <w:next w:val="1042"/>
    <w:link w:val="886"/>
  </w:style>
  <w:style w:type="character" w:styleId="1043">
    <w:name w:val="hang1"/>
    <w:next w:val="1043"/>
    <w:link w:val="886"/>
  </w:style>
  <w:style w:type="character" w:styleId="1044">
    <w:name w:val="para"/>
    <w:next w:val="1044"/>
    <w:link w:val="886"/>
  </w:style>
  <w:style w:type="character" w:styleId="1045">
    <w:name w:val="正文文本 2 Char1"/>
    <w:next w:val="1045"/>
    <w:link w:val="886"/>
    <w:rPr>
      <w:sz w:val="21"/>
      <w:szCs w:val="24"/>
    </w:rPr>
  </w:style>
  <w:style w:type="character" w:styleId="1046">
    <w:name w:val="Char Char3"/>
    <w:next w:val="1046"/>
    <w:link w:val="886"/>
    <w:semiHidden/>
    <w:rPr>
      <w:b/>
      <w:bCs/>
      <w:sz w:val="28"/>
      <w:szCs w:val="28"/>
    </w:rPr>
  </w:style>
  <w:style w:type="character" w:styleId="1047">
    <w:name w:val="font-12"/>
    <w:next w:val="1047"/>
    <w:link w:val="886"/>
  </w:style>
  <w:style w:type="character" w:styleId="1048">
    <w:name w:val="p_inzi1"/>
    <w:next w:val="1048"/>
    <w:link w:val="886"/>
    <w:rPr>
      <w:color w:val="171717"/>
      <w:sz w:val="17"/>
      <w:szCs w:val="17"/>
    </w:rPr>
  </w:style>
  <w:style w:type="character" w:styleId="1049">
    <w:name w:val="正文文本 3 Char2"/>
    <w:next w:val="1049"/>
    <w:link w:val="886"/>
    <w:rPr>
      <w:sz w:val="16"/>
      <w:szCs w:val="16"/>
    </w:rPr>
  </w:style>
  <w:style w:type="character" w:styleId="1050">
    <w:name w:val="xiangxicanshu1"/>
    <w:next w:val="1050"/>
    <w:link w:val="886"/>
    <w:rPr>
      <w:rFonts w:ascii="ˎ̥" w:hAnsi="ˎ̥"/>
      <w:b/>
      <w:bCs/>
      <w:color w:val="6f6f6f"/>
      <w:sz w:val="18"/>
      <w:szCs w:val="18"/>
    </w:rPr>
  </w:style>
  <w:style w:type="character" w:styleId="1051">
    <w:name w:val="ca-0"/>
    <w:next w:val="1051"/>
    <w:link w:val="886"/>
  </w:style>
  <w:style w:type="character" w:styleId="1052">
    <w:name w:val="ct-def21"/>
    <w:next w:val="1052"/>
    <w:link w:val="886"/>
    <w:rPr>
      <w:rFonts w:hint="eastAsia" w:ascii="宋体" w:hAnsi="宋体" w:eastAsia="宋体"/>
      <w:color w:val="000000"/>
      <w:spacing w:val="0"/>
      <w:sz w:val="18"/>
      <w:u w:val="none"/>
    </w:rPr>
  </w:style>
  <w:style w:type="character" w:styleId="1053">
    <w:name w:val="标题 1 Char,南通标题 1 Char,章 Char,章节标题 Char,Heading One Char"/>
    <w:next w:val="1053"/>
    <w:link w:val="886"/>
    <w:rPr>
      <w:b/>
      <w:bCs/>
      <w:sz w:val="44"/>
      <w:szCs w:val="44"/>
    </w:rPr>
  </w:style>
  <w:style w:type="character" w:styleId="1054">
    <w:name w:val="正文文本缩进 2 Char1"/>
    <w:next w:val="1054"/>
    <w:link w:val="886"/>
    <w:rPr>
      <w:sz w:val="21"/>
      <w:szCs w:val="24"/>
    </w:rPr>
  </w:style>
  <w:style w:type="character" w:styleId="1055">
    <w:name w:val="第一章 标题 2 Char Char,Heading 2 Hidden Char Char,Heading 2 CCBS Char Char,heading 2 Char Char,H2 Char Char,h2 Char Char,PIM2 Char Char,Titre3 Char Char,HD2 Char Char,sect 1.2 Char Char,H21 Char Char,sect 1.21 Char Char,H22 Char Char,sect 1.22 Char Char"/>
    <w:next w:val="1055"/>
    <w:link w:val="886"/>
    <w:rPr>
      <w:rFonts w:ascii="Arial" w:hAnsi="Arial" w:eastAsia="黑体" w:cs="Times New Roman"/>
      <w:b/>
      <w:bCs/>
      <w:sz w:val="32"/>
      <w:szCs w:val="32"/>
    </w:rPr>
  </w:style>
  <w:style w:type="character" w:styleId="1056">
    <w:name w:val="maintext1"/>
    <w:next w:val="1056"/>
    <w:link w:val="886"/>
    <w:rPr>
      <w:rFonts w:ascii="ˎ̥" w:hAnsi="ˎ̥"/>
      <w:color w:val="000000"/>
      <w:spacing w:val="24"/>
      <w:sz w:val="20"/>
      <w:szCs w:val="20"/>
    </w:rPr>
  </w:style>
  <w:style w:type="character" w:styleId="1057">
    <w:name w:val="Plain Text Char Char"/>
    <w:next w:val="1057"/>
    <w:link w:val="1058"/>
    <w:rPr>
      <w:rFonts w:ascii="宋体" w:hAnsi="Courier New" w:eastAsia="楷体_GB2312"/>
      <w:sz w:val="28"/>
    </w:rPr>
  </w:style>
  <w:style w:type="paragraph" w:styleId="1058">
    <w:name w:val="纯文本1"/>
    <w:basedOn w:val="886"/>
    <w:next w:val="1058"/>
    <w:link w:val="1057"/>
    <w:qFormat/>
    <w:rPr>
      <w:rFonts w:ascii="宋体" w:hAnsi="Courier New" w:eastAsia="楷体_GB2312"/>
      <w:sz w:val="28"/>
      <w:szCs w:val="20"/>
    </w:rPr>
  </w:style>
  <w:style w:type="character" w:styleId="1059">
    <w:name w:val="letter list Char,PIM 7 Char,sdf Char,Alt+7 Char,L7 Char,H TIMES1 Char,正文七级标题 Char,不用 Char,st Char,(use for appendix) Char,List(1) Char,Bulleted list Char,cnc Char,Caption number (column-wide) Char,ITT t7 Char,PA Appendix Major Char,lettered list Char"/>
    <w:next w:val="1059"/>
    <w:link w:val="886"/>
    <w:rPr>
      <w:rFonts w:ascii="宋体" w:hAnsi="宋体"/>
      <w:b/>
      <w:bCs/>
      <w:sz w:val="24"/>
      <w:szCs w:val="24"/>
    </w:rPr>
  </w:style>
  <w:style w:type="character" w:styleId="1060">
    <w:name w:val="日期 Char1"/>
    <w:next w:val="1060"/>
    <w:link w:val="886"/>
    <w:rPr>
      <w:sz w:val="21"/>
      <w:szCs w:val="24"/>
    </w:rPr>
  </w:style>
  <w:style w:type="character" w:styleId="1061">
    <w:name w:val="Char Char Char Char Char Char Char Char"/>
    <w:next w:val="1061"/>
    <w:link w:val="886"/>
    <w:rPr>
      <w:rFonts w:ascii="Tahoma" w:hAnsi="Tahoma" w:eastAsia="宋体"/>
      <w:sz w:val="24"/>
      <w:lang w:val="en-US" w:eastAsia="zh-CN"/>
    </w:rPr>
  </w:style>
  <w:style w:type="character" w:styleId="1062">
    <w:name w:val="标题 5 Char1,H5 Char"/>
    <w:next w:val="1062"/>
    <w:link w:val="886"/>
    <w:rPr>
      <w:b/>
      <w:bCs/>
      <w:sz w:val="28"/>
      <w:szCs w:val="28"/>
    </w:rPr>
  </w:style>
  <w:style w:type="character" w:styleId="1063">
    <w:name w:val="h3 Char,Heading 3 - old Char,Level 3 Head Char,H3 Char,level_3 Char,PIM 3 Char,sect1.2.3 Char,sect1.2.31 Char,sect1.2.32 Char,sect1.2.311 Char,sect1.2.33 Char,sect1.2.312 Char,l3 Char,CT Char,3rd level Char,ISO2 Char,L3 Char,3 Char,sl3 Char,BOD 0 Char"/>
    <w:next w:val="1063"/>
    <w:link w:val="886"/>
    <w:rPr>
      <w:rFonts w:ascii="宋体" w:hAnsi="宋体" w:eastAsia="宋体"/>
      <w:sz w:val="28"/>
      <w:lang w:val="en-US" w:eastAsia="zh-CN" w:bidi="ar-SA"/>
    </w:rPr>
  </w:style>
  <w:style w:type="character" w:styleId="1064">
    <w:name w:val="保驾"/>
    <w:next w:val="1064"/>
    <w:link w:val="886"/>
    <w:rPr>
      <w:sz w:val="18"/>
    </w:rPr>
  </w:style>
  <w:style w:type="character" w:styleId="1065">
    <w:name w:val="正文首行缩进 Char1"/>
    <w:next w:val="1065"/>
    <w:link w:val="886"/>
    <w:rPr>
      <w:rFonts w:hAnsi="Times New Roman" w:cs="Times New Roman"/>
      <w:sz w:val="24"/>
      <w:szCs w:val="24"/>
      <w:lang w:val="en-US" w:eastAsia="zh-CN" w:bidi="ar-SA"/>
    </w:rPr>
  </w:style>
  <w:style w:type="character" w:styleId="1066">
    <w:name w:val="标准正文 Char Char"/>
    <w:next w:val="1066"/>
    <w:link w:val="1067"/>
    <w:rPr>
      <w:rFonts w:ascii="仿宋_GB2312" w:eastAsia="仿宋_GB2312"/>
      <w:sz w:val="24"/>
      <w:lang w:val="en-US" w:eastAsia="zh-CN" w:bidi="ar-SA"/>
    </w:rPr>
  </w:style>
  <w:style w:type="paragraph" w:styleId="1067">
    <w:name w:val="标准正文 Char"/>
    <w:basedOn w:val="886"/>
    <w:next w:val="1067"/>
    <w:link w:val="1066"/>
    <w:pPr>
      <w:spacing w:line="288" w:lineRule="auto"/>
    </w:pPr>
    <w:rPr>
      <w:rFonts w:ascii="仿宋_GB2312" w:eastAsia="仿宋_GB2312"/>
      <w:sz w:val="24"/>
      <w:szCs w:val="20"/>
    </w:rPr>
  </w:style>
  <w:style w:type="character" w:styleId="1068">
    <w:name w:val="15"/>
    <w:next w:val="1068"/>
    <w:link w:val="886"/>
  </w:style>
  <w:style w:type="character" w:styleId="1069">
    <w:name w:val="Char Char"/>
    <w:next w:val="1069"/>
    <w:link w:val="886"/>
    <w:rPr>
      <w:rFonts w:ascii="Cambria" w:hAnsi="Cambria"/>
      <w:b/>
      <w:bCs/>
      <w:sz w:val="32"/>
      <w:szCs w:val="32"/>
    </w:rPr>
  </w:style>
  <w:style w:type="character" w:styleId="1070">
    <w:name w:val="标题 8 Char1"/>
    <w:next w:val="1070"/>
    <w:link w:val="886"/>
    <w:rPr>
      <w:rFonts w:ascii="Cambria" w:hAnsi="Cambria" w:eastAsia="宋体" w:cs="Times New Roman"/>
      <w:sz w:val="24"/>
      <w:szCs w:val="24"/>
    </w:rPr>
  </w:style>
  <w:style w:type="character" w:styleId="1071">
    <w:name w:val="css_041a1"/>
    <w:next w:val="1071"/>
    <w:link w:val="886"/>
    <w:rPr>
      <w:color w:val="0033cc"/>
      <w:sz w:val="18"/>
      <w:szCs w:val="18"/>
    </w:rPr>
  </w:style>
  <w:style w:type="character" w:styleId="1072">
    <w:name w:val="ca-1"/>
    <w:next w:val="1072"/>
    <w:link w:val="886"/>
  </w:style>
  <w:style w:type="character" w:styleId="1073">
    <w:name w:val="unnamed2"/>
    <w:next w:val="1073"/>
    <w:link w:val="886"/>
  </w:style>
  <w:style w:type="character" w:styleId="1074">
    <w:name w:val="正文文本缩进 Char1"/>
    <w:next w:val="1074"/>
    <w:link w:val="886"/>
    <w:rPr>
      <w:sz w:val="21"/>
      <w:szCs w:val="24"/>
    </w:rPr>
  </w:style>
  <w:style w:type="character" w:styleId="1075">
    <w:name w:val="不用8 Char,注意框体 Char,标题6 Char,Legal Level 1.1.1. Char,表 Char,（A） Char,h8 Char,Alt+8 Char,AppendixSubHead Char,正文八级标题 Char Char"/>
    <w:next w:val="1075"/>
    <w:link w:val="886"/>
    <w:rPr>
      <w:rFonts w:ascii="Arial" w:hAnsi="Arial" w:eastAsia="黑体"/>
      <w:sz w:val="24"/>
      <w:szCs w:val="24"/>
      <w:lang w:bidi="he-IL"/>
    </w:rPr>
  </w:style>
  <w:style w:type="character" w:styleId="1076">
    <w:name w:val="Char Char1"/>
    <w:next w:val="1076"/>
    <w:link w:val="886"/>
    <w:rPr>
      <w:rFonts w:ascii="宋体" w:hAnsi="宋体" w:eastAsia="宋体"/>
      <w:sz w:val="24"/>
      <w:szCs w:val="24"/>
      <w:lang w:val="en-US" w:eastAsia="zh-CN" w:bidi="ar-SA"/>
    </w:rPr>
  </w:style>
  <w:style w:type="character" w:styleId="1077">
    <w:name w:val="正文文本 Char1"/>
    <w:next w:val="1077"/>
    <w:link w:val="886"/>
    <w:rPr>
      <w:sz w:val="21"/>
      <w:szCs w:val="24"/>
    </w:rPr>
  </w:style>
  <w:style w:type="character" w:styleId="1078">
    <w:name w:val="Char Char Char Char Char Char Char Char Char"/>
    <w:next w:val="1078"/>
    <w:link w:val="1079"/>
    <w:rPr>
      <w:rFonts w:ascii="Tahoma" w:hAnsi="Tahoma"/>
      <w:sz w:val="24"/>
    </w:rPr>
  </w:style>
  <w:style w:type="paragraph" w:styleId="1079">
    <w:name w:val="Char Char Char Char Char Char Char"/>
    <w:basedOn w:val="886"/>
    <w:next w:val="1079"/>
    <w:link w:val="1078"/>
    <w:pPr>
      <w:ind w:firstLine="480"/>
      <w:spacing w:line="360" w:lineRule="auto"/>
    </w:pPr>
    <w:rPr>
      <w:rFonts w:ascii="Tahoma" w:hAnsi="Tahoma"/>
      <w:sz w:val="24"/>
      <w:szCs w:val="20"/>
    </w:rPr>
  </w:style>
  <w:style w:type="character" w:styleId="1080">
    <w:name w:val="style2 style26"/>
    <w:next w:val="1080"/>
    <w:link w:val="886"/>
  </w:style>
  <w:style w:type="character" w:styleId="1081">
    <w:name w:val="lh201"/>
    <w:next w:val="1081"/>
    <w:link w:val="886"/>
    <w:rPr>
      <w:color w:val="666666"/>
    </w:rPr>
  </w:style>
  <w:style w:type="character" w:styleId="1082">
    <w:name w:val="正文缩进 Char1"/>
    <w:next w:val="1082"/>
    <w:link w:val="886"/>
    <w:rPr>
      <w:rFonts w:eastAsia="楷体_GB2312"/>
      <w:sz w:val="24"/>
      <w:lang w:bidi="ar-SA"/>
    </w:rPr>
  </w:style>
  <w:style w:type="character" w:styleId="1083">
    <w:name w:val="Char Char6"/>
    <w:next w:val="1083"/>
    <w:link w:val="886"/>
    <w:rPr>
      <w:rFonts w:eastAsia="宋体"/>
      <w:b/>
      <w:bCs/>
      <w:sz w:val="44"/>
      <w:szCs w:val="44"/>
      <w:lang w:val="en-US" w:eastAsia="zh-CN" w:bidi="ar-SA"/>
    </w:rPr>
  </w:style>
  <w:style w:type="paragraph" w:styleId="1084">
    <w:name w:val="_Style 253"/>
    <w:basedOn w:val="924"/>
    <w:next w:val="965"/>
    <w:link w:val="886"/>
    <w:qFormat/>
    <w:pPr>
      <w:ind w:left="420" w:firstLine="420"/>
      <w:spacing w:after="120" w:line="240" w:lineRule="auto"/>
    </w:pPr>
    <w:rPr>
      <w:rFonts w:ascii="Times New Roman" w:hAnsi="Times New Roman" w:eastAsia="宋体"/>
      <w:sz w:val="21"/>
      <w:szCs w:val="24"/>
    </w:rPr>
  </w:style>
  <w:style w:type="paragraph" w:styleId="1085">
    <w:name w:val="Char Char1 Char Char Char Char Char Char Char"/>
    <w:basedOn w:val="886"/>
    <w:next w:val="1085"/>
    <w:link w:val="886"/>
    <w:rPr>
      <w:rFonts w:ascii="Tahoma" w:hAnsi="Tahoma"/>
      <w:sz w:val="24"/>
      <w:szCs w:val="20"/>
    </w:rPr>
  </w:style>
  <w:style w:type="paragraph" w:styleId="1086">
    <w:name w:val="font12"/>
    <w:basedOn w:val="886"/>
    <w:next w:val="1086"/>
    <w:link w:val="886"/>
    <w:pPr>
      <w:jc w:val="left"/>
      <w:spacing w:before="100" w:beforeAutospacing="1" w:after="100" w:afterAutospacing="1"/>
      <w:widowControl/>
    </w:pPr>
    <w:rPr>
      <w:rFonts w:ascii="宋体" w:hAnsi="宋体" w:cs="宋体"/>
      <w:sz w:val="18"/>
      <w:szCs w:val="18"/>
    </w:rPr>
  </w:style>
  <w:style w:type="paragraph" w:styleId="1087">
    <w:name w:val="xl27"/>
    <w:basedOn w:val="886"/>
    <w:next w:val="1087"/>
    <w:link w:val="886"/>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rPr>
  </w:style>
  <w:style w:type="paragraph" w:styleId="1088">
    <w:name w:val="样式 标题 3h3H3sect1.2.3l3CT第二层条3rd level31.1.1BOD 0h31h..."/>
    <w:basedOn w:val="889"/>
    <w:next w:val="1088"/>
    <w:link w:val="886"/>
    <w:pPr>
      <w:spacing w:before="120" w:after="80" w:line="360" w:lineRule="auto"/>
    </w:pPr>
    <w:rPr>
      <w:rFonts w:ascii="Arial" w:hAnsi="Arial" w:eastAsia="黑体"/>
      <w:b w:val="0"/>
      <w:bCs w:val="0"/>
      <w:sz w:val="30"/>
      <w:szCs w:val="20"/>
    </w:rPr>
  </w:style>
  <w:style w:type="paragraph" w:styleId="1089">
    <w:name w:val="a0"/>
    <w:basedOn w:val="886"/>
    <w:next w:val="1089"/>
    <w:link w:val="886"/>
    <w:pPr>
      <w:jc w:val="left"/>
      <w:spacing w:before="100" w:beforeAutospacing="1" w:after="100" w:afterAutospacing="1"/>
      <w:widowControl/>
    </w:pPr>
    <w:rPr>
      <w:rFonts w:ascii="宋体" w:hAnsi="宋体" w:cs="宋体"/>
      <w:sz w:val="24"/>
    </w:rPr>
  </w:style>
  <w:style w:type="paragraph" w:styleId="1090">
    <w:name w:val="xl38"/>
    <w:basedOn w:val="886"/>
    <w:next w:val="1090"/>
    <w:link w:val="886"/>
    <w:pPr>
      <w:jc w:val="center"/>
      <w:spacing w:before="100" w:beforeAutospacing="1" w:after="100" w:afterAutospacing="1"/>
      <w:widowControl/>
      <w:pBdr>
        <w:left w:val="single" w:color="000000" w:sz="4" w:space="0"/>
        <w:right w:val="single" w:color="000000" w:sz="4" w:space="0"/>
      </w:pBdr>
    </w:pPr>
    <w:rPr>
      <w:rFonts w:ascii="宋体" w:hAnsi="宋体"/>
      <w:sz w:val="24"/>
    </w:rPr>
  </w:style>
  <w:style w:type="paragraph" w:styleId="1091">
    <w:name w:val="Char"/>
    <w:basedOn w:val="886"/>
    <w:next w:val="1091"/>
    <w:link w:val="886"/>
    <w:pPr>
      <w:ind w:left="495" w:hanging="495"/>
      <w:tabs>
        <w:tab w:val="left" w:pos="495" w:leader="none"/>
      </w:tabs>
    </w:pPr>
  </w:style>
  <w:style w:type="paragraph" w:styleId="1092">
    <w:name w:val="yehuda"/>
    <w:basedOn w:val="886"/>
    <w:next w:val="1092"/>
    <w:link w:val="886"/>
    <w:pPr>
      <w:widowControl/>
      <w:tabs>
        <w:tab w:val="left" w:pos="720" w:leader="none"/>
        <w:tab w:val="left" w:pos="1440" w:leader="none"/>
        <w:tab w:val="left" w:pos="2160" w:leader="none"/>
        <w:tab w:val="left" w:pos="2880" w:leader="none"/>
        <w:tab w:val="left" w:pos="3600" w:leader="none"/>
        <w:tab w:val="left" w:pos="4320" w:leader="none"/>
        <w:tab w:val="left" w:pos="5040" w:leader="none"/>
        <w:tab w:val="left" w:pos="5760" w:leader="none"/>
        <w:tab w:val="left" w:pos="6480" w:leader="none"/>
        <w:tab w:val="left" w:pos="7200" w:leader="none"/>
        <w:tab w:val="left" w:pos="7920" w:leader="none"/>
      </w:tabs>
    </w:pPr>
    <w:rPr>
      <w:sz w:val="24"/>
      <w:szCs w:val="20"/>
      <w:lang w:val="en-GB"/>
    </w:rPr>
  </w:style>
  <w:style w:type="paragraph" w:styleId="1093">
    <w:name w:val="xl71"/>
    <w:basedOn w:val="886"/>
    <w:next w:val="1093"/>
    <w:link w:val="886"/>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Microsoft Sans Serif" w:hAnsi="Microsoft Sans Serif" w:cs="Microsoft Sans Serif"/>
      <w:sz w:val="24"/>
    </w:rPr>
  </w:style>
  <w:style w:type="paragraph" w:styleId="1094">
    <w:name w:val="xl74"/>
    <w:basedOn w:val="886"/>
    <w:next w:val="1094"/>
    <w:link w:val="886"/>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cs="Arial"/>
      <w:szCs w:val="21"/>
    </w:rPr>
  </w:style>
  <w:style w:type="paragraph" w:styleId="1095">
    <w:name w:val="xl35"/>
    <w:basedOn w:val="886"/>
    <w:next w:val="1095"/>
    <w:link w:val="886"/>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sz w:val="24"/>
    </w:rPr>
  </w:style>
  <w:style w:type="paragraph" w:styleId="1096">
    <w:name w:val="Body Text1"/>
    <w:basedOn w:val="886"/>
    <w:next w:val="950"/>
    <w:link w:val="886"/>
    <w:pPr>
      <w:ind w:firstLine="480"/>
      <w:spacing w:line="360" w:lineRule="auto"/>
    </w:pPr>
    <w:rPr>
      <w:rFonts w:ascii="Arial" w:hAnsi="Arial"/>
      <w:sz w:val="24"/>
      <w:szCs w:val="20"/>
    </w:rPr>
  </w:style>
  <w:style w:type="paragraph" w:styleId="1097">
    <w:name w:val="标书正文"/>
    <w:basedOn w:val="922"/>
    <w:next w:val="1097"/>
    <w:link w:val="886"/>
    <w:pPr>
      <w:ind w:firstLine="200"/>
      <w:jc w:val="both"/>
      <w:spacing w:line="400" w:lineRule="exact"/>
      <w:widowControl/>
    </w:pPr>
    <w:rPr>
      <w:rFonts w:ascii="黑体" w:eastAsia="宋体"/>
      <w:position w:val="0"/>
      <w:sz w:val="24"/>
    </w:rPr>
  </w:style>
  <w:style w:type="paragraph" w:styleId="1098">
    <w:name w:val="表格标题"/>
    <w:basedOn w:val="1099"/>
    <w:next w:val="1098"/>
    <w:link w:val="886"/>
    <w:pPr>
      <w:jc w:val="center"/>
    </w:pPr>
    <w:rPr>
      <w:b/>
    </w:rPr>
  </w:style>
  <w:style w:type="paragraph" w:styleId="1099">
    <w:name w:val="表格正文"/>
    <w:basedOn w:val="886"/>
    <w:next w:val="1099"/>
    <w:link w:val="886"/>
    <w:pPr>
      <w:spacing w:line="240" w:lineRule="atLeast"/>
    </w:pPr>
    <w:rPr>
      <w:rFonts w:eastAsia="楷体_GB2312"/>
      <w:sz w:val="24"/>
      <w:szCs w:val="20"/>
    </w:rPr>
  </w:style>
  <w:style w:type="paragraph" w:styleId="1100">
    <w:name w:val="xl45"/>
    <w:basedOn w:val="886"/>
    <w:next w:val="1100"/>
    <w:link w:val="886"/>
    <w:pPr>
      <w:jc w:val="left"/>
      <w:spacing w:before="100" w:beforeAutospacing="1" w:after="100" w:afterAutospacing="1"/>
      <w:widowControl/>
    </w:pPr>
    <w:rPr>
      <w:rFonts w:hint="eastAsia" w:ascii="仿宋_GB2312" w:hAnsi="宋体" w:eastAsia="仿宋_GB2312"/>
      <w:sz w:val="24"/>
    </w:rPr>
  </w:style>
  <w:style w:type="paragraph" w:styleId="1101">
    <w:name w:val="xl25"/>
    <w:basedOn w:val="886"/>
    <w:next w:val="1101"/>
    <w:link w:val="886"/>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4"/>
    </w:rPr>
  </w:style>
  <w:style w:type="paragraph" w:styleId="1102">
    <w:name w:val="Plain Text2"/>
    <w:basedOn w:val="886"/>
    <w:next w:val="1102"/>
    <w:link w:val="886"/>
    <w:rPr>
      <w:rFonts w:ascii="宋体" w:hAnsi="Courier New" w:eastAsia="楷体_GB2312"/>
      <w:sz w:val="28"/>
      <w:szCs w:val="20"/>
    </w:rPr>
  </w:style>
  <w:style w:type="paragraph" w:styleId="1103">
    <w:name w:val="默认段落字体 Para Char Char Char Char Char Char Char Char Char1 Char Char Char Char Char Char Char"/>
    <w:basedOn w:val="915"/>
    <w:next w:val="1103"/>
    <w:link w:val="886"/>
    <w:rPr>
      <w:rFonts w:ascii="Tahoma" w:hAnsi="Tahoma"/>
      <w:sz w:val="24"/>
    </w:rPr>
  </w:style>
  <w:style w:type="paragraph" w:styleId="1104">
    <w:name w:val="样式 标题 4H4h4PIM 4第三层条bulletblbbheading 4 + Indent: Left 0..."/>
    <w:basedOn w:val="890"/>
    <w:next w:val="1105"/>
    <w:link w:val="886"/>
    <w:pPr>
      <w:ind w:left="360"/>
      <w:keepLines w:val="0"/>
      <w:keepNext w:val="0"/>
      <w:spacing w:line="360" w:lineRule="auto"/>
      <w:tabs>
        <w:tab w:val="left" w:pos="1800" w:leader="none"/>
      </w:tabs>
    </w:pPr>
    <w:rPr>
      <w:rFonts w:ascii="黑体" w:hAnsi="Times New Roman" w:eastAsia="黑体" w:cs="宋体"/>
      <w:szCs w:val="20"/>
    </w:rPr>
  </w:style>
  <w:style w:type="paragraph" w:styleId="1105">
    <w:name w:val="封面标题"/>
    <w:basedOn w:val="886"/>
    <w:next w:val="1105"/>
    <w:link w:val="886"/>
    <w:pPr>
      <w:jc w:val="center"/>
      <w:spacing w:line="360" w:lineRule="auto"/>
    </w:pPr>
    <w:rPr>
      <w:rFonts w:eastAsia="黑体"/>
      <w:b/>
      <w:bCs/>
      <w:sz w:val="52"/>
      <w:szCs w:val="48"/>
    </w:rPr>
  </w:style>
  <w:style w:type="paragraph" w:styleId="1106">
    <w:name w:val="xl41"/>
    <w:basedOn w:val="886"/>
    <w:next w:val="1106"/>
    <w:link w:val="886"/>
    <w:pPr>
      <w:jc w:val="left"/>
      <w:spacing w:before="100" w:beforeAutospacing="1" w:after="100" w:afterAutospacing="1"/>
      <w:widowControl/>
      <w:pBdr>
        <w:top w:val="single" w:color="000000" w:sz="4" w:space="0"/>
        <w:bottom w:val="single" w:color="000000" w:sz="4" w:space="0"/>
      </w:pBdr>
    </w:pPr>
    <w:rPr>
      <w:sz w:val="24"/>
    </w:rPr>
  </w:style>
  <w:style w:type="paragraph" w:styleId="1107">
    <w:name w:val="P3"/>
    <w:next w:val="1107"/>
    <w:link w:val="886"/>
    <w:pPr>
      <w:ind w:left="2880" w:hanging="576"/>
      <w:jc w:val="both"/>
      <w:spacing w:after="240" w:line="0" w:lineRule="atLeast"/>
      <w:widowControl w:val="off"/>
    </w:pPr>
    <w:rPr>
      <w:rFonts w:eastAsia="全真中明體"/>
      <w:spacing w:val="30"/>
      <w:sz w:val="24"/>
      <w:lang w:val="en-GB" w:eastAsia="zh-TW" w:bidi="ar-SA"/>
    </w:rPr>
  </w:style>
  <w:style w:type="paragraph" w:styleId="1108">
    <w:name w:val="项目编号A"/>
    <w:basedOn w:val="886"/>
    <w:next w:val="1108"/>
    <w:link w:val="886"/>
    <w:pPr>
      <w:ind w:left="959" w:hanging="420"/>
      <w:spacing w:line="360" w:lineRule="auto"/>
      <w:tabs>
        <w:tab w:val="left" w:pos="959" w:leader="none"/>
      </w:tabs>
    </w:pPr>
    <w:rPr>
      <w:rFonts w:ascii="Arial" w:hAnsi="Arial"/>
      <w:sz w:val="24"/>
      <w:szCs w:val="20"/>
    </w:rPr>
  </w:style>
  <w:style w:type="paragraph" w:styleId="1109">
    <w:name w:val="勾"/>
    <w:basedOn w:val="886"/>
    <w:next w:val="1109"/>
    <w:link w:val="886"/>
    <w:pPr>
      <w:ind w:left="960" w:hanging="960"/>
      <w:spacing w:line="360" w:lineRule="auto"/>
      <w:tabs>
        <w:tab w:val="left" w:pos="425" w:leader="none"/>
        <w:tab w:val="left" w:pos="960" w:leader="none"/>
      </w:tabs>
    </w:pPr>
    <w:rPr>
      <w:sz w:val="24"/>
      <w:szCs w:val="20"/>
    </w:rPr>
  </w:style>
  <w:style w:type="paragraph" w:styleId="1110">
    <w:name w:val="xl26"/>
    <w:basedOn w:val="886"/>
    <w:next w:val="1110"/>
    <w:link w:val="886"/>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rPr>
  </w:style>
  <w:style w:type="paragraph" w:styleId="1111">
    <w:name w:val="Char Char Char Char"/>
    <w:basedOn w:val="886"/>
    <w:next w:val="1111"/>
    <w:link w:val="886"/>
  </w:style>
  <w:style w:type="paragraph" w:styleId="1112">
    <w:name w:val="样式 仿宋_GB2312 四号 黑色 左 行距: 1.5 倍行距"/>
    <w:basedOn w:val="886"/>
    <w:next w:val="1112"/>
    <w:link w:val="886"/>
    <w:pPr>
      <w:jc w:val="left"/>
      <w:spacing w:line="360" w:lineRule="auto"/>
    </w:pPr>
    <w:rPr>
      <w:rFonts w:ascii="仿宋_GB2312" w:hAnsi="宋体" w:eastAsia="仿宋_GB2312"/>
      <w:color w:val="000000"/>
      <w:sz w:val="24"/>
      <w:szCs w:val="20"/>
    </w:rPr>
  </w:style>
  <w:style w:type="paragraph" w:styleId="1113">
    <w:name w:val="xl69"/>
    <w:basedOn w:val="886"/>
    <w:next w:val="1113"/>
    <w:link w:val="886"/>
    <w:pPr>
      <w:jc w:val="left"/>
      <w:spacing w:before="100" w:beforeAutospacing="1" w:after="100" w:afterAutospacing="1"/>
      <w:widowControl/>
    </w:pPr>
    <w:rPr>
      <w:rFonts w:ascii="Microsoft Sans Serif" w:hAnsi="Microsoft Sans Serif" w:cs="Microsoft Sans Serif"/>
      <w:sz w:val="24"/>
    </w:rPr>
  </w:style>
  <w:style w:type="paragraph" w:styleId="1114">
    <w:name w:val="xl52"/>
    <w:basedOn w:val="886"/>
    <w:next w:val="1114"/>
    <w:link w:val="886"/>
    <w:pPr>
      <w:jc w:val="center"/>
      <w:spacing w:before="100" w:beforeAutospacing="1" w:after="100" w:afterAutospacing="1"/>
      <w:widowControl/>
      <w:pBdr>
        <w:left w:val="single" w:color="000000" w:sz="4" w:space="0"/>
        <w:bottom w:val="single" w:color="000000" w:sz="4" w:space="0"/>
        <w:right w:val="single" w:color="000000" w:sz="4" w:space="0"/>
      </w:pBdr>
    </w:pPr>
    <w:rPr>
      <w:sz w:val="28"/>
      <w:szCs w:val="28"/>
    </w:rPr>
  </w:style>
  <w:style w:type="paragraph" w:styleId="1115">
    <w:name w:val="样式2"/>
    <w:basedOn w:val="892"/>
    <w:next w:val="1115"/>
    <w:link w:val="886"/>
    <w:pPr>
      <w:ind w:left="1080" w:hanging="1080"/>
      <w:spacing w:before="240" w:after="64" w:line="320" w:lineRule="auto"/>
      <w:tabs>
        <w:tab w:val="clear" w:pos="3578" w:leader="none"/>
      </w:tabs>
    </w:pPr>
    <w:rPr>
      <w:rFonts w:ascii="Arial" w:hAnsi="Arial" w:eastAsia="黑体"/>
      <w:sz w:val="24"/>
    </w:rPr>
  </w:style>
  <w:style w:type="paragraph" w:styleId="1116">
    <w:name w:val="正文_9"/>
    <w:next w:val="1116"/>
    <w:link w:val="886"/>
    <w:qFormat/>
    <w:pPr>
      <w:jc w:val="both"/>
      <w:widowControl w:val="off"/>
    </w:pPr>
    <w:rPr>
      <w:sz w:val="21"/>
      <w:szCs w:val="24"/>
      <w:lang w:val="en-US" w:eastAsia="zh-CN" w:bidi="ar-SA"/>
    </w:rPr>
  </w:style>
  <w:style w:type="paragraph" w:styleId="1117">
    <w:name w:val="Char Char Char"/>
    <w:basedOn w:val="886"/>
    <w:next w:val="1117"/>
    <w:link w:val="886"/>
    <w:pPr>
      <w:spacing w:line="360" w:lineRule="auto"/>
    </w:pPr>
    <w:rPr>
      <w:sz w:val="24"/>
      <w:szCs w:val="20"/>
    </w:rPr>
  </w:style>
  <w:style w:type="paragraph" w:styleId="1118">
    <w:name w:val="缩进正文"/>
    <w:basedOn w:val="886"/>
    <w:next w:val="1118"/>
    <w:link w:val="886"/>
    <w:pPr>
      <w:jc w:val="left"/>
      <w:spacing w:line="360" w:lineRule="auto"/>
      <w:widowControl/>
    </w:pPr>
    <w:rPr>
      <w:rFonts w:ascii="宋体"/>
      <w:sz w:val="24"/>
      <w:szCs w:val="20"/>
      <w:lang w:val="en-US" w:eastAsia="zh-CN"/>
    </w:rPr>
  </w:style>
  <w:style w:type="paragraph" w:styleId="1119">
    <w:name w:val="xl30"/>
    <w:basedOn w:val="886"/>
    <w:next w:val="1119"/>
    <w:link w:val="886"/>
    <w:pPr>
      <w:jc w:val="center"/>
      <w:spacing w:before="100" w:beforeAutospacing="1" w:after="100" w:afterAutospacing="1"/>
      <w:widowControl/>
      <w:pBdr>
        <w:left w:val="single" w:color="000000" w:sz="4" w:space="0"/>
        <w:bottom w:val="single" w:color="000000" w:sz="4" w:space="0"/>
        <w:right w:val="single" w:color="000000" w:sz="4" w:space="0"/>
      </w:pBdr>
    </w:pPr>
    <w:rPr>
      <w:sz w:val="24"/>
    </w:rPr>
  </w:style>
  <w:style w:type="paragraph" w:styleId="1120">
    <w:name w:val="样式 目录 3 + 左侧:  1.71 字符"/>
    <w:basedOn w:val="929"/>
    <w:next w:val="1120"/>
    <w:link w:val="886"/>
    <w:pPr>
      <w:ind w:left="480" w:firstLine="420"/>
      <w:tabs>
        <w:tab w:val="right" w:pos="8296" w:leader="dot"/>
      </w:tabs>
    </w:pPr>
    <w:rPr>
      <w:szCs w:val="20"/>
    </w:rPr>
  </w:style>
  <w:style w:type="paragraph" w:styleId="1121">
    <w:name w:val="xl42"/>
    <w:basedOn w:val="886"/>
    <w:next w:val="1121"/>
    <w:link w:val="886"/>
    <w:pPr>
      <w:jc w:val="left"/>
      <w:spacing w:before="100" w:beforeAutospacing="1" w:after="100" w:afterAutospacing="1"/>
      <w:widowControl/>
      <w:pBdr>
        <w:top w:val="single" w:color="000000" w:sz="4" w:space="0"/>
      </w:pBdr>
    </w:pPr>
    <w:rPr>
      <w:sz w:val="24"/>
    </w:rPr>
  </w:style>
  <w:style w:type="paragraph" w:styleId="1122">
    <w:name w:val="样式 四号 首行缩进:  2 字符"/>
    <w:basedOn w:val="886"/>
    <w:next w:val="1122"/>
    <w:link w:val="886"/>
    <w:pPr>
      <w:ind w:firstLine="560"/>
      <w:spacing w:line="360" w:lineRule="auto"/>
    </w:pPr>
    <w:rPr>
      <w:sz w:val="24"/>
      <w:szCs w:val="28"/>
    </w:rPr>
  </w:style>
  <w:style w:type="paragraph" w:styleId="1123">
    <w:name w:val="小点说明"/>
    <w:basedOn w:val="886"/>
    <w:next w:val="1123"/>
    <w:link w:val="886"/>
    <w:pPr>
      <w:ind w:left="360" w:firstLine="80"/>
      <w:spacing w:line="360" w:lineRule="auto"/>
      <w:tabs>
        <w:tab w:val="left" w:pos="392" w:leader="none"/>
      </w:tabs>
    </w:pPr>
    <w:rPr>
      <w:rFonts w:ascii="宋体" w:hAnsi="Arial"/>
      <w:szCs w:val="20"/>
    </w:rPr>
  </w:style>
  <w:style w:type="paragraph" w:styleId="1124">
    <w:name w:val="页眉文档编号"/>
    <w:next w:val="1124"/>
    <w:link w:val="886"/>
    <w:pPr>
      <w:jc w:val="center"/>
    </w:pPr>
    <w:rPr>
      <w:sz w:val="21"/>
      <w:lang w:val="en-US" w:eastAsia="zh-CN" w:bidi="ar-SA"/>
    </w:rPr>
  </w:style>
  <w:style w:type="paragraph" w:styleId="1125">
    <w:name w:val="xl50"/>
    <w:basedOn w:val="886"/>
    <w:next w:val="1125"/>
    <w:link w:val="886"/>
    <w:pPr>
      <w:jc w:val="center"/>
      <w:spacing w:before="100" w:beforeAutospacing="1" w:after="100" w:afterAutospacing="1"/>
      <w:widowControl/>
      <w:pBdr>
        <w:top w:val="single" w:color="000000" w:sz="4" w:space="0"/>
        <w:left w:val="single" w:color="000000" w:sz="4" w:space="0"/>
        <w:right w:val="single" w:color="000000" w:sz="4" w:space="0"/>
      </w:pBdr>
    </w:pPr>
    <w:rPr>
      <w:sz w:val="28"/>
      <w:szCs w:val="28"/>
    </w:rPr>
  </w:style>
  <w:style w:type="paragraph" w:styleId="1126">
    <w:name w:val="xl65"/>
    <w:basedOn w:val="886"/>
    <w:next w:val="1126"/>
    <w:link w:val="886"/>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Microsoft Sans Serif" w:hAnsi="Microsoft Sans Serif" w:cs="Microsoft Sans Serif"/>
      <w:color w:val="000000"/>
      <w:sz w:val="18"/>
      <w:szCs w:val="18"/>
    </w:rPr>
  </w:style>
  <w:style w:type="paragraph" w:styleId="1127">
    <w:name w:val="样式 仿宋_GB2312 四号 黑色 行距: 1.5 倍行距"/>
    <w:basedOn w:val="886"/>
    <w:next w:val="1127"/>
    <w:link w:val="886"/>
    <w:pPr>
      <w:ind w:firstLine="560"/>
      <w:spacing w:line="360" w:lineRule="auto"/>
    </w:pPr>
    <w:rPr>
      <w:rFonts w:ascii="仿宋_GB2312" w:hAnsi="宋体" w:eastAsia="仿宋_GB2312"/>
      <w:color w:val="000000"/>
      <w:sz w:val="24"/>
      <w:szCs w:val="20"/>
    </w:rPr>
  </w:style>
  <w:style w:type="paragraph" w:styleId="1128">
    <w:name w:val="样式 正文缩进 + 首行缩进:  2 字符"/>
    <w:basedOn w:val="906"/>
    <w:next w:val="1128"/>
    <w:link w:val="886"/>
    <w:pPr>
      <w:ind w:firstLine="480"/>
      <w:jc w:val="both"/>
      <w:spacing w:line="360" w:lineRule="auto"/>
    </w:pPr>
    <w:rPr>
      <w:rFonts w:eastAsia="宋体" w:cs="宋体"/>
    </w:rPr>
  </w:style>
  <w:style w:type="paragraph" w:styleId="1129">
    <w:name w:val="p0"/>
    <w:basedOn w:val="886"/>
    <w:next w:val="1129"/>
    <w:link w:val="886"/>
    <w:pPr>
      <w:jc w:val="left"/>
      <w:spacing w:before="100" w:beforeAutospacing="1" w:after="100" w:afterAutospacing="1"/>
      <w:widowControl/>
    </w:pPr>
    <w:rPr>
      <w:rFonts w:ascii="宋体" w:hAnsi="宋体" w:cs="宋体"/>
      <w:sz w:val="24"/>
    </w:rPr>
  </w:style>
  <w:style w:type="paragraph" w:styleId="1130">
    <w:name w:val="正文 New"/>
    <w:next w:val="1130"/>
    <w:link w:val="886"/>
    <w:qFormat/>
    <w:pPr>
      <w:jc w:val="both"/>
      <w:widowControl w:val="off"/>
    </w:pPr>
    <w:rPr>
      <w:sz w:val="21"/>
      <w:szCs w:val="24"/>
      <w:lang w:val="en-US" w:eastAsia="zh-CN" w:bidi="ar-SA"/>
    </w:rPr>
  </w:style>
  <w:style w:type="paragraph" w:styleId="1131">
    <w:name w:val="样式 样式 仿宋_GB2312 小三 + 首行缩进:  2 字符"/>
    <w:basedOn w:val="1132"/>
    <w:next w:val="1131"/>
    <w:link w:val="886"/>
    <w:pPr>
      <w:ind w:firstLine="0"/>
      <w:jc w:val="center"/>
      <w:spacing w:line="360" w:lineRule="auto"/>
    </w:pPr>
  </w:style>
  <w:style w:type="paragraph" w:styleId="1132">
    <w:name w:val="样式 仿宋_GB2312 小三"/>
    <w:basedOn w:val="886"/>
    <w:next w:val="1132"/>
    <w:link w:val="886"/>
    <w:pPr>
      <w:ind w:firstLine="600"/>
    </w:pPr>
    <w:rPr>
      <w:rFonts w:ascii="仿宋_GB2312" w:eastAsia="仿宋_GB2312"/>
      <w:sz w:val="24"/>
      <w:szCs w:val="20"/>
    </w:rPr>
  </w:style>
  <w:style w:type="paragraph" w:styleId="1133">
    <w:name w:val="样式 标题 4 + (西文) 宋体 小四"/>
    <w:basedOn w:val="886"/>
    <w:next w:val="1133"/>
    <w:link w:val="886"/>
    <w:pPr>
      <w:spacing w:line="360" w:lineRule="auto"/>
    </w:pPr>
    <w:rPr>
      <w:rFonts w:ascii="宋体" w:hAnsi="宋体" w:eastAsia="仿宋_GB2312"/>
      <w:sz w:val="24"/>
      <w:szCs w:val="20"/>
    </w:rPr>
  </w:style>
  <w:style w:type="paragraph" w:styleId="1134">
    <w:name w:val="图表题"/>
    <w:basedOn w:val="886"/>
    <w:next w:val="1134"/>
    <w:link w:val="886"/>
    <w:pPr>
      <w:jc w:val="center"/>
      <w:spacing w:line="400" w:lineRule="exact"/>
    </w:pPr>
    <w:rPr>
      <w:szCs w:val="20"/>
    </w:rPr>
  </w:style>
  <w:style w:type="paragraph" w:styleId="1135">
    <w:name w:val="Char Char Char Char Char Char Char Char Char Char"/>
    <w:basedOn w:val="886"/>
    <w:next w:val="1135"/>
    <w:link w:val="886"/>
    <w:pPr>
      <w:ind w:left="495" w:hanging="495"/>
      <w:tabs>
        <w:tab w:val="left" w:pos="495" w:leader="none"/>
      </w:tabs>
    </w:pPr>
    <w:rPr>
      <w:sz w:val="24"/>
    </w:rPr>
  </w:style>
  <w:style w:type="paragraph" w:styleId="1136">
    <w:name w:val="列出段落11"/>
    <w:basedOn w:val="886"/>
    <w:next w:val="1136"/>
    <w:link w:val="886"/>
    <w:uiPriority w:val="34"/>
    <w:qFormat/>
    <w:pPr>
      <w:ind w:firstLine="420"/>
    </w:pPr>
    <w:rPr>
      <w:rFonts w:ascii="Calibri" w:hAnsi="Calibri"/>
      <w:szCs w:val="22"/>
    </w:rPr>
  </w:style>
  <w:style w:type="paragraph" w:styleId="1137">
    <w:name w:val="Char Char1 Char Char Char Char Char Char Char Char Char Char Char Char Char Char Char"/>
    <w:basedOn w:val="886"/>
    <w:next w:val="1137"/>
    <w:link w:val="886"/>
    <w:pPr>
      <w:jc w:val="left"/>
      <w:spacing w:after="160" w:line="240" w:lineRule="exact"/>
      <w:widowControl/>
    </w:pPr>
    <w:rPr>
      <w:rFonts w:ascii="Verdana" w:hAnsi="Verdana"/>
      <w:sz w:val="20"/>
      <w:szCs w:val="20"/>
      <w:lang w:eastAsia="en-US"/>
    </w:rPr>
  </w:style>
  <w:style w:type="paragraph" w:styleId="1138">
    <w:name w:val="paragraph1"/>
    <w:basedOn w:val="886"/>
    <w:next w:val="1138"/>
    <w:link w:val="886"/>
    <w:pPr>
      <w:ind w:firstLine="480"/>
      <w:spacing w:line="360" w:lineRule="auto"/>
    </w:pPr>
    <w:rPr>
      <w:sz w:val="24"/>
    </w:rPr>
  </w:style>
  <w:style w:type="paragraph" w:styleId="1139">
    <w:name w:val="xl53"/>
    <w:basedOn w:val="886"/>
    <w:next w:val="1139"/>
    <w:link w:val="886"/>
    <w:pPr>
      <w:jc w:val="left"/>
      <w:spacing w:before="100" w:beforeAutospacing="1" w:after="100" w:afterAutospacing="1"/>
      <w:widowControl/>
      <w:pBdr>
        <w:left w:val="single" w:color="000000" w:sz="4" w:space="0"/>
        <w:right w:val="single" w:color="000000" w:sz="4" w:space="0"/>
      </w:pBdr>
    </w:pPr>
    <w:rPr>
      <w:rFonts w:hint="eastAsia" w:ascii="楷体_GB2312" w:hAnsi="宋体" w:eastAsia="楷体_GB2312"/>
      <w:sz w:val="22"/>
      <w:szCs w:val="22"/>
    </w:rPr>
  </w:style>
  <w:style w:type="paragraph" w:styleId="1140">
    <w:name w:val="msonormalcxsplast"/>
    <w:basedOn w:val="886"/>
    <w:next w:val="1140"/>
    <w:link w:val="886"/>
    <w:pPr>
      <w:jc w:val="left"/>
      <w:widowControl/>
    </w:pPr>
    <w:rPr>
      <w:rFonts w:ascii="宋体" w:hAnsi="宋体" w:cs="宋体"/>
      <w:sz w:val="24"/>
    </w:rPr>
  </w:style>
  <w:style w:type="paragraph" w:styleId="1141">
    <w:name w:val="样式 仿宋_GB2312 四号 黑色 行距: 1.5 倍行距2"/>
    <w:basedOn w:val="886"/>
    <w:next w:val="1141"/>
    <w:link w:val="886"/>
    <w:pPr>
      <w:spacing w:line="360" w:lineRule="auto"/>
    </w:pPr>
    <w:rPr>
      <w:rFonts w:ascii="仿宋_GB2312" w:eastAsia="仿宋_GB2312"/>
      <w:color w:val="000000"/>
      <w:sz w:val="24"/>
      <w:szCs w:val="20"/>
    </w:rPr>
  </w:style>
  <w:style w:type="paragraph" w:styleId="1142">
    <w:name w:val="样式4"/>
    <w:basedOn w:val="886"/>
    <w:next w:val="1142"/>
    <w:link w:val="886"/>
    <w:pPr>
      <w:ind w:left="420" w:hanging="420"/>
      <w:spacing w:line="360" w:lineRule="auto"/>
      <w:tabs>
        <w:tab w:val="left" w:pos="420" w:leader="none"/>
      </w:tabs>
    </w:pPr>
    <w:rPr>
      <w:sz w:val="24"/>
    </w:rPr>
  </w:style>
  <w:style w:type="paragraph" w:styleId="1143">
    <w:name w:val="xl28"/>
    <w:basedOn w:val="886"/>
    <w:next w:val="1143"/>
    <w:link w:val="886"/>
    <w:pPr>
      <w:jc w:val="left"/>
      <w:spacing w:before="100" w:beforeAutospacing="1" w:after="100" w:afterAutospacing="1"/>
      <w:widowControl/>
    </w:pPr>
    <w:rPr>
      <w:sz w:val="24"/>
    </w:rPr>
  </w:style>
  <w:style w:type="paragraph" w:styleId="1144">
    <w:name w:val="样式 标题 1 + (西文) 宋体 小四"/>
    <w:basedOn w:val="887"/>
    <w:next w:val="1144"/>
    <w:link w:val="886"/>
    <w:pPr>
      <w:outlineLvl w:val="9"/>
    </w:pPr>
    <w:rPr>
      <w:rFonts w:ascii="宋体" w:hAnsi="宋体" w:eastAsia="宋体"/>
      <w:sz w:val="24"/>
    </w:rPr>
  </w:style>
  <w:style w:type="paragraph" w:styleId="1145">
    <w:name w:val="xl49"/>
    <w:basedOn w:val="886"/>
    <w:next w:val="1145"/>
    <w:link w:val="886"/>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8"/>
      <w:szCs w:val="28"/>
    </w:rPr>
  </w:style>
  <w:style w:type="paragraph" w:styleId="1146">
    <w:name w:val="表文字"/>
    <w:next w:val="1146"/>
    <w:link w:val="886"/>
    <w:rPr>
      <w:rFonts w:ascii="宋体"/>
      <w:lang w:val="en-US" w:eastAsia="zh-CN" w:bidi="ar-SA"/>
    </w:rPr>
  </w:style>
  <w:style w:type="paragraph" w:styleId="1147">
    <w:name w:val="正文(首行缩进)"/>
    <w:next w:val="1147"/>
    <w:link w:val="886"/>
    <w:pPr>
      <w:ind w:firstLine="420"/>
      <w:jc w:val="both"/>
      <w:spacing w:line="360" w:lineRule="auto"/>
    </w:pPr>
    <w:rPr>
      <w:rFonts w:ascii="宋体" w:hAnsi="宋体"/>
      <w:sz w:val="24"/>
      <w:szCs w:val="24"/>
      <w:lang w:val="en-US" w:eastAsia="zh-CN" w:bidi="ar-SA"/>
    </w:rPr>
  </w:style>
  <w:style w:type="paragraph" w:styleId="1148">
    <w:name w:val="Ｃ"/>
    <w:basedOn w:val="886"/>
    <w:next w:val="1148"/>
    <w:link w:val="886"/>
    <w:pPr>
      <w:ind w:right="210"/>
      <w:jc w:val="center"/>
      <w:keepNext/>
      <w:spacing w:line="0" w:lineRule="atLeast"/>
      <w:widowControl/>
    </w:pPr>
    <w:rPr>
      <w:rFonts w:ascii="宋体"/>
      <w:sz w:val="16"/>
      <w:szCs w:val="20"/>
    </w:rPr>
  </w:style>
  <w:style w:type="paragraph" w:styleId="1149">
    <w:name w:val="6"/>
    <w:basedOn w:val="886"/>
    <w:next w:val="922"/>
    <w:link w:val="886"/>
    <w:pPr>
      <w:spacing w:after="120"/>
    </w:pPr>
  </w:style>
  <w:style w:type="paragraph" w:styleId="1150">
    <w:name w:val="样式 标题4 + &amp;#23435.&amp;#20307. 五号 段前: 自动 段后: 自动"/>
    <w:basedOn w:val="906"/>
    <w:next w:val="1150"/>
    <w:link w:val="886"/>
    <w:pPr>
      <w:ind w:firstLine="200"/>
      <w:spacing w:line="360" w:lineRule="auto"/>
      <w:widowControl/>
    </w:pPr>
    <w:rPr>
      <w:rFonts w:ascii="&amp;#23435;&amp;#20307;" w:hAnsi="&amp;#23435;&amp;#20307;" w:eastAsia="宋体"/>
      <w:color w:val="000000"/>
    </w:rPr>
  </w:style>
  <w:style w:type="paragraph" w:styleId="1151">
    <w:name w:val="_Style 50"/>
    <w:basedOn w:val="886"/>
    <w:next w:val="930"/>
    <w:link w:val="886"/>
    <w:pPr>
      <w:spacing w:line="360" w:lineRule="auto"/>
    </w:pPr>
    <w:rPr>
      <w:rFonts w:ascii="宋体" w:hAnsi="Courier New"/>
      <w:szCs w:val="20"/>
    </w:rPr>
  </w:style>
  <w:style w:type="paragraph" w:styleId="1152">
    <w:name w:val="修订"/>
    <w:next w:val="1152"/>
    <w:link w:val="886"/>
    <w:uiPriority w:val="99"/>
    <w:semiHidden/>
    <w:rPr>
      <w:sz w:val="21"/>
      <w:szCs w:val="24"/>
      <w:lang w:val="en-US" w:eastAsia="zh-CN" w:bidi="ar-SA"/>
    </w:rPr>
  </w:style>
  <w:style w:type="paragraph" w:styleId="1153">
    <w:name w:val="font6"/>
    <w:basedOn w:val="886"/>
    <w:next w:val="1153"/>
    <w:link w:val="886"/>
    <w:pPr>
      <w:jc w:val="left"/>
      <w:spacing w:before="100" w:beforeAutospacing="1" w:after="100" w:afterAutospacing="1"/>
      <w:widowControl/>
    </w:pPr>
    <w:rPr>
      <w:rFonts w:hint="eastAsia" w:ascii="宋体" w:hAnsi="宋体"/>
      <w:sz w:val="18"/>
      <w:szCs w:val="18"/>
    </w:rPr>
  </w:style>
  <w:style w:type="paragraph" w:styleId="1154">
    <w:name w:val="段落缩进2 小四"/>
    <w:basedOn w:val="886"/>
    <w:next w:val="1154"/>
    <w:link w:val="886"/>
    <w:pPr>
      <w:ind w:firstLine="480"/>
      <w:spacing w:line="360" w:lineRule="auto"/>
      <w:tabs>
        <w:tab w:val="left" w:pos="1800" w:leader="none"/>
      </w:tabs>
    </w:pPr>
    <w:rPr>
      <w:rFonts w:ascii="宋体" w:hAnsi="宋体"/>
      <w:sz w:val="24"/>
    </w:rPr>
  </w:style>
  <w:style w:type="paragraph" w:styleId="1155">
    <w:name w:val="正文文字"/>
    <w:basedOn w:val="886"/>
    <w:next w:val="1155"/>
    <w:link w:val="886"/>
    <w:pPr>
      <w:spacing w:line="300" w:lineRule="auto"/>
    </w:pPr>
    <w:rPr>
      <w:szCs w:val="20"/>
    </w:rPr>
  </w:style>
  <w:style w:type="paragraph" w:styleId="1156">
    <w:name w:val="chen"/>
    <w:basedOn w:val="950"/>
    <w:next w:val="1156"/>
    <w:link w:val="886"/>
    <w:pPr>
      <w:ind w:left="0" w:right="26" w:firstLine="480"/>
      <w:jc w:val="left"/>
      <w:spacing w:after="0"/>
      <w:tabs>
        <w:tab w:val="left" w:pos="7440" w:leader="none"/>
      </w:tabs>
    </w:pPr>
    <w:rPr>
      <w:rFonts w:ascii="楷体_GB2312" w:eastAsia="楷体_GB2312"/>
      <w:spacing w:val="4"/>
      <w:sz w:val="24"/>
      <w:szCs w:val="20"/>
    </w:rPr>
  </w:style>
  <w:style w:type="paragraph" w:styleId="1157">
    <w:name w:val="样式 标题 5H5h5Second Subheadingdashdsdddash1ds1dd1dash2d..."/>
    <w:basedOn w:val="891"/>
    <w:next w:val="1157"/>
    <w:link w:val="886"/>
    <w:pPr>
      <w:keepLines w:val="0"/>
      <w:keepNext w:val="0"/>
      <w:spacing w:line="360" w:lineRule="auto"/>
      <w:tabs>
        <w:tab w:val="left" w:pos="1800" w:leader="none"/>
      </w:tabs>
    </w:pPr>
    <w:rPr>
      <w:rFonts w:ascii="黑体" w:hAnsi="Times New Roman" w:eastAsia="黑体" w:cs="宋体"/>
      <w:sz w:val="24"/>
      <w:szCs w:val="20"/>
    </w:rPr>
  </w:style>
  <w:style w:type="paragraph" w:styleId="1158">
    <w:name w:val="t14black"/>
    <w:basedOn w:val="886"/>
    <w:next w:val="1158"/>
    <w:link w:val="886"/>
    <w:pPr>
      <w:jc w:val="left"/>
      <w:spacing w:before="100" w:beforeAutospacing="1" w:after="100" w:afterAutospacing="1"/>
      <w:widowControl/>
    </w:pPr>
    <w:rPr>
      <w:rFonts w:ascii="宋体" w:hAnsi="宋体"/>
      <w:sz w:val="24"/>
    </w:rPr>
  </w:style>
  <w:style w:type="paragraph" w:styleId="1159">
    <w:name w:val="Plain Text"/>
    <w:basedOn w:val="886"/>
    <w:next w:val="1159"/>
    <w:link w:val="886"/>
    <w:rPr>
      <w:rFonts w:hint="eastAsia" w:ascii="宋体" w:hAnsi="Courier New" w:eastAsia="楷体_GB2312"/>
      <w:sz w:val="28"/>
      <w:szCs w:val="20"/>
    </w:rPr>
  </w:style>
  <w:style w:type="paragraph" w:styleId="1160">
    <w:name w:val="font8"/>
    <w:basedOn w:val="886"/>
    <w:next w:val="1160"/>
    <w:link w:val="886"/>
    <w:pPr>
      <w:jc w:val="left"/>
      <w:spacing w:before="100" w:beforeAutospacing="1" w:after="100" w:afterAutospacing="1"/>
      <w:widowControl/>
    </w:pPr>
    <w:rPr>
      <w:rFonts w:hint="eastAsia" w:ascii="楷体_GB2312" w:hAnsi="宋体" w:eastAsia="楷体_GB2312"/>
      <w:color w:val="0000ff"/>
      <w:sz w:val="22"/>
      <w:szCs w:val="22"/>
    </w:rPr>
  </w:style>
  <w:style w:type="paragraph" w:styleId="1161">
    <w:name w:val="P1"/>
    <w:next w:val="1161"/>
    <w:link w:val="886"/>
    <w:pPr>
      <w:ind w:left="2304" w:hanging="576"/>
      <w:jc w:val="both"/>
      <w:spacing w:after="240" w:line="0" w:lineRule="atLeast"/>
      <w:widowControl w:val="off"/>
    </w:pPr>
    <w:rPr>
      <w:rFonts w:eastAsia="全真中明體"/>
      <w:spacing w:val="30"/>
      <w:sz w:val="24"/>
      <w:lang w:val="en-GB" w:eastAsia="zh-TW" w:bidi="ar-SA"/>
    </w:rPr>
  </w:style>
  <w:style w:type="paragraph" w:styleId="1162">
    <w:name w:val="xl76"/>
    <w:basedOn w:val="886"/>
    <w:next w:val="1162"/>
    <w:link w:val="886"/>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Microsoft Sans Serif" w:hAnsi="Microsoft Sans Serif" w:cs="Microsoft Sans Serif"/>
      <w:b/>
      <w:bCs/>
      <w:color w:val="000000"/>
      <w:sz w:val="24"/>
    </w:rPr>
  </w:style>
  <w:style w:type="paragraph" w:styleId="1163">
    <w:name w:val="def正文"/>
    <w:basedOn w:val="922"/>
    <w:next w:val="1163"/>
    <w:link w:val="886"/>
    <w:pPr>
      <w:ind w:firstLine="562"/>
      <w:jc w:val="both"/>
      <w:spacing w:line="360" w:lineRule="auto"/>
      <w:widowControl/>
    </w:pPr>
    <w:rPr>
      <w:rFonts w:ascii="楷体_GB2312" w:eastAsia="楷体_GB2312"/>
      <w:b/>
      <w:position w:val="0"/>
      <w:sz w:val="28"/>
      <w:szCs w:val="28"/>
    </w:rPr>
  </w:style>
  <w:style w:type="paragraph" w:styleId="1164">
    <w:name w:val="列出段落1"/>
    <w:basedOn w:val="886"/>
    <w:next w:val="1164"/>
    <w:link w:val="886"/>
    <w:uiPriority w:val="34"/>
    <w:qFormat/>
    <w:pPr>
      <w:ind w:firstLine="420"/>
    </w:pPr>
    <w:rPr>
      <w:rFonts w:ascii="宋体" w:hAnsi="宋体"/>
      <w:sz w:val="24"/>
    </w:rPr>
  </w:style>
  <w:style w:type="paragraph" w:styleId="1165">
    <w:name w:val="xl59"/>
    <w:basedOn w:val="886"/>
    <w:next w:val="1165"/>
    <w:link w:val="886"/>
    <w:pPr>
      <w:jc w:val="center"/>
      <w:spacing w:before="100" w:beforeAutospacing="1" w:after="100" w:afterAutospacing="1"/>
      <w:widowControl/>
      <w:pBdr>
        <w:left w:val="single" w:color="000000" w:sz="8" w:space="0"/>
        <w:right w:val="single" w:color="000000" w:sz="8" w:space="0"/>
      </w:pBdr>
    </w:pPr>
    <w:rPr>
      <w:rFonts w:ascii="Arial Unicode MS" w:hAnsi="Arial Unicode MS" w:eastAsia="Arial Unicode MS"/>
      <w:sz w:val="24"/>
    </w:rPr>
  </w:style>
  <w:style w:type="paragraph" w:styleId="1166">
    <w:name w:val="xl39"/>
    <w:basedOn w:val="886"/>
    <w:next w:val="1166"/>
    <w:link w:val="886"/>
    <w:pPr>
      <w:jc w:val="left"/>
      <w:spacing w:before="100" w:beforeAutospacing="1" w:after="100" w:afterAutospacing="1"/>
      <w:widowControl/>
      <w:pBdr>
        <w:bottom w:val="single" w:color="000000" w:sz="4" w:space="0"/>
      </w:pBdr>
    </w:pPr>
    <w:rPr>
      <w:rFonts w:ascii="宋体" w:hAnsi="宋体"/>
      <w:sz w:val="24"/>
    </w:rPr>
  </w:style>
  <w:style w:type="paragraph" w:styleId="1167">
    <w:name w:val="xl72"/>
    <w:basedOn w:val="886"/>
    <w:next w:val="1167"/>
    <w:link w:val="886"/>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Microsoft Sans Serif" w:hAnsi="Microsoft Sans Serif" w:cs="Microsoft Sans Serif"/>
      <w:sz w:val="24"/>
    </w:rPr>
  </w:style>
  <w:style w:type="paragraph" w:styleId="1168">
    <w:name w:val="样式 目录 4 +"/>
    <w:basedOn w:val="944"/>
    <w:next w:val="1168"/>
    <w:link w:val="886"/>
    <w:pPr>
      <w:ind w:left="200" w:firstLine="400"/>
      <w:jc w:val="left"/>
      <w:tabs>
        <w:tab w:val="right" w:pos="8302" w:leader="dot"/>
      </w:tabs>
    </w:pPr>
    <w:rPr>
      <w:rFonts w:ascii="Times New Roman" w:hAnsi="Times New Roman"/>
      <w:sz w:val="24"/>
      <w:szCs w:val="20"/>
      <w:lang w:val="en-US" w:eastAsia="zh-CN"/>
    </w:rPr>
  </w:style>
  <w:style w:type="paragraph" w:styleId="1169">
    <w:name w:val="标头1"/>
    <w:basedOn w:val="889"/>
    <w:next w:val="1169"/>
    <w:link w:val="886"/>
    <w:pPr>
      <w:spacing w:before="120" w:after="80" w:line="240" w:lineRule="auto"/>
    </w:pPr>
    <w:rPr>
      <w:rFonts w:eastAsia="黑体"/>
      <w:b w:val="0"/>
      <w:bCs w:val="0"/>
      <w:sz w:val="28"/>
      <w:szCs w:val="20"/>
    </w:rPr>
  </w:style>
  <w:style w:type="paragraph" w:styleId="1170">
    <w:name w:val="正文1"/>
    <w:basedOn w:val="886"/>
    <w:next w:val="886"/>
    <w:link w:val="886"/>
    <w:qFormat/>
    <w:pPr>
      <w:ind w:left="420" w:firstLine="527"/>
      <w:spacing w:before="120" w:line="360" w:lineRule="auto"/>
    </w:pPr>
    <w:rPr>
      <w:rFonts w:ascii="宋体" w:hAnsi="宋体"/>
    </w:rPr>
  </w:style>
  <w:style w:type="paragraph" w:styleId="1171">
    <w:name w:val="tytytyty"/>
    <w:basedOn w:val="886"/>
    <w:next w:val="1171"/>
    <w:link w:val="886"/>
    <w:pPr>
      <w:ind w:left="359" w:firstLine="480"/>
      <w:spacing w:line="360" w:lineRule="auto"/>
    </w:pPr>
    <w:rPr>
      <w:sz w:val="24"/>
      <w:lang w:eastAsia="ar-SA"/>
    </w:rPr>
  </w:style>
  <w:style w:type="paragraph" w:styleId="1172">
    <w:name w:val="notice2"/>
    <w:basedOn w:val="886"/>
    <w:next w:val="1172"/>
    <w:link w:val="886"/>
    <w:pPr>
      <w:jc w:val="left"/>
      <w:spacing w:after="150"/>
      <w:widowControl/>
    </w:pPr>
    <w:rPr>
      <w:rFonts w:ascii="宋体" w:hAnsi="宋体" w:cs="宋体"/>
      <w:color w:val="339900"/>
      <w:sz w:val="24"/>
    </w:rPr>
  </w:style>
  <w:style w:type="paragraph" w:styleId="1173">
    <w:name w:val="摘要"/>
    <w:basedOn w:val="886"/>
    <w:next w:val="888"/>
    <w:link w:val="886"/>
    <w:pPr>
      <w:spacing w:line="360" w:lineRule="auto"/>
    </w:pPr>
    <w:rPr>
      <w:rFonts w:eastAsia="黑体"/>
      <w:sz w:val="24"/>
      <w:szCs w:val="20"/>
    </w:rPr>
  </w:style>
  <w:style w:type="paragraph" w:styleId="1174">
    <w:name w:val="xl40"/>
    <w:basedOn w:val="886"/>
    <w:next w:val="1174"/>
    <w:link w:val="886"/>
    <w:pPr>
      <w:jc w:val="left"/>
      <w:spacing w:before="100" w:beforeAutospacing="1" w:after="100" w:afterAutospacing="1"/>
      <w:widowControl/>
      <w:pBdr>
        <w:bottom w:val="single" w:color="000000" w:sz="4" w:space="0"/>
      </w:pBdr>
    </w:pPr>
    <w:rPr>
      <w:sz w:val="24"/>
    </w:rPr>
  </w:style>
  <w:style w:type="paragraph" w:styleId="1175">
    <w:name w:val="para1"/>
    <w:basedOn w:val="886"/>
    <w:next w:val="1175"/>
    <w:link w:val="886"/>
    <w:pPr>
      <w:jc w:val="left"/>
      <w:spacing w:before="100" w:beforeAutospacing="1" w:after="100" w:afterAutospacing="1"/>
      <w:widowControl/>
    </w:pPr>
    <w:rPr>
      <w:rFonts w:ascii="宋体" w:hAnsi="宋体" w:cs="宋体"/>
      <w:sz w:val="24"/>
    </w:rPr>
  </w:style>
  <w:style w:type="paragraph" w:styleId="1176">
    <w:name w:val="font0"/>
    <w:basedOn w:val="886"/>
    <w:next w:val="1176"/>
    <w:link w:val="886"/>
    <w:pPr>
      <w:jc w:val="left"/>
      <w:spacing w:before="100" w:beforeAutospacing="1" w:after="100" w:afterAutospacing="1"/>
      <w:widowControl/>
    </w:pPr>
    <w:rPr>
      <w:rFonts w:hint="eastAsia" w:ascii="宋体" w:hAnsi="宋体"/>
      <w:sz w:val="24"/>
    </w:rPr>
  </w:style>
  <w:style w:type="paragraph" w:styleId="1177">
    <w:name w:val="xl51"/>
    <w:basedOn w:val="886"/>
    <w:next w:val="1177"/>
    <w:link w:val="886"/>
    <w:pPr>
      <w:jc w:val="center"/>
      <w:spacing w:before="100" w:beforeAutospacing="1" w:after="100" w:afterAutospacing="1"/>
      <w:widowControl/>
      <w:pBdr>
        <w:left w:val="single" w:color="000000" w:sz="4" w:space="0"/>
        <w:right w:val="single" w:color="000000" w:sz="4" w:space="0"/>
      </w:pBdr>
    </w:pPr>
    <w:rPr>
      <w:sz w:val="28"/>
      <w:szCs w:val="28"/>
    </w:rPr>
  </w:style>
  <w:style w:type="paragraph" w:styleId="1178">
    <w:name w:val="样式6"/>
    <w:basedOn w:val="889"/>
    <w:next w:val="1178"/>
    <w:link w:val="886"/>
    <w:pPr>
      <w:ind w:left="567" w:hanging="567"/>
      <w:jc w:val="left"/>
      <w:spacing w:before="240" w:after="240" w:line="345" w:lineRule="auto"/>
      <w:tabs>
        <w:tab w:val="left" w:pos="567" w:leader="none"/>
      </w:tabs>
    </w:pPr>
    <w:rPr>
      <w:b w:val="0"/>
      <w:bCs w:val="0"/>
      <w:sz w:val="30"/>
      <w:szCs w:val="30"/>
    </w:rPr>
  </w:style>
  <w:style w:type="paragraph" w:styleId="1179">
    <w:name w:val="纯文本11"/>
    <w:basedOn w:val="886"/>
    <w:next w:val="1179"/>
    <w:link w:val="886"/>
    <w:qFormat/>
    <w:pPr>
      <w:jc w:val="left"/>
      <w:widowControl/>
    </w:pPr>
    <w:rPr>
      <w:rFonts w:ascii="宋体" w:hAnsi="Courier New" w:eastAsia="楷体_GB2312"/>
      <w:sz w:val="26"/>
      <w:szCs w:val="20"/>
    </w:rPr>
  </w:style>
  <w:style w:type="paragraph" w:styleId="1180">
    <w:name w:val="xl54"/>
    <w:basedOn w:val="886"/>
    <w:next w:val="1180"/>
    <w:link w:val="886"/>
    <w:pPr>
      <w:jc w:val="center"/>
      <w:spacing w:before="100" w:beforeAutospacing="1" w:after="100" w:afterAutospacing="1"/>
      <w:widowControl/>
    </w:pPr>
    <w:rPr>
      <w:rFonts w:hint="eastAsia" w:ascii="隶书" w:hAnsi="宋体" w:eastAsia="隶书"/>
      <w:sz w:val="48"/>
      <w:szCs w:val="48"/>
    </w:rPr>
  </w:style>
  <w:style w:type="paragraph" w:styleId="1181">
    <w:name w:val="style1style2"/>
    <w:basedOn w:val="886"/>
    <w:next w:val="1181"/>
    <w:link w:val="886"/>
    <w:pPr>
      <w:jc w:val="left"/>
      <w:spacing w:before="100" w:beforeAutospacing="1" w:after="100" w:afterAutospacing="1"/>
      <w:widowControl/>
    </w:pPr>
    <w:rPr>
      <w:rFonts w:ascii="宋体" w:hAnsi="宋体" w:cs="宋体"/>
      <w:sz w:val="24"/>
    </w:rPr>
  </w:style>
  <w:style w:type="paragraph" w:styleId="1182">
    <w:name w:val="xl29"/>
    <w:basedOn w:val="886"/>
    <w:next w:val="1182"/>
    <w:link w:val="886"/>
    <w:pPr>
      <w:jc w:val="center"/>
      <w:spacing w:before="100" w:beforeAutospacing="1" w:after="100" w:afterAutospacing="1"/>
      <w:widowControl/>
      <w:pBdr>
        <w:top w:val="single" w:color="000000" w:sz="4" w:space="0"/>
        <w:left w:val="single" w:color="000000" w:sz="4" w:space="0"/>
        <w:right w:val="single" w:color="000000" w:sz="4" w:space="0"/>
      </w:pBdr>
    </w:pPr>
    <w:rPr>
      <w:sz w:val="24"/>
    </w:rPr>
  </w:style>
  <w:style w:type="paragraph" w:styleId="1183">
    <w:name w:val="小标题 1"/>
    <w:basedOn w:val="886"/>
    <w:next w:val="1183"/>
    <w:link w:val="886"/>
    <w:pPr>
      <w:spacing w:line="360" w:lineRule="atLeast"/>
    </w:pPr>
    <w:rPr>
      <w:rFonts w:ascii="文鼎粗黑" w:eastAsia="文鼎粗黑"/>
      <w:sz w:val="22"/>
      <w:szCs w:val="20"/>
    </w:rPr>
  </w:style>
  <w:style w:type="paragraph" w:styleId="1184">
    <w:name w:val="Char1"/>
    <w:basedOn w:val="886"/>
    <w:next w:val="1184"/>
    <w:link w:val="886"/>
    <w:pPr>
      <w:jc w:val="left"/>
      <w:spacing w:after="160" w:line="240" w:lineRule="exact"/>
      <w:widowControl/>
    </w:pPr>
    <w:rPr>
      <w:rFonts w:ascii="Verdana" w:hAnsi="Verdana"/>
      <w:sz w:val="20"/>
      <w:szCs w:val="20"/>
      <w:lang w:eastAsia="en-US"/>
    </w:rPr>
  </w:style>
  <w:style w:type="paragraph" w:styleId="1185">
    <w:name w:val="样式 样式 标题 4H4Ref Heading 1rh1Heading sqlsect 1.2.3.4h4PIM 4b... +..."/>
    <w:basedOn w:val="886"/>
    <w:next w:val="1185"/>
    <w:link w:val="886"/>
    <w:pPr>
      <w:keepNext/>
      <w:spacing w:before="360" w:after="240" w:line="300" w:lineRule="auto"/>
      <w:tabs>
        <w:tab w:val="left" w:pos="3085" w:leader="none"/>
      </w:tabs>
      <w:outlineLvl w:val="3"/>
    </w:pPr>
    <w:rPr>
      <w:rFonts w:ascii="宋体" w:hAnsi="宋体"/>
      <w:b/>
      <w:szCs w:val="20"/>
    </w:rPr>
  </w:style>
  <w:style w:type="paragraph" w:styleId="1186">
    <w:name w:val="普文W"/>
    <w:basedOn w:val="930"/>
    <w:next w:val="1186"/>
    <w:link w:val="886"/>
    <w:pPr>
      <w:spacing w:before="120" w:after="120" w:line="360" w:lineRule="auto"/>
    </w:pPr>
    <w:rPr>
      <w:rFonts w:eastAsia="宋体"/>
      <w:sz w:val="24"/>
    </w:rPr>
  </w:style>
  <w:style w:type="paragraph" w:styleId="1187">
    <w:name w:val="样式 样式 样式 标题 3sect1.2.3h3H3l3CTl3+toc 3heading 3Sub-section Tit....."/>
    <w:basedOn w:val="1188"/>
    <w:next w:val="1187"/>
    <w:link w:val="886"/>
    <w:pPr>
      <w:spacing w:before="468" w:after="312"/>
      <w:tabs>
        <w:tab w:val="left" w:pos="1800" w:leader="none"/>
      </w:tabs>
    </w:pPr>
  </w:style>
  <w:style w:type="paragraph" w:styleId="1188">
    <w:name w:val="样式 样式 标题 3sect1.2.3h3H3l3CTl3+toc 3heading 3Sub-section Tit... +..."/>
    <w:basedOn w:val="886"/>
    <w:next w:val="1188"/>
    <w:link w:val="886"/>
    <w:pPr>
      <w:spacing w:line="412" w:lineRule="auto"/>
      <w:tabs>
        <w:tab w:val="left" w:pos="1800" w:leader="none"/>
      </w:tabs>
      <w:outlineLvl w:val="2"/>
    </w:pPr>
    <w:rPr>
      <w:rFonts w:eastAsia="黑体" w:cs="宋体"/>
      <w:b/>
      <w:bCs/>
      <w:sz w:val="30"/>
      <w:szCs w:val="20"/>
    </w:rPr>
  </w:style>
  <w:style w:type="paragraph" w:styleId="1189">
    <w:name w:val="样式 样式 首行缩进:  2 字符 + 首行缩进:  2 字符"/>
    <w:basedOn w:val="886"/>
    <w:next w:val="1189"/>
    <w:link w:val="886"/>
    <w:pPr>
      <w:ind w:firstLine="420"/>
      <w:spacing w:line="360" w:lineRule="auto"/>
      <w:tabs>
        <w:tab w:val="left" w:pos="1800" w:leader="none"/>
      </w:tabs>
    </w:pPr>
    <w:rPr>
      <w:rFonts w:cs="宋体"/>
      <w:sz w:val="24"/>
      <w:szCs w:val="20"/>
    </w:rPr>
  </w:style>
  <w:style w:type="paragraph" w:styleId="1190">
    <w:name w:val="xl37"/>
    <w:basedOn w:val="886"/>
    <w:next w:val="1190"/>
    <w:link w:val="886"/>
    <w:pPr>
      <w:jc w:val="left"/>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rPr>
  </w:style>
  <w:style w:type="paragraph" w:styleId="1191">
    <w:name w:val="华宇段落1 Char"/>
    <w:basedOn w:val="886"/>
    <w:next w:val="1191"/>
    <w:link w:val="886"/>
    <w:pPr>
      <w:ind w:firstLine="200"/>
      <w:spacing w:line="360" w:lineRule="auto"/>
    </w:pPr>
    <w:rPr>
      <w:sz w:val="24"/>
      <w:szCs w:val="20"/>
    </w:rPr>
  </w:style>
  <w:style w:type="paragraph" w:styleId="1192">
    <w:name w:val="xl77"/>
    <w:basedOn w:val="886"/>
    <w:next w:val="1192"/>
    <w:link w:val="886"/>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4"/>
    </w:rPr>
  </w:style>
  <w:style w:type="paragraph" w:styleId="1193">
    <w:name w:val="标题 4宋体"/>
    <w:basedOn w:val="890"/>
    <w:next w:val="1193"/>
    <w:link w:val="886"/>
    <w:pPr>
      <w:jc w:val="left"/>
      <w:keepLines w:val="0"/>
      <w:spacing w:before="0" w:after="0" w:line="360" w:lineRule="auto"/>
    </w:pPr>
    <w:rPr>
      <w:rFonts w:ascii="宋体" w:hAnsi="宋体"/>
      <w:color w:val="000000"/>
      <w:sz w:val="24"/>
      <w:szCs w:val="20"/>
    </w:rPr>
  </w:style>
  <w:style w:type="paragraph" w:styleId="1194">
    <w:name w:val="body4"/>
    <w:basedOn w:val="886"/>
    <w:next w:val="891"/>
    <w:link w:val="886"/>
    <w:pPr>
      <w:ind w:left="3960" w:firstLine="22"/>
      <w:jc w:val="left"/>
      <w:widowControl/>
    </w:pPr>
    <w:rPr>
      <w:rFonts w:ascii="仿宋_GB2312" w:eastAsia="仿宋_GB2312"/>
      <w:sz w:val="28"/>
      <w:szCs w:val="20"/>
    </w:rPr>
  </w:style>
  <w:style w:type="paragraph" w:styleId="1195">
    <w:name w:val="公司名称"/>
    <w:basedOn w:val="886"/>
    <w:next w:val="1195"/>
    <w:link w:val="886"/>
    <w:pPr>
      <w:jc w:val="center"/>
      <w:spacing w:line="360" w:lineRule="auto"/>
      <w:tabs>
        <w:tab w:val="left" w:pos="540" w:leader="none"/>
      </w:tabs>
    </w:pPr>
    <w:rPr>
      <w:rFonts w:eastAsia="黑体"/>
      <w:b/>
      <w:sz w:val="32"/>
      <w:szCs w:val="48"/>
    </w:rPr>
  </w:style>
  <w:style w:type="paragraph" w:styleId="1196">
    <w:name w:val="南通方案正文"/>
    <w:basedOn w:val="886"/>
    <w:next w:val="1196"/>
    <w:link w:val="886"/>
    <w:pPr>
      <w:ind w:firstLine="480"/>
      <w:spacing w:line="360" w:lineRule="auto"/>
    </w:pPr>
    <w:rPr>
      <w:rFonts w:cs="宋体"/>
      <w:sz w:val="24"/>
      <w:szCs w:val="20"/>
    </w:rPr>
  </w:style>
  <w:style w:type="paragraph" w:styleId="1197">
    <w:name w:val="pa-1"/>
    <w:basedOn w:val="886"/>
    <w:next w:val="1197"/>
    <w:link w:val="886"/>
    <w:pPr>
      <w:jc w:val="left"/>
      <w:spacing w:before="150" w:after="150"/>
      <w:widowControl/>
    </w:pPr>
    <w:rPr>
      <w:rFonts w:ascii="宋体" w:hAnsi="宋体" w:cs="宋体"/>
      <w:sz w:val="24"/>
    </w:rPr>
  </w:style>
  <w:style w:type="paragraph" w:styleId="1198">
    <w:name w:val="列项——（一级）"/>
    <w:next w:val="1198"/>
    <w:link w:val="886"/>
    <w:pPr>
      <w:ind w:left="420" w:hanging="420"/>
      <w:jc w:val="both"/>
      <w:widowControl w:val="off"/>
      <w:tabs>
        <w:tab w:val="left" w:pos="420" w:leader="none"/>
        <w:tab w:val="left" w:pos="900" w:leader="none"/>
      </w:tabs>
    </w:pPr>
    <w:rPr>
      <w:rFonts w:ascii="宋体"/>
      <w:sz w:val="21"/>
      <w:lang w:val="en-US" w:eastAsia="zh-CN" w:bidi="ar-SA"/>
    </w:rPr>
  </w:style>
  <w:style w:type="paragraph" w:styleId="1199">
    <w:name w:val="xl70"/>
    <w:basedOn w:val="886"/>
    <w:next w:val="1199"/>
    <w:link w:val="886"/>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200">
    <w:name w:val="样式 标题 5 + 加粗 左侧:  0 厘米 悬挂缩进: 10.08 字符 行距: 1.5 倍行距"/>
    <w:basedOn w:val="891"/>
    <w:next w:val="1200"/>
    <w:link w:val="886"/>
    <w:pPr>
      <w:ind w:left="1008" w:hanging="1008"/>
      <w:spacing w:before="120" w:after="120" w:line="360" w:lineRule="auto"/>
    </w:pPr>
    <w:rPr>
      <w:rFonts w:ascii="Arial" w:hAnsi="Arial" w:eastAsia="黑体"/>
      <w:b w:val="0"/>
      <w:bCs w:val="0"/>
      <w:sz w:val="24"/>
      <w:szCs w:val="20"/>
    </w:rPr>
  </w:style>
  <w:style w:type="paragraph" w:styleId="1201">
    <w:name w:val="默认段落字体 Para Char Char Char Char Char Char Char"/>
    <w:basedOn w:val="886"/>
    <w:next w:val="1201"/>
    <w:link w:val="886"/>
    <w:rPr>
      <w:rFonts w:ascii="Tahoma" w:hAnsi="Tahoma"/>
      <w:sz w:val="24"/>
      <w:szCs w:val="20"/>
    </w:rPr>
  </w:style>
  <w:style w:type="paragraph" w:styleId="1202">
    <w:name w:val="Char2"/>
    <w:basedOn w:val="886"/>
    <w:next w:val="1202"/>
    <w:link w:val="886"/>
    <w:rPr>
      <w:rFonts w:ascii="Tahoma" w:hAnsi="Tahoma"/>
      <w:sz w:val="24"/>
      <w:szCs w:val="20"/>
    </w:rPr>
  </w:style>
  <w:style w:type="paragraph" w:styleId="1203">
    <w:name w:val="xl68"/>
    <w:basedOn w:val="886"/>
    <w:next w:val="1203"/>
    <w:link w:val="886"/>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Microsoft Sans Serif" w:hAnsi="Microsoft Sans Serif" w:cs="Microsoft Sans Serif"/>
      <w:sz w:val="24"/>
    </w:rPr>
  </w:style>
  <w:style w:type="paragraph" w:styleId="1204">
    <w:name w:val="样式 宋体 四号 行距: 固定值 25 磅1"/>
    <w:basedOn w:val="886"/>
    <w:next w:val="1204"/>
    <w:link w:val="886"/>
    <w:pPr>
      <w:ind w:left="960" w:hanging="960"/>
      <w:spacing w:line="500" w:lineRule="exact"/>
      <w:tabs>
        <w:tab w:val="left" w:pos="720" w:leader="none"/>
        <w:tab w:val="left" w:pos="960" w:leader="none"/>
      </w:tabs>
    </w:pPr>
    <w:rPr>
      <w:rFonts w:hAnsi="宋体" w:cs="宋体"/>
      <w:sz w:val="28"/>
      <w:szCs w:val="20"/>
    </w:rPr>
  </w:style>
  <w:style w:type="paragraph" w:styleId="1205">
    <w:name w:val="xl33"/>
    <w:basedOn w:val="886"/>
    <w:next w:val="1205"/>
    <w:link w:val="886"/>
    <w:pPr>
      <w:jc w:val="center"/>
      <w:spacing w:before="100" w:beforeAutospacing="1" w:after="100" w:afterAutospacing="1"/>
      <w:widowControl/>
    </w:pPr>
    <w:rPr>
      <w:sz w:val="24"/>
    </w:rPr>
  </w:style>
  <w:style w:type="paragraph" w:styleId="1206">
    <w:name w:val="有符号正文"/>
    <w:basedOn w:val="886"/>
    <w:next w:val="1206"/>
    <w:link w:val="886"/>
    <w:pPr>
      <w:ind w:firstLine="200"/>
      <w:spacing w:line="400" w:lineRule="exact"/>
    </w:pPr>
    <w:rPr>
      <w:rFonts w:ascii="Arial" w:hAnsi="Arial"/>
    </w:rPr>
  </w:style>
  <w:style w:type="paragraph" w:styleId="1207">
    <w:name w:val="_Style 104"/>
    <w:basedOn w:val="886"/>
    <w:next w:val="1207"/>
    <w:link w:val="886"/>
    <w:pPr>
      <w:spacing w:after="160" w:line="240" w:lineRule="exact"/>
    </w:pPr>
    <w:rPr>
      <w:szCs w:val="20"/>
    </w:rPr>
  </w:style>
  <w:style w:type="paragraph" w:styleId="1208">
    <w:name w:val="正文缩进2"/>
    <w:basedOn w:val="886"/>
    <w:next w:val="1208"/>
    <w:link w:val="886"/>
    <w:pPr>
      <w:ind w:firstLine="480"/>
      <w:spacing w:line="360" w:lineRule="auto"/>
    </w:pPr>
    <w:rPr>
      <w:sz w:val="24"/>
      <w:szCs w:val="20"/>
    </w:rPr>
  </w:style>
  <w:style w:type="paragraph" w:styleId="1209">
    <w:name w:val="正文段"/>
    <w:basedOn w:val="886"/>
    <w:next w:val="1209"/>
    <w:link w:val="886"/>
    <w:pPr>
      <w:ind w:firstLine="454"/>
      <w:spacing w:after="240" w:line="360" w:lineRule="atLeast"/>
      <w:widowControl/>
    </w:pPr>
    <w:rPr>
      <w:rFonts w:ascii="宋体"/>
      <w:sz w:val="24"/>
      <w:szCs w:val="20"/>
    </w:rPr>
  </w:style>
  <w:style w:type="paragraph" w:styleId="1210">
    <w:name w:val="列出段落"/>
    <w:basedOn w:val="886"/>
    <w:next w:val="1210"/>
    <w:link w:val="1211"/>
    <w:uiPriority w:val="34"/>
    <w:qFormat/>
    <w:pPr>
      <w:ind w:firstLine="420"/>
    </w:pPr>
    <w:rPr>
      <w:rFonts w:ascii="Calibri" w:hAnsi="Calibri"/>
      <w:szCs w:val="22"/>
    </w:rPr>
  </w:style>
  <w:style w:type="character" w:styleId="1211">
    <w:name w:val="列出段落 Char"/>
    <w:next w:val="1211"/>
    <w:link w:val="1210"/>
    <w:uiPriority w:val="34"/>
    <w:qFormat/>
    <w:rPr>
      <w:rFonts w:ascii="Calibri" w:hAnsi="Calibri"/>
      <w:sz w:val="21"/>
      <w:szCs w:val="22"/>
    </w:rPr>
  </w:style>
  <w:style w:type="paragraph" w:styleId="1212">
    <w:name w:val="xl43"/>
    <w:basedOn w:val="886"/>
    <w:next w:val="1212"/>
    <w:link w:val="886"/>
    <w:pPr>
      <w:jc w:val="center"/>
      <w:spacing w:before="100" w:beforeAutospacing="1" w:after="100" w:afterAutospacing="1"/>
      <w:widowControl/>
    </w:pPr>
    <w:rPr>
      <w:rFonts w:ascii="宋体" w:hAnsi="宋体"/>
      <w:b/>
      <w:bCs/>
      <w:sz w:val="32"/>
      <w:szCs w:val="32"/>
    </w:rPr>
  </w:style>
  <w:style w:type="paragraph" w:styleId="1213">
    <w:name w:val="xl66"/>
    <w:basedOn w:val="886"/>
    <w:next w:val="1213"/>
    <w:link w:val="886"/>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Microsoft Sans Serif" w:hAnsi="Microsoft Sans Serif" w:cs="Microsoft Sans Serif"/>
      <w:color w:val="000000"/>
      <w:sz w:val="18"/>
      <w:szCs w:val="18"/>
    </w:rPr>
  </w:style>
  <w:style w:type="paragraph" w:styleId="1214">
    <w:name w:val="font9"/>
    <w:basedOn w:val="886"/>
    <w:next w:val="1214"/>
    <w:link w:val="886"/>
    <w:pPr>
      <w:jc w:val="left"/>
      <w:spacing w:before="100" w:beforeAutospacing="1" w:after="100" w:afterAutospacing="1"/>
      <w:widowControl/>
    </w:pPr>
    <w:rPr>
      <w:rFonts w:ascii="宋体" w:hAnsi="宋体" w:cs="宋体"/>
      <w:color w:val="000000"/>
      <w:sz w:val="18"/>
      <w:szCs w:val="18"/>
    </w:rPr>
  </w:style>
  <w:style w:type="paragraph" w:styleId="1215">
    <w:name w:val="次小点说明"/>
    <w:basedOn w:val="886"/>
    <w:next w:val="1215"/>
    <w:link w:val="886"/>
    <w:pPr>
      <w:ind w:left="625" w:hanging="425"/>
      <w:spacing w:line="360" w:lineRule="auto"/>
      <w:tabs>
        <w:tab w:val="left" w:pos="425" w:leader="none"/>
      </w:tabs>
    </w:pPr>
  </w:style>
  <w:style w:type="paragraph" w:styleId="1216">
    <w:name w:val="默认段落字体 Para Char Char Char"/>
    <w:basedOn w:val="886"/>
    <w:next w:val="1216"/>
    <w:link w:val="886"/>
    <w:pPr>
      <w:ind w:firstLine="200"/>
      <w:spacing w:line="360" w:lineRule="auto"/>
    </w:pPr>
  </w:style>
  <w:style w:type="paragraph" w:styleId="1217">
    <w:name w:val="样式 标题 2H2 + 宋体 小三"/>
    <w:basedOn w:val="888"/>
    <w:next w:val="1217"/>
    <w:link w:val="886"/>
    <w:pPr>
      <w:jc w:val="center"/>
      <w:spacing w:before="156" w:after="20" w:line="360" w:lineRule="auto"/>
    </w:pPr>
    <w:rPr>
      <w:rFonts w:ascii="宋体" w:hAnsi="宋体" w:eastAsia="幼圆"/>
      <w:bCs w:val="0"/>
      <w:sz w:val="52"/>
      <w:szCs w:val="20"/>
    </w:rPr>
  </w:style>
  <w:style w:type="paragraph" w:styleId="1218">
    <w:name w:val="正文文本 21"/>
    <w:basedOn w:val="886"/>
    <w:next w:val="1218"/>
    <w:link w:val="886"/>
    <w:pPr>
      <w:ind w:firstLine="480"/>
      <w:jc w:val="left"/>
      <w:spacing w:line="400" w:lineRule="exact"/>
    </w:pPr>
    <w:rPr>
      <w:rFonts w:ascii="仿宋_GB2312" w:eastAsia="仿宋_GB2312"/>
      <w:sz w:val="24"/>
      <w:szCs w:val="20"/>
    </w:rPr>
  </w:style>
  <w:style w:type="paragraph" w:styleId="1219">
    <w:name w:val="FP-Title2"/>
    <w:next w:val="1219"/>
    <w:link w:val="886"/>
    <w:pPr>
      <w:spacing w:before="240" w:after="60"/>
    </w:pPr>
    <w:rPr>
      <w:rFonts w:ascii="Arial" w:hAnsi="Arial"/>
      <w:b/>
      <w:sz w:val="24"/>
      <w:lang w:val="en-GB" w:eastAsia="en-US" w:bidi="ar-SA"/>
    </w:rPr>
  </w:style>
  <w:style w:type="paragraph" w:styleId="1220">
    <w:name w:val="方案文档"/>
    <w:basedOn w:val="886"/>
    <w:next w:val="1220"/>
    <w:link w:val="886"/>
    <w:pPr>
      <w:ind w:firstLine="225"/>
      <w:spacing w:before="120" w:after="120" w:line="360" w:lineRule="auto"/>
    </w:pPr>
    <w:rPr>
      <w:rFonts w:ascii="Arial" w:hAnsi="Arial"/>
      <w:sz w:val="24"/>
      <w:szCs w:val="20"/>
    </w:rPr>
  </w:style>
  <w:style w:type="paragraph" w:styleId="1221">
    <w:name w:val="纯文本2"/>
    <w:basedOn w:val="886"/>
    <w:next w:val="1221"/>
    <w:link w:val="886"/>
    <w:qFormat/>
    <w:rPr>
      <w:rFonts w:ascii="宋体" w:hAnsi="Courier New" w:eastAsia="楷体_GB2312"/>
      <w:sz w:val="26"/>
      <w:szCs w:val="20"/>
    </w:rPr>
  </w:style>
  <w:style w:type="paragraph" w:styleId="1222">
    <w:name w:val="正文4"/>
    <w:basedOn w:val="886"/>
    <w:next w:val="1222"/>
    <w:link w:val="886"/>
    <w:pPr>
      <w:ind w:firstLine="480"/>
      <w:spacing w:line="360" w:lineRule="auto"/>
    </w:pPr>
    <w:rPr>
      <w:rFonts w:ascii="宋体" w:hAnsi="宋体"/>
      <w:sz w:val="24"/>
    </w:rPr>
  </w:style>
  <w:style w:type="paragraph" w:styleId="1223">
    <w:name w:val="样式 段落缩进2 小四 + 段前: 15.6 磅"/>
    <w:basedOn w:val="1154"/>
    <w:next w:val="1223"/>
    <w:link w:val="886"/>
    <w:pPr>
      <w:spacing w:before="312"/>
      <w:tabs>
        <w:tab w:val="left" w:pos="1800" w:leader="none"/>
      </w:tabs>
    </w:pPr>
    <w:rPr>
      <w:szCs w:val="20"/>
    </w:rPr>
  </w:style>
  <w:style w:type="paragraph" w:styleId="1224">
    <w:name w:val="font11"/>
    <w:basedOn w:val="886"/>
    <w:next w:val="1224"/>
    <w:link w:val="886"/>
    <w:pPr>
      <w:jc w:val="left"/>
      <w:spacing w:before="100" w:beforeAutospacing="1" w:after="100" w:afterAutospacing="1"/>
      <w:widowControl/>
    </w:pPr>
    <w:rPr>
      <w:rFonts w:ascii="宋体" w:hAnsi="宋体" w:cs="宋体"/>
      <w:color w:val="000000"/>
      <w:sz w:val="18"/>
      <w:szCs w:val="18"/>
    </w:rPr>
  </w:style>
  <w:style w:type="paragraph" w:styleId="1225">
    <w:name w:val="Char Char Char Char Char Char Char Char Char Char Char Char Char Char Char Char"/>
    <w:basedOn w:val="886"/>
    <w:next w:val="1225"/>
    <w:link w:val="886"/>
    <w:rPr>
      <w:rFonts w:ascii="仿宋_GB2312" w:eastAsia="仿宋_GB2312"/>
      <w:b/>
      <w:sz w:val="28"/>
      <w:szCs w:val="20"/>
    </w:rPr>
  </w:style>
  <w:style w:type="paragraph" w:styleId="1226">
    <w:name w:val="正文文本 Char Char"/>
    <w:basedOn w:val="886"/>
    <w:next w:val="1226"/>
    <w:link w:val="886"/>
    <w:pPr>
      <w:jc w:val="center"/>
    </w:pPr>
    <w:rPr>
      <w:szCs w:val="20"/>
    </w:rPr>
  </w:style>
  <w:style w:type="paragraph" w:styleId="1227">
    <w:name w:val="样式 目录 3 + 左侧:  1.71 字符1"/>
    <w:basedOn w:val="929"/>
    <w:next w:val="1227"/>
    <w:link w:val="886"/>
    <w:pPr>
      <w:ind w:left="200" w:firstLine="200"/>
      <w:tabs>
        <w:tab w:val="right" w:pos="8296" w:leader="dot"/>
      </w:tabs>
    </w:pPr>
    <w:rPr>
      <w:szCs w:val="20"/>
    </w:rPr>
  </w:style>
  <w:style w:type="paragraph" w:styleId="1228">
    <w:name w:val="xl73"/>
    <w:basedOn w:val="886"/>
    <w:next w:val="1228"/>
    <w:link w:val="886"/>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18"/>
      <w:szCs w:val="18"/>
    </w:rPr>
  </w:style>
  <w:style w:type="paragraph" w:styleId="1229">
    <w:name w:val="Default Paragraph Font Para Char Char Char Char Char Char"/>
    <w:basedOn w:val="886"/>
    <w:next w:val="1229"/>
    <w:link w:val="886"/>
    <w:pPr>
      <w:jc w:val="left"/>
      <w:spacing w:after="160" w:line="240" w:lineRule="exact"/>
      <w:widowControl/>
    </w:pPr>
    <w:rPr>
      <w:rFonts w:ascii="Verdana" w:hAnsi="Verdana"/>
      <w:sz w:val="20"/>
      <w:szCs w:val="20"/>
      <w:lang w:eastAsia="en-US"/>
    </w:rPr>
  </w:style>
  <w:style w:type="paragraph" w:styleId="1230">
    <w:name w:val="Char Char Char1 Char"/>
    <w:basedOn w:val="886"/>
    <w:next w:val="1230"/>
    <w:link w:val="886"/>
    <w:pPr>
      <w:jc w:val="left"/>
      <w:spacing w:line="240" w:lineRule="exact"/>
      <w:widowControl/>
    </w:pPr>
    <w:rPr>
      <w:rFonts w:ascii="Verdana" w:hAnsi="Verdana"/>
      <w:sz w:val="20"/>
      <w:szCs w:val="20"/>
      <w:lang w:eastAsia="en-US"/>
    </w:rPr>
  </w:style>
  <w:style w:type="paragraph" w:styleId="1231">
    <w:name w:val="xl44"/>
    <w:basedOn w:val="886"/>
    <w:next w:val="1231"/>
    <w:link w:val="886"/>
    <w:pPr>
      <w:jc w:val="left"/>
      <w:spacing w:before="100" w:beforeAutospacing="1" w:after="100" w:afterAutospacing="1"/>
      <w:widowControl/>
    </w:pPr>
    <w:rPr>
      <w:sz w:val="24"/>
    </w:rPr>
  </w:style>
  <w:style w:type="paragraph" w:styleId="1232">
    <w:name w:val="图表"/>
    <w:basedOn w:val="886"/>
    <w:next w:val="1233"/>
    <w:link w:val="886"/>
    <w:pPr>
      <w:ind w:left="-420" w:right="-1349"/>
      <w:jc w:val="center"/>
      <w:spacing w:before="120" w:line="240" w:lineRule="atLeast"/>
    </w:pPr>
    <w:rPr>
      <w:rFonts w:ascii="宋体" w:hAnsi="Arial"/>
      <w:sz w:val="28"/>
      <w:szCs w:val="20"/>
      <w:lang w:val="en-US" w:eastAsia="zh-CN"/>
    </w:rPr>
  </w:style>
  <w:style w:type="paragraph" w:styleId="1233">
    <w:name w:val="图表说明"/>
    <w:basedOn w:val="886"/>
    <w:next w:val="886"/>
    <w:link w:val="886"/>
    <w:pPr>
      <w:ind w:left="-420" w:right="-1349"/>
      <w:jc w:val="center"/>
      <w:spacing w:after="120" w:line="240" w:lineRule="atLeast"/>
    </w:pPr>
    <w:rPr>
      <w:rFonts w:ascii="Arial" w:hAnsi="Arial" w:eastAsia="楷体_GB2312"/>
      <w:sz w:val="24"/>
      <w:szCs w:val="20"/>
    </w:rPr>
  </w:style>
  <w:style w:type="paragraph" w:styleId="1234">
    <w:name w:val="Blockquote"/>
    <w:basedOn w:val="886"/>
    <w:next w:val="1234"/>
    <w:link w:val="886"/>
    <w:pPr>
      <w:ind w:left="360" w:right="360"/>
      <w:jc w:val="left"/>
      <w:spacing w:before="100" w:after="100"/>
    </w:pPr>
    <w:rPr>
      <w:sz w:val="24"/>
      <w:szCs w:val="21"/>
    </w:rPr>
  </w:style>
  <w:style w:type="paragraph" w:styleId="1235">
    <w:name w:val="大标题"/>
    <w:basedOn w:val="886"/>
    <w:next w:val="1235"/>
    <w:link w:val="886"/>
    <w:pPr>
      <w:jc w:val="center"/>
    </w:pPr>
    <w:rPr>
      <w:rFonts w:eastAsia="黑体" w:cs="宋体"/>
      <w:sz w:val="44"/>
      <w:szCs w:val="20"/>
    </w:rPr>
  </w:style>
  <w:style w:type="paragraph" w:styleId="1236">
    <w:name w:val="FA正文"/>
    <w:basedOn w:val="886"/>
    <w:next w:val="1236"/>
    <w:link w:val="886"/>
    <w:pPr>
      <w:spacing w:line="360" w:lineRule="auto"/>
    </w:pPr>
    <w:rPr>
      <w:sz w:val="24"/>
      <w:szCs w:val="21"/>
    </w:rPr>
  </w:style>
  <w:style w:type="paragraph" w:styleId="1237">
    <w:name w:val="Plain Text1"/>
    <w:basedOn w:val="886"/>
    <w:next w:val="1237"/>
    <w:link w:val="886"/>
    <w:rPr>
      <w:rFonts w:ascii="宋体" w:hAnsi="Courier New" w:eastAsia="楷体_GB2312" w:cs="宋体"/>
      <w:sz w:val="26"/>
      <w:szCs w:val="26"/>
    </w:rPr>
  </w:style>
  <w:style w:type="paragraph" w:styleId="1238">
    <w:name w:val="font10"/>
    <w:basedOn w:val="886"/>
    <w:next w:val="1238"/>
    <w:link w:val="886"/>
    <w:pPr>
      <w:jc w:val="left"/>
      <w:spacing w:before="100" w:beforeAutospacing="1" w:after="100" w:afterAutospacing="1"/>
      <w:widowControl/>
    </w:pPr>
    <w:rPr>
      <w:rFonts w:ascii="宋体" w:hAnsi="宋体" w:cs="宋体"/>
      <w:szCs w:val="21"/>
    </w:rPr>
  </w:style>
  <w:style w:type="paragraph" w:styleId="1239">
    <w:name w:val="font5"/>
    <w:basedOn w:val="886"/>
    <w:next w:val="1239"/>
    <w:link w:val="886"/>
    <w:pPr>
      <w:jc w:val="left"/>
      <w:spacing w:before="100" w:beforeAutospacing="1" w:after="100" w:afterAutospacing="1"/>
      <w:widowControl/>
    </w:pPr>
    <w:rPr>
      <w:rFonts w:hint="eastAsia" w:ascii="宋体" w:hAnsi="宋体"/>
      <w:sz w:val="24"/>
    </w:rPr>
  </w:style>
  <w:style w:type="paragraph" w:styleId="1240">
    <w:name w:val="正文(标书)"/>
    <w:basedOn w:val="906"/>
    <w:next w:val="1240"/>
    <w:link w:val="886"/>
    <w:pPr>
      <w:ind w:firstLine="510"/>
      <w:spacing w:before="40" w:line="360" w:lineRule="auto"/>
    </w:pPr>
    <w:rPr>
      <w:rFonts w:ascii="宋体" w:eastAsia="宋体"/>
    </w:rPr>
  </w:style>
  <w:style w:type="paragraph" w:styleId="1241">
    <w:name w:val="List Paragraph"/>
    <w:basedOn w:val="886"/>
    <w:next w:val="1241"/>
    <w:link w:val="886"/>
    <w:qFormat/>
    <w:pPr>
      <w:ind w:firstLine="420"/>
    </w:pPr>
    <w:rPr>
      <w:szCs w:val="20"/>
    </w:rPr>
  </w:style>
  <w:style w:type="paragraph" w:styleId="1242">
    <w:name w:val="样式 纯文本 + 仿宋_GB2312 黑色 行距: 1.5 倍行距1"/>
    <w:basedOn w:val="930"/>
    <w:next w:val="1242"/>
    <w:link w:val="886"/>
    <w:pPr>
      <w:ind w:firstLine="560"/>
      <w:spacing w:line="360" w:lineRule="auto"/>
    </w:pPr>
    <w:rPr>
      <w:rFonts w:ascii="仿宋_GB2312" w:hAnsi="宋体" w:eastAsia="仿宋_GB2312"/>
      <w:color w:val="000000"/>
      <w:sz w:val="24"/>
    </w:rPr>
  </w:style>
  <w:style w:type="paragraph" w:styleId="1243">
    <w:name w:val="msonormalcxspmiddle"/>
    <w:basedOn w:val="886"/>
    <w:next w:val="1243"/>
    <w:link w:val="886"/>
    <w:pPr>
      <w:jc w:val="left"/>
      <w:widowControl/>
    </w:pPr>
    <w:rPr>
      <w:rFonts w:ascii="宋体" w:hAnsi="宋体" w:cs="宋体"/>
      <w:sz w:val="24"/>
    </w:rPr>
  </w:style>
  <w:style w:type="paragraph" w:styleId="1244">
    <w:name w:val="font7"/>
    <w:basedOn w:val="886"/>
    <w:next w:val="1244"/>
    <w:link w:val="886"/>
    <w:pPr>
      <w:jc w:val="left"/>
      <w:spacing w:before="100" w:beforeAutospacing="1" w:after="100" w:afterAutospacing="1"/>
      <w:widowControl/>
    </w:pPr>
    <w:rPr>
      <w:sz w:val="24"/>
    </w:rPr>
  </w:style>
  <w:style w:type="paragraph" w:styleId="1245">
    <w:name w:val="xl47"/>
    <w:basedOn w:val="886"/>
    <w:next w:val="1245"/>
    <w:link w:val="886"/>
    <w:pPr>
      <w:jc w:val="left"/>
      <w:spacing w:before="100" w:beforeAutospacing="1" w:after="100" w:afterAutospacing="1"/>
      <w:widowControl/>
    </w:pPr>
    <w:rPr>
      <w:rFonts w:hint="eastAsia" w:ascii="仿宋_GB2312" w:hAnsi="宋体" w:eastAsia="仿宋_GB2312"/>
      <w:sz w:val="22"/>
      <w:szCs w:val="22"/>
    </w:rPr>
  </w:style>
  <w:style w:type="paragraph" w:styleId="1246">
    <w:name w:val="默认段落字体 Para Char Char Char Char"/>
    <w:basedOn w:val="886"/>
    <w:next w:val="1246"/>
    <w:link w:val="886"/>
    <w:rPr>
      <w:sz w:val="20"/>
      <w:szCs w:val="20"/>
    </w:rPr>
  </w:style>
  <w:style w:type="paragraph" w:styleId="1247">
    <w:name w:val="SS正文首行缩进 +"/>
    <w:basedOn w:val="963"/>
    <w:next w:val="1247"/>
    <w:link w:val="886"/>
    <w:pPr>
      <w:ind w:firstLine="480"/>
      <w:spacing w:before="156" w:line="360" w:lineRule="auto"/>
    </w:pPr>
    <w:rPr>
      <w:szCs w:val="20"/>
    </w:rPr>
  </w:style>
  <w:style w:type="paragraph" w:styleId="1248">
    <w:name w:val="样式 标题 2H2sect 1.2H21sect 1.21H22sect 1.22H211sect 1.211..."/>
    <w:basedOn w:val="888"/>
    <w:next w:val="886"/>
    <w:link w:val="886"/>
    <w:pPr>
      <w:spacing w:line="415" w:lineRule="auto"/>
      <w:tabs>
        <w:tab w:val="left" w:pos="1800" w:leader="none"/>
      </w:tabs>
    </w:pPr>
    <w:rPr>
      <w:rFonts w:ascii="宋体" w:hAnsi="宋体"/>
    </w:rPr>
  </w:style>
  <w:style w:type="paragraph" w:styleId="1249">
    <w:name w:val="xl79"/>
    <w:basedOn w:val="886"/>
    <w:next w:val="1249"/>
    <w:link w:val="886"/>
    <w:pPr>
      <w:jc w:val="left"/>
      <w:spacing w:before="100" w:beforeAutospacing="1" w:after="100" w:afterAutospacing="1"/>
      <w:widowControl/>
      <w:pBdr>
        <w:top w:val="single" w:color="000000" w:sz="4" w:space="0"/>
        <w:left w:val="single" w:color="000000" w:sz="8" w:space="0"/>
        <w:bottom w:val="single" w:color="000000" w:sz="4" w:space="0"/>
        <w:right w:val="single" w:color="000000" w:sz="4" w:space="0"/>
      </w:pBdr>
    </w:pPr>
    <w:rPr>
      <w:rFonts w:ascii="宋体" w:hAnsi="宋体" w:cs="宋体"/>
      <w:b/>
      <w:bCs/>
      <w:sz w:val="24"/>
    </w:rPr>
  </w:style>
  <w:style w:type="paragraph" w:styleId="1250">
    <w:name w:val="TOC 标题"/>
    <w:basedOn w:val="887"/>
    <w:next w:val="886"/>
    <w:link w:val="886"/>
    <w:qFormat/>
    <w:pPr>
      <w:jc w:val="left"/>
      <w:spacing w:before="480" w:after="0" w:line="276" w:lineRule="auto"/>
      <w:widowControl/>
      <w:outlineLvl w:val="9"/>
    </w:pPr>
    <w:rPr>
      <w:rFonts w:ascii="Cambria" w:hAnsi="Cambria" w:eastAsia="宋体"/>
      <w:bCs/>
      <w:color w:val="365f91"/>
      <w:sz w:val="28"/>
      <w:szCs w:val="28"/>
    </w:rPr>
  </w:style>
  <w:style w:type="paragraph" w:styleId="1251">
    <w:name w:val="pa-0"/>
    <w:basedOn w:val="886"/>
    <w:next w:val="1251"/>
    <w:link w:val="886"/>
    <w:pPr>
      <w:jc w:val="left"/>
      <w:spacing w:before="150" w:after="150"/>
      <w:widowControl/>
    </w:pPr>
    <w:rPr>
      <w:rFonts w:ascii="宋体" w:hAnsi="宋体" w:cs="宋体"/>
      <w:sz w:val="24"/>
    </w:rPr>
  </w:style>
  <w:style w:type="paragraph" w:styleId="1252">
    <w:name w:val="性能表格"/>
    <w:basedOn w:val="886"/>
    <w:next w:val="1252"/>
    <w:link w:val="886"/>
    <w:pPr>
      <w:spacing w:line="360" w:lineRule="atLeast"/>
    </w:pPr>
    <w:rPr>
      <w:sz w:val="24"/>
      <w:szCs w:val="20"/>
    </w:rPr>
  </w:style>
  <w:style w:type="paragraph" w:styleId="1253">
    <w:name w:val="xl24"/>
    <w:basedOn w:val="886"/>
    <w:next w:val="1253"/>
    <w:link w:val="886"/>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rPr>
  </w:style>
  <w:style w:type="paragraph" w:styleId="1254">
    <w:name w:val="xl36"/>
    <w:basedOn w:val="886"/>
    <w:next w:val="1254"/>
    <w:link w:val="886"/>
    <w:pPr>
      <w:jc w:val="left"/>
      <w:spacing w:before="100" w:beforeAutospacing="1" w:after="100" w:afterAutospacing="1"/>
      <w:widowControl/>
      <w:pBdr>
        <w:left w:val="single" w:color="000000" w:sz="4" w:space="0"/>
        <w:right w:val="single" w:color="000000" w:sz="4" w:space="0"/>
      </w:pBdr>
    </w:pPr>
    <w:rPr>
      <w:rFonts w:ascii="宋体" w:hAnsi="宋体"/>
      <w:sz w:val="24"/>
    </w:rPr>
  </w:style>
  <w:style w:type="paragraph" w:styleId="1255">
    <w:name w:val="表格"/>
    <w:basedOn w:val="886"/>
    <w:next w:val="1255"/>
    <w:link w:val="886"/>
    <w:rPr>
      <w:rFonts w:ascii="Arial" w:hAnsi="Arial"/>
      <w:sz w:val="24"/>
      <w:szCs w:val="20"/>
    </w:rPr>
  </w:style>
  <w:style w:type="paragraph" w:styleId="1256">
    <w:name w:val="xl46"/>
    <w:basedOn w:val="886"/>
    <w:next w:val="1256"/>
    <w:link w:val="886"/>
    <w:pPr>
      <w:jc w:val="left"/>
      <w:spacing w:before="100" w:beforeAutospacing="1" w:after="100" w:afterAutospacing="1"/>
      <w:widowControl/>
    </w:pPr>
    <w:rPr>
      <w:rFonts w:hint="eastAsia" w:ascii="仿宋_GB2312" w:hAnsi="宋体" w:eastAsia="仿宋_GB2312"/>
      <w:sz w:val="24"/>
    </w:rPr>
  </w:style>
  <w:style w:type="paragraph" w:styleId="1257">
    <w:name w:val="body3"/>
    <w:basedOn w:val="886"/>
    <w:next w:val="890"/>
    <w:link w:val="886"/>
    <w:pPr>
      <w:ind w:left="2610" w:right="210"/>
      <w:jc w:val="left"/>
      <w:spacing w:line="0" w:lineRule="atLeast"/>
      <w:widowControl/>
    </w:pPr>
    <w:rPr>
      <w:rFonts w:ascii="宋体"/>
      <w:sz w:val="28"/>
      <w:szCs w:val="20"/>
    </w:rPr>
  </w:style>
  <w:style w:type="paragraph" w:styleId="1258">
    <w:name w:val="正文.表格"/>
    <w:basedOn w:val="886"/>
    <w:next w:val="886"/>
    <w:link w:val="886"/>
    <w:qFormat/>
    <w:pPr>
      <w:jc w:val="center"/>
      <w:widowControl/>
    </w:pPr>
  </w:style>
  <w:style w:type="paragraph" w:styleId="1259">
    <w:name w:val="简单回函地址"/>
    <w:basedOn w:val="886"/>
    <w:next w:val="1259"/>
    <w:link w:val="886"/>
    <w:rPr>
      <w:rFonts w:ascii="宋体" w:hAnsi="宋体"/>
      <w:color w:val="000000"/>
      <w:szCs w:val="21"/>
    </w:rPr>
  </w:style>
  <w:style w:type="paragraph" w:styleId="1260">
    <w:name w:val="目录1"/>
    <w:basedOn w:val="886"/>
    <w:next w:val="1260"/>
    <w:link w:val="886"/>
    <w:pPr>
      <w:jc w:val="left"/>
      <w:spacing w:after="136" w:line="289" w:lineRule="atLeast"/>
      <w:widowControl/>
      <w:tabs>
        <w:tab w:val="left" w:pos="8503" w:leader="dot"/>
      </w:tabs>
    </w:pPr>
    <w:rPr>
      <w:rFonts w:ascii="Arial" w:eastAsia="黑体"/>
      <w:color w:val="000000"/>
      <w:sz w:val="28"/>
      <w:szCs w:val="20"/>
    </w:rPr>
  </w:style>
  <w:style w:type="paragraph" w:styleId="1261">
    <w:name w:val="xl32"/>
    <w:basedOn w:val="886"/>
    <w:next w:val="1261"/>
    <w:link w:val="886"/>
    <w:pPr>
      <w:jc w:val="left"/>
      <w:spacing w:before="100" w:beforeAutospacing="1" w:after="100" w:afterAutospacing="1"/>
      <w:widowControl/>
      <w:pBdr>
        <w:top w:val="single" w:color="000000" w:sz="4" w:space="0"/>
        <w:bottom w:val="single" w:color="000000" w:sz="4" w:space="0"/>
      </w:pBdr>
    </w:pPr>
    <w:rPr>
      <w:rFonts w:ascii="宋体" w:hAnsi="宋体"/>
      <w:sz w:val="24"/>
    </w:rPr>
  </w:style>
  <w:style w:type="paragraph" w:styleId="1262">
    <w:name w:val=" Char Char Char Char"/>
    <w:basedOn w:val="886"/>
    <w:next w:val="1262"/>
    <w:link w:val="886"/>
    <w:pPr>
      <w:jc w:val="left"/>
      <w:spacing w:after="160" w:line="240" w:lineRule="exact"/>
      <w:widowControl/>
    </w:pPr>
    <w:rPr>
      <w:sz w:val="24"/>
      <w:szCs w:val="21"/>
    </w:rPr>
  </w:style>
  <w:style w:type="paragraph" w:styleId="1263">
    <w:name w:val="样式 仿宋_GB2312 四号 黑色 行距: 1.5 倍行距1"/>
    <w:basedOn w:val="886"/>
    <w:next w:val="1263"/>
    <w:link w:val="886"/>
    <w:pPr>
      <w:spacing w:line="360" w:lineRule="auto"/>
    </w:pPr>
    <w:rPr>
      <w:rFonts w:ascii="仿宋_GB2312" w:hAnsi="宋体" w:eastAsia="仿宋_GB2312"/>
      <w:color w:val="000000"/>
      <w:sz w:val="24"/>
      <w:szCs w:val="20"/>
    </w:rPr>
  </w:style>
  <w:style w:type="paragraph" w:styleId="1264">
    <w:name w:val="style25 style2 style26"/>
    <w:basedOn w:val="886"/>
    <w:next w:val="1264"/>
    <w:link w:val="886"/>
    <w:pPr>
      <w:jc w:val="left"/>
      <w:spacing w:before="100" w:beforeAutospacing="1" w:after="100" w:afterAutospacing="1"/>
      <w:widowControl/>
    </w:pPr>
    <w:rPr>
      <w:rFonts w:ascii="Arial Unicode MS" w:hAnsi="Arial Unicode MS"/>
      <w:sz w:val="24"/>
    </w:rPr>
  </w:style>
  <w:style w:type="paragraph" w:styleId="1265">
    <w:name w:val="xl31"/>
    <w:basedOn w:val="886"/>
    <w:next w:val="1265"/>
    <w:link w:val="886"/>
    <w:pPr>
      <w:jc w:val="left"/>
      <w:spacing w:before="100" w:beforeAutospacing="1" w:after="100" w:afterAutospacing="1"/>
      <w:widowControl/>
      <w:pBdr>
        <w:bottom w:val="single" w:color="000000" w:sz="4" w:space="0"/>
      </w:pBdr>
    </w:pPr>
    <w:rPr>
      <w:rFonts w:ascii="宋体" w:hAnsi="宋体"/>
      <w:sz w:val="24"/>
    </w:rPr>
  </w:style>
  <w:style w:type="paragraph" w:styleId="1266">
    <w:name w:val="缺省文本:1"/>
    <w:basedOn w:val="886"/>
    <w:next w:val="1266"/>
    <w:link w:val="886"/>
    <w:pPr>
      <w:jc w:val="left"/>
    </w:pPr>
    <w:rPr>
      <w:rFonts w:ascii="宋体"/>
      <w:sz w:val="24"/>
      <w:szCs w:val="20"/>
    </w:rPr>
  </w:style>
  <w:style w:type="paragraph" w:styleId="1267">
    <w:name w:val="EHPT"/>
    <w:basedOn w:val="886"/>
    <w:next w:val="922"/>
    <w:link w:val="886"/>
    <w:pPr>
      <w:ind w:right="-694"/>
    </w:pPr>
    <w:rPr>
      <w:sz w:val="24"/>
      <w:szCs w:val="20"/>
    </w:rPr>
  </w:style>
  <w:style w:type="paragraph" w:styleId="1268">
    <w:name w:val="xl34"/>
    <w:basedOn w:val="886"/>
    <w:next w:val="1268"/>
    <w:link w:val="886"/>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4"/>
    </w:rPr>
  </w:style>
  <w:style w:type="paragraph" w:styleId="1269">
    <w:name w:val="样式 标题 3h33rd levelHeading 3 - oldH3l3CT3章标题1Level 3 Hea..."/>
    <w:basedOn w:val="889"/>
    <w:next w:val="1269"/>
    <w:link w:val="886"/>
    <w:pPr>
      <w:contextualSpacing/>
      <w:keepLines w:val="0"/>
      <w:keepNext w:val="0"/>
      <w:spacing w:before="120" w:after="120" w:line="288" w:lineRule="auto"/>
    </w:pPr>
    <w:rPr>
      <w:rFonts w:ascii="Arial" w:hAnsi="Arial" w:cs="宋体"/>
      <w:color w:val="000000"/>
      <w:sz w:val="24"/>
      <w:szCs w:val="20"/>
    </w:rPr>
  </w:style>
  <w:style w:type="paragraph" w:styleId="1270">
    <w:name w:val="xl55"/>
    <w:basedOn w:val="886"/>
    <w:next w:val="1270"/>
    <w:link w:val="886"/>
    <w:pPr>
      <w:jc w:val="left"/>
      <w:spacing w:before="100" w:beforeAutospacing="1" w:after="100" w:afterAutospacing="1"/>
      <w:widowControl/>
      <w:pBdr>
        <w:left w:val="single" w:color="000000" w:sz="4" w:space="0"/>
        <w:bottom w:val="single" w:color="000000" w:sz="4" w:space="0"/>
        <w:right w:val="single" w:color="000000" w:sz="4" w:space="0"/>
      </w:pBdr>
    </w:pPr>
    <w:rPr>
      <w:rFonts w:hint="eastAsia" w:ascii="楷体_GB2312" w:hAnsi="宋体" w:eastAsia="楷体_GB2312"/>
      <w:color w:val="0000ff"/>
      <w:sz w:val="22"/>
      <w:szCs w:val="22"/>
    </w:rPr>
  </w:style>
  <w:style w:type="paragraph" w:styleId="1271">
    <w:name w:val="xl75"/>
    <w:basedOn w:val="886"/>
    <w:next w:val="1271"/>
    <w:link w:val="886"/>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cs="Arial"/>
      <w:szCs w:val="21"/>
    </w:rPr>
  </w:style>
  <w:style w:type="paragraph" w:styleId="1272">
    <w:name w:val="xl67"/>
    <w:basedOn w:val="886"/>
    <w:next w:val="1272"/>
    <w:link w:val="886"/>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Microsoft Sans Serif" w:hAnsi="Microsoft Sans Serif" w:cs="Microsoft Sans Serif"/>
      <w:color w:val="000000"/>
      <w:sz w:val="18"/>
      <w:szCs w:val="18"/>
    </w:rPr>
  </w:style>
  <w:style w:type="paragraph" w:styleId="1273">
    <w:name w:val="xl48"/>
    <w:basedOn w:val="886"/>
    <w:next w:val="1273"/>
    <w:link w:val="886"/>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sz w:val="28"/>
      <w:szCs w:val="28"/>
    </w:rPr>
  </w:style>
  <w:style w:type="paragraph" w:styleId="1274">
    <w:name w:val="xl78"/>
    <w:basedOn w:val="886"/>
    <w:next w:val="1274"/>
    <w:link w:val="886"/>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Microsoft Sans Serif" w:hAnsi="Microsoft Sans Serif" w:cs="Microsoft Sans Serif"/>
      <w:color w:val="000000"/>
      <w:sz w:val="18"/>
      <w:szCs w:val="18"/>
    </w:rPr>
  </w:style>
  <w:style w:type="paragraph" w:styleId="1275">
    <w:name w:val="04论文正文"/>
    <w:basedOn w:val="886"/>
    <w:next w:val="1275"/>
    <w:link w:val="886"/>
    <w:pPr>
      <w:ind w:firstLine="480"/>
      <w:spacing w:line="400" w:lineRule="exact"/>
    </w:pPr>
    <w:rPr>
      <w:rFonts w:cs="宋体"/>
      <w:sz w:val="24"/>
    </w:rPr>
  </w:style>
  <w:style w:type="paragraph" w:styleId="1276">
    <w:name w:val="无间隔"/>
    <w:next w:val="1276"/>
    <w:link w:val="886"/>
    <w:qFormat/>
    <w:pPr>
      <w:widowControl w:val="off"/>
    </w:pPr>
    <w:rPr>
      <w:sz w:val="24"/>
      <w:szCs w:val="24"/>
      <w:lang w:val="en-US" w:eastAsia="zh-CN" w:bidi="ar-SA"/>
    </w:rPr>
  </w:style>
  <w:style w:type="paragraph" w:styleId="1277">
    <w:name w:val="_Style 14"/>
    <w:basedOn w:val="886"/>
    <w:next w:val="1277"/>
    <w:link w:val="886"/>
    <w:rPr>
      <w:szCs w:val="20"/>
    </w:rPr>
  </w:style>
  <w:style w:type="paragraph" w:styleId="1278">
    <w:name w:val="样式 标题 4 + 仿宋_GB2312"/>
    <w:basedOn w:val="890"/>
    <w:next w:val="1278"/>
    <w:link w:val="886"/>
    <w:pPr>
      <w:keepLines w:val="0"/>
      <w:spacing w:before="0" w:after="0" w:line="300" w:lineRule="auto"/>
    </w:pPr>
    <w:rPr>
      <w:rFonts w:ascii="仿宋_GB2312" w:hAnsi="仿宋_GB2312" w:eastAsia="仿宋_GB2312"/>
      <w:color w:val="ff00ff"/>
      <w:sz w:val="30"/>
      <w:szCs w:val="30"/>
    </w:rPr>
  </w:style>
  <w:style w:type="paragraph" w:styleId="1279">
    <w:name w:val="Alt+X_首行空2"/>
    <w:basedOn w:val="886"/>
    <w:next w:val="1279"/>
    <w:link w:val="886"/>
    <w:pPr>
      <w:ind w:firstLine="480"/>
      <w:spacing w:line="360" w:lineRule="auto"/>
    </w:pPr>
    <w:rPr>
      <w:rFonts w:cs="宋体"/>
      <w:sz w:val="24"/>
    </w:rPr>
  </w:style>
  <w:style w:type="paragraph" w:styleId="1280">
    <w:name w:val="我的正文"/>
    <w:basedOn w:val="886"/>
    <w:next w:val="1280"/>
    <w:link w:val="886"/>
    <w:pPr>
      <w:jc w:val="left"/>
      <w:spacing w:line="300" w:lineRule="auto"/>
      <w:widowControl/>
    </w:pPr>
    <w:rPr>
      <w:rFonts w:eastAsia="楷体_GB2312"/>
      <w:spacing w:val="8"/>
      <w:sz w:val="24"/>
    </w:rPr>
  </w:style>
  <w:style w:type="table" w:styleId="1281">
    <w:name w:val="表格样式1"/>
    <w:basedOn w:val="897"/>
    <w:next w:val="1281"/>
    <w:link w:val="886"/>
    <w:tblPr/>
  </w:style>
  <w:style w:type="table" w:styleId="1282">
    <w:name w:val="网格型1"/>
    <w:basedOn w:val="897"/>
    <w:next w:val="1282"/>
    <w:link w:val="886"/>
    <w:uiPriority w:val="59"/>
    <w:unhideWhenUsed/>
    <w:rPr>
      <w:rFonts w:ascii="Calibri" w:hAnsi="Calibri" w:eastAsia="宋体" w:cs="Times New Roman"/>
    </w:rPr>
    <w:tblPr/>
  </w:style>
  <w:style w:type="paragraph" w:styleId="1283">
    <w:name w:val="纯文本111"/>
    <w:basedOn w:val="886"/>
    <w:next w:val="1283"/>
    <w:link w:val="886"/>
    <w:qFormat/>
    <w:pPr>
      <w:jc w:val="left"/>
      <w:widowControl/>
    </w:pPr>
    <w:rPr>
      <w:rFonts w:ascii="宋体" w:hAnsi="Courier New" w:eastAsia="楷体_GB2312"/>
      <w:sz w:val="26"/>
      <w:szCs w:val="20"/>
    </w:rPr>
  </w:style>
  <w:style w:type="paragraph" w:styleId="1284">
    <w:name w:val="首行缩进"/>
    <w:next w:val="1284"/>
    <w:link w:val="886"/>
    <w:qFormat/>
    <w:pPr>
      <w:ind w:firstLine="480"/>
      <w:jc w:val="both"/>
      <w:widowControl w:val="off"/>
    </w:pPr>
    <w:rPr>
      <w:sz w:val="21"/>
      <w:lang w:val="zh-CN" w:eastAsia="zh-CN" w:bidi="ar-SA"/>
    </w:rPr>
  </w:style>
  <w:style w:type="character" w:styleId="1285">
    <w:name w:val="正文缩进 字符"/>
    <w:next w:val="1285"/>
    <w:link w:val="886"/>
    <w:qFormat/>
    <w:rPr>
      <w:rFonts w:eastAsia="楷体_GB2312"/>
      <w:sz w:val="24"/>
      <w:lang w:val="en-US" w:eastAsia="zh-CN" w:bidi="ar-SA"/>
    </w:rPr>
  </w:style>
  <w:style w:type="paragraph" w:styleId="1286">
    <w:name w:val="纯文本12"/>
    <w:basedOn w:val="886"/>
    <w:next w:val="1286"/>
    <w:link w:val="886"/>
    <w:qFormat/>
    <w:rPr>
      <w:rFonts w:hint="eastAsia" w:ascii="宋体" w:hAnsi="Courier New" w:eastAsia="楷体_GB2312"/>
      <w:bCs/>
      <w:sz w:val="28"/>
      <w:szCs w:val="20"/>
    </w:rPr>
  </w:style>
  <w:style w:type="character" w:styleId="1287">
    <w:name w:val="正文缩进 Char,表正文 Char1,正文非缩进 Char,特点 Char,段1 Char,正文不缩进 Char,ALT+Z Char,特点标题 Char,四号 Char,正文（段落文字） Char,Justified Char,plain paragraph Char,pp Char,Block text Char,t Char,BODY TEXT Char,text Char,sp Char,sbs Char,block text Char,bt4 Char,body text4 Char"/>
    <w:next w:val="1287"/>
    <w:link w:val="886"/>
    <w:qFormat/>
    <w:rPr>
      <w:rFonts w:ascii="Times New Roman" w:hAnsi="Times New Roman" w:eastAsia="楷体_GB2312" w:cs="Times New Roman"/>
      <w:sz w:val="24"/>
      <w:lang w:val="en-US" w:eastAsia="zh-CN" w:bidi="ar-SA"/>
    </w:rPr>
  </w:style>
  <w:style w:type="character" w:styleId="1288">
    <w:name w:val="标题 1 Char1"/>
    <w:next w:val="1288"/>
    <w:link w:val="886"/>
    <w:rPr>
      <w:rFonts w:eastAsia="楷体_GB2312"/>
      <w:b/>
      <w:sz w:val="44"/>
      <w:lang w:val="en-US" w:eastAsia="zh-CN" w:bidi="ar-SA"/>
    </w:rPr>
  </w:style>
  <w:style w:type="character" w:styleId="1289">
    <w:name w:val="页眉 字符1"/>
    <w:next w:val="1289"/>
    <w:link w:val="886"/>
    <w:uiPriority w:val="99"/>
    <w:rPr>
      <w:rFonts w:eastAsia="楷体_GB2312"/>
      <w:sz w:val="18"/>
      <w:lang w:val="en-US" w:eastAsia="zh-CN" w:bidi="ar-SA"/>
    </w:rPr>
  </w:style>
  <w:style w:type="character" w:styleId="1290">
    <w:name w:val="正文文本缩进 3 字符1"/>
    <w:next w:val="1290"/>
    <w:link w:val="886"/>
    <w:rPr>
      <w:sz w:val="16"/>
      <w:szCs w:val="16"/>
    </w:rPr>
  </w:style>
  <w:style w:type="character" w:styleId="1291">
    <w:name w:val="页脚 字符1"/>
    <w:next w:val="1291"/>
    <w:link w:val="886"/>
    <w:qFormat/>
    <w:rPr>
      <w:rFonts w:eastAsia="宋体"/>
      <w:sz w:val="18"/>
      <w:szCs w:val="18"/>
      <w:lang w:val="en-US" w:eastAsia="zh-CN" w:bidi="ar-SA"/>
    </w:rPr>
  </w:style>
  <w:style w:type="paragraph" w:styleId="1292">
    <w:name w:val="Plain Text11"/>
    <w:basedOn w:val="886"/>
    <w:next w:val="1292"/>
    <w:link w:val="886"/>
    <w:qFormat/>
    <w:rPr>
      <w:rFonts w:ascii="宋体" w:hAnsi="Courier New" w:eastAsia="楷体_GB2312"/>
      <w:sz w:val="28"/>
      <w:szCs w:val="20"/>
    </w:rPr>
  </w:style>
  <w:style w:type="character" w:styleId="1293">
    <w:name w:val="font21"/>
    <w:next w:val="1293"/>
    <w:link w:val="886"/>
    <w:rPr>
      <w:rFonts w:hint="eastAsia" w:ascii="宋体" w:hAnsi="宋体" w:eastAsia="宋体" w:cs="宋体"/>
      <w:i w:val="0"/>
      <w:color w:val="000000"/>
      <w:sz w:val="24"/>
      <w:szCs w:val="24"/>
      <w:u w:val="none"/>
    </w:rPr>
  </w:style>
  <w:style w:type="character" w:styleId="1294">
    <w:name w:val="font31"/>
    <w:next w:val="1294"/>
    <w:link w:val="886"/>
    <w:rPr>
      <w:rFonts w:hint="eastAsia" w:ascii="宋体" w:hAnsi="宋体" w:eastAsia="宋体" w:cs="宋体"/>
      <w:i w:val="0"/>
      <w:color w:val="000000"/>
      <w:sz w:val="20"/>
      <w:szCs w:val="20"/>
      <w:u w:val="none"/>
    </w:rPr>
  </w:style>
  <w:style w:type="character" w:styleId="1295">
    <w:name w:val="font51"/>
    <w:next w:val="1295"/>
    <w:link w:val="886"/>
    <w:qFormat/>
    <w:rPr>
      <w:rFonts w:hint="eastAsia" w:ascii="宋体" w:hAnsi="宋体" w:eastAsia="宋体" w:cs="宋体"/>
      <w:color w:val="ff0000"/>
      <w:sz w:val="21"/>
      <w:szCs w:val="21"/>
      <w:u w:val="none"/>
    </w:rPr>
  </w:style>
  <w:style w:type="character" w:styleId="1296">
    <w:name w:val="font111"/>
    <w:next w:val="1296"/>
    <w:link w:val="886"/>
    <w:qFormat/>
    <w:rPr>
      <w:rFonts w:ascii="Arial" w:hAnsi="Arial" w:cs="Arial"/>
      <w:color w:val="333333"/>
      <w:sz w:val="18"/>
      <w:szCs w:val="18"/>
      <w:u w:val="none"/>
    </w:rPr>
  </w:style>
  <w:style w:type="paragraph" w:styleId="1297">
    <w:name w:val="列表段落1"/>
    <w:basedOn w:val="886"/>
    <w:next w:val="1297"/>
    <w:link w:val="886"/>
    <w:uiPriority w:val="34"/>
    <w:qFormat/>
    <w:pPr>
      <w:ind w:firstLine="420"/>
    </w:pPr>
    <w:rPr>
      <w:rFonts w:ascii="等线" w:hAnsi="等线" w:eastAsia="等线" w:cs="Times New Roman"/>
      <w:szCs w:val="22"/>
    </w:rPr>
  </w:style>
  <w:style w:type="paragraph" w:styleId="1298">
    <w:name w:val="新样式四"/>
    <w:basedOn w:val="886"/>
    <w:next w:val="1298"/>
    <w:link w:val="886"/>
    <w:qFormat/>
    <w:pPr>
      <w:ind w:firstLine="680"/>
      <w:spacing w:line="590" w:lineRule="exact"/>
    </w:pPr>
    <w:rPr>
      <w:rFonts w:eastAsia="方正仿宋_GBK"/>
      <w:sz w:val="34"/>
      <w:szCs w:val="34"/>
    </w:rPr>
  </w:style>
  <w:style w:type="paragraph" w:styleId="1299">
    <w:name w:val="新样式三"/>
    <w:basedOn w:val="886"/>
    <w:next w:val="1299"/>
    <w:link w:val="886"/>
    <w:qFormat/>
    <w:pPr>
      <w:ind w:firstLine="680"/>
      <w:spacing w:line="590" w:lineRule="exact"/>
    </w:pPr>
    <w:rPr>
      <w:rFonts w:eastAsia="方正黑体_GBK"/>
      <w:sz w:val="34"/>
      <w:szCs w:val="34"/>
    </w:rPr>
  </w:style>
  <w:style w:type="paragraph" w:styleId="1300">
    <w:name w:val="HtmlNormal1"/>
    <w:basedOn w:val="886"/>
    <w:next w:val="1300"/>
    <w:link w:val="886"/>
    <w:qFormat/>
    <w:pPr>
      <w:jc w:val="left"/>
      <w:spacing w:before="100" w:beforeAutospacing="1" w:after="100" w:afterAutospacing="1"/>
    </w:pPr>
    <w:rPr>
      <w:rFonts w:ascii="等线" w:hAnsi="等线" w:eastAsia="等线" w:cs="Times New Roman"/>
      <w:sz w:val="24"/>
    </w:rPr>
  </w:style>
  <w:style w:type="character" w:styleId="1301">
    <w:name w:val="NormalCharacter1"/>
    <w:next w:val="1301"/>
    <w:link w:val="886"/>
    <w:qFormat/>
  </w:style>
  <w:style w:type="character" w:styleId="1302">
    <w:name w:val="标题 Char"/>
    <w:next w:val="1302"/>
    <w:link w:val="886"/>
    <w:qFormat/>
    <w:rPr>
      <w:rFonts w:ascii="宋体" w:hAnsi="宋体" w:eastAsia="宋体" w:cs="Arial"/>
      <w:b/>
      <w:bCs/>
      <w:sz w:val="32"/>
      <w:szCs w:val="32"/>
    </w:rPr>
  </w:style>
  <w:style w:type="character" w:styleId="1303">
    <w:name w:val="批注文字 Char"/>
    <w:next w:val="1303"/>
    <w:link w:val="886"/>
    <w:qFormat/>
    <w:rPr>
      <w:rFonts w:ascii="Times New Roman" w:hAnsi="Times New Roman" w:eastAsia="宋体" w:cs="Times New Roman"/>
      <w:sz w:val="21"/>
      <w:szCs w:val="24"/>
    </w:rPr>
  </w:style>
  <w:style w:type="character" w:styleId="1304" w:default="1">
    <w:name w:val="Default Paragraph Font"/>
    <w:uiPriority w:val="1"/>
    <w:semiHidden/>
    <w:unhideWhenUsed/>
  </w:style>
  <w:style w:type="numbering" w:styleId="1305" w:default="1">
    <w:name w:val="No List"/>
    <w:uiPriority w:val="99"/>
    <w:semiHidden/>
    <w:unhideWhenUsed/>
  </w:style>
  <w:style w:type="table" w:styleId="1306"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微软中国</Company>
  <DocSecurity>0</DocSecurity>
  <HyperlinksChanged>false</HyperlinksChanged>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hutingxiang</dc:creator>
  <cp:lastModifiedBy>周伟</cp:lastModifiedBy>
  <cp:revision>15</cp:revision>
  <dcterms:created xsi:type="dcterms:W3CDTF">2024-04-02T08:41:00Z</dcterms:created>
  <dcterms:modified xsi:type="dcterms:W3CDTF">2025-05-30T06:35:28Z</dcterms:modified>
  <cp:version>917504</cp:version>
</cp:coreProperties>
</file>