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87"/>
        <w:jc w:val="left"/>
        <w:spacing w:before="120" w:after="120" w:line="360" w:lineRule="auto"/>
        <w:rPr>
          <w:rFonts w:ascii="Arial" w:hAnsi="Arial" w:eastAsia="黑体"/>
          <w:b/>
          <w:bCs/>
          <w:color w:val="000000" w:themeColor="text1"/>
          <w:sz w:val="84"/>
          <w:szCs w:val="24"/>
          <w14:textFill>
            <w14:solidFill>
              <w14:schemeClr w14:val="tx1"/>
            </w14:solidFill>
          </w14:textFill>
        </w:rPr>
      </w:pPr>
      <w:r>
        <w:rPr>
          <w:rFonts w:ascii="Arial" w:hAnsi="Arial" w:eastAsia="黑体"/>
          <w:b/>
          <w:bCs/>
          <w:color w:val="000000" w:themeColor="text1"/>
          <w:sz w:val="84"/>
          <w:szCs w:val="24"/>
          <w14:textFill>
            <w14:solidFill>
              <w14:schemeClr w14:val="tx1"/>
            </w14:solidFill>
          </w14:textFill>
        </w:rPr>
      </w:r>
      <w:r/>
    </w:p>
    <w:p>
      <w:pPr>
        <w:ind w:firstLine="1687"/>
        <w:jc w:val="center"/>
        <w:spacing w:before="120" w:after="120" w:line="360" w:lineRule="auto"/>
        <w:rPr>
          <w:rFonts w:ascii="Arial" w:hAnsi="Arial" w:eastAsia="黑体"/>
          <w:b/>
          <w:bCs/>
          <w:color w:val="000000" w:themeColor="text1"/>
          <w:sz w:val="84"/>
          <w:szCs w:val="24"/>
          <w14:textFill>
            <w14:solidFill>
              <w14:schemeClr w14:val="tx1"/>
            </w14:solidFill>
          </w14:textFill>
        </w:rPr>
      </w:pPr>
      <w:r>
        <w:rPr>
          <w:rFonts w:hint="eastAsia" w:ascii="Arial" w:hAnsi="Arial" w:eastAsia="黑体"/>
          <w:b/>
          <w:bCs/>
          <w:color w:val="000000" w:themeColor="text1"/>
          <w:sz w:val="84"/>
          <w:szCs w:val="24"/>
          <w14:textFill>
            <w14:solidFill>
              <w14:schemeClr w14:val="tx1"/>
            </w14:solidFill>
          </w14:textFill>
        </w:rPr>
        <w:t xml:space="preserve">招　标　文　件</w:t>
      </w:r>
      <w:r/>
    </w:p>
    <w:p>
      <w:pPr>
        <w:ind w:firstLine="643"/>
        <w:jc w:val="left"/>
        <w:spacing w:before="120" w:after="120" w:line="360" w:lineRule="auto"/>
        <w:rPr>
          <w:rFonts w:ascii="Arial" w:hAnsi="Arial"/>
          <w:b/>
          <w:bCs/>
          <w:color w:val="000000" w:themeColor="text1"/>
          <w:sz w:val="32"/>
          <w:szCs w:val="24"/>
          <w14:textFill>
            <w14:solidFill>
              <w14:schemeClr w14:val="tx1"/>
            </w14:solidFill>
          </w14:textFill>
        </w:rPr>
      </w:pPr>
      <w:r>
        <w:rPr>
          <w:rFonts w:ascii="Arial" w:hAnsi="Arial"/>
          <w:b/>
          <w:bCs/>
          <w:color w:val="000000" w:themeColor="text1"/>
          <w:sz w:val="32"/>
          <w:szCs w:val="24"/>
          <w14:textFill>
            <w14:solidFill>
              <w14:schemeClr w14:val="tx1"/>
            </w14:solidFill>
          </w14:textFill>
        </w:rPr>
      </w:r>
      <w:r/>
    </w:p>
    <w:p>
      <w:pPr>
        <w:ind w:firstLine="643"/>
        <w:jc w:val="left"/>
        <w:spacing w:before="120" w:after="120" w:line="360" w:lineRule="auto"/>
        <w:rPr>
          <w:rFonts w:ascii="Arial" w:hAnsi="Arial"/>
          <w:b/>
          <w:bCs/>
          <w:color w:val="000000" w:themeColor="text1"/>
          <w:sz w:val="32"/>
          <w:szCs w:val="24"/>
          <w14:textFill>
            <w14:solidFill>
              <w14:schemeClr w14:val="tx1"/>
            </w14:solidFill>
          </w14:textFill>
        </w:rPr>
      </w:pPr>
      <w:r>
        <w:rPr>
          <w:rFonts w:ascii="Arial" w:hAnsi="Arial"/>
          <w:b/>
          <w:bCs/>
          <w:color w:val="000000" w:themeColor="text1"/>
          <w:sz w:val="32"/>
          <w:szCs w:val="24"/>
          <w14:textFill>
            <w14:solidFill>
              <w14:schemeClr w14:val="tx1"/>
            </w14:solidFill>
          </w14:textFill>
        </w:rPr>
      </w:r>
      <w:r/>
    </w:p>
    <w:p>
      <w:pPr>
        <w:ind w:firstLine="643"/>
        <w:jc w:val="left"/>
        <w:spacing w:before="120" w:after="120" w:line="360" w:lineRule="auto"/>
        <w:rPr>
          <w:rFonts w:ascii="Arial" w:hAnsi="Arial"/>
          <w:b/>
          <w:bCs/>
          <w:color w:val="000000" w:themeColor="text1"/>
          <w:sz w:val="32"/>
          <w:szCs w:val="24"/>
          <w14:textFill>
            <w14:solidFill>
              <w14:schemeClr w14:val="tx1"/>
            </w14:solidFill>
          </w14:textFill>
        </w:rPr>
      </w:pPr>
      <w:r>
        <w:rPr>
          <w:rFonts w:ascii="Arial" w:hAnsi="Arial"/>
          <w:b/>
          <w:bCs/>
          <w:color w:val="000000" w:themeColor="text1"/>
          <w:sz w:val="32"/>
          <w:szCs w:val="24"/>
          <w14:textFill>
            <w14:solidFill>
              <w14:schemeClr w14:val="tx1"/>
            </w14:solidFill>
          </w14:textFill>
        </w:rPr>
      </w:r>
      <w:r/>
    </w:p>
    <w:p>
      <w:pPr>
        <w:ind w:firstLine="723"/>
        <w:jc w:val="left"/>
        <w:spacing w:line="600" w:lineRule="exact"/>
        <w:rPr>
          <w:rFonts w:hint="eastAsia" w:asciiTheme="minorEastAsia" w:hAnsiTheme="minorEastAsia" w:eastAsiaTheme="minorEastAsia"/>
          <w:b/>
          <w:bCs/>
          <w:color w:val="000000" w:themeColor="text1"/>
          <w:sz w:val="36"/>
          <w:szCs w:val="24"/>
          <w:lang w:eastAsia="zh-CN"/>
          <w14:textFill>
            <w14:solidFill>
              <w14:schemeClr w14:val="tx1"/>
            </w14:solidFill>
          </w14:textFill>
        </w:rPr>
      </w:pPr>
      <w:r>
        <w:rPr>
          <w:rFonts w:hint="eastAsia" w:asciiTheme="minorEastAsia" w:hAnsiTheme="minorEastAsia" w:eastAsiaTheme="minorEastAsia"/>
          <w:b/>
          <w:bCs/>
          <w:color w:val="000000" w:themeColor="text1"/>
          <w:sz w:val="36"/>
          <w:szCs w:val="24"/>
          <w14:textFill>
            <w14:solidFill>
              <w14:schemeClr w14:val="tx1"/>
            </w14:solidFill>
          </w14:textFill>
        </w:rPr>
        <w:t xml:space="preserve">项目编号：</w:t>
      </w:r>
      <w:r>
        <w:rPr>
          <w:rFonts w:hint="eastAsia" w:asciiTheme="minorEastAsia" w:hAnsiTheme="minorEastAsia" w:eastAsiaTheme="minorEastAsia"/>
          <w:b/>
          <w:bCs/>
          <w:color w:val="000000" w:themeColor="text1"/>
          <w:sz w:val="36"/>
          <w:szCs w:val="24"/>
          <w:lang w:eastAsia="zh-CN"/>
          <w14:textFill>
            <w14:solidFill>
              <w14:schemeClr w14:val="tx1"/>
            </w14:solidFill>
          </w14:textFill>
        </w:rPr>
        <w:t xml:space="preserve">JSZC-320581-SZXY-G2024-0064</w:t>
      </w:r>
      <w:r/>
    </w:p>
    <w:p>
      <w:pPr>
        <w:ind w:firstLine="723"/>
        <w:spacing w:line="600" w:lineRule="exact"/>
        <w:rPr>
          <w:rFonts w:asciiTheme="minorEastAsia" w:hAnsiTheme="minorEastAsia" w:eastAsiaTheme="minorEastAsia"/>
          <w:b/>
          <w:bCs/>
          <w:color w:val="000000" w:themeColor="text1"/>
          <w:sz w:val="36"/>
          <w:szCs w:val="24"/>
          <w14:textFill>
            <w14:solidFill>
              <w14:schemeClr w14:val="tx1"/>
            </w14:solidFill>
          </w14:textFill>
        </w:rPr>
      </w:pPr>
      <w:r>
        <w:rPr>
          <w:rFonts w:hint="eastAsia" w:asciiTheme="minorEastAsia" w:hAnsiTheme="minorEastAsia" w:eastAsiaTheme="minorEastAsia"/>
          <w:b/>
          <w:bCs/>
          <w:color w:val="000000" w:themeColor="text1"/>
          <w:sz w:val="36"/>
          <w:szCs w:val="24"/>
          <w14:textFill>
            <w14:solidFill>
              <w14:schemeClr w14:val="tx1"/>
            </w14:solidFill>
          </w14:textFill>
        </w:rPr>
        <w:t xml:space="preserve">项目名称：莫城街道2025-2026年度三环外区域（市级移交属地管护区域）绿化养护</w:t>
      </w:r>
      <w:r/>
    </w:p>
    <w:p>
      <w:pPr>
        <w:ind w:firstLine="723"/>
        <w:jc w:val="left"/>
        <w:spacing w:line="600" w:lineRule="exact"/>
        <w:rPr>
          <w:rFonts w:asciiTheme="minorEastAsia" w:hAnsiTheme="minorEastAsia" w:eastAsiaTheme="minorEastAsia"/>
          <w:b/>
          <w:bCs/>
          <w:color w:val="000000" w:themeColor="text1"/>
          <w:sz w:val="36"/>
          <w:szCs w:val="24"/>
          <w14:textFill>
            <w14:solidFill>
              <w14:schemeClr w14:val="tx1"/>
            </w14:solidFill>
          </w14:textFill>
        </w:rPr>
      </w:pPr>
      <w:r>
        <w:rPr>
          <w:rFonts w:hint="eastAsia" w:asciiTheme="minorEastAsia" w:hAnsiTheme="minorEastAsia" w:eastAsiaTheme="minorEastAsia"/>
          <w:b/>
          <w:bCs/>
          <w:color w:val="000000" w:themeColor="text1"/>
          <w:sz w:val="36"/>
          <w:szCs w:val="24"/>
          <w14:textFill>
            <w14:solidFill>
              <w14:schemeClr w14:val="tx1"/>
            </w14:solidFill>
          </w14:textFill>
        </w:rPr>
        <w:t xml:space="preserve">项目属性：服务类项目</w:t>
      </w:r>
      <w:r/>
    </w:p>
    <w:p>
      <w:pPr>
        <w:ind w:left="2100" w:firstLine="480"/>
        <w:rPr>
          <w:rFonts w:ascii="Times New Roman" w:hAnsi="Times New Roman"/>
          <w:b/>
          <w:color w:val="000000" w:themeColor="text1"/>
          <w:sz w:val="30"/>
          <w:szCs w:val="30"/>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 xml:space="preserve">           </w:t>
      </w:r>
      <w:r>
        <w:rPr>
          <w:rFonts w:hint="eastAsia" w:ascii="Times New Roman" w:hAnsi="Times New Roman"/>
          <w:b/>
          <w:color w:val="000000" w:themeColor="text1"/>
          <w:sz w:val="30"/>
          <w:szCs w:val="30"/>
          <w14:textFill>
            <w14:solidFill>
              <w14:schemeClr w14:val="tx1"/>
            </w14:solidFill>
          </w14:textFill>
        </w:rPr>
        <w:t xml:space="preserve">    </w:t>
      </w:r>
      <w:r/>
    </w:p>
    <w:p>
      <w:pPr>
        <w:jc w:val="left"/>
        <w:spacing w:line="360" w:lineRule="auto"/>
        <w:rPr>
          <w:rFonts w:ascii="宋体" w:hAnsi="宋体"/>
          <w:color w:val="000000" w:themeColor="text1"/>
          <w:sz w:val="24"/>
          <w:szCs w:val="24"/>
          <w14:textFill>
            <w14:solidFill>
              <w14:schemeClr w14:val="tx1"/>
            </w14:solidFill>
          </w14:textFill>
        </w:rPr>
      </w:pPr>
      <w:r/>
      <w:bookmarkStart w:id="252" w:name="_GoBack"/>
      <w:r/>
      <w:bookmarkEnd w:id="252"/>
      <w:r/>
      <w:r/>
    </w:p>
    <w:p>
      <w:pPr>
        <w:jc w:val="left"/>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jc w:val="left"/>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jc w:val="left"/>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jc w:val="left"/>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jc w:val="left"/>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pStyle w:val="723"/>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r/>
      <w:r/>
    </w:p>
    <w:p>
      <w:pPr>
        <w:jc w:val="left"/>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r/>
      <w:r/>
    </w:p>
    <w:p>
      <w:pPr>
        <w:ind w:firstLine="723"/>
        <w:jc w:val="center"/>
        <w:spacing w:before="120" w:after="120" w:line="360" w:lineRule="auto"/>
        <w:rPr>
          <w:rFonts w:ascii="宋体" w:hAnsi="宋体"/>
          <w:b/>
          <w:bCs/>
          <w:color w:val="000000" w:themeColor="text1"/>
          <w:sz w:val="40"/>
          <w:szCs w:val="28"/>
          <w14:textFill>
            <w14:solidFill>
              <w14:schemeClr w14:val="tx1"/>
            </w14:solidFill>
          </w14:textFill>
        </w:rPr>
      </w:pPr>
      <w:r>
        <w:rPr>
          <w:rFonts w:hint="eastAsia" w:ascii="宋体" w:hAnsi="宋体"/>
          <w:b/>
          <w:bCs/>
          <w:color w:val="000000" w:themeColor="text1"/>
          <w:sz w:val="40"/>
          <w:szCs w:val="28"/>
          <w14:textFill>
            <w14:solidFill>
              <w14:schemeClr w14:val="tx1"/>
            </w14:solidFill>
          </w14:textFill>
        </w:rPr>
        <w:t xml:space="preserve">苏州新一造价师价格事务所有限公司</w:t>
      </w:r>
      <w:r/>
    </w:p>
    <w:p>
      <w:pPr>
        <w:ind w:firstLine="723"/>
        <w:jc w:val="center"/>
        <w:spacing w:before="120" w:after="120" w:line="360" w:lineRule="auto"/>
        <w:rPr>
          <w:rFonts w:ascii="宋体" w:hAnsi="宋体"/>
          <w:color w:val="000000" w:themeColor="text1"/>
          <w:sz w:val="32"/>
          <w:szCs w:val="28"/>
          <w14:textFill>
            <w14:solidFill>
              <w14:schemeClr w14:val="tx1"/>
            </w14:solidFill>
          </w14:textFill>
        </w:rPr>
      </w:pPr>
      <w:r>
        <w:rPr>
          <w:rFonts w:ascii="宋体" w:hAnsi="宋体"/>
          <w:b/>
          <w:bCs/>
          <w:color w:val="000000" w:themeColor="text1"/>
          <w:sz w:val="40"/>
          <w:szCs w:val="28"/>
          <w14:textFill>
            <w14:solidFill>
              <w14:schemeClr w14:val="tx1"/>
            </w14:solidFill>
          </w14:textFill>
        </w:rPr>
        <w:t xml:space="preserve">2024</w:t>
      </w:r>
      <w:r>
        <w:rPr>
          <w:rFonts w:hint="eastAsia" w:ascii="宋体" w:hAnsi="宋体"/>
          <w:b/>
          <w:bCs/>
          <w:color w:val="000000" w:themeColor="text1"/>
          <w:sz w:val="40"/>
          <w:szCs w:val="28"/>
          <w14:textFill>
            <w14:solidFill>
              <w14:schemeClr w14:val="tx1"/>
            </w14:solidFill>
          </w14:textFill>
        </w:rPr>
        <w:t xml:space="preserve">年</w:t>
      </w:r>
      <w:r>
        <w:rPr>
          <w:rFonts w:hint="eastAsia" w:ascii="宋体" w:hAnsi="宋体"/>
          <w:b/>
          <w:bCs/>
          <w:color w:val="000000" w:themeColor="text1"/>
          <w:sz w:val="40"/>
          <w:szCs w:val="28"/>
          <w:lang w:val="en-US" w:eastAsia="zh-CN"/>
          <w14:textFill>
            <w14:solidFill>
              <w14:schemeClr w14:val="tx1"/>
            </w14:solidFill>
          </w14:textFill>
        </w:rPr>
        <w:t xml:space="preserve">12</w:t>
      </w:r>
      <w:r>
        <w:rPr>
          <w:rFonts w:hint="eastAsia" w:ascii="宋体" w:hAnsi="宋体"/>
          <w:b/>
          <w:bCs/>
          <w:color w:val="000000" w:themeColor="text1"/>
          <w:sz w:val="40"/>
          <w:szCs w:val="28"/>
          <w14:textFill>
            <w14:solidFill>
              <w14:schemeClr w14:val="tx1"/>
            </w14:solidFill>
          </w14:textFill>
        </w:rPr>
        <w:t xml:space="preserve">月</w:t>
      </w:r>
      <w:r>
        <w:rPr>
          <w:rFonts w:hint="eastAsia" w:ascii="宋体" w:hAnsi="宋体"/>
          <w:b/>
          <w:bCs/>
          <w:color w:val="000000" w:themeColor="text1"/>
          <w:sz w:val="40"/>
          <w:szCs w:val="28"/>
          <w:lang w:val="en-US" w:eastAsia="zh-CN"/>
          <w14:textFill>
            <w14:solidFill>
              <w14:schemeClr w14:val="tx1"/>
            </w14:solidFill>
          </w14:textFill>
        </w:rPr>
        <w:t xml:space="preserve">17</w:t>
      </w:r>
      <w:r>
        <w:rPr>
          <w:rFonts w:hint="eastAsia" w:ascii="宋体" w:hAnsi="宋体"/>
          <w:b/>
          <w:bCs/>
          <w:color w:val="000000" w:themeColor="text1"/>
          <w:sz w:val="40"/>
          <w:szCs w:val="28"/>
          <w14:textFill>
            <w14:solidFill>
              <w14:schemeClr w14:val="tx1"/>
            </w14:solidFill>
          </w14:textFill>
        </w:rPr>
        <w:t xml:space="preserve">日</w:t>
      </w:r>
      <w:r/>
    </w:p>
    <w:p>
      <w:pPr>
        <w:pStyle w:val="1064"/>
        <w:ind w:firstLine="640"/>
        <w:jc w:val="center"/>
        <w:rPr>
          <w:b/>
          <w:bCs/>
          <w:color w:val="000000" w:themeColor="text1"/>
          <w14:textFill>
            <w14:solidFill>
              <w14:schemeClr w14:val="tx1"/>
            </w14:solidFill>
          </w14:textFill>
        </w:rPr>
      </w:pPr>
      <w:r>
        <w:rPr>
          <w:rFonts w:ascii="Times New Roman" w:hAnsi="Times New Roman"/>
          <w:color w:val="000000" w:themeColor="text1"/>
          <w:szCs w:val="21"/>
          <w14:textFill>
            <w14:solidFill>
              <w14:schemeClr w14:val="tx1"/>
            </w14:solidFill>
          </w14:textFill>
        </w:rPr>
        <w:br w:type="page" w:clear="all"/>
      </w:r>
      <w:bookmarkStart w:id="0" w:name="_Toc120614210"/>
      <w:r/>
      <w:bookmarkStart w:id="1" w:name="_Toc20823272"/>
      <w:r/>
      <w:bookmarkStart w:id="2" w:name="_Toc16938516"/>
      <w:r/>
      <w:bookmarkStart w:id="3" w:name="_Toc479757206"/>
      <w:r/>
      <w:bookmarkStart w:id="4" w:name="_Toc523127445"/>
      <w:r/>
      <w:bookmarkStart w:id="5" w:name="_Toc513029200"/>
      <w:r>
        <w:rPr>
          <w:b/>
          <w:bCs/>
          <w:color w:val="000000" w:themeColor="text1"/>
          <w:lang w:val="zh-CN"/>
          <w14:textFill>
            <w14:solidFill>
              <w14:schemeClr w14:val="tx1"/>
            </w14:solidFill>
          </w14:textFill>
        </w:rPr>
        <w:t xml:space="preserve">目录</w:t>
      </w:r>
      <w:r/>
    </w:p>
    <w:p>
      <w:pPr>
        <w:pStyle w:val="733"/>
        <w:tabs>
          <w:tab w:val="right" w:pos="10466" w:leader="dot"/>
        </w:tabs>
      </w:pPr>
      <w:r>
        <w:rPr>
          <w:rFonts w:ascii="Times New Roman" w:hAnsi="Times New Roman"/>
          <w:color w:val="000000" w:themeColor="text1"/>
          <w14:textFill>
            <w14:solidFill>
              <w14:schemeClr w14:val="tx1"/>
            </w14:solidFill>
          </w14:textFill>
        </w:rPr>
        <w:fldChar w:fldCharType="begin"/>
      </w:r>
      <w:r>
        <w:rPr>
          <w:rFonts w:ascii="Times New Roman" w:hAnsi="Times New Roman"/>
          <w:color w:val="000000" w:themeColor="text1"/>
          <w14:textFill>
            <w14:solidFill>
              <w14:schemeClr w14:val="tx1"/>
            </w14:solidFill>
          </w14:textFill>
        </w:rPr>
        <w:instrText xml:space="preserve"> TOC \o "1-3" \h \z \u </w:instrText>
      </w:r>
      <w:r>
        <w:rPr>
          <w:rFonts w:ascii="Times New Roman" w:hAnsi="Times New Roman"/>
          <w:color w:val="000000" w:themeColor="text1"/>
          <w14:textFill>
            <w14:solidFill>
              <w14:schemeClr w14:val="tx1"/>
            </w14:solidFill>
          </w14:textFill>
        </w:rPr>
        <w:fldChar w:fldCharType="separate"/>
      </w:r>
      <w:r>
        <w:rPr>
          <w:rFonts w:ascii="Times New Roman" w:hAnsi="Times New Roman"/>
          <w:color w:val="000000" w:themeColor="text1"/>
          <w14:textFill>
            <w14:solidFill>
              <w14:schemeClr w14:val="tx1"/>
            </w14:solidFill>
          </w14:textFill>
        </w:rPr>
        <w:fldChar w:fldCharType="begin"/>
      </w:r>
      <w:r>
        <w:rPr>
          <w:rFonts w:ascii="Times New Roman" w:hAnsi="Times New Roman"/>
        </w:rPr>
        <w:instrText xml:space="preserve"> HYPERLINK \l _Toc25406 </w:instrText>
      </w:r>
      <w:r>
        <w:rPr>
          <w:rFonts w:ascii="Times New Roman" w:hAnsi="Times New Roman"/>
        </w:rPr>
        <w:fldChar w:fldCharType="separate"/>
      </w:r>
      <w:r>
        <w:rPr>
          <w:rFonts w:hint="eastAsia" w:ascii="黑体" w:hAnsi="Times New Roman" w:eastAsia="黑体"/>
          <w:szCs w:val="44"/>
        </w:rPr>
        <w:t xml:space="preserve">第一章  投标邀请</w:t>
      </w:r>
      <w:r>
        <w:tab/>
      </w:r>
      <w:r>
        <w:fldChar w:fldCharType="begin"/>
      </w:r>
      <w:r>
        <w:instrText xml:space="preserve"> PAGEREF _Toc25406 \h </w:instrText>
      </w:r>
      <w:r>
        <w:fldChar w:fldCharType="separate"/>
      </w:r>
      <w:r>
        <w:t xml:space="preserve">3</w:t>
      </w:r>
      <w:r>
        <w:fldChar w:fldCharType="end"/>
      </w:r>
      <w:r>
        <w:rPr>
          <w:rFonts w:ascii="Times New Roman" w:hAnsi="Times New Roman"/>
          <w:color w:val="000000" w:themeColor="text1"/>
          <w14:textFill>
            <w14:solidFill>
              <w14:schemeClr w14:val="tx1"/>
            </w14:solidFill>
          </w14:textFill>
        </w:rPr>
        <w:fldChar w:fldCharType="end"/>
      </w:r>
      <w:r/>
    </w:p>
    <w:p>
      <w:pPr>
        <w:pStyle w:val="739"/>
        <w:tabs>
          <w:tab w:val="right" w:pos="10466" w:leader="dot"/>
        </w:tabs>
      </w:pPr>
      <w:r>
        <w:rPr>
          <w:rFonts w:ascii="Times New Roman" w:hAnsi="Times New Roman"/>
          <w:caps/>
          <w:color w:val="000000" w:themeColor="text1"/>
          <w:szCs w:val="24"/>
          <w14:textFill>
            <w14:solidFill>
              <w14:schemeClr w14:val="tx1"/>
            </w14:solidFill>
          </w14:textFill>
        </w:rPr>
        <w:fldChar w:fldCharType="begin"/>
      </w:r>
      <w:r>
        <w:rPr>
          <w:rFonts w:ascii="Times New Roman" w:hAnsi="Times New Roman"/>
          <w:caps/>
          <w:szCs w:val="24"/>
        </w:rPr>
        <w:instrText xml:space="preserve"> HYPERLINK \l _Toc18553 </w:instrText>
      </w:r>
      <w:r>
        <w:rPr>
          <w:rFonts w:ascii="Times New Roman" w:hAnsi="Times New Roman"/>
          <w:caps/>
          <w:szCs w:val="24"/>
        </w:rPr>
        <w:fldChar w:fldCharType="separate"/>
      </w:r>
      <w:r>
        <w:rPr>
          <w:rFonts w:ascii="Times New Roman" w:hAnsi="Times New Roman"/>
          <w:bCs/>
          <w:szCs w:val="24"/>
        </w:rPr>
        <w:t xml:space="preserve">一、项目基本情况</w:t>
      </w:r>
      <w:r>
        <w:tab/>
      </w:r>
      <w:r>
        <w:fldChar w:fldCharType="begin"/>
      </w:r>
      <w:r>
        <w:instrText xml:space="preserve"> PAGEREF _Toc18553 \h </w:instrText>
      </w:r>
      <w:r>
        <w:fldChar w:fldCharType="separate"/>
      </w:r>
      <w:r>
        <w:t xml:space="preserve">3</w:t>
      </w:r>
      <w:r>
        <w:fldChar w:fldCharType="end"/>
      </w:r>
      <w:r>
        <w:rPr>
          <w:rFonts w:ascii="Times New Roman" w:hAnsi="Times New Roman"/>
          <w:caps/>
          <w:color w:val="000000" w:themeColor="text1"/>
          <w:szCs w:val="24"/>
          <w14:textFill>
            <w14:solidFill>
              <w14:schemeClr w14:val="tx1"/>
            </w14:solidFill>
          </w14:textFill>
        </w:rPr>
        <w:fldChar w:fldCharType="end"/>
      </w:r>
      <w:r/>
    </w:p>
    <w:p>
      <w:pPr>
        <w:pStyle w:val="739"/>
        <w:tabs>
          <w:tab w:val="right" w:pos="10466" w:leader="dot"/>
        </w:tabs>
      </w:pPr>
      <w:r>
        <w:rPr>
          <w:rFonts w:ascii="Times New Roman" w:hAnsi="Times New Roman"/>
          <w:caps/>
          <w:color w:val="000000" w:themeColor="text1"/>
          <w:szCs w:val="24"/>
          <w14:textFill>
            <w14:solidFill>
              <w14:schemeClr w14:val="tx1"/>
            </w14:solidFill>
          </w14:textFill>
        </w:rPr>
        <w:fldChar w:fldCharType="begin"/>
      </w:r>
      <w:r>
        <w:rPr>
          <w:rFonts w:ascii="Times New Roman" w:hAnsi="Times New Roman"/>
          <w:caps/>
          <w:szCs w:val="24"/>
        </w:rPr>
        <w:instrText xml:space="preserve"> HYPERLINK \l _Toc9331 </w:instrText>
      </w:r>
      <w:r>
        <w:rPr>
          <w:rFonts w:ascii="Times New Roman" w:hAnsi="Times New Roman"/>
          <w:caps/>
          <w:szCs w:val="24"/>
        </w:rPr>
        <w:fldChar w:fldCharType="separate"/>
      </w:r>
      <w:r>
        <w:rPr>
          <w:rFonts w:hint="eastAsia" w:ascii="Times New Roman" w:hAnsi="Times New Roman"/>
          <w:bCs/>
          <w:szCs w:val="24"/>
        </w:rPr>
        <w:t xml:space="preserve">二、申请人的资格要求</w:t>
      </w:r>
      <w:r>
        <w:tab/>
      </w:r>
      <w:r>
        <w:fldChar w:fldCharType="begin"/>
      </w:r>
      <w:r>
        <w:instrText xml:space="preserve"> PAGEREF _Toc9331 \h </w:instrText>
      </w:r>
      <w:r>
        <w:fldChar w:fldCharType="separate"/>
      </w:r>
      <w:r>
        <w:t xml:space="preserve">3</w:t>
      </w:r>
      <w:r>
        <w:fldChar w:fldCharType="end"/>
      </w:r>
      <w:r>
        <w:rPr>
          <w:rFonts w:ascii="Times New Roman" w:hAnsi="Times New Roman"/>
          <w:caps/>
          <w:color w:val="000000" w:themeColor="text1"/>
          <w:szCs w:val="24"/>
          <w14:textFill>
            <w14:solidFill>
              <w14:schemeClr w14:val="tx1"/>
            </w14:solidFill>
          </w14:textFill>
        </w:rPr>
        <w:fldChar w:fldCharType="end"/>
      </w:r>
      <w:r/>
    </w:p>
    <w:p>
      <w:pPr>
        <w:pStyle w:val="739"/>
        <w:tabs>
          <w:tab w:val="right" w:pos="10466" w:leader="dot"/>
        </w:tabs>
      </w:pPr>
      <w:r>
        <w:rPr>
          <w:rFonts w:ascii="Times New Roman" w:hAnsi="Times New Roman"/>
          <w:caps/>
          <w:color w:val="000000" w:themeColor="text1"/>
          <w:szCs w:val="24"/>
          <w14:textFill>
            <w14:solidFill>
              <w14:schemeClr w14:val="tx1"/>
            </w14:solidFill>
          </w14:textFill>
        </w:rPr>
        <w:fldChar w:fldCharType="begin"/>
      </w:r>
      <w:r>
        <w:rPr>
          <w:rFonts w:ascii="Times New Roman" w:hAnsi="Times New Roman"/>
          <w:caps/>
          <w:szCs w:val="24"/>
        </w:rPr>
        <w:instrText xml:space="preserve"> HYPERLINK \l _Toc16886 </w:instrText>
      </w:r>
      <w:r>
        <w:rPr>
          <w:rFonts w:ascii="Times New Roman" w:hAnsi="Times New Roman"/>
          <w:caps/>
          <w:szCs w:val="24"/>
        </w:rPr>
        <w:fldChar w:fldCharType="separate"/>
      </w:r>
      <w:r>
        <w:rPr>
          <w:rFonts w:hint="eastAsia" w:ascii="Times New Roman" w:hAnsi="Times New Roman"/>
          <w:bCs/>
          <w:szCs w:val="24"/>
        </w:rPr>
        <w:t xml:space="preserve">三、获取招标文件</w:t>
      </w:r>
      <w:r>
        <w:tab/>
      </w:r>
      <w:r>
        <w:fldChar w:fldCharType="begin"/>
      </w:r>
      <w:r>
        <w:instrText xml:space="preserve"> PAGEREF _Toc16886 \h </w:instrText>
      </w:r>
      <w:r>
        <w:fldChar w:fldCharType="separate"/>
      </w:r>
      <w:r>
        <w:t xml:space="preserve">4</w:t>
      </w:r>
      <w:r>
        <w:fldChar w:fldCharType="end"/>
      </w:r>
      <w:r>
        <w:rPr>
          <w:rFonts w:ascii="Times New Roman" w:hAnsi="Times New Roman"/>
          <w:caps/>
          <w:color w:val="000000" w:themeColor="text1"/>
          <w:szCs w:val="24"/>
          <w14:textFill>
            <w14:solidFill>
              <w14:schemeClr w14:val="tx1"/>
            </w14:solidFill>
          </w14:textFill>
        </w:rPr>
        <w:fldChar w:fldCharType="end"/>
      </w:r>
      <w:r/>
    </w:p>
    <w:p>
      <w:pPr>
        <w:pStyle w:val="739"/>
        <w:tabs>
          <w:tab w:val="right" w:pos="10466" w:leader="dot"/>
        </w:tabs>
      </w:pPr>
      <w:r>
        <w:rPr>
          <w:rFonts w:ascii="Times New Roman" w:hAnsi="Times New Roman"/>
          <w:caps/>
          <w:color w:val="000000" w:themeColor="text1"/>
          <w:szCs w:val="24"/>
          <w14:textFill>
            <w14:solidFill>
              <w14:schemeClr w14:val="tx1"/>
            </w14:solidFill>
          </w14:textFill>
        </w:rPr>
        <w:fldChar w:fldCharType="begin"/>
      </w:r>
      <w:r>
        <w:rPr>
          <w:rFonts w:ascii="Times New Roman" w:hAnsi="Times New Roman"/>
          <w:caps/>
          <w:szCs w:val="24"/>
        </w:rPr>
        <w:instrText xml:space="preserve"> HYPERLINK \l _Toc6090 </w:instrText>
      </w:r>
      <w:r>
        <w:rPr>
          <w:rFonts w:ascii="Times New Roman" w:hAnsi="Times New Roman"/>
          <w:caps/>
          <w:szCs w:val="24"/>
        </w:rPr>
        <w:fldChar w:fldCharType="separate"/>
      </w:r>
      <w:r>
        <w:rPr>
          <w:rFonts w:hint="eastAsia" w:ascii="Times New Roman" w:hAnsi="Times New Roman"/>
          <w:bCs/>
          <w:szCs w:val="24"/>
        </w:rPr>
        <w:t xml:space="preserve">四、提交投标文件截止时间、开标</w:t>
      </w:r>
      <w:r>
        <w:rPr>
          <w:rFonts w:ascii="Times New Roman" w:hAnsi="Times New Roman"/>
          <w:bCs/>
          <w:szCs w:val="24"/>
        </w:rPr>
        <w:t xml:space="preserve">时间和地点</w:t>
      </w:r>
      <w:r>
        <w:tab/>
      </w:r>
      <w:r>
        <w:fldChar w:fldCharType="begin"/>
      </w:r>
      <w:r>
        <w:instrText xml:space="preserve"> PAGEREF _Toc6090 \h </w:instrText>
      </w:r>
      <w:r>
        <w:fldChar w:fldCharType="separate"/>
      </w:r>
      <w:r>
        <w:t xml:space="preserve">4</w:t>
      </w:r>
      <w:r>
        <w:fldChar w:fldCharType="end"/>
      </w:r>
      <w:r>
        <w:rPr>
          <w:rFonts w:ascii="Times New Roman" w:hAnsi="Times New Roman"/>
          <w:caps/>
          <w:color w:val="000000" w:themeColor="text1"/>
          <w:szCs w:val="24"/>
          <w14:textFill>
            <w14:solidFill>
              <w14:schemeClr w14:val="tx1"/>
            </w14:solidFill>
          </w14:textFill>
        </w:rPr>
        <w:fldChar w:fldCharType="end"/>
      </w:r>
      <w:r/>
    </w:p>
    <w:p>
      <w:pPr>
        <w:pStyle w:val="739"/>
        <w:tabs>
          <w:tab w:val="right" w:pos="10466" w:leader="dot"/>
        </w:tabs>
      </w:pPr>
      <w:r>
        <w:rPr>
          <w:rFonts w:ascii="Times New Roman" w:hAnsi="Times New Roman"/>
          <w:caps/>
          <w:color w:val="000000" w:themeColor="text1"/>
          <w:szCs w:val="24"/>
          <w14:textFill>
            <w14:solidFill>
              <w14:schemeClr w14:val="tx1"/>
            </w14:solidFill>
          </w14:textFill>
        </w:rPr>
        <w:fldChar w:fldCharType="begin"/>
      </w:r>
      <w:r>
        <w:rPr>
          <w:rFonts w:ascii="Times New Roman" w:hAnsi="Times New Roman"/>
          <w:caps/>
          <w:szCs w:val="24"/>
        </w:rPr>
        <w:instrText xml:space="preserve"> HYPERLINK \l _Toc807 </w:instrText>
      </w:r>
      <w:r>
        <w:rPr>
          <w:rFonts w:ascii="Times New Roman" w:hAnsi="Times New Roman"/>
          <w:caps/>
          <w:szCs w:val="24"/>
        </w:rPr>
        <w:fldChar w:fldCharType="separate"/>
      </w:r>
      <w:r>
        <w:rPr>
          <w:rFonts w:hint="eastAsia" w:ascii="Times New Roman" w:hAnsi="Times New Roman"/>
          <w:bCs/>
          <w:szCs w:val="24"/>
        </w:rPr>
        <w:t xml:space="preserve">五、</w:t>
      </w:r>
      <w:r>
        <w:rPr>
          <w:rFonts w:ascii="Times New Roman" w:hAnsi="Times New Roman"/>
          <w:bCs/>
          <w:szCs w:val="24"/>
        </w:rPr>
        <w:t xml:space="preserve">公告</w:t>
      </w:r>
      <w:r>
        <w:rPr>
          <w:rFonts w:hint="eastAsia" w:ascii="Times New Roman" w:hAnsi="Times New Roman"/>
          <w:bCs/>
          <w:szCs w:val="24"/>
        </w:rPr>
        <w:t xml:space="preserve">期限</w:t>
      </w:r>
      <w:r>
        <w:tab/>
      </w:r>
      <w:r>
        <w:fldChar w:fldCharType="begin"/>
      </w:r>
      <w:r>
        <w:instrText xml:space="preserve"> PAGEREF _Toc807 \h </w:instrText>
      </w:r>
      <w:r>
        <w:fldChar w:fldCharType="separate"/>
      </w:r>
      <w:r>
        <w:t xml:space="preserve">4</w:t>
      </w:r>
      <w:r>
        <w:fldChar w:fldCharType="end"/>
      </w:r>
      <w:r>
        <w:rPr>
          <w:rFonts w:ascii="Times New Roman" w:hAnsi="Times New Roman"/>
          <w:caps/>
          <w:color w:val="000000" w:themeColor="text1"/>
          <w:szCs w:val="24"/>
          <w14:textFill>
            <w14:solidFill>
              <w14:schemeClr w14:val="tx1"/>
            </w14:solidFill>
          </w14:textFill>
        </w:rPr>
        <w:fldChar w:fldCharType="end"/>
      </w:r>
      <w:r/>
    </w:p>
    <w:p>
      <w:pPr>
        <w:pStyle w:val="739"/>
        <w:tabs>
          <w:tab w:val="right" w:pos="10466" w:leader="dot"/>
        </w:tabs>
      </w:pPr>
      <w:r>
        <w:rPr>
          <w:rFonts w:ascii="Times New Roman" w:hAnsi="Times New Roman"/>
          <w:caps/>
          <w:color w:val="000000" w:themeColor="text1"/>
          <w:szCs w:val="24"/>
          <w14:textFill>
            <w14:solidFill>
              <w14:schemeClr w14:val="tx1"/>
            </w14:solidFill>
          </w14:textFill>
        </w:rPr>
        <w:fldChar w:fldCharType="begin"/>
      </w:r>
      <w:r>
        <w:rPr>
          <w:rFonts w:ascii="Times New Roman" w:hAnsi="Times New Roman"/>
          <w:caps/>
          <w:szCs w:val="24"/>
        </w:rPr>
        <w:instrText xml:space="preserve"> HYPERLINK \l _Toc21176 </w:instrText>
      </w:r>
      <w:r>
        <w:rPr>
          <w:rFonts w:ascii="Times New Roman" w:hAnsi="Times New Roman"/>
          <w:caps/>
          <w:szCs w:val="24"/>
        </w:rPr>
        <w:fldChar w:fldCharType="separate"/>
      </w:r>
      <w:r>
        <w:rPr>
          <w:rFonts w:hint="eastAsia" w:ascii="Times New Roman" w:hAnsi="Times New Roman"/>
          <w:bCs/>
          <w:szCs w:val="24"/>
        </w:rPr>
        <w:t xml:space="preserve">六、其他补充事宜</w:t>
      </w:r>
      <w:r>
        <w:tab/>
      </w:r>
      <w:r>
        <w:fldChar w:fldCharType="begin"/>
      </w:r>
      <w:r>
        <w:instrText xml:space="preserve"> PAGEREF _Toc21176 \h </w:instrText>
      </w:r>
      <w:r>
        <w:fldChar w:fldCharType="separate"/>
      </w:r>
      <w:r>
        <w:t xml:space="preserve">4</w:t>
      </w:r>
      <w:r>
        <w:fldChar w:fldCharType="end"/>
      </w:r>
      <w:r>
        <w:rPr>
          <w:rFonts w:ascii="Times New Roman" w:hAnsi="Times New Roman"/>
          <w:caps/>
          <w:color w:val="000000" w:themeColor="text1"/>
          <w:szCs w:val="24"/>
          <w14:textFill>
            <w14:solidFill>
              <w14:schemeClr w14:val="tx1"/>
            </w14:solidFill>
          </w14:textFill>
        </w:rPr>
        <w:fldChar w:fldCharType="end"/>
      </w:r>
      <w:r/>
    </w:p>
    <w:p>
      <w:pPr>
        <w:pStyle w:val="739"/>
        <w:tabs>
          <w:tab w:val="right" w:pos="10466" w:leader="dot"/>
        </w:tabs>
      </w:pPr>
      <w:r>
        <w:rPr>
          <w:rFonts w:ascii="Times New Roman" w:hAnsi="Times New Roman"/>
          <w:caps/>
          <w:color w:val="000000" w:themeColor="text1"/>
          <w:szCs w:val="24"/>
          <w14:textFill>
            <w14:solidFill>
              <w14:schemeClr w14:val="tx1"/>
            </w14:solidFill>
          </w14:textFill>
        </w:rPr>
        <w:fldChar w:fldCharType="begin"/>
      </w:r>
      <w:r>
        <w:rPr>
          <w:rFonts w:ascii="Times New Roman" w:hAnsi="Times New Roman"/>
          <w:caps/>
          <w:szCs w:val="24"/>
        </w:rPr>
        <w:instrText xml:space="preserve"> HYPERLINK \l _Toc26239 </w:instrText>
      </w:r>
      <w:r>
        <w:rPr>
          <w:rFonts w:ascii="Times New Roman" w:hAnsi="Times New Roman"/>
          <w:caps/>
          <w:szCs w:val="24"/>
        </w:rPr>
        <w:fldChar w:fldCharType="separate"/>
      </w:r>
      <w:r>
        <w:rPr>
          <w:rFonts w:hint="eastAsia" w:ascii="Times New Roman" w:hAnsi="Times New Roman"/>
          <w:bCs/>
          <w:szCs w:val="24"/>
        </w:rPr>
        <w:t xml:space="preserve">七、本次招标联系方式</w:t>
      </w:r>
      <w:r>
        <w:tab/>
      </w:r>
      <w:r>
        <w:fldChar w:fldCharType="begin"/>
      </w:r>
      <w:r>
        <w:instrText xml:space="preserve"> PAGEREF _Toc26239 \h </w:instrText>
      </w:r>
      <w:r>
        <w:fldChar w:fldCharType="separate"/>
      </w:r>
      <w:r>
        <w:t xml:space="preserve">5</w:t>
      </w:r>
      <w:r>
        <w:fldChar w:fldCharType="end"/>
      </w:r>
      <w:r>
        <w:rPr>
          <w:rFonts w:ascii="Times New Roman" w:hAnsi="Times New Roman"/>
          <w:caps/>
          <w:color w:val="000000" w:themeColor="text1"/>
          <w:szCs w:val="24"/>
          <w14:textFill>
            <w14:solidFill>
              <w14:schemeClr w14:val="tx1"/>
            </w14:solidFill>
          </w14:textFill>
        </w:rPr>
        <w:fldChar w:fldCharType="end"/>
      </w:r>
      <w:r/>
    </w:p>
    <w:p>
      <w:pPr>
        <w:pStyle w:val="733"/>
        <w:tabs>
          <w:tab w:val="right" w:pos="10466" w:leader="dot"/>
        </w:tabs>
      </w:pPr>
      <w:r>
        <w:rPr>
          <w:rFonts w:ascii="Times New Roman" w:hAnsi="Times New Roman"/>
          <w:caps/>
          <w:color w:val="000000" w:themeColor="text1"/>
          <w:szCs w:val="24"/>
          <w14:textFill>
            <w14:solidFill>
              <w14:schemeClr w14:val="tx1"/>
            </w14:solidFill>
          </w14:textFill>
        </w:rPr>
        <w:fldChar w:fldCharType="begin"/>
      </w:r>
      <w:r>
        <w:rPr>
          <w:rFonts w:ascii="Times New Roman" w:hAnsi="Times New Roman"/>
          <w:caps/>
          <w:szCs w:val="24"/>
        </w:rPr>
        <w:instrText xml:space="preserve"> HYPERLINK \l _Toc15721 </w:instrText>
      </w:r>
      <w:r>
        <w:rPr>
          <w:rFonts w:ascii="Times New Roman" w:hAnsi="Times New Roman"/>
          <w:caps/>
          <w:szCs w:val="24"/>
        </w:rPr>
        <w:fldChar w:fldCharType="separate"/>
      </w:r>
      <w:r>
        <w:rPr>
          <w:rFonts w:hint="eastAsia" w:ascii="黑体" w:hAnsi="Times New Roman" w:eastAsia="黑体"/>
          <w:szCs w:val="44"/>
        </w:rPr>
        <w:t xml:space="preserve">第二章  投标人须知</w:t>
      </w:r>
      <w:r>
        <w:tab/>
      </w:r>
      <w:r>
        <w:fldChar w:fldCharType="begin"/>
      </w:r>
      <w:r>
        <w:instrText xml:space="preserve"> PAGEREF _Toc15721 \h </w:instrText>
      </w:r>
      <w:r>
        <w:fldChar w:fldCharType="separate"/>
      </w:r>
      <w:r>
        <w:t xml:space="preserve">6</w:t>
      </w:r>
      <w:r>
        <w:fldChar w:fldCharType="end"/>
      </w:r>
      <w:r>
        <w:rPr>
          <w:rFonts w:ascii="Times New Roman" w:hAnsi="Times New Roman"/>
          <w:caps/>
          <w:color w:val="000000" w:themeColor="text1"/>
          <w:szCs w:val="24"/>
          <w14:textFill>
            <w14:solidFill>
              <w14:schemeClr w14:val="tx1"/>
            </w14:solidFill>
          </w14:textFill>
        </w:rPr>
        <w:fldChar w:fldCharType="end"/>
      </w:r>
      <w:r/>
    </w:p>
    <w:p>
      <w:pPr>
        <w:pStyle w:val="739"/>
        <w:tabs>
          <w:tab w:val="right" w:pos="10466" w:leader="dot"/>
        </w:tabs>
      </w:pPr>
      <w:r>
        <w:rPr>
          <w:rFonts w:ascii="Times New Roman" w:hAnsi="Times New Roman"/>
          <w:caps/>
          <w:color w:val="000000" w:themeColor="text1"/>
          <w:szCs w:val="24"/>
          <w14:textFill>
            <w14:solidFill>
              <w14:schemeClr w14:val="tx1"/>
            </w14:solidFill>
          </w14:textFill>
        </w:rPr>
        <w:fldChar w:fldCharType="begin"/>
      </w:r>
      <w:r>
        <w:rPr>
          <w:rFonts w:ascii="Times New Roman" w:hAnsi="Times New Roman"/>
          <w:caps/>
          <w:szCs w:val="24"/>
        </w:rPr>
        <w:instrText xml:space="preserve"> HYPERLINK \l _Toc29914 </w:instrText>
      </w:r>
      <w:r>
        <w:rPr>
          <w:rFonts w:ascii="Times New Roman" w:hAnsi="Times New Roman"/>
          <w:caps/>
          <w:szCs w:val="24"/>
        </w:rPr>
        <w:fldChar w:fldCharType="separate"/>
      </w:r>
      <w:r>
        <w:rPr>
          <w:rFonts w:hint="eastAsia" w:ascii="宋体" w:hAnsi="宋体" w:cs="宋体"/>
          <w:bCs/>
          <w:szCs w:val="28"/>
        </w:rPr>
        <w:t xml:space="preserve">一、总则</w:t>
      </w:r>
      <w:r>
        <w:tab/>
      </w:r>
      <w:r>
        <w:fldChar w:fldCharType="begin"/>
      </w:r>
      <w:r>
        <w:instrText xml:space="preserve"> PAGEREF _Toc29914 \h </w:instrText>
      </w:r>
      <w:r>
        <w:fldChar w:fldCharType="separate"/>
      </w:r>
      <w:r>
        <w:t xml:space="preserve">6</w:t>
      </w:r>
      <w:r>
        <w:fldChar w:fldCharType="end"/>
      </w:r>
      <w:r>
        <w:rPr>
          <w:rFonts w:ascii="Times New Roman" w:hAnsi="Times New Roman"/>
          <w:caps/>
          <w:color w:val="000000" w:themeColor="text1"/>
          <w:szCs w:val="24"/>
          <w14:textFill>
            <w14:solidFill>
              <w14:schemeClr w14:val="tx1"/>
            </w14:solidFill>
          </w14:textFill>
        </w:rPr>
        <w:fldChar w:fldCharType="end"/>
      </w:r>
      <w:r/>
    </w:p>
    <w:p>
      <w:pPr>
        <w:pStyle w:val="739"/>
        <w:tabs>
          <w:tab w:val="right" w:pos="10466" w:leader="dot"/>
        </w:tabs>
      </w:pPr>
      <w:r>
        <w:rPr>
          <w:rFonts w:ascii="Times New Roman" w:hAnsi="Times New Roman"/>
          <w:caps/>
          <w:color w:val="000000" w:themeColor="text1"/>
          <w:szCs w:val="24"/>
          <w14:textFill>
            <w14:solidFill>
              <w14:schemeClr w14:val="tx1"/>
            </w14:solidFill>
          </w14:textFill>
        </w:rPr>
        <w:fldChar w:fldCharType="begin"/>
      </w:r>
      <w:r>
        <w:rPr>
          <w:rFonts w:ascii="Times New Roman" w:hAnsi="Times New Roman"/>
          <w:caps/>
          <w:szCs w:val="24"/>
        </w:rPr>
        <w:instrText xml:space="preserve"> HYPERLINK \l _Toc295 </w:instrText>
      </w:r>
      <w:r>
        <w:rPr>
          <w:rFonts w:ascii="Times New Roman" w:hAnsi="Times New Roman"/>
          <w:caps/>
          <w:szCs w:val="24"/>
        </w:rPr>
        <w:fldChar w:fldCharType="separate"/>
      </w:r>
      <w:r>
        <w:rPr>
          <w:rFonts w:hint="eastAsia" w:ascii="宋体" w:hAnsi="宋体" w:cs="宋体"/>
          <w:bCs/>
          <w:szCs w:val="28"/>
        </w:rPr>
        <w:t xml:space="preserve">二、招标文件</w:t>
      </w:r>
      <w:r>
        <w:tab/>
      </w:r>
      <w:r>
        <w:fldChar w:fldCharType="begin"/>
      </w:r>
      <w:r>
        <w:instrText xml:space="preserve"> PAGEREF _Toc295 \h </w:instrText>
      </w:r>
      <w:r>
        <w:fldChar w:fldCharType="separate"/>
      </w:r>
      <w:r>
        <w:t xml:space="preserve">6</w:t>
      </w:r>
      <w:r>
        <w:fldChar w:fldCharType="end"/>
      </w:r>
      <w:r>
        <w:rPr>
          <w:rFonts w:ascii="Times New Roman" w:hAnsi="Times New Roman"/>
          <w:caps/>
          <w:color w:val="000000" w:themeColor="text1"/>
          <w:szCs w:val="24"/>
          <w14:textFill>
            <w14:solidFill>
              <w14:schemeClr w14:val="tx1"/>
            </w14:solidFill>
          </w14:textFill>
        </w:rPr>
        <w:fldChar w:fldCharType="end"/>
      </w:r>
      <w:r/>
    </w:p>
    <w:p>
      <w:pPr>
        <w:pStyle w:val="739"/>
        <w:tabs>
          <w:tab w:val="right" w:pos="10466" w:leader="dot"/>
        </w:tabs>
      </w:pPr>
      <w:r>
        <w:rPr>
          <w:rFonts w:ascii="Times New Roman" w:hAnsi="Times New Roman"/>
          <w:caps/>
          <w:color w:val="000000" w:themeColor="text1"/>
          <w:szCs w:val="24"/>
          <w14:textFill>
            <w14:solidFill>
              <w14:schemeClr w14:val="tx1"/>
            </w14:solidFill>
          </w14:textFill>
        </w:rPr>
        <w:fldChar w:fldCharType="begin"/>
      </w:r>
      <w:r>
        <w:rPr>
          <w:rFonts w:ascii="Times New Roman" w:hAnsi="Times New Roman"/>
          <w:caps/>
          <w:szCs w:val="24"/>
        </w:rPr>
        <w:instrText xml:space="preserve"> HYPERLINK \l _Toc20177 </w:instrText>
      </w:r>
      <w:r>
        <w:rPr>
          <w:rFonts w:ascii="Times New Roman" w:hAnsi="Times New Roman"/>
          <w:caps/>
          <w:szCs w:val="24"/>
        </w:rPr>
        <w:fldChar w:fldCharType="separate"/>
      </w:r>
      <w:r>
        <w:rPr>
          <w:rFonts w:hint="eastAsia" w:ascii="宋体" w:hAnsi="宋体" w:cs="宋体"/>
          <w:bCs/>
          <w:szCs w:val="28"/>
        </w:rPr>
        <w:t xml:space="preserve">三、投标文件的编制</w:t>
      </w:r>
      <w:r>
        <w:tab/>
      </w:r>
      <w:r>
        <w:fldChar w:fldCharType="begin"/>
      </w:r>
      <w:r>
        <w:instrText xml:space="preserve"> PAGEREF _Toc20177 \h </w:instrText>
      </w:r>
      <w:r>
        <w:fldChar w:fldCharType="separate"/>
      </w:r>
      <w:r>
        <w:t xml:space="preserve">7</w:t>
      </w:r>
      <w:r>
        <w:fldChar w:fldCharType="end"/>
      </w:r>
      <w:r>
        <w:rPr>
          <w:rFonts w:ascii="Times New Roman" w:hAnsi="Times New Roman"/>
          <w:caps/>
          <w:color w:val="000000" w:themeColor="text1"/>
          <w:szCs w:val="24"/>
          <w14:textFill>
            <w14:solidFill>
              <w14:schemeClr w14:val="tx1"/>
            </w14:solidFill>
          </w14:textFill>
        </w:rPr>
        <w:fldChar w:fldCharType="end"/>
      </w:r>
      <w:r/>
    </w:p>
    <w:p>
      <w:pPr>
        <w:pStyle w:val="739"/>
        <w:tabs>
          <w:tab w:val="right" w:pos="10466" w:leader="dot"/>
        </w:tabs>
      </w:pPr>
      <w:r>
        <w:rPr>
          <w:rFonts w:ascii="Times New Roman" w:hAnsi="Times New Roman"/>
          <w:caps/>
          <w:color w:val="000000" w:themeColor="text1"/>
          <w:szCs w:val="24"/>
          <w14:textFill>
            <w14:solidFill>
              <w14:schemeClr w14:val="tx1"/>
            </w14:solidFill>
          </w14:textFill>
        </w:rPr>
        <w:fldChar w:fldCharType="begin"/>
      </w:r>
      <w:r>
        <w:rPr>
          <w:rFonts w:ascii="Times New Roman" w:hAnsi="Times New Roman"/>
          <w:caps/>
          <w:szCs w:val="24"/>
        </w:rPr>
        <w:instrText xml:space="preserve"> HYPERLINK \l _Toc11985 </w:instrText>
      </w:r>
      <w:r>
        <w:rPr>
          <w:rFonts w:ascii="Times New Roman" w:hAnsi="Times New Roman"/>
          <w:caps/>
          <w:szCs w:val="24"/>
        </w:rPr>
        <w:fldChar w:fldCharType="separate"/>
      </w:r>
      <w:r>
        <w:rPr>
          <w:rFonts w:hint="eastAsia" w:ascii="宋体" w:hAnsi="宋体" w:cs="宋体"/>
          <w:bCs/>
          <w:szCs w:val="28"/>
        </w:rPr>
        <w:t xml:space="preserve">四、投标文件的递交</w:t>
      </w:r>
      <w:r>
        <w:tab/>
      </w:r>
      <w:r>
        <w:fldChar w:fldCharType="begin"/>
      </w:r>
      <w:r>
        <w:instrText xml:space="preserve"> PAGEREF _Toc11985 \h </w:instrText>
      </w:r>
      <w:r>
        <w:fldChar w:fldCharType="separate"/>
      </w:r>
      <w:r>
        <w:t xml:space="preserve">8</w:t>
      </w:r>
      <w:r>
        <w:fldChar w:fldCharType="end"/>
      </w:r>
      <w:r>
        <w:rPr>
          <w:rFonts w:ascii="Times New Roman" w:hAnsi="Times New Roman"/>
          <w:caps/>
          <w:color w:val="000000" w:themeColor="text1"/>
          <w:szCs w:val="24"/>
          <w14:textFill>
            <w14:solidFill>
              <w14:schemeClr w14:val="tx1"/>
            </w14:solidFill>
          </w14:textFill>
        </w:rPr>
        <w:fldChar w:fldCharType="end"/>
      </w:r>
      <w:r/>
    </w:p>
    <w:p>
      <w:pPr>
        <w:pStyle w:val="739"/>
        <w:tabs>
          <w:tab w:val="right" w:pos="10466" w:leader="dot"/>
        </w:tabs>
      </w:pPr>
      <w:r>
        <w:rPr>
          <w:rFonts w:ascii="Times New Roman" w:hAnsi="Times New Roman"/>
          <w:caps/>
          <w:color w:val="000000" w:themeColor="text1"/>
          <w:szCs w:val="24"/>
          <w14:textFill>
            <w14:solidFill>
              <w14:schemeClr w14:val="tx1"/>
            </w14:solidFill>
          </w14:textFill>
        </w:rPr>
        <w:fldChar w:fldCharType="begin"/>
      </w:r>
      <w:r>
        <w:rPr>
          <w:rFonts w:ascii="Times New Roman" w:hAnsi="Times New Roman"/>
          <w:caps/>
          <w:szCs w:val="24"/>
        </w:rPr>
        <w:instrText xml:space="preserve"> HYPERLINK \l _Toc4550 </w:instrText>
      </w:r>
      <w:r>
        <w:rPr>
          <w:rFonts w:ascii="Times New Roman" w:hAnsi="Times New Roman"/>
          <w:caps/>
          <w:szCs w:val="24"/>
        </w:rPr>
        <w:fldChar w:fldCharType="separate"/>
      </w:r>
      <w:r>
        <w:rPr>
          <w:rFonts w:hint="eastAsia" w:ascii="宋体" w:hAnsi="宋体" w:cs="宋体"/>
          <w:bCs/>
          <w:szCs w:val="28"/>
        </w:rPr>
        <w:t xml:space="preserve">五、开标与评标</w:t>
      </w:r>
      <w:r>
        <w:tab/>
      </w:r>
      <w:r>
        <w:fldChar w:fldCharType="begin"/>
      </w:r>
      <w:r>
        <w:instrText xml:space="preserve"> PAGEREF _Toc4550 \h </w:instrText>
      </w:r>
      <w:r>
        <w:fldChar w:fldCharType="separate"/>
      </w:r>
      <w:r>
        <w:t xml:space="preserve">9</w:t>
      </w:r>
      <w:r>
        <w:fldChar w:fldCharType="end"/>
      </w:r>
      <w:r>
        <w:rPr>
          <w:rFonts w:ascii="Times New Roman" w:hAnsi="Times New Roman"/>
          <w:caps/>
          <w:color w:val="000000" w:themeColor="text1"/>
          <w:szCs w:val="24"/>
          <w14:textFill>
            <w14:solidFill>
              <w14:schemeClr w14:val="tx1"/>
            </w14:solidFill>
          </w14:textFill>
        </w:rPr>
        <w:fldChar w:fldCharType="end"/>
      </w:r>
      <w:r/>
    </w:p>
    <w:p>
      <w:pPr>
        <w:pStyle w:val="739"/>
        <w:tabs>
          <w:tab w:val="right" w:pos="10466" w:leader="dot"/>
        </w:tabs>
      </w:pPr>
      <w:r>
        <w:rPr>
          <w:rFonts w:ascii="Times New Roman" w:hAnsi="Times New Roman"/>
          <w:caps/>
          <w:color w:val="000000" w:themeColor="text1"/>
          <w:szCs w:val="24"/>
          <w14:textFill>
            <w14:solidFill>
              <w14:schemeClr w14:val="tx1"/>
            </w14:solidFill>
          </w14:textFill>
        </w:rPr>
        <w:fldChar w:fldCharType="begin"/>
      </w:r>
      <w:r>
        <w:rPr>
          <w:rFonts w:ascii="Times New Roman" w:hAnsi="Times New Roman"/>
          <w:caps/>
          <w:szCs w:val="24"/>
        </w:rPr>
        <w:instrText xml:space="preserve"> HYPERLINK \l _Toc1596 </w:instrText>
      </w:r>
      <w:r>
        <w:rPr>
          <w:rFonts w:ascii="Times New Roman" w:hAnsi="Times New Roman"/>
          <w:caps/>
          <w:szCs w:val="24"/>
        </w:rPr>
        <w:fldChar w:fldCharType="separate"/>
      </w:r>
      <w:r>
        <w:rPr>
          <w:rFonts w:hint="eastAsia" w:ascii="宋体" w:hAnsi="宋体" w:cs="宋体"/>
          <w:bCs/>
          <w:szCs w:val="28"/>
        </w:rPr>
        <w:t xml:space="preserve">六、定标</w:t>
      </w:r>
      <w:r>
        <w:tab/>
      </w:r>
      <w:r>
        <w:fldChar w:fldCharType="begin"/>
      </w:r>
      <w:r>
        <w:instrText xml:space="preserve"> PAGEREF _Toc1596 \h </w:instrText>
      </w:r>
      <w:r>
        <w:fldChar w:fldCharType="separate"/>
      </w:r>
      <w:r>
        <w:t xml:space="preserve">12</w:t>
      </w:r>
      <w:r>
        <w:fldChar w:fldCharType="end"/>
      </w:r>
      <w:r>
        <w:rPr>
          <w:rFonts w:ascii="Times New Roman" w:hAnsi="Times New Roman"/>
          <w:caps/>
          <w:color w:val="000000" w:themeColor="text1"/>
          <w:szCs w:val="24"/>
          <w14:textFill>
            <w14:solidFill>
              <w14:schemeClr w14:val="tx1"/>
            </w14:solidFill>
          </w14:textFill>
        </w:rPr>
        <w:fldChar w:fldCharType="end"/>
      </w:r>
      <w:r/>
    </w:p>
    <w:p>
      <w:pPr>
        <w:pStyle w:val="739"/>
        <w:tabs>
          <w:tab w:val="right" w:pos="10466" w:leader="dot"/>
        </w:tabs>
      </w:pPr>
      <w:r>
        <w:rPr>
          <w:rFonts w:ascii="Times New Roman" w:hAnsi="Times New Roman"/>
          <w:caps/>
          <w:color w:val="000000" w:themeColor="text1"/>
          <w:szCs w:val="24"/>
          <w14:textFill>
            <w14:solidFill>
              <w14:schemeClr w14:val="tx1"/>
            </w14:solidFill>
          </w14:textFill>
        </w:rPr>
        <w:fldChar w:fldCharType="begin"/>
      </w:r>
      <w:r>
        <w:rPr>
          <w:rFonts w:ascii="Times New Roman" w:hAnsi="Times New Roman"/>
          <w:caps/>
          <w:szCs w:val="24"/>
        </w:rPr>
        <w:instrText xml:space="preserve"> HYPERLINK \l _Toc7755 </w:instrText>
      </w:r>
      <w:r>
        <w:rPr>
          <w:rFonts w:ascii="Times New Roman" w:hAnsi="Times New Roman"/>
          <w:caps/>
          <w:szCs w:val="24"/>
        </w:rPr>
        <w:fldChar w:fldCharType="separate"/>
      </w:r>
      <w:r>
        <w:rPr>
          <w:rFonts w:hint="eastAsia" w:ascii="宋体" w:hAnsi="宋体" w:cs="宋体"/>
          <w:bCs/>
          <w:szCs w:val="28"/>
        </w:rPr>
        <w:t xml:space="preserve">七、授予合同</w:t>
      </w:r>
      <w:r>
        <w:tab/>
      </w:r>
      <w:r>
        <w:fldChar w:fldCharType="begin"/>
      </w:r>
      <w:r>
        <w:instrText xml:space="preserve"> PAGEREF _Toc7755 \h </w:instrText>
      </w:r>
      <w:r>
        <w:fldChar w:fldCharType="separate"/>
      </w:r>
      <w:r>
        <w:t xml:space="preserve">14</w:t>
      </w:r>
      <w:r>
        <w:fldChar w:fldCharType="end"/>
      </w:r>
      <w:r>
        <w:rPr>
          <w:rFonts w:ascii="Times New Roman" w:hAnsi="Times New Roman"/>
          <w:caps/>
          <w:color w:val="000000" w:themeColor="text1"/>
          <w:szCs w:val="24"/>
          <w14:textFill>
            <w14:solidFill>
              <w14:schemeClr w14:val="tx1"/>
            </w14:solidFill>
          </w14:textFill>
        </w:rPr>
        <w:fldChar w:fldCharType="end"/>
      </w:r>
      <w:r/>
    </w:p>
    <w:p>
      <w:pPr>
        <w:pStyle w:val="733"/>
        <w:tabs>
          <w:tab w:val="right" w:pos="10466" w:leader="dot"/>
        </w:tabs>
      </w:pPr>
      <w:r>
        <w:rPr>
          <w:rFonts w:ascii="Times New Roman" w:hAnsi="Times New Roman"/>
          <w:caps/>
          <w:color w:val="000000" w:themeColor="text1"/>
          <w:szCs w:val="24"/>
          <w14:textFill>
            <w14:solidFill>
              <w14:schemeClr w14:val="tx1"/>
            </w14:solidFill>
          </w14:textFill>
        </w:rPr>
        <w:fldChar w:fldCharType="begin"/>
      </w:r>
      <w:r>
        <w:rPr>
          <w:rFonts w:ascii="Times New Roman" w:hAnsi="Times New Roman"/>
          <w:caps/>
          <w:szCs w:val="24"/>
        </w:rPr>
        <w:instrText xml:space="preserve"> HYPERLINK \l _Toc19832 </w:instrText>
      </w:r>
      <w:r>
        <w:rPr>
          <w:rFonts w:ascii="Times New Roman" w:hAnsi="Times New Roman"/>
          <w:caps/>
          <w:szCs w:val="24"/>
        </w:rPr>
        <w:fldChar w:fldCharType="separate"/>
      </w:r>
      <w:r>
        <w:rPr>
          <w:rFonts w:hint="eastAsia" w:ascii="黑体" w:hAnsi="Times New Roman" w:eastAsia="黑体"/>
          <w:bCs/>
          <w:szCs w:val="28"/>
        </w:rPr>
        <w:t xml:space="preserve">第三章  合同文本</w:t>
      </w:r>
      <w:r>
        <w:tab/>
      </w:r>
      <w:r>
        <w:fldChar w:fldCharType="begin"/>
      </w:r>
      <w:r>
        <w:instrText xml:space="preserve"> PAGEREF _Toc19832 \h </w:instrText>
      </w:r>
      <w:r>
        <w:fldChar w:fldCharType="separate"/>
      </w:r>
      <w:r>
        <w:t xml:space="preserve">16</w:t>
      </w:r>
      <w:r>
        <w:fldChar w:fldCharType="end"/>
      </w:r>
      <w:r>
        <w:rPr>
          <w:rFonts w:ascii="Times New Roman" w:hAnsi="Times New Roman"/>
          <w:caps/>
          <w:color w:val="000000" w:themeColor="text1"/>
          <w:szCs w:val="24"/>
          <w14:textFill>
            <w14:solidFill>
              <w14:schemeClr w14:val="tx1"/>
            </w14:solidFill>
          </w14:textFill>
        </w:rPr>
        <w:fldChar w:fldCharType="end"/>
      </w:r>
      <w:r/>
    </w:p>
    <w:p>
      <w:pPr>
        <w:pStyle w:val="733"/>
        <w:tabs>
          <w:tab w:val="right" w:pos="10466" w:leader="dot"/>
        </w:tabs>
      </w:pPr>
      <w:r>
        <w:rPr>
          <w:rFonts w:ascii="Times New Roman" w:hAnsi="Times New Roman"/>
          <w:caps/>
          <w:color w:val="000000" w:themeColor="text1"/>
          <w:szCs w:val="24"/>
          <w14:textFill>
            <w14:solidFill>
              <w14:schemeClr w14:val="tx1"/>
            </w14:solidFill>
          </w14:textFill>
        </w:rPr>
        <w:fldChar w:fldCharType="begin"/>
      </w:r>
      <w:r>
        <w:rPr>
          <w:rFonts w:ascii="Times New Roman" w:hAnsi="Times New Roman"/>
          <w:caps/>
          <w:szCs w:val="24"/>
        </w:rPr>
        <w:instrText xml:space="preserve"> HYPERLINK \l _Toc4820 </w:instrText>
      </w:r>
      <w:r>
        <w:rPr>
          <w:rFonts w:ascii="Times New Roman" w:hAnsi="Times New Roman"/>
          <w:caps/>
          <w:szCs w:val="24"/>
        </w:rPr>
        <w:fldChar w:fldCharType="separate"/>
      </w:r>
      <w:r>
        <w:rPr>
          <w:rFonts w:hint="eastAsia" w:ascii="黑体" w:hAnsi="Courier New" w:eastAsia="黑体" w:cs="Courier New"/>
          <w:bCs/>
          <w:szCs w:val="21"/>
        </w:rPr>
        <w:t xml:space="preserve">第四章 </w:t>
      </w:r>
      <w:r>
        <w:rPr>
          <w:rFonts w:ascii="黑体" w:hAnsi="Courier New" w:eastAsia="黑体" w:cs="Courier New"/>
          <w:bCs/>
          <w:szCs w:val="21"/>
        </w:rPr>
        <w:t xml:space="preserve"> </w:t>
      </w:r>
      <w:r>
        <w:rPr>
          <w:rFonts w:hint="eastAsia" w:ascii="黑体" w:hAnsi="Courier New" w:eastAsia="黑体" w:cs="Courier New"/>
          <w:bCs/>
          <w:szCs w:val="21"/>
        </w:rPr>
        <w:t xml:space="preserve">采购需求</w:t>
      </w:r>
      <w:r>
        <w:tab/>
      </w:r>
      <w:r>
        <w:fldChar w:fldCharType="begin"/>
      </w:r>
      <w:r>
        <w:instrText xml:space="preserve"> PAGEREF _Toc4820 \h </w:instrText>
      </w:r>
      <w:r>
        <w:fldChar w:fldCharType="separate"/>
      </w:r>
      <w:r>
        <w:t xml:space="preserve">22</w:t>
      </w:r>
      <w:r>
        <w:fldChar w:fldCharType="end"/>
      </w:r>
      <w:r>
        <w:rPr>
          <w:rFonts w:ascii="Times New Roman" w:hAnsi="Times New Roman"/>
          <w:caps/>
          <w:color w:val="000000" w:themeColor="text1"/>
          <w:szCs w:val="24"/>
          <w14:textFill>
            <w14:solidFill>
              <w14:schemeClr w14:val="tx1"/>
            </w14:solidFill>
          </w14:textFill>
        </w:rPr>
        <w:fldChar w:fldCharType="end"/>
      </w:r>
      <w:r/>
    </w:p>
    <w:p>
      <w:pPr>
        <w:pStyle w:val="739"/>
        <w:tabs>
          <w:tab w:val="right" w:pos="10466" w:leader="dot"/>
        </w:tabs>
      </w:pPr>
      <w:r>
        <w:rPr>
          <w:rFonts w:ascii="Times New Roman" w:hAnsi="Times New Roman"/>
          <w:caps/>
          <w:color w:val="000000" w:themeColor="text1"/>
          <w:szCs w:val="24"/>
          <w14:textFill>
            <w14:solidFill>
              <w14:schemeClr w14:val="tx1"/>
            </w14:solidFill>
          </w14:textFill>
        </w:rPr>
        <w:fldChar w:fldCharType="begin"/>
      </w:r>
      <w:r>
        <w:rPr>
          <w:rFonts w:ascii="Times New Roman" w:hAnsi="Times New Roman"/>
          <w:caps/>
          <w:szCs w:val="24"/>
        </w:rPr>
        <w:instrText xml:space="preserve"> HYPERLINK \l _Toc24391 </w:instrText>
      </w:r>
      <w:r>
        <w:rPr>
          <w:rFonts w:ascii="Times New Roman" w:hAnsi="Times New Roman"/>
          <w:caps/>
          <w:szCs w:val="24"/>
        </w:rPr>
        <w:fldChar w:fldCharType="separate"/>
      </w:r>
      <w:r>
        <w:rPr>
          <w:rFonts w:hint="eastAsia" w:ascii="宋体" w:hAnsi="宋体" w:eastAsia="宋体" w:cs="Times New Roman"/>
          <w:szCs w:val="36"/>
          <w:lang w:val="en-US" w:eastAsia="zh-CN"/>
        </w:rPr>
        <w:t xml:space="preserve">附件①常熟市公共绿地养护要求</w:t>
      </w:r>
      <w:r>
        <w:tab/>
      </w:r>
      <w:r>
        <w:fldChar w:fldCharType="begin"/>
      </w:r>
      <w:r>
        <w:instrText xml:space="preserve"> PAGEREF _Toc24391 \h </w:instrText>
      </w:r>
      <w:r>
        <w:fldChar w:fldCharType="separate"/>
      </w:r>
      <w:r>
        <w:t xml:space="preserve">27</w:t>
      </w:r>
      <w:r>
        <w:fldChar w:fldCharType="end"/>
      </w:r>
      <w:r>
        <w:rPr>
          <w:rFonts w:ascii="Times New Roman" w:hAnsi="Times New Roman"/>
          <w:caps/>
          <w:color w:val="000000" w:themeColor="text1"/>
          <w:szCs w:val="24"/>
          <w14:textFill>
            <w14:solidFill>
              <w14:schemeClr w14:val="tx1"/>
            </w14:solidFill>
          </w14:textFill>
        </w:rPr>
        <w:fldChar w:fldCharType="end"/>
      </w:r>
      <w:r/>
    </w:p>
    <w:p>
      <w:pPr>
        <w:pStyle w:val="739"/>
        <w:tabs>
          <w:tab w:val="right" w:pos="10466" w:leader="dot"/>
        </w:tabs>
      </w:pPr>
      <w:r>
        <w:rPr>
          <w:rFonts w:ascii="Times New Roman" w:hAnsi="Times New Roman"/>
          <w:caps/>
          <w:color w:val="000000" w:themeColor="text1"/>
          <w:szCs w:val="24"/>
          <w14:textFill>
            <w14:solidFill>
              <w14:schemeClr w14:val="tx1"/>
            </w14:solidFill>
          </w14:textFill>
        </w:rPr>
        <w:fldChar w:fldCharType="begin"/>
      </w:r>
      <w:r>
        <w:rPr>
          <w:rFonts w:ascii="Times New Roman" w:hAnsi="Times New Roman"/>
          <w:caps/>
          <w:szCs w:val="24"/>
        </w:rPr>
        <w:instrText xml:space="preserve"> HYPERLINK \l _Toc9421 </w:instrText>
      </w:r>
      <w:r>
        <w:rPr>
          <w:rFonts w:ascii="Times New Roman" w:hAnsi="Times New Roman"/>
          <w:caps/>
          <w:szCs w:val="24"/>
        </w:rPr>
        <w:fldChar w:fldCharType="separate"/>
      </w:r>
      <w:r>
        <w:rPr>
          <w:rFonts w:hint="eastAsia" w:ascii="宋体" w:hAnsi="宋体" w:eastAsia="宋体" w:cs="Times New Roman"/>
          <w:szCs w:val="36"/>
          <w:lang w:val="en-US" w:eastAsia="zh-CN"/>
        </w:rPr>
        <w:t xml:space="preserve">附件②常熟市三环路外绿化属地养护考核办法（试行）</w:t>
      </w:r>
      <w:r>
        <w:tab/>
      </w:r>
      <w:r>
        <w:fldChar w:fldCharType="begin"/>
      </w:r>
      <w:r>
        <w:instrText xml:space="preserve"> PAGEREF _Toc9421 \h </w:instrText>
      </w:r>
      <w:r>
        <w:fldChar w:fldCharType="separate"/>
      </w:r>
      <w:r>
        <w:t xml:space="preserve">31</w:t>
      </w:r>
      <w:r>
        <w:fldChar w:fldCharType="end"/>
      </w:r>
      <w:r>
        <w:rPr>
          <w:rFonts w:ascii="Times New Roman" w:hAnsi="Times New Roman"/>
          <w:caps/>
          <w:color w:val="000000" w:themeColor="text1"/>
          <w:szCs w:val="24"/>
          <w14:textFill>
            <w14:solidFill>
              <w14:schemeClr w14:val="tx1"/>
            </w14:solidFill>
          </w14:textFill>
        </w:rPr>
        <w:fldChar w:fldCharType="end"/>
      </w:r>
      <w:r/>
    </w:p>
    <w:p>
      <w:pPr>
        <w:pStyle w:val="739"/>
        <w:tabs>
          <w:tab w:val="right" w:pos="10466" w:leader="dot"/>
        </w:tabs>
      </w:pPr>
      <w:r>
        <w:rPr>
          <w:rFonts w:ascii="Times New Roman" w:hAnsi="Times New Roman"/>
          <w:caps/>
          <w:color w:val="000000" w:themeColor="text1"/>
          <w:szCs w:val="24"/>
          <w14:textFill>
            <w14:solidFill>
              <w14:schemeClr w14:val="tx1"/>
            </w14:solidFill>
          </w14:textFill>
        </w:rPr>
        <w:fldChar w:fldCharType="begin"/>
      </w:r>
      <w:r>
        <w:rPr>
          <w:rFonts w:ascii="Times New Roman" w:hAnsi="Times New Roman"/>
          <w:caps/>
          <w:szCs w:val="24"/>
        </w:rPr>
        <w:instrText xml:space="preserve"> HYPERLINK \l _Toc4684 </w:instrText>
      </w:r>
      <w:r>
        <w:rPr>
          <w:rFonts w:ascii="Times New Roman" w:hAnsi="Times New Roman"/>
          <w:caps/>
          <w:szCs w:val="24"/>
        </w:rPr>
        <w:fldChar w:fldCharType="separate"/>
      </w:r>
      <w:r>
        <w:rPr>
          <w:rFonts w:hint="eastAsia" w:ascii="宋体" w:hAnsi="宋体" w:eastAsia="宋体" w:cs="Times New Roman"/>
          <w:szCs w:val="36"/>
          <w:lang w:val="en-US" w:eastAsia="zh-CN"/>
        </w:rPr>
        <w:t xml:space="preserve">附件③常熟市三环路外绿化属地养护评分和奖惩细则</w:t>
      </w:r>
      <w:r>
        <w:tab/>
      </w:r>
      <w:r>
        <w:fldChar w:fldCharType="begin"/>
      </w:r>
      <w:r>
        <w:instrText xml:space="preserve"> PAGEREF _Toc4684 \h </w:instrText>
      </w:r>
      <w:r>
        <w:fldChar w:fldCharType="separate"/>
      </w:r>
      <w:r>
        <w:t xml:space="preserve">33</w:t>
      </w:r>
      <w:r>
        <w:fldChar w:fldCharType="end"/>
      </w:r>
      <w:r>
        <w:rPr>
          <w:rFonts w:ascii="Times New Roman" w:hAnsi="Times New Roman"/>
          <w:caps/>
          <w:color w:val="000000" w:themeColor="text1"/>
          <w:szCs w:val="24"/>
          <w14:textFill>
            <w14:solidFill>
              <w14:schemeClr w14:val="tx1"/>
            </w14:solidFill>
          </w14:textFill>
        </w:rPr>
        <w:fldChar w:fldCharType="end"/>
      </w:r>
      <w:r/>
    </w:p>
    <w:p>
      <w:pPr>
        <w:pStyle w:val="739"/>
        <w:tabs>
          <w:tab w:val="right" w:pos="10466" w:leader="dot"/>
        </w:tabs>
      </w:pPr>
      <w:r>
        <w:rPr>
          <w:rFonts w:ascii="Times New Roman" w:hAnsi="Times New Roman"/>
          <w:caps/>
          <w:color w:val="000000" w:themeColor="text1"/>
          <w:szCs w:val="24"/>
          <w14:textFill>
            <w14:solidFill>
              <w14:schemeClr w14:val="tx1"/>
            </w14:solidFill>
          </w14:textFill>
        </w:rPr>
        <w:fldChar w:fldCharType="begin"/>
      </w:r>
      <w:r>
        <w:rPr>
          <w:rFonts w:ascii="Times New Roman" w:hAnsi="Times New Roman"/>
          <w:caps/>
          <w:szCs w:val="24"/>
        </w:rPr>
        <w:instrText xml:space="preserve"> HYPERLINK \l _Toc5004 </w:instrText>
      </w:r>
      <w:r>
        <w:rPr>
          <w:rFonts w:ascii="Times New Roman" w:hAnsi="Times New Roman"/>
          <w:caps/>
          <w:szCs w:val="24"/>
        </w:rPr>
        <w:fldChar w:fldCharType="separate"/>
      </w:r>
      <w:r>
        <w:rPr>
          <w:rFonts w:hint="eastAsia" w:ascii="宋体" w:hAnsi="宋体" w:eastAsia="宋体" w:cs="Times New Roman"/>
          <w:szCs w:val="36"/>
          <w:lang w:val="en-US" w:eastAsia="zh-CN"/>
        </w:rPr>
        <w:t xml:space="preserve">附件④常熟市绿地养护质量标准</w:t>
      </w:r>
      <w:r>
        <w:tab/>
      </w:r>
      <w:r>
        <w:fldChar w:fldCharType="begin"/>
      </w:r>
      <w:r>
        <w:instrText xml:space="preserve"> PAGEREF _Toc5004 \h </w:instrText>
      </w:r>
      <w:r>
        <w:fldChar w:fldCharType="separate"/>
      </w:r>
      <w:r>
        <w:t xml:space="preserve">35</w:t>
      </w:r>
      <w:r>
        <w:fldChar w:fldCharType="end"/>
      </w:r>
      <w:r>
        <w:rPr>
          <w:rFonts w:ascii="Times New Roman" w:hAnsi="Times New Roman"/>
          <w:caps/>
          <w:color w:val="000000" w:themeColor="text1"/>
          <w:szCs w:val="24"/>
          <w14:textFill>
            <w14:solidFill>
              <w14:schemeClr w14:val="tx1"/>
            </w14:solidFill>
          </w14:textFill>
        </w:rPr>
        <w:fldChar w:fldCharType="end"/>
      </w:r>
      <w:r/>
    </w:p>
    <w:p>
      <w:pPr>
        <w:pStyle w:val="739"/>
        <w:tabs>
          <w:tab w:val="right" w:pos="10466" w:leader="dot"/>
        </w:tabs>
      </w:pPr>
      <w:r>
        <w:rPr>
          <w:rFonts w:ascii="Times New Roman" w:hAnsi="Times New Roman"/>
          <w:caps/>
          <w:color w:val="000000" w:themeColor="text1"/>
          <w:szCs w:val="24"/>
          <w14:textFill>
            <w14:solidFill>
              <w14:schemeClr w14:val="tx1"/>
            </w14:solidFill>
          </w14:textFill>
        </w:rPr>
        <w:fldChar w:fldCharType="begin"/>
      </w:r>
      <w:r>
        <w:rPr>
          <w:rFonts w:ascii="Times New Roman" w:hAnsi="Times New Roman"/>
          <w:caps/>
          <w:szCs w:val="24"/>
        </w:rPr>
        <w:instrText xml:space="preserve"> HYPERLINK \l _Toc26304 </w:instrText>
      </w:r>
      <w:r>
        <w:rPr>
          <w:rFonts w:ascii="Times New Roman" w:hAnsi="Times New Roman"/>
          <w:caps/>
          <w:szCs w:val="24"/>
        </w:rPr>
        <w:fldChar w:fldCharType="separate"/>
      </w:r>
      <w:r>
        <w:rPr>
          <w:rFonts w:hint="eastAsia" w:ascii="宋体" w:hAnsi="宋体" w:eastAsia="宋体" w:cs="Times New Roman"/>
          <w:szCs w:val="36"/>
          <w:lang w:val="en-US" w:eastAsia="zh-CN"/>
        </w:rPr>
        <w:t xml:space="preserve">附件⑤莫城街道绿化养护考核评分细则（参考）</w:t>
      </w:r>
      <w:r>
        <w:tab/>
      </w:r>
      <w:r>
        <w:fldChar w:fldCharType="begin"/>
      </w:r>
      <w:r>
        <w:instrText xml:space="preserve"> PAGEREF _Toc26304 \h </w:instrText>
      </w:r>
      <w:r>
        <w:fldChar w:fldCharType="separate"/>
      </w:r>
      <w:r>
        <w:t xml:space="preserve">38</w:t>
      </w:r>
      <w:r>
        <w:fldChar w:fldCharType="end"/>
      </w:r>
      <w:r>
        <w:rPr>
          <w:rFonts w:ascii="Times New Roman" w:hAnsi="Times New Roman"/>
          <w:caps/>
          <w:color w:val="000000" w:themeColor="text1"/>
          <w:szCs w:val="24"/>
          <w14:textFill>
            <w14:solidFill>
              <w14:schemeClr w14:val="tx1"/>
            </w14:solidFill>
          </w14:textFill>
        </w:rPr>
        <w:fldChar w:fldCharType="end"/>
      </w:r>
      <w:r/>
    </w:p>
    <w:p>
      <w:pPr>
        <w:pStyle w:val="733"/>
        <w:tabs>
          <w:tab w:val="right" w:pos="10466" w:leader="dot"/>
        </w:tabs>
      </w:pPr>
      <w:r>
        <w:rPr>
          <w:rFonts w:ascii="Times New Roman" w:hAnsi="Times New Roman"/>
          <w:caps/>
          <w:color w:val="000000" w:themeColor="text1"/>
          <w:szCs w:val="24"/>
          <w14:textFill>
            <w14:solidFill>
              <w14:schemeClr w14:val="tx1"/>
            </w14:solidFill>
          </w14:textFill>
        </w:rPr>
        <w:fldChar w:fldCharType="begin"/>
      </w:r>
      <w:r>
        <w:rPr>
          <w:rFonts w:ascii="Times New Roman" w:hAnsi="Times New Roman"/>
          <w:caps/>
          <w:szCs w:val="24"/>
        </w:rPr>
        <w:instrText xml:space="preserve"> HYPERLINK \l _Toc3006 </w:instrText>
      </w:r>
      <w:r>
        <w:rPr>
          <w:rFonts w:ascii="Times New Roman" w:hAnsi="Times New Roman"/>
          <w:caps/>
          <w:szCs w:val="24"/>
        </w:rPr>
        <w:fldChar w:fldCharType="separate"/>
      </w:r>
      <w:r>
        <w:rPr>
          <w:rFonts w:hint="eastAsia" w:ascii="黑体" w:hAnsi="Courier New" w:eastAsia="黑体" w:cs="Courier New"/>
          <w:bCs/>
          <w:szCs w:val="21"/>
        </w:rPr>
        <w:t xml:space="preserve">第五章  评标方法与评标标准</w:t>
      </w:r>
      <w:r>
        <w:tab/>
      </w:r>
      <w:r>
        <w:fldChar w:fldCharType="begin"/>
      </w:r>
      <w:r>
        <w:instrText xml:space="preserve"> PAGEREF _Toc3006 \h </w:instrText>
      </w:r>
      <w:r>
        <w:fldChar w:fldCharType="separate"/>
      </w:r>
      <w:r>
        <w:t xml:space="preserve">39</w:t>
      </w:r>
      <w:r>
        <w:fldChar w:fldCharType="end"/>
      </w:r>
      <w:r>
        <w:rPr>
          <w:rFonts w:ascii="Times New Roman" w:hAnsi="Times New Roman"/>
          <w:caps/>
          <w:color w:val="000000" w:themeColor="text1"/>
          <w:szCs w:val="24"/>
          <w14:textFill>
            <w14:solidFill>
              <w14:schemeClr w14:val="tx1"/>
            </w14:solidFill>
          </w14:textFill>
        </w:rPr>
        <w:fldChar w:fldCharType="end"/>
      </w:r>
      <w:r/>
    </w:p>
    <w:p>
      <w:pPr>
        <w:pStyle w:val="733"/>
        <w:tabs>
          <w:tab w:val="right" w:pos="10466" w:leader="dot"/>
        </w:tabs>
      </w:pPr>
      <w:r>
        <w:rPr>
          <w:rFonts w:ascii="Times New Roman" w:hAnsi="Times New Roman"/>
          <w:caps/>
          <w:color w:val="000000" w:themeColor="text1"/>
          <w:szCs w:val="24"/>
          <w14:textFill>
            <w14:solidFill>
              <w14:schemeClr w14:val="tx1"/>
            </w14:solidFill>
          </w14:textFill>
        </w:rPr>
        <w:fldChar w:fldCharType="begin"/>
      </w:r>
      <w:r>
        <w:rPr>
          <w:rFonts w:ascii="Times New Roman" w:hAnsi="Times New Roman"/>
          <w:caps/>
          <w:szCs w:val="24"/>
        </w:rPr>
        <w:instrText xml:space="preserve"> HYPERLINK \l _Toc5797 </w:instrText>
      </w:r>
      <w:r>
        <w:rPr>
          <w:rFonts w:ascii="Times New Roman" w:hAnsi="Times New Roman"/>
          <w:caps/>
          <w:szCs w:val="24"/>
        </w:rPr>
        <w:fldChar w:fldCharType="separate"/>
      </w:r>
      <w:r>
        <w:rPr>
          <w:rFonts w:hint="eastAsia" w:ascii="黑体" w:hAnsi="Courier New" w:eastAsia="黑体" w:cs="Courier New"/>
          <w:bCs/>
          <w:szCs w:val="21"/>
        </w:rPr>
        <w:t xml:space="preserve">第六章  投标文件格式</w:t>
      </w:r>
      <w:r>
        <w:tab/>
      </w:r>
      <w:r>
        <w:fldChar w:fldCharType="begin"/>
      </w:r>
      <w:r>
        <w:instrText xml:space="preserve"> PAGEREF _Toc5797 \h </w:instrText>
      </w:r>
      <w:r>
        <w:fldChar w:fldCharType="separate"/>
      </w:r>
      <w:r>
        <w:t xml:space="preserve">43</w:t>
      </w:r>
      <w:r>
        <w:fldChar w:fldCharType="end"/>
      </w:r>
      <w:r>
        <w:rPr>
          <w:rFonts w:ascii="Times New Roman" w:hAnsi="Times New Roman"/>
          <w:caps/>
          <w:color w:val="000000" w:themeColor="text1"/>
          <w:szCs w:val="24"/>
          <w14:textFill>
            <w14:solidFill>
              <w14:schemeClr w14:val="tx1"/>
            </w14:solidFill>
          </w14:textFill>
        </w:rPr>
        <w:fldChar w:fldCharType="end"/>
      </w:r>
      <w:r/>
    </w:p>
    <w:p>
      <w:pPr>
        <w:pStyle w:val="739"/>
        <w:tabs>
          <w:tab w:val="right" w:pos="10466" w:leader="dot"/>
        </w:tabs>
      </w:pPr>
      <w:r>
        <w:rPr>
          <w:rFonts w:ascii="Times New Roman" w:hAnsi="Times New Roman"/>
          <w:caps/>
          <w:color w:val="000000" w:themeColor="text1"/>
          <w:szCs w:val="24"/>
          <w14:textFill>
            <w14:solidFill>
              <w14:schemeClr w14:val="tx1"/>
            </w14:solidFill>
          </w14:textFill>
        </w:rPr>
        <w:fldChar w:fldCharType="begin"/>
      </w:r>
      <w:r>
        <w:rPr>
          <w:rFonts w:ascii="Times New Roman" w:hAnsi="Times New Roman"/>
          <w:caps/>
          <w:szCs w:val="24"/>
        </w:rPr>
        <w:instrText xml:space="preserve"> HYPERLINK \l _Toc18232 </w:instrText>
      </w:r>
      <w:r>
        <w:rPr>
          <w:rFonts w:ascii="Times New Roman" w:hAnsi="Times New Roman"/>
          <w:caps/>
          <w:szCs w:val="24"/>
        </w:rPr>
        <w:fldChar w:fldCharType="separate"/>
      </w:r>
      <w:r>
        <w:rPr>
          <w:rFonts w:hint="eastAsia" w:ascii="Times New Roman" w:hAnsi="Times New Roman"/>
          <w:bCs/>
          <w:szCs w:val="28"/>
        </w:rPr>
        <w:t xml:space="preserve">附件1 开标一览表</w:t>
      </w:r>
      <w:r>
        <w:tab/>
      </w:r>
      <w:r>
        <w:fldChar w:fldCharType="begin"/>
      </w:r>
      <w:r>
        <w:instrText xml:space="preserve"> PAGEREF _Toc18232 \h </w:instrText>
      </w:r>
      <w:r>
        <w:fldChar w:fldCharType="separate"/>
      </w:r>
      <w:r>
        <w:t xml:space="preserve">45</w:t>
      </w:r>
      <w:r>
        <w:fldChar w:fldCharType="end"/>
      </w:r>
      <w:r>
        <w:rPr>
          <w:rFonts w:ascii="Times New Roman" w:hAnsi="Times New Roman"/>
          <w:caps/>
          <w:color w:val="000000" w:themeColor="text1"/>
          <w:szCs w:val="24"/>
          <w14:textFill>
            <w14:solidFill>
              <w14:schemeClr w14:val="tx1"/>
            </w14:solidFill>
          </w14:textFill>
        </w:rPr>
        <w:fldChar w:fldCharType="end"/>
      </w:r>
      <w:r/>
    </w:p>
    <w:p>
      <w:pPr>
        <w:pStyle w:val="739"/>
        <w:tabs>
          <w:tab w:val="right" w:pos="10466" w:leader="dot"/>
        </w:tabs>
      </w:pPr>
      <w:r>
        <w:rPr>
          <w:rFonts w:ascii="Times New Roman" w:hAnsi="Times New Roman"/>
          <w:caps/>
          <w:color w:val="000000" w:themeColor="text1"/>
          <w:szCs w:val="24"/>
          <w14:textFill>
            <w14:solidFill>
              <w14:schemeClr w14:val="tx1"/>
            </w14:solidFill>
          </w14:textFill>
        </w:rPr>
        <w:fldChar w:fldCharType="begin"/>
      </w:r>
      <w:r>
        <w:rPr>
          <w:rFonts w:ascii="Times New Roman" w:hAnsi="Times New Roman"/>
          <w:caps/>
          <w:szCs w:val="24"/>
        </w:rPr>
        <w:instrText xml:space="preserve"> HYPERLINK \l _Toc17626 </w:instrText>
      </w:r>
      <w:r>
        <w:rPr>
          <w:rFonts w:ascii="Times New Roman" w:hAnsi="Times New Roman"/>
          <w:caps/>
          <w:szCs w:val="24"/>
        </w:rPr>
        <w:fldChar w:fldCharType="separate"/>
      </w:r>
      <w:r>
        <w:rPr>
          <w:rFonts w:hint="eastAsia" w:ascii="Times New Roman" w:hAnsi="Times New Roman"/>
          <w:bCs/>
          <w:szCs w:val="28"/>
        </w:rPr>
        <w:t xml:space="preserve">附件2 报价明细表</w:t>
      </w:r>
      <w:r>
        <w:tab/>
      </w:r>
      <w:r>
        <w:fldChar w:fldCharType="begin"/>
      </w:r>
      <w:r>
        <w:instrText xml:space="preserve"> PAGEREF _Toc17626 \h </w:instrText>
      </w:r>
      <w:r>
        <w:fldChar w:fldCharType="separate"/>
      </w:r>
      <w:r>
        <w:t xml:space="preserve">46</w:t>
      </w:r>
      <w:r>
        <w:fldChar w:fldCharType="end"/>
      </w:r>
      <w:r>
        <w:rPr>
          <w:rFonts w:ascii="Times New Roman" w:hAnsi="Times New Roman"/>
          <w:caps/>
          <w:color w:val="000000" w:themeColor="text1"/>
          <w:szCs w:val="24"/>
          <w14:textFill>
            <w14:solidFill>
              <w14:schemeClr w14:val="tx1"/>
            </w14:solidFill>
          </w14:textFill>
        </w:rPr>
        <w:fldChar w:fldCharType="end"/>
      </w:r>
      <w:r/>
    </w:p>
    <w:p>
      <w:pPr>
        <w:pStyle w:val="739"/>
        <w:tabs>
          <w:tab w:val="right" w:pos="10466" w:leader="dot"/>
        </w:tabs>
      </w:pPr>
      <w:r>
        <w:rPr>
          <w:rFonts w:ascii="Times New Roman" w:hAnsi="Times New Roman"/>
          <w:caps/>
          <w:color w:val="000000" w:themeColor="text1"/>
          <w:szCs w:val="24"/>
          <w14:textFill>
            <w14:solidFill>
              <w14:schemeClr w14:val="tx1"/>
            </w14:solidFill>
          </w14:textFill>
        </w:rPr>
        <w:fldChar w:fldCharType="begin"/>
      </w:r>
      <w:r>
        <w:rPr>
          <w:rFonts w:ascii="Times New Roman" w:hAnsi="Times New Roman"/>
          <w:caps/>
          <w:szCs w:val="24"/>
        </w:rPr>
        <w:instrText xml:space="preserve"> HYPERLINK \l _Toc21588 </w:instrText>
      </w:r>
      <w:r>
        <w:rPr>
          <w:rFonts w:ascii="Times New Roman" w:hAnsi="Times New Roman"/>
          <w:caps/>
          <w:szCs w:val="24"/>
        </w:rPr>
        <w:fldChar w:fldCharType="separate"/>
      </w:r>
      <w:r>
        <w:rPr>
          <w:rFonts w:hint="eastAsia" w:ascii="Times New Roman" w:hAnsi="Times New Roman" w:eastAsia="宋体" w:cs="Times New Roman"/>
          <w:bCs/>
          <w:szCs w:val="28"/>
        </w:rPr>
        <w:t xml:space="preserve">附件3 项目服务要求响应及偏离表</w:t>
      </w:r>
      <w:r>
        <w:tab/>
      </w:r>
      <w:r>
        <w:fldChar w:fldCharType="begin"/>
      </w:r>
      <w:r>
        <w:instrText xml:space="preserve"> PAGEREF _Toc21588 \h </w:instrText>
      </w:r>
      <w:r>
        <w:fldChar w:fldCharType="separate"/>
      </w:r>
      <w:r>
        <w:t xml:space="preserve">47</w:t>
      </w:r>
      <w:r>
        <w:fldChar w:fldCharType="end"/>
      </w:r>
      <w:r>
        <w:rPr>
          <w:rFonts w:ascii="Times New Roman" w:hAnsi="Times New Roman"/>
          <w:caps/>
          <w:color w:val="000000" w:themeColor="text1"/>
          <w:szCs w:val="24"/>
          <w14:textFill>
            <w14:solidFill>
              <w14:schemeClr w14:val="tx1"/>
            </w14:solidFill>
          </w14:textFill>
        </w:rPr>
        <w:fldChar w:fldCharType="end"/>
      </w:r>
      <w:r/>
    </w:p>
    <w:p>
      <w:pPr>
        <w:pStyle w:val="739"/>
        <w:tabs>
          <w:tab w:val="right" w:pos="10466" w:leader="dot"/>
        </w:tabs>
      </w:pPr>
      <w:r>
        <w:rPr>
          <w:rFonts w:ascii="Times New Roman" w:hAnsi="Times New Roman"/>
          <w:caps/>
          <w:color w:val="000000" w:themeColor="text1"/>
          <w:szCs w:val="24"/>
          <w14:textFill>
            <w14:solidFill>
              <w14:schemeClr w14:val="tx1"/>
            </w14:solidFill>
          </w14:textFill>
        </w:rPr>
        <w:fldChar w:fldCharType="begin"/>
      </w:r>
      <w:r>
        <w:rPr>
          <w:rFonts w:ascii="Times New Roman" w:hAnsi="Times New Roman"/>
          <w:caps/>
          <w:szCs w:val="24"/>
        </w:rPr>
        <w:instrText xml:space="preserve"> HYPERLINK \l _Toc10616 </w:instrText>
      </w:r>
      <w:r>
        <w:rPr>
          <w:rFonts w:ascii="Times New Roman" w:hAnsi="Times New Roman"/>
          <w:caps/>
          <w:szCs w:val="24"/>
        </w:rPr>
        <w:fldChar w:fldCharType="separate"/>
      </w:r>
      <w:r>
        <w:rPr>
          <w:rFonts w:hint="eastAsia" w:ascii="Times New Roman" w:hAnsi="Times New Roman"/>
          <w:bCs/>
          <w:szCs w:val="28"/>
        </w:rPr>
        <w:t xml:space="preserve">附件4</w:t>
      </w:r>
      <w:r>
        <w:rPr>
          <w:rFonts w:ascii="Times New Roman" w:hAnsi="Times New Roman"/>
          <w:bCs/>
          <w:szCs w:val="28"/>
        </w:rPr>
        <w:t xml:space="preserve"> </w:t>
      </w:r>
      <w:r>
        <w:rPr>
          <w:rFonts w:hint="eastAsia" w:ascii="Times New Roman" w:hAnsi="Times New Roman"/>
          <w:bCs/>
          <w:szCs w:val="28"/>
        </w:rPr>
        <w:t xml:space="preserve">项目方案</w:t>
      </w:r>
      <w:r>
        <w:tab/>
      </w:r>
      <w:r>
        <w:fldChar w:fldCharType="begin"/>
      </w:r>
      <w:r>
        <w:instrText xml:space="preserve"> PAGEREF _Toc10616 \h </w:instrText>
      </w:r>
      <w:r>
        <w:fldChar w:fldCharType="separate"/>
      </w:r>
      <w:r>
        <w:t xml:space="preserve">48</w:t>
      </w:r>
      <w:r>
        <w:fldChar w:fldCharType="end"/>
      </w:r>
      <w:r>
        <w:rPr>
          <w:rFonts w:ascii="Times New Roman" w:hAnsi="Times New Roman"/>
          <w:caps/>
          <w:color w:val="000000" w:themeColor="text1"/>
          <w:szCs w:val="24"/>
          <w14:textFill>
            <w14:solidFill>
              <w14:schemeClr w14:val="tx1"/>
            </w14:solidFill>
          </w14:textFill>
        </w:rPr>
        <w:fldChar w:fldCharType="end"/>
      </w:r>
      <w:r/>
    </w:p>
    <w:p>
      <w:pPr>
        <w:pStyle w:val="739"/>
        <w:tabs>
          <w:tab w:val="right" w:pos="10466" w:leader="dot"/>
        </w:tabs>
      </w:pPr>
      <w:r>
        <w:rPr>
          <w:rFonts w:ascii="Times New Roman" w:hAnsi="Times New Roman"/>
          <w:caps/>
          <w:color w:val="000000" w:themeColor="text1"/>
          <w:szCs w:val="24"/>
          <w14:textFill>
            <w14:solidFill>
              <w14:schemeClr w14:val="tx1"/>
            </w14:solidFill>
          </w14:textFill>
        </w:rPr>
        <w:fldChar w:fldCharType="begin"/>
      </w:r>
      <w:r>
        <w:rPr>
          <w:rFonts w:ascii="Times New Roman" w:hAnsi="Times New Roman"/>
          <w:caps/>
          <w:szCs w:val="24"/>
        </w:rPr>
        <w:instrText xml:space="preserve"> HYPERLINK \l _Toc2374 </w:instrText>
      </w:r>
      <w:r>
        <w:rPr>
          <w:rFonts w:ascii="Times New Roman" w:hAnsi="Times New Roman"/>
          <w:caps/>
          <w:szCs w:val="24"/>
        </w:rPr>
        <w:fldChar w:fldCharType="separate"/>
      </w:r>
      <w:r>
        <w:rPr>
          <w:rFonts w:hint="eastAsia" w:ascii="Times New Roman" w:hAnsi="Times New Roman" w:eastAsia="宋体" w:cs="Times New Roman"/>
          <w:bCs/>
          <w:szCs w:val="28"/>
        </w:rPr>
        <w:t xml:space="preserve">附件5 人员配置情况</w:t>
      </w:r>
      <w:r>
        <w:tab/>
      </w:r>
      <w:r>
        <w:fldChar w:fldCharType="begin"/>
      </w:r>
      <w:r>
        <w:instrText xml:space="preserve"> PAGEREF _Toc2374 \h </w:instrText>
      </w:r>
      <w:r>
        <w:fldChar w:fldCharType="separate"/>
      </w:r>
      <w:r>
        <w:t xml:space="preserve">49</w:t>
      </w:r>
      <w:r>
        <w:fldChar w:fldCharType="end"/>
      </w:r>
      <w:r>
        <w:rPr>
          <w:rFonts w:ascii="Times New Roman" w:hAnsi="Times New Roman"/>
          <w:caps/>
          <w:color w:val="000000" w:themeColor="text1"/>
          <w:szCs w:val="24"/>
          <w14:textFill>
            <w14:solidFill>
              <w14:schemeClr w14:val="tx1"/>
            </w14:solidFill>
          </w14:textFill>
        </w:rPr>
        <w:fldChar w:fldCharType="end"/>
      </w:r>
      <w:r/>
    </w:p>
    <w:p>
      <w:pPr>
        <w:pStyle w:val="739"/>
        <w:tabs>
          <w:tab w:val="right" w:pos="10466" w:leader="dot"/>
        </w:tabs>
      </w:pPr>
      <w:r>
        <w:rPr>
          <w:rFonts w:ascii="Times New Roman" w:hAnsi="Times New Roman"/>
          <w:caps/>
          <w:color w:val="000000" w:themeColor="text1"/>
          <w:szCs w:val="24"/>
          <w14:textFill>
            <w14:solidFill>
              <w14:schemeClr w14:val="tx1"/>
            </w14:solidFill>
          </w14:textFill>
        </w:rPr>
        <w:fldChar w:fldCharType="begin"/>
      </w:r>
      <w:r>
        <w:rPr>
          <w:rFonts w:ascii="Times New Roman" w:hAnsi="Times New Roman"/>
          <w:caps/>
          <w:szCs w:val="24"/>
        </w:rPr>
        <w:instrText xml:space="preserve"> HYPERLINK \l _Toc20058 </w:instrText>
      </w:r>
      <w:r>
        <w:rPr>
          <w:rFonts w:ascii="Times New Roman" w:hAnsi="Times New Roman"/>
          <w:caps/>
          <w:szCs w:val="24"/>
        </w:rPr>
        <w:fldChar w:fldCharType="separate"/>
      </w:r>
      <w:r>
        <w:rPr>
          <w:rFonts w:hint="eastAsia" w:ascii="Times New Roman" w:hAnsi="Times New Roman" w:eastAsia="宋体" w:cs="Times New Roman"/>
          <w:bCs/>
          <w:szCs w:val="28"/>
        </w:rPr>
        <w:t xml:space="preserve">附件6 养护车辆配备一览表</w:t>
      </w:r>
      <w:r>
        <w:tab/>
      </w:r>
      <w:r>
        <w:fldChar w:fldCharType="begin"/>
      </w:r>
      <w:r>
        <w:instrText xml:space="preserve"> PAGEREF _Toc20058 \h </w:instrText>
      </w:r>
      <w:r>
        <w:fldChar w:fldCharType="separate"/>
      </w:r>
      <w:r>
        <w:t xml:space="preserve">50</w:t>
      </w:r>
      <w:r>
        <w:fldChar w:fldCharType="end"/>
      </w:r>
      <w:r>
        <w:rPr>
          <w:rFonts w:ascii="Times New Roman" w:hAnsi="Times New Roman"/>
          <w:caps/>
          <w:color w:val="000000" w:themeColor="text1"/>
          <w:szCs w:val="24"/>
          <w14:textFill>
            <w14:solidFill>
              <w14:schemeClr w14:val="tx1"/>
            </w14:solidFill>
          </w14:textFill>
        </w:rPr>
        <w:fldChar w:fldCharType="end"/>
      </w:r>
      <w:r/>
    </w:p>
    <w:p>
      <w:pPr>
        <w:pStyle w:val="739"/>
        <w:tabs>
          <w:tab w:val="right" w:pos="10466" w:leader="dot"/>
        </w:tabs>
      </w:pPr>
      <w:r>
        <w:rPr>
          <w:rFonts w:ascii="Times New Roman" w:hAnsi="Times New Roman"/>
          <w:caps/>
          <w:color w:val="000000" w:themeColor="text1"/>
          <w:szCs w:val="24"/>
          <w14:textFill>
            <w14:solidFill>
              <w14:schemeClr w14:val="tx1"/>
            </w14:solidFill>
          </w14:textFill>
        </w:rPr>
        <w:fldChar w:fldCharType="begin"/>
      </w:r>
      <w:r>
        <w:rPr>
          <w:rFonts w:ascii="Times New Roman" w:hAnsi="Times New Roman"/>
          <w:caps/>
          <w:szCs w:val="24"/>
        </w:rPr>
        <w:instrText xml:space="preserve"> HYPERLINK \l _Toc2831 </w:instrText>
      </w:r>
      <w:r>
        <w:rPr>
          <w:rFonts w:ascii="Times New Roman" w:hAnsi="Times New Roman"/>
          <w:caps/>
          <w:szCs w:val="24"/>
        </w:rPr>
        <w:fldChar w:fldCharType="separate"/>
      </w:r>
      <w:r>
        <w:rPr>
          <w:rFonts w:hint="eastAsia" w:ascii="Times New Roman" w:hAnsi="Times New Roman" w:eastAsia="宋体" w:cs="Times New Roman"/>
          <w:bCs/>
          <w:szCs w:val="28"/>
        </w:rPr>
        <w:t xml:space="preserve">附件7 设备工具一览表</w:t>
      </w:r>
      <w:r>
        <w:tab/>
      </w:r>
      <w:r>
        <w:fldChar w:fldCharType="begin"/>
      </w:r>
      <w:r>
        <w:instrText xml:space="preserve"> PAGEREF _Toc2831 \h </w:instrText>
      </w:r>
      <w:r>
        <w:fldChar w:fldCharType="separate"/>
      </w:r>
      <w:r>
        <w:t xml:space="preserve">51</w:t>
      </w:r>
      <w:r>
        <w:fldChar w:fldCharType="end"/>
      </w:r>
      <w:r>
        <w:rPr>
          <w:rFonts w:ascii="Times New Roman" w:hAnsi="Times New Roman"/>
          <w:caps/>
          <w:color w:val="000000" w:themeColor="text1"/>
          <w:szCs w:val="24"/>
          <w14:textFill>
            <w14:solidFill>
              <w14:schemeClr w14:val="tx1"/>
            </w14:solidFill>
          </w14:textFill>
        </w:rPr>
        <w:fldChar w:fldCharType="end"/>
      </w:r>
      <w:r/>
    </w:p>
    <w:p>
      <w:pPr>
        <w:pStyle w:val="739"/>
        <w:tabs>
          <w:tab w:val="right" w:pos="10466" w:leader="dot"/>
        </w:tabs>
      </w:pPr>
      <w:r>
        <w:rPr>
          <w:rFonts w:ascii="Times New Roman" w:hAnsi="Times New Roman"/>
          <w:caps/>
          <w:color w:val="000000" w:themeColor="text1"/>
          <w:szCs w:val="24"/>
          <w14:textFill>
            <w14:solidFill>
              <w14:schemeClr w14:val="tx1"/>
            </w14:solidFill>
          </w14:textFill>
        </w:rPr>
        <w:fldChar w:fldCharType="begin"/>
      </w:r>
      <w:r>
        <w:rPr>
          <w:rFonts w:ascii="Times New Roman" w:hAnsi="Times New Roman"/>
          <w:caps/>
          <w:szCs w:val="24"/>
        </w:rPr>
        <w:instrText xml:space="preserve"> HYPERLINK \l _Toc17613 </w:instrText>
      </w:r>
      <w:r>
        <w:rPr>
          <w:rFonts w:ascii="Times New Roman" w:hAnsi="Times New Roman"/>
          <w:caps/>
          <w:szCs w:val="24"/>
        </w:rPr>
        <w:fldChar w:fldCharType="separate"/>
      </w:r>
      <w:r>
        <w:rPr>
          <w:rFonts w:hint="eastAsia" w:ascii="Times New Roman" w:hAnsi="Times New Roman" w:eastAsia="宋体" w:cs="Times New Roman"/>
          <w:bCs/>
          <w:szCs w:val="28"/>
        </w:rPr>
        <w:t xml:space="preserve">附件8 业绩一览表</w:t>
      </w:r>
      <w:r>
        <w:tab/>
      </w:r>
      <w:r>
        <w:fldChar w:fldCharType="begin"/>
      </w:r>
      <w:r>
        <w:instrText xml:space="preserve"> PAGEREF _Toc17613 \h </w:instrText>
      </w:r>
      <w:r>
        <w:fldChar w:fldCharType="separate"/>
      </w:r>
      <w:r>
        <w:t xml:space="preserve">52</w:t>
      </w:r>
      <w:r>
        <w:fldChar w:fldCharType="end"/>
      </w:r>
      <w:r>
        <w:rPr>
          <w:rFonts w:ascii="Times New Roman" w:hAnsi="Times New Roman"/>
          <w:caps/>
          <w:color w:val="000000" w:themeColor="text1"/>
          <w:szCs w:val="24"/>
          <w14:textFill>
            <w14:solidFill>
              <w14:schemeClr w14:val="tx1"/>
            </w14:solidFill>
          </w14:textFill>
        </w:rPr>
        <w:fldChar w:fldCharType="end"/>
      </w:r>
      <w:r/>
    </w:p>
    <w:p>
      <w:pPr>
        <w:pStyle w:val="739"/>
        <w:tabs>
          <w:tab w:val="right" w:pos="10466" w:leader="dot"/>
        </w:tabs>
      </w:pPr>
      <w:r>
        <w:rPr>
          <w:rFonts w:ascii="Times New Roman" w:hAnsi="Times New Roman"/>
          <w:caps/>
          <w:color w:val="000000" w:themeColor="text1"/>
          <w:szCs w:val="24"/>
          <w14:textFill>
            <w14:solidFill>
              <w14:schemeClr w14:val="tx1"/>
            </w14:solidFill>
          </w14:textFill>
        </w:rPr>
        <w:fldChar w:fldCharType="begin"/>
      </w:r>
      <w:r>
        <w:rPr>
          <w:rFonts w:ascii="Times New Roman" w:hAnsi="Times New Roman"/>
          <w:caps/>
          <w:szCs w:val="24"/>
        </w:rPr>
        <w:instrText xml:space="preserve"> HYPERLINK \l _Toc19695 </w:instrText>
      </w:r>
      <w:r>
        <w:rPr>
          <w:rFonts w:ascii="Times New Roman" w:hAnsi="Times New Roman"/>
          <w:caps/>
          <w:szCs w:val="24"/>
        </w:rPr>
        <w:fldChar w:fldCharType="separate"/>
      </w:r>
      <w:r>
        <w:rPr>
          <w:rFonts w:hint="eastAsia" w:ascii="Times New Roman" w:hAnsi="Times New Roman"/>
          <w:bCs/>
          <w:szCs w:val="28"/>
        </w:rPr>
        <w:t xml:space="preserve">附件9 商务要求响应及偏离表</w:t>
      </w:r>
      <w:r>
        <w:tab/>
      </w:r>
      <w:r>
        <w:fldChar w:fldCharType="begin"/>
      </w:r>
      <w:r>
        <w:instrText xml:space="preserve"> PAGEREF _Toc19695 \h </w:instrText>
      </w:r>
      <w:r>
        <w:fldChar w:fldCharType="separate"/>
      </w:r>
      <w:r>
        <w:t xml:space="preserve">53</w:t>
      </w:r>
      <w:r>
        <w:fldChar w:fldCharType="end"/>
      </w:r>
      <w:r>
        <w:rPr>
          <w:rFonts w:ascii="Times New Roman" w:hAnsi="Times New Roman"/>
          <w:caps/>
          <w:color w:val="000000" w:themeColor="text1"/>
          <w:szCs w:val="24"/>
          <w14:textFill>
            <w14:solidFill>
              <w14:schemeClr w14:val="tx1"/>
            </w14:solidFill>
          </w14:textFill>
        </w:rPr>
        <w:fldChar w:fldCharType="end"/>
      </w:r>
      <w:r/>
    </w:p>
    <w:p>
      <w:pPr>
        <w:pStyle w:val="739"/>
        <w:tabs>
          <w:tab w:val="right" w:pos="10466" w:leader="dot"/>
        </w:tabs>
      </w:pPr>
      <w:r>
        <w:rPr>
          <w:rFonts w:ascii="Times New Roman" w:hAnsi="Times New Roman"/>
          <w:caps/>
          <w:color w:val="000000" w:themeColor="text1"/>
          <w:szCs w:val="24"/>
          <w14:textFill>
            <w14:solidFill>
              <w14:schemeClr w14:val="tx1"/>
            </w14:solidFill>
          </w14:textFill>
        </w:rPr>
        <w:fldChar w:fldCharType="begin"/>
      </w:r>
      <w:r>
        <w:rPr>
          <w:rFonts w:ascii="Times New Roman" w:hAnsi="Times New Roman"/>
          <w:caps/>
          <w:szCs w:val="24"/>
        </w:rPr>
        <w:instrText xml:space="preserve"> HYPERLINK \l _Toc17834 </w:instrText>
      </w:r>
      <w:r>
        <w:rPr>
          <w:rFonts w:ascii="Times New Roman" w:hAnsi="Times New Roman"/>
          <w:caps/>
          <w:szCs w:val="24"/>
        </w:rPr>
        <w:fldChar w:fldCharType="separate"/>
      </w:r>
      <w:r>
        <w:rPr>
          <w:rFonts w:hint="eastAsia" w:ascii="Times New Roman" w:hAnsi="Times New Roman"/>
          <w:bCs/>
          <w:szCs w:val="28"/>
        </w:rPr>
        <w:t xml:space="preserve">附件10 其他</w:t>
      </w:r>
      <w:r>
        <w:tab/>
      </w:r>
      <w:r>
        <w:fldChar w:fldCharType="begin"/>
      </w:r>
      <w:r>
        <w:instrText xml:space="preserve"> PAGEREF _Toc17834 \h </w:instrText>
      </w:r>
      <w:r>
        <w:fldChar w:fldCharType="separate"/>
      </w:r>
      <w:r>
        <w:t xml:space="preserve">54</w:t>
      </w:r>
      <w:r>
        <w:fldChar w:fldCharType="end"/>
      </w:r>
      <w:r>
        <w:rPr>
          <w:rFonts w:ascii="Times New Roman" w:hAnsi="Times New Roman"/>
          <w:caps/>
          <w:color w:val="000000" w:themeColor="text1"/>
          <w:szCs w:val="24"/>
          <w14:textFill>
            <w14:solidFill>
              <w14:schemeClr w14:val="tx1"/>
            </w14:solidFill>
          </w14:textFill>
        </w:rPr>
        <w:fldChar w:fldCharType="end"/>
      </w:r>
      <w:r/>
    </w:p>
    <w:p>
      <w:pPr>
        <w:pStyle w:val="739"/>
        <w:tabs>
          <w:tab w:val="right" w:pos="10466" w:leader="dot"/>
        </w:tabs>
      </w:pPr>
      <w:r>
        <w:rPr>
          <w:rFonts w:ascii="Times New Roman" w:hAnsi="Times New Roman"/>
          <w:caps/>
          <w:color w:val="000000" w:themeColor="text1"/>
          <w:szCs w:val="24"/>
          <w14:textFill>
            <w14:solidFill>
              <w14:schemeClr w14:val="tx1"/>
            </w14:solidFill>
          </w14:textFill>
        </w:rPr>
        <w:fldChar w:fldCharType="begin"/>
      </w:r>
      <w:r>
        <w:rPr>
          <w:rFonts w:ascii="Times New Roman" w:hAnsi="Times New Roman"/>
          <w:caps/>
          <w:szCs w:val="24"/>
        </w:rPr>
        <w:instrText xml:space="preserve"> HYPERLINK \l _Toc21639 </w:instrText>
      </w:r>
      <w:r>
        <w:rPr>
          <w:rFonts w:ascii="Times New Roman" w:hAnsi="Times New Roman"/>
          <w:caps/>
          <w:szCs w:val="24"/>
        </w:rPr>
        <w:fldChar w:fldCharType="separate"/>
      </w:r>
      <w:r>
        <w:rPr>
          <w:rFonts w:hint="eastAsia" w:ascii="Times New Roman" w:hAnsi="Times New Roman"/>
          <w:bCs/>
          <w:szCs w:val="28"/>
        </w:rPr>
        <w:t xml:space="preserve">附件11 具备履行合同所必需的设备和专业技术能力的书面声明</w:t>
      </w:r>
      <w:r>
        <w:tab/>
      </w:r>
      <w:r>
        <w:fldChar w:fldCharType="begin"/>
      </w:r>
      <w:r>
        <w:instrText xml:space="preserve"> PAGEREF _Toc21639 \h </w:instrText>
      </w:r>
      <w:r>
        <w:fldChar w:fldCharType="separate"/>
      </w:r>
      <w:r>
        <w:t xml:space="preserve">55</w:t>
      </w:r>
      <w:r>
        <w:fldChar w:fldCharType="end"/>
      </w:r>
      <w:r>
        <w:rPr>
          <w:rFonts w:ascii="Times New Roman" w:hAnsi="Times New Roman"/>
          <w:caps/>
          <w:color w:val="000000" w:themeColor="text1"/>
          <w:szCs w:val="24"/>
          <w14:textFill>
            <w14:solidFill>
              <w14:schemeClr w14:val="tx1"/>
            </w14:solidFill>
          </w14:textFill>
        </w:rPr>
        <w:fldChar w:fldCharType="end"/>
      </w:r>
      <w:r/>
    </w:p>
    <w:p>
      <w:pPr>
        <w:pStyle w:val="739"/>
        <w:tabs>
          <w:tab w:val="right" w:pos="10466" w:leader="dot"/>
        </w:tabs>
      </w:pPr>
      <w:r>
        <w:rPr>
          <w:rFonts w:ascii="Times New Roman" w:hAnsi="Times New Roman"/>
          <w:caps/>
          <w:color w:val="000000" w:themeColor="text1"/>
          <w:szCs w:val="24"/>
          <w14:textFill>
            <w14:solidFill>
              <w14:schemeClr w14:val="tx1"/>
            </w14:solidFill>
          </w14:textFill>
        </w:rPr>
        <w:fldChar w:fldCharType="begin"/>
      </w:r>
      <w:r>
        <w:rPr>
          <w:rFonts w:ascii="Times New Roman" w:hAnsi="Times New Roman"/>
          <w:caps/>
          <w:szCs w:val="24"/>
        </w:rPr>
        <w:instrText xml:space="preserve"> HYPERLINK \l _Toc30579 </w:instrText>
      </w:r>
      <w:r>
        <w:rPr>
          <w:rFonts w:ascii="Times New Roman" w:hAnsi="Times New Roman"/>
          <w:caps/>
          <w:szCs w:val="24"/>
        </w:rPr>
        <w:fldChar w:fldCharType="separate"/>
      </w:r>
      <w:r>
        <w:rPr>
          <w:rFonts w:hint="eastAsia" w:ascii="Times New Roman" w:hAnsi="Times New Roman"/>
          <w:bCs/>
          <w:szCs w:val="28"/>
        </w:rPr>
        <w:t xml:space="preserve">附件12</w:t>
      </w:r>
      <w:r>
        <w:rPr>
          <w:rFonts w:ascii="Times New Roman" w:hAnsi="Times New Roman"/>
          <w:bCs/>
          <w:szCs w:val="28"/>
        </w:rPr>
        <w:t xml:space="preserve"> </w:t>
      </w:r>
      <w:r>
        <w:rPr>
          <w:rFonts w:hint="eastAsia" w:ascii="Times New Roman" w:hAnsi="Times New Roman"/>
          <w:bCs/>
          <w:szCs w:val="28"/>
        </w:rPr>
        <w:t xml:space="preserve">参加政府采购活动前 3 年内在经营活动中没有重大违法记录的书面声明</w:t>
      </w:r>
      <w:r>
        <w:tab/>
      </w:r>
      <w:r>
        <w:fldChar w:fldCharType="begin"/>
      </w:r>
      <w:r>
        <w:instrText xml:space="preserve"> PAGEREF _Toc30579 \h </w:instrText>
      </w:r>
      <w:r>
        <w:fldChar w:fldCharType="separate"/>
      </w:r>
      <w:r>
        <w:t xml:space="preserve">56</w:t>
      </w:r>
      <w:r>
        <w:fldChar w:fldCharType="end"/>
      </w:r>
      <w:r>
        <w:rPr>
          <w:rFonts w:ascii="Times New Roman" w:hAnsi="Times New Roman"/>
          <w:caps/>
          <w:color w:val="000000" w:themeColor="text1"/>
          <w:szCs w:val="24"/>
          <w14:textFill>
            <w14:solidFill>
              <w14:schemeClr w14:val="tx1"/>
            </w14:solidFill>
          </w14:textFill>
        </w:rPr>
        <w:fldChar w:fldCharType="end"/>
      </w:r>
      <w:r/>
    </w:p>
    <w:p>
      <w:pPr>
        <w:pStyle w:val="739"/>
        <w:tabs>
          <w:tab w:val="right" w:pos="10466" w:leader="dot"/>
        </w:tabs>
      </w:pPr>
      <w:r>
        <w:rPr>
          <w:rFonts w:ascii="Times New Roman" w:hAnsi="Times New Roman"/>
          <w:caps/>
          <w:color w:val="000000" w:themeColor="text1"/>
          <w:szCs w:val="24"/>
          <w14:textFill>
            <w14:solidFill>
              <w14:schemeClr w14:val="tx1"/>
            </w14:solidFill>
          </w14:textFill>
        </w:rPr>
        <w:fldChar w:fldCharType="begin"/>
      </w:r>
      <w:r>
        <w:rPr>
          <w:rFonts w:ascii="Times New Roman" w:hAnsi="Times New Roman"/>
          <w:caps/>
          <w:szCs w:val="24"/>
        </w:rPr>
        <w:instrText xml:space="preserve"> HYPERLINK \l _Toc12310 </w:instrText>
      </w:r>
      <w:r>
        <w:rPr>
          <w:rFonts w:ascii="Times New Roman" w:hAnsi="Times New Roman"/>
          <w:caps/>
          <w:szCs w:val="24"/>
        </w:rPr>
        <w:fldChar w:fldCharType="separate"/>
      </w:r>
      <w:r>
        <w:rPr>
          <w:rFonts w:hint="eastAsia" w:ascii="Times New Roman" w:hAnsi="Times New Roman"/>
          <w:bCs/>
          <w:szCs w:val="28"/>
        </w:rPr>
        <w:t xml:space="preserve">附件13</w:t>
      </w:r>
      <w:r>
        <w:rPr>
          <w:rFonts w:ascii="Times New Roman" w:hAnsi="Times New Roman"/>
          <w:bCs/>
          <w:szCs w:val="28"/>
        </w:rPr>
        <w:t xml:space="preserve"> </w:t>
      </w:r>
      <w:r>
        <w:rPr>
          <w:rFonts w:hint="eastAsia" w:ascii="Times New Roman" w:hAnsi="Times New Roman"/>
          <w:bCs/>
          <w:szCs w:val="28"/>
        </w:rPr>
        <w:t xml:space="preserve">法人授权书</w:t>
      </w:r>
      <w:r>
        <w:tab/>
      </w:r>
      <w:r>
        <w:fldChar w:fldCharType="begin"/>
      </w:r>
      <w:r>
        <w:instrText xml:space="preserve"> PAGEREF _Toc12310 \h </w:instrText>
      </w:r>
      <w:r>
        <w:fldChar w:fldCharType="separate"/>
      </w:r>
      <w:r>
        <w:t xml:space="preserve">57</w:t>
      </w:r>
      <w:r>
        <w:fldChar w:fldCharType="end"/>
      </w:r>
      <w:r>
        <w:rPr>
          <w:rFonts w:ascii="Times New Roman" w:hAnsi="Times New Roman"/>
          <w:caps/>
          <w:color w:val="000000" w:themeColor="text1"/>
          <w:szCs w:val="24"/>
          <w14:textFill>
            <w14:solidFill>
              <w14:schemeClr w14:val="tx1"/>
            </w14:solidFill>
          </w14:textFill>
        </w:rPr>
        <w:fldChar w:fldCharType="end"/>
      </w:r>
      <w:r/>
    </w:p>
    <w:p>
      <w:pPr>
        <w:pStyle w:val="739"/>
        <w:tabs>
          <w:tab w:val="right" w:pos="10466" w:leader="dot"/>
        </w:tabs>
      </w:pPr>
      <w:r>
        <w:rPr>
          <w:rFonts w:ascii="Times New Roman" w:hAnsi="Times New Roman"/>
          <w:caps/>
          <w:color w:val="000000" w:themeColor="text1"/>
          <w:szCs w:val="24"/>
          <w14:textFill>
            <w14:solidFill>
              <w14:schemeClr w14:val="tx1"/>
            </w14:solidFill>
          </w14:textFill>
        </w:rPr>
        <w:fldChar w:fldCharType="begin"/>
      </w:r>
      <w:r>
        <w:rPr>
          <w:rFonts w:ascii="Times New Roman" w:hAnsi="Times New Roman"/>
          <w:caps/>
          <w:szCs w:val="24"/>
        </w:rPr>
        <w:instrText xml:space="preserve"> HYPERLINK \l _Toc12841 </w:instrText>
      </w:r>
      <w:r>
        <w:rPr>
          <w:rFonts w:ascii="Times New Roman" w:hAnsi="Times New Roman"/>
          <w:caps/>
          <w:szCs w:val="24"/>
        </w:rPr>
        <w:fldChar w:fldCharType="separate"/>
      </w:r>
      <w:r>
        <w:rPr>
          <w:rFonts w:hint="eastAsia" w:ascii="Times New Roman" w:hAnsi="Times New Roman"/>
          <w:bCs/>
          <w:szCs w:val="28"/>
        </w:rPr>
        <w:t xml:space="preserve">附件14 中小企业声明函</w:t>
      </w:r>
      <w:r>
        <w:tab/>
      </w:r>
      <w:r>
        <w:fldChar w:fldCharType="begin"/>
      </w:r>
      <w:r>
        <w:instrText xml:space="preserve"> PAGEREF _Toc12841 \h </w:instrText>
      </w:r>
      <w:r>
        <w:fldChar w:fldCharType="separate"/>
      </w:r>
      <w:r>
        <w:t xml:space="preserve">58</w:t>
      </w:r>
      <w:r>
        <w:fldChar w:fldCharType="end"/>
      </w:r>
      <w:r>
        <w:rPr>
          <w:rFonts w:ascii="Times New Roman" w:hAnsi="Times New Roman"/>
          <w:caps/>
          <w:color w:val="000000" w:themeColor="text1"/>
          <w:szCs w:val="24"/>
          <w14:textFill>
            <w14:solidFill>
              <w14:schemeClr w14:val="tx1"/>
            </w14:solidFill>
          </w14:textFill>
        </w:rPr>
        <w:fldChar w:fldCharType="end"/>
      </w:r>
      <w:r/>
    </w:p>
    <w:p>
      <w:pPr>
        <w:pStyle w:val="739"/>
        <w:tabs>
          <w:tab w:val="right" w:pos="10466" w:leader="dot"/>
        </w:tabs>
      </w:pPr>
      <w:r>
        <w:rPr>
          <w:rFonts w:ascii="Times New Roman" w:hAnsi="Times New Roman"/>
          <w:caps/>
          <w:color w:val="000000" w:themeColor="text1"/>
          <w:szCs w:val="24"/>
          <w14:textFill>
            <w14:solidFill>
              <w14:schemeClr w14:val="tx1"/>
            </w14:solidFill>
          </w14:textFill>
        </w:rPr>
        <w:fldChar w:fldCharType="begin"/>
      </w:r>
      <w:r>
        <w:rPr>
          <w:rFonts w:ascii="Times New Roman" w:hAnsi="Times New Roman"/>
          <w:caps/>
          <w:szCs w:val="24"/>
        </w:rPr>
        <w:instrText xml:space="preserve"> HYPERLINK \l _Toc14184 </w:instrText>
      </w:r>
      <w:r>
        <w:rPr>
          <w:rFonts w:ascii="Times New Roman" w:hAnsi="Times New Roman"/>
          <w:caps/>
          <w:szCs w:val="24"/>
        </w:rPr>
        <w:fldChar w:fldCharType="separate"/>
      </w:r>
      <w:r>
        <w:rPr>
          <w:rFonts w:hint="eastAsia" w:ascii="Times New Roman" w:hAnsi="Times New Roman"/>
          <w:bCs/>
          <w:szCs w:val="28"/>
        </w:rPr>
        <w:t xml:space="preserve">附件15 残疾人福利性单位声明函</w:t>
      </w:r>
      <w:r>
        <w:tab/>
      </w:r>
      <w:r>
        <w:fldChar w:fldCharType="begin"/>
      </w:r>
      <w:r>
        <w:instrText xml:space="preserve"> PAGEREF _Toc14184 \h </w:instrText>
      </w:r>
      <w:r>
        <w:fldChar w:fldCharType="separate"/>
      </w:r>
      <w:r>
        <w:t xml:space="preserve">59</w:t>
      </w:r>
      <w:r>
        <w:fldChar w:fldCharType="end"/>
      </w:r>
      <w:r>
        <w:rPr>
          <w:rFonts w:ascii="Times New Roman" w:hAnsi="Times New Roman"/>
          <w:caps/>
          <w:color w:val="000000" w:themeColor="text1"/>
          <w:szCs w:val="24"/>
          <w14:textFill>
            <w14:solidFill>
              <w14:schemeClr w14:val="tx1"/>
            </w14:solidFill>
          </w14:textFill>
        </w:rPr>
        <w:fldChar w:fldCharType="end"/>
      </w:r>
      <w:r/>
    </w:p>
    <w:p>
      <w:pPr>
        <w:pStyle w:val="739"/>
        <w:tabs>
          <w:tab w:val="right" w:pos="10466" w:leader="dot"/>
        </w:tabs>
      </w:pPr>
      <w:r>
        <w:rPr>
          <w:rFonts w:ascii="Times New Roman" w:hAnsi="Times New Roman"/>
          <w:caps/>
          <w:color w:val="000000" w:themeColor="text1"/>
          <w:szCs w:val="24"/>
          <w14:textFill>
            <w14:solidFill>
              <w14:schemeClr w14:val="tx1"/>
            </w14:solidFill>
          </w14:textFill>
        </w:rPr>
        <w:fldChar w:fldCharType="begin"/>
      </w:r>
      <w:r>
        <w:rPr>
          <w:rFonts w:ascii="Times New Roman" w:hAnsi="Times New Roman"/>
          <w:caps/>
          <w:szCs w:val="24"/>
        </w:rPr>
        <w:instrText xml:space="preserve"> HYPERLINK \l _Toc5874 </w:instrText>
      </w:r>
      <w:r>
        <w:rPr>
          <w:rFonts w:ascii="Times New Roman" w:hAnsi="Times New Roman"/>
          <w:caps/>
          <w:szCs w:val="24"/>
        </w:rPr>
        <w:fldChar w:fldCharType="separate"/>
      </w:r>
      <w:r>
        <w:rPr>
          <w:rFonts w:hint="eastAsia" w:ascii="Times New Roman" w:hAnsi="Times New Roman"/>
          <w:bCs/>
          <w:szCs w:val="28"/>
        </w:rPr>
        <w:t xml:space="preserve">附件16</w:t>
      </w:r>
      <w:r>
        <w:rPr>
          <w:rFonts w:ascii="Times New Roman" w:hAnsi="Times New Roman"/>
          <w:bCs/>
          <w:szCs w:val="28"/>
        </w:rPr>
        <w:t xml:space="preserve"> </w:t>
      </w:r>
      <w:r>
        <w:rPr>
          <w:rFonts w:hint="eastAsia" w:ascii="Times New Roman" w:hAnsi="Times New Roman"/>
          <w:bCs/>
          <w:szCs w:val="28"/>
        </w:rPr>
        <w:t xml:space="preserve">投标函</w:t>
      </w:r>
      <w:r>
        <w:tab/>
      </w:r>
      <w:r>
        <w:fldChar w:fldCharType="begin"/>
      </w:r>
      <w:r>
        <w:instrText xml:space="preserve"> PAGEREF _Toc5874 \h </w:instrText>
      </w:r>
      <w:r>
        <w:fldChar w:fldCharType="separate"/>
      </w:r>
      <w:r>
        <w:t xml:space="preserve">60</w:t>
      </w:r>
      <w:r>
        <w:fldChar w:fldCharType="end"/>
      </w:r>
      <w:r>
        <w:rPr>
          <w:rFonts w:ascii="Times New Roman" w:hAnsi="Times New Roman"/>
          <w:caps/>
          <w:color w:val="000000" w:themeColor="text1"/>
          <w:szCs w:val="24"/>
          <w14:textFill>
            <w14:solidFill>
              <w14:schemeClr w14:val="tx1"/>
            </w14:solidFill>
          </w14:textFill>
        </w:rPr>
        <w:fldChar w:fldCharType="end"/>
      </w:r>
      <w:r/>
    </w:p>
    <w:p>
      <w:pPr>
        <w:pStyle w:val="739"/>
        <w:tabs>
          <w:tab w:val="right" w:pos="10466" w:leader="dot"/>
        </w:tabs>
      </w:pPr>
      <w:r>
        <w:rPr>
          <w:rFonts w:ascii="Times New Roman" w:hAnsi="Times New Roman"/>
          <w:caps/>
          <w:color w:val="000000" w:themeColor="text1"/>
          <w:szCs w:val="24"/>
          <w14:textFill>
            <w14:solidFill>
              <w14:schemeClr w14:val="tx1"/>
            </w14:solidFill>
          </w14:textFill>
        </w:rPr>
        <w:fldChar w:fldCharType="begin"/>
      </w:r>
      <w:r>
        <w:rPr>
          <w:rFonts w:ascii="Times New Roman" w:hAnsi="Times New Roman"/>
          <w:caps/>
          <w:szCs w:val="24"/>
        </w:rPr>
        <w:instrText xml:space="preserve"> HYPERLINK \l _Toc13683 </w:instrText>
      </w:r>
      <w:r>
        <w:rPr>
          <w:rFonts w:ascii="Times New Roman" w:hAnsi="Times New Roman"/>
          <w:caps/>
          <w:szCs w:val="24"/>
        </w:rPr>
        <w:fldChar w:fldCharType="separate"/>
      </w:r>
      <w:r>
        <w:rPr>
          <w:rFonts w:hint="eastAsia" w:ascii="Times New Roman" w:hAnsi="Times New Roman"/>
          <w:bCs/>
          <w:szCs w:val="28"/>
        </w:rPr>
        <w:t xml:space="preserve">附件17 实质性要求响应及偏离表</w:t>
      </w:r>
      <w:r>
        <w:tab/>
      </w:r>
      <w:r>
        <w:fldChar w:fldCharType="begin"/>
      </w:r>
      <w:r>
        <w:instrText xml:space="preserve"> PAGEREF _Toc13683 \h </w:instrText>
      </w:r>
      <w:r>
        <w:fldChar w:fldCharType="separate"/>
      </w:r>
      <w:r>
        <w:t xml:space="preserve">61</w:t>
      </w:r>
      <w:r>
        <w:fldChar w:fldCharType="end"/>
      </w:r>
      <w:r>
        <w:rPr>
          <w:rFonts w:ascii="Times New Roman" w:hAnsi="Times New Roman"/>
          <w:caps/>
          <w:color w:val="000000" w:themeColor="text1"/>
          <w:szCs w:val="24"/>
          <w14:textFill>
            <w14:solidFill>
              <w14:schemeClr w14:val="tx1"/>
            </w14:solidFill>
          </w14:textFill>
        </w:rPr>
        <w:fldChar w:fldCharType="end"/>
      </w:r>
      <w:r/>
    </w:p>
    <w:p>
      <w:pPr>
        <w:jc w:val="left"/>
        <w:spacing w:line="440" w:lineRule="exact"/>
        <w:rPr>
          <w:rFonts w:ascii="Times New Roman" w:hAnsi="Times New Roman"/>
          <w:caps/>
          <w:color w:val="000000" w:themeColor="text1"/>
          <w:sz w:val="24"/>
          <w:szCs w:val="24"/>
          <w14:textFill>
            <w14:solidFill>
              <w14:schemeClr w14:val="tx1"/>
            </w14:solidFill>
          </w14:textFill>
        </w:rPr>
      </w:pPr>
      <w:r>
        <w:rPr>
          <w:rFonts w:ascii="Times New Roman" w:hAnsi="Times New Roman"/>
          <w:caps/>
          <w:color w:val="000000" w:themeColor="text1"/>
          <w:szCs w:val="24"/>
          <w14:textFill>
            <w14:solidFill>
              <w14:schemeClr w14:val="tx1"/>
            </w14:solidFill>
          </w14:textFill>
        </w:rPr>
        <w:fldChar w:fldCharType="end"/>
      </w:r>
      <w:r/>
      <w:r>
        <w:rPr>
          <w:rFonts w:ascii="Times New Roman" w:hAnsi="Times New Roman"/>
          <w:caps/>
          <w:color w:val="000000" w:themeColor="text1"/>
          <w:sz w:val="24"/>
          <w:szCs w:val="24"/>
          <w14:textFill>
            <w14:solidFill>
              <w14:schemeClr w14:val="tx1"/>
            </w14:solidFill>
          </w14:textFill>
        </w:rPr>
      </w:r>
    </w:p>
    <w:p>
      <w:pPr>
        <w:ind w:firstLine="880"/>
        <w:jc w:val="center"/>
        <w:keepNext/>
        <w:rPr>
          <w:rFonts w:ascii="黑体" w:hAnsi="Times New Roman" w:eastAsia="黑体"/>
          <w:bCs/>
          <w:color w:val="000000" w:themeColor="text1"/>
          <w:sz w:val="44"/>
          <w:szCs w:val="44"/>
          <w14:textFill>
            <w14:solidFill>
              <w14:schemeClr w14:val="tx1"/>
            </w14:solidFill>
          </w14:textFill>
        </w:rPr>
        <w:outlineLvl w:val="0"/>
      </w:pPr>
      <w:r/>
      <w:bookmarkStart w:id="6" w:name="_Toc25406"/>
      <w:r>
        <w:rPr>
          <w:rFonts w:hint="eastAsia" w:ascii="黑体" w:hAnsi="Times New Roman" w:eastAsia="黑体"/>
          <w:color w:val="000000" w:themeColor="text1"/>
          <w:sz w:val="44"/>
          <w:szCs w:val="44"/>
          <w14:textFill>
            <w14:solidFill>
              <w14:schemeClr w14:val="tx1"/>
            </w14:solidFill>
          </w14:textFill>
        </w:rPr>
        <w:t xml:space="preserve">第一章  </w:t>
      </w:r>
      <w:bookmarkEnd w:id="0"/>
      <w:r>
        <w:rPr>
          <w:rFonts w:hint="eastAsia" w:ascii="黑体" w:hAnsi="Times New Roman" w:eastAsia="黑体"/>
          <w:color w:val="000000" w:themeColor="text1"/>
          <w:sz w:val="44"/>
          <w:szCs w:val="44"/>
          <w14:textFill>
            <w14:solidFill>
              <w14:schemeClr w14:val="tx1"/>
            </w14:solidFill>
          </w14:textFill>
        </w:rPr>
        <w:t xml:space="preserve">投标邀请</w:t>
      </w:r>
      <w:bookmarkEnd w:id="6"/>
      <w:r/>
      <w:r/>
    </w:p>
    <w:p>
      <w:pPr>
        <w:ind w:firstLine="480"/>
        <w:spacing w:line="4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受常熟市人民政府莫城街道办事处的委托，苏州新一造价师价格事务所有限公司就莫城街道2025-2026年度三环外区域（市级移交属地管护区域）绿化养护(</w:t>
      </w:r>
      <w:r>
        <w:rPr>
          <w:rFonts w:hint="eastAsia" w:ascii="Times New Roman" w:hAnsi="Times New Roman"/>
          <w:color w:val="000000" w:themeColor="text1"/>
          <w:sz w:val="24"/>
          <w:szCs w:val="24"/>
          <w:lang w:eastAsia="zh-CN"/>
          <w14:textFill>
            <w14:solidFill>
              <w14:schemeClr w14:val="tx1"/>
            </w14:solidFill>
          </w14:textFill>
        </w:rPr>
        <w:t xml:space="preserve">JSZC-320581-SZXY-G2024-0064</w:t>
      </w:r>
      <w:r>
        <w:rPr>
          <w:rFonts w:hint="eastAsia" w:ascii="宋体" w:hAnsi="宋体"/>
          <w:color w:val="000000" w:themeColor="text1"/>
          <w:sz w:val="24"/>
          <w:szCs w:val="24"/>
          <w14:textFill>
            <w14:solidFill>
              <w14:schemeClr w14:val="tx1"/>
            </w14:solidFill>
          </w14:textFill>
        </w:rPr>
        <w:t xml:space="preserve">)项目进行公开招标采购，欢迎符合条件的供应商投标。</w:t>
      </w:r>
      <w:r/>
    </w:p>
    <w:p>
      <w:pPr>
        <w:ind w:firstLine="480"/>
        <w:spacing w:line="460" w:lineRule="exact"/>
        <w:rPr>
          <w:rFonts w:ascii="宋体" w:hAnsi="宋体"/>
          <w:color w:val="000000" w:themeColor="text1"/>
          <w:sz w:val="24"/>
          <w:szCs w:val="24"/>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14:textFill>
            <w14:solidFill>
              <w14:schemeClr w14:val="tx1"/>
            </w14:solidFill>
          </w14:textFill>
        </w:rPr>
        <w:t xml:space="preserve">项目概况</w:t>
      </w:r>
      <w:r/>
    </w:p>
    <w:p>
      <w:pPr>
        <w:ind w:firstLine="480"/>
        <w:spacing w:line="460" w:lineRule="exact"/>
        <w:rPr>
          <w:rFonts w:ascii="宋体" w:hAnsi="宋体"/>
          <w:color w:val="000000" w:themeColor="text1"/>
          <w:sz w:val="24"/>
          <w:szCs w:val="24"/>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u w:val="single"/>
          <w14:textFill>
            <w14:solidFill>
              <w14:schemeClr w14:val="tx1"/>
            </w14:solidFill>
          </w14:textFill>
        </w:rPr>
        <w:t xml:space="preserve">莫城街道2025-2026年度三环外区域（市级移交属地管护区域）绿化养护</w:t>
      </w:r>
      <w:r>
        <w:rPr>
          <w:rFonts w:hint="eastAsia" w:ascii="Times New Roman" w:hAnsi="Times New Roman"/>
          <w:color w:val="000000" w:themeColor="text1"/>
          <w:sz w:val="24"/>
          <w:szCs w:val="24"/>
          <w14:textFill>
            <w14:solidFill>
              <w14:schemeClr w14:val="tx1"/>
            </w14:solidFill>
          </w14:textFill>
        </w:rPr>
        <w:t xml:space="preserve">招标项目的潜在投标人应在“</w:t>
      </w:r>
      <w:r>
        <w:rPr>
          <w:rFonts w:ascii="Times New Roman" w:hAnsi="Times New Roman"/>
          <w:color w:val="000000" w:themeColor="text1"/>
          <w:sz w:val="24"/>
          <w:szCs w:val="24"/>
          <w14:textFill>
            <w14:solidFill>
              <w14:schemeClr w14:val="tx1"/>
            </w14:solidFill>
          </w14:textFill>
        </w:rPr>
        <w:t xml:space="preserve">苏采云政府采购一体化平台</w:t>
      </w:r>
      <w:r>
        <w:rPr>
          <w:rFonts w:hint="eastAsia" w:ascii="Times New Roman" w:hAnsi="Times New Roman"/>
          <w:color w:val="000000" w:themeColor="text1"/>
          <w:sz w:val="24"/>
          <w:szCs w:val="24"/>
          <w14:textFill>
            <w14:solidFill>
              <w14:schemeClr w14:val="tx1"/>
            </w14:solidFill>
          </w14:textFill>
        </w:rPr>
        <w:t xml:space="preserve">”</w:t>
      </w:r>
      <w:r>
        <w:rPr>
          <w:rFonts w:ascii="Times New Roman" w:hAnsi="Times New Roman"/>
          <w:color w:val="000000" w:themeColor="text1"/>
          <w:sz w:val="24"/>
          <w:szCs w:val="24"/>
          <w14:textFill>
            <w14:solidFill>
              <w14:schemeClr w14:val="tx1"/>
            </w14:solidFill>
          </w14:textFill>
        </w:rPr>
        <w:t xml:space="preserve">中参与项目</w:t>
      </w:r>
      <w:r>
        <w:rPr>
          <w:rFonts w:hint="eastAsia" w:ascii="Times New Roman" w:hAnsi="Times New Roman"/>
          <w:color w:val="000000" w:themeColor="text1"/>
          <w:sz w:val="24"/>
          <w:szCs w:val="24"/>
          <w14:textFill>
            <w14:solidFill>
              <w14:schemeClr w14:val="tx1"/>
            </w14:solidFill>
          </w14:textFill>
        </w:rPr>
        <w:t xml:space="preserve">获取招标文件，并于</w:t>
      </w:r>
      <w:r>
        <w:rPr>
          <w:rFonts w:ascii="Times New Roman" w:hAnsi="Times New Roman"/>
          <w:color w:val="000000" w:themeColor="text1"/>
          <w:sz w:val="24"/>
          <w:szCs w:val="21"/>
          <w:u w:val="single"/>
          <w14:textFill>
            <w14:solidFill>
              <w14:schemeClr w14:val="tx1"/>
            </w14:solidFill>
          </w14:textFill>
        </w:rPr>
        <w:t xml:space="preserve">202</w:t>
      </w:r>
      <w:r>
        <w:rPr>
          <w:rFonts w:hint="eastAsia" w:ascii="Times New Roman" w:hAnsi="Times New Roman"/>
          <w:color w:val="000000" w:themeColor="text1"/>
          <w:sz w:val="24"/>
          <w:szCs w:val="21"/>
          <w:u w:val="single"/>
          <w:lang w:val="en-US" w:eastAsia="zh-CN"/>
          <w14:textFill>
            <w14:solidFill>
              <w14:schemeClr w14:val="tx1"/>
            </w14:solidFill>
          </w14:textFill>
        </w:rPr>
        <w:t xml:space="preserve">5</w:t>
      </w:r>
      <w:r>
        <w:rPr>
          <w:rFonts w:ascii="Times New Roman" w:hAnsi="Times New Roman"/>
          <w:color w:val="000000" w:themeColor="text1"/>
          <w:sz w:val="24"/>
          <w:szCs w:val="21"/>
          <w:u w:val="single"/>
          <w14:textFill>
            <w14:solidFill>
              <w14:schemeClr w14:val="tx1"/>
            </w14:solidFill>
          </w14:textFill>
        </w:rPr>
        <w:t xml:space="preserve">年</w:t>
      </w:r>
      <w:r>
        <w:rPr>
          <w:rFonts w:hint="eastAsia" w:ascii="Times New Roman" w:hAnsi="Times New Roman"/>
          <w:color w:val="000000" w:themeColor="text1"/>
          <w:sz w:val="24"/>
          <w:szCs w:val="21"/>
          <w:u w:val="single"/>
          <w:lang w:val="en-US" w:eastAsia="zh-CN"/>
          <w14:textFill>
            <w14:solidFill>
              <w14:schemeClr w14:val="tx1"/>
            </w14:solidFill>
          </w14:textFill>
        </w:rPr>
        <w:t xml:space="preserve">1</w:t>
      </w:r>
      <w:r>
        <w:rPr>
          <w:rFonts w:ascii="Times New Roman" w:hAnsi="Times New Roman"/>
          <w:color w:val="000000" w:themeColor="text1"/>
          <w:sz w:val="24"/>
          <w:szCs w:val="21"/>
          <w:u w:val="single"/>
          <w14:textFill>
            <w14:solidFill>
              <w14:schemeClr w14:val="tx1"/>
            </w14:solidFill>
          </w14:textFill>
        </w:rPr>
        <w:t xml:space="preserve">月</w:t>
      </w:r>
      <w:r>
        <w:rPr>
          <w:rFonts w:hint="eastAsia" w:ascii="Times New Roman" w:hAnsi="Times New Roman"/>
          <w:color w:val="000000" w:themeColor="text1"/>
          <w:sz w:val="24"/>
          <w:szCs w:val="21"/>
          <w:u w:val="single"/>
          <w:lang w:val="en-US" w:eastAsia="zh-CN"/>
          <w14:textFill>
            <w14:solidFill>
              <w14:schemeClr w14:val="tx1"/>
            </w14:solidFill>
          </w14:textFill>
        </w:rPr>
        <w:t xml:space="preserve">9</w:t>
      </w:r>
      <w:r>
        <w:rPr>
          <w:rFonts w:ascii="Times New Roman" w:hAnsi="Times New Roman"/>
          <w:color w:val="000000" w:themeColor="text1"/>
          <w:sz w:val="24"/>
          <w:szCs w:val="21"/>
          <w:u w:val="single"/>
          <w14:textFill>
            <w14:solidFill>
              <w14:schemeClr w14:val="tx1"/>
            </w14:solidFill>
          </w14:textFill>
        </w:rPr>
        <w:t xml:space="preserve">日13</w:t>
      </w:r>
      <w:r>
        <w:rPr>
          <w:rFonts w:hint="eastAsia" w:ascii="Times New Roman" w:hAnsi="Times New Roman"/>
          <w:color w:val="000000" w:themeColor="text1"/>
          <w:sz w:val="24"/>
          <w:szCs w:val="21"/>
          <w:u w:val="single"/>
          <w14:textFill>
            <w14:solidFill>
              <w14:schemeClr w14:val="tx1"/>
            </w14:solidFill>
          </w14:textFill>
        </w:rPr>
        <w:t xml:space="preserve">点</w:t>
      </w:r>
      <w:r>
        <w:rPr>
          <w:rFonts w:hint="eastAsia" w:ascii="Times New Roman" w:hAnsi="Times New Roman"/>
          <w:color w:val="000000" w:themeColor="text1"/>
          <w:sz w:val="24"/>
          <w:szCs w:val="21"/>
          <w:u w:val="single"/>
          <w:lang w:val="en-US" w:eastAsia="zh-CN"/>
          <w14:textFill>
            <w14:solidFill>
              <w14:schemeClr w14:val="tx1"/>
            </w14:solidFill>
          </w14:textFill>
        </w:rPr>
        <w:t xml:space="preserve">30</w:t>
      </w:r>
      <w:r>
        <w:rPr>
          <w:rFonts w:hint="eastAsia" w:ascii="Times New Roman" w:hAnsi="Times New Roman"/>
          <w:color w:val="000000" w:themeColor="text1"/>
          <w:sz w:val="24"/>
          <w:szCs w:val="21"/>
          <w:u w:val="single"/>
          <w14:textFill>
            <w14:solidFill>
              <w14:schemeClr w14:val="tx1"/>
            </w14:solidFill>
          </w14:textFill>
        </w:rPr>
        <w:t xml:space="preserve">分（北京时间）</w:t>
      </w:r>
      <w:r>
        <w:rPr>
          <w:rFonts w:hint="eastAsia" w:hAnsi="宋体"/>
          <w:color w:val="000000" w:themeColor="text1"/>
          <w:sz w:val="24"/>
          <w:szCs w:val="21"/>
          <w14:textFill>
            <w14:solidFill>
              <w14:schemeClr w14:val="tx1"/>
            </w14:solidFill>
          </w14:textFill>
        </w:rPr>
        <w:t xml:space="preserve">前按规定提交投标</w:t>
      </w:r>
      <w:r>
        <w:rPr>
          <w:rFonts w:hAnsi="宋体"/>
          <w:color w:val="000000" w:themeColor="text1"/>
          <w:sz w:val="24"/>
          <w:szCs w:val="21"/>
          <w14:textFill>
            <w14:solidFill>
              <w14:schemeClr w14:val="tx1"/>
            </w14:solidFill>
          </w14:textFill>
        </w:rPr>
        <w:t xml:space="preserve">文件</w:t>
      </w:r>
      <w:r>
        <w:rPr>
          <w:rFonts w:hint="eastAsia" w:hAnsi="宋体"/>
          <w:color w:val="000000" w:themeColor="text1"/>
          <w:sz w:val="24"/>
          <w:szCs w:val="21"/>
          <w14:textFill>
            <w14:solidFill>
              <w14:schemeClr w14:val="tx1"/>
            </w14:solidFill>
          </w14:textFill>
        </w:rPr>
        <w:t xml:space="preserve">。</w:t>
      </w:r>
      <w:r/>
    </w:p>
    <w:p>
      <w:pPr>
        <w:ind w:firstLine="482"/>
        <w:keepLines/>
        <w:keepNext/>
        <w:spacing w:line="440" w:lineRule="exact"/>
        <w:rPr>
          <w:rFonts w:ascii="Times New Roman" w:hAnsi="Times New Roman"/>
          <w:b/>
          <w:bCs/>
          <w:color w:val="000000" w:themeColor="text1"/>
          <w:sz w:val="24"/>
          <w:szCs w:val="24"/>
          <w14:textFill>
            <w14:solidFill>
              <w14:schemeClr w14:val="tx1"/>
            </w14:solidFill>
          </w14:textFill>
        </w:rPr>
        <w:outlineLvl w:val="1"/>
      </w:pPr>
      <w:r/>
      <w:bookmarkStart w:id="7" w:name="_Toc35393621"/>
      <w:r/>
      <w:bookmarkStart w:id="8" w:name="_Toc28359079"/>
      <w:r/>
      <w:bookmarkStart w:id="9" w:name="_Toc35393790"/>
      <w:r/>
      <w:bookmarkStart w:id="10" w:name="_Toc28359002"/>
      <w:r/>
      <w:bookmarkStart w:id="11" w:name="_Toc38985263"/>
      <w:r/>
      <w:bookmarkStart w:id="12" w:name="_Toc18553"/>
      <w:r/>
      <w:bookmarkStart w:id="13" w:name="_Hlk24379207"/>
      <w:r>
        <w:rPr>
          <w:rFonts w:ascii="Times New Roman" w:hAnsi="Times New Roman"/>
          <w:b/>
          <w:bCs/>
          <w:color w:val="000000" w:themeColor="text1"/>
          <w:sz w:val="24"/>
          <w:szCs w:val="24"/>
          <w14:textFill>
            <w14:solidFill>
              <w14:schemeClr w14:val="tx1"/>
            </w14:solidFill>
          </w14:textFill>
        </w:rPr>
        <w:t xml:space="preserve">一、项目基本情况</w:t>
      </w:r>
      <w:bookmarkEnd w:id="7"/>
      <w:r/>
      <w:bookmarkEnd w:id="8"/>
      <w:r/>
      <w:bookmarkEnd w:id="9"/>
      <w:r/>
      <w:bookmarkEnd w:id="10"/>
      <w:r/>
      <w:bookmarkEnd w:id="11"/>
      <w:r/>
      <w:bookmarkEnd w:id="12"/>
      <w:r/>
      <w:r/>
    </w:p>
    <w:p>
      <w:pPr>
        <w:ind w:firstLine="480"/>
        <w:spacing w:line="460" w:lineRule="exact"/>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项目编号：</w:t>
      </w:r>
      <w:r>
        <w:rPr>
          <w:rFonts w:hint="eastAsia" w:ascii="宋体" w:hAnsi="宋体"/>
          <w:color w:val="000000" w:themeColor="text1"/>
          <w:sz w:val="24"/>
          <w:szCs w:val="24"/>
          <w:lang w:eastAsia="zh-CN"/>
          <w14:textFill>
            <w14:solidFill>
              <w14:schemeClr w14:val="tx1"/>
            </w14:solidFill>
          </w14:textFill>
        </w:rPr>
        <w:t xml:space="preserve">JSZC-320581-SZXY-G2024-0064</w:t>
      </w:r>
      <w:r/>
    </w:p>
    <w:p>
      <w:pPr>
        <w:ind w:firstLine="480"/>
        <w:spacing w:line="4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项目名称：莫城街道2025-2026年度三环外区域（市级移交属地管护区域）绿化养护</w:t>
      </w:r>
      <w:r/>
    </w:p>
    <w:p>
      <w:pPr>
        <w:ind w:firstLine="480"/>
        <w:spacing w:line="4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采购方式：公开招标</w:t>
      </w:r>
      <w:bookmarkEnd w:id="13"/>
      <w:r/>
      <w:r/>
    </w:p>
    <w:p>
      <w:pPr>
        <w:ind w:firstLine="480"/>
        <w:spacing w:line="4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预算金额：人民币</w:t>
      </w:r>
      <w:r>
        <w:rPr>
          <w:rFonts w:ascii="宋体" w:hAnsi="宋体"/>
          <w:color w:val="000000" w:themeColor="text1"/>
          <w:sz w:val="24"/>
          <w:szCs w:val="24"/>
          <w:highlight w:val="none"/>
          <w14:textFill>
            <w14:solidFill>
              <w14:schemeClr w14:val="tx1"/>
            </w14:solidFill>
          </w14:textFill>
        </w:rPr>
        <w:t xml:space="preserve">931000.00</w:t>
      </w:r>
      <w:r>
        <w:rPr>
          <w:rFonts w:hint="eastAsia" w:ascii="宋体" w:hAnsi="宋体"/>
          <w:color w:val="000000" w:themeColor="text1"/>
          <w:sz w:val="24"/>
          <w:szCs w:val="24"/>
          <w:highlight w:val="none"/>
          <w14:textFill>
            <w14:solidFill>
              <w14:schemeClr w14:val="tx1"/>
            </w14:solidFill>
          </w14:textFill>
        </w:rPr>
        <w:t xml:space="preserve">元</w:t>
      </w:r>
      <w:r/>
    </w:p>
    <w:p>
      <w:pPr>
        <w:ind w:firstLine="480"/>
        <w:spacing w:line="4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最高限价（如有）：无。</w:t>
      </w:r>
      <w:r/>
    </w:p>
    <w:p>
      <w:pPr>
        <w:ind w:firstLine="480"/>
        <w:spacing w:line="460" w:lineRule="exact"/>
        <w:rPr>
          <w:rFonts w:ascii="宋体" w:hAnsi="宋体"/>
          <w:color w:val="000000" w:themeColor="text1"/>
          <w:sz w:val="24"/>
          <w:szCs w:val="24"/>
          <w:highlight w:val="none"/>
          <w14:textFill>
            <w14:solidFill>
              <w14:schemeClr w14:val="tx1"/>
            </w14:solidFill>
          </w14:textFill>
        </w:rPr>
      </w:pPr>
      <w:r/>
      <w:bookmarkStart w:id="14" w:name="_Toc28359080"/>
      <w:r/>
      <w:bookmarkStart w:id="15" w:name="_Toc38985264"/>
      <w:r/>
      <w:bookmarkStart w:id="16" w:name="_Toc35393622"/>
      <w:r/>
      <w:bookmarkStart w:id="17" w:name="_Toc28359003"/>
      <w:r/>
      <w:bookmarkStart w:id="18" w:name="_Toc35393791"/>
      <w:r>
        <w:rPr>
          <w:rFonts w:hint="eastAsia" w:ascii="宋体" w:hAnsi="宋体"/>
          <w:color w:val="000000" w:themeColor="text1"/>
          <w:sz w:val="24"/>
          <w:szCs w:val="24"/>
          <w:highlight w:val="none"/>
          <w14:textFill>
            <w14:solidFill>
              <w14:schemeClr w14:val="tx1"/>
            </w14:solidFill>
          </w14:textFill>
        </w:rPr>
        <w:t xml:space="preserve">采购需求概况：常熟市人民政府莫城街道办事处所需的莫城街道2025-2026年度三环外区域（市级移交属地管护区域）绿化养护，具体包含：锡太公路、G524中分带局部、S227老线和</w:t>
      </w:r>
      <w:r>
        <w:rPr>
          <w:rFonts w:hint="eastAsia" w:ascii="宋体" w:hAnsi="宋体"/>
          <w:color w:val="000000" w:themeColor="text1"/>
          <w:sz w:val="24"/>
          <w:szCs w:val="24"/>
          <w:highlight w:val="none"/>
          <w:lang w:val="en-US" w:eastAsia="zh-CN"/>
          <w14:textFill>
            <w14:solidFill>
              <w14:schemeClr w14:val="tx1"/>
            </w14:solidFill>
          </w14:textFill>
        </w:rPr>
        <w:t xml:space="preserve">和</w:t>
      </w:r>
      <w:r>
        <w:rPr>
          <w:rFonts w:hint="eastAsia" w:ascii="宋体" w:hAnsi="宋体"/>
          <w:color w:val="000000" w:themeColor="text1"/>
          <w:sz w:val="24"/>
          <w:szCs w:val="24"/>
          <w:highlight w:val="none"/>
          <w14:textFill>
            <w14:solidFill>
              <w14:schemeClr w14:val="tx1"/>
            </w14:solidFill>
          </w14:textFill>
        </w:rPr>
        <w:t xml:space="preserve">莫路南延等，面积约为391893.6平方米。</w:t>
      </w:r>
      <w:r/>
    </w:p>
    <w:p>
      <w:pPr>
        <w:ind w:firstLine="480"/>
        <w:spacing w:line="4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合同履行期限：自合同签订之日起两年。</w:t>
      </w:r>
      <w:r/>
    </w:p>
    <w:p>
      <w:pPr>
        <w:ind w:firstLine="480"/>
        <w:spacing w:line="4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本项目不接受联合体投标。</w:t>
      </w:r>
      <w:r/>
    </w:p>
    <w:p>
      <w:pPr>
        <w:ind w:firstLine="482"/>
        <w:keepLines/>
        <w:keepNext/>
        <w:spacing w:line="440" w:lineRule="exact"/>
        <w:rPr>
          <w:rFonts w:ascii="Times New Roman" w:hAnsi="Times New Roman"/>
          <w:b/>
          <w:bCs/>
          <w:color w:val="000000" w:themeColor="text1"/>
          <w:sz w:val="24"/>
          <w:szCs w:val="24"/>
          <w14:textFill>
            <w14:solidFill>
              <w14:schemeClr w14:val="tx1"/>
            </w14:solidFill>
          </w14:textFill>
        </w:rPr>
        <w:outlineLvl w:val="1"/>
      </w:pPr>
      <w:r/>
      <w:bookmarkStart w:id="19" w:name="_Toc9331"/>
      <w:r>
        <w:rPr>
          <w:rFonts w:hint="eastAsia" w:ascii="Times New Roman" w:hAnsi="Times New Roman"/>
          <w:b/>
          <w:bCs/>
          <w:color w:val="000000" w:themeColor="text1"/>
          <w:sz w:val="24"/>
          <w:szCs w:val="24"/>
          <w14:textFill>
            <w14:solidFill>
              <w14:schemeClr w14:val="tx1"/>
            </w14:solidFill>
          </w14:textFill>
        </w:rPr>
        <w:t xml:space="preserve">二、申请人的资格要求</w:t>
      </w:r>
      <w:bookmarkEnd w:id="14"/>
      <w:r/>
      <w:bookmarkEnd w:id="15"/>
      <w:r/>
      <w:bookmarkEnd w:id="16"/>
      <w:r/>
      <w:bookmarkEnd w:id="17"/>
      <w:r/>
      <w:bookmarkEnd w:id="18"/>
      <w:r/>
      <w:bookmarkEnd w:id="19"/>
      <w:r/>
      <w:bookmarkStart w:id="20" w:name="_Toc38985265"/>
      <w:r/>
      <w:bookmarkStart w:id="21" w:name="_Toc35393792"/>
      <w:r/>
      <w:bookmarkStart w:id="22" w:name="_Toc28359081"/>
      <w:r/>
      <w:bookmarkStart w:id="23" w:name="_Toc28359004"/>
      <w:r/>
      <w:bookmarkStart w:id="24" w:name="_Toc35393623"/>
      <w:r/>
      <w:r/>
    </w:p>
    <w:p>
      <w:pPr>
        <w:ind w:firstLine="480"/>
        <w:spacing w:line="4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（一）满足《中华人民共和国政府采购法》第二十二条规定；</w:t>
      </w:r>
      <w:r/>
    </w:p>
    <w:p>
      <w:pPr>
        <w:ind w:firstLine="787"/>
        <w:spacing w:line="4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1.具有独立承担民事责任的能力。（法人或者其他组织的营业执照等证明文件）</w:t>
      </w:r>
      <w:r/>
    </w:p>
    <w:p>
      <w:pPr>
        <w:ind w:firstLine="787"/>
        <w:spacing w:line="4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2.具有良好的商业信誉和健全的财务会计制度。（202</w:t>
      </w:r>
      <w:r>
        <w:rPr>
          <w:rFonts w:hint="eastAsia" w:ascii="宋体" w:hAnsi="宋体"/>
          <w:color w:val="000000" w:themeColor="text1"/>
          <w:sz w:val="24"/>
          <w:szCs w:val="24"/>
          <w:lang w:val="en-US" w:eastAsia="zh-CN"/>
          <w14:textFill>
            <w14:solidFill>
              <w14:schemeClr w14:val="tx1"/>
            </w14:solidFill>
          </w14:textFill>
        </w:rPr>
        <w:t xml:space="preserve">3</w:t>
      </w:r>
      <w:r>
        <w:rPr>
          <w:rFonts w:hint="eastAsia" w:ascii="宋体" w:hAnsi="宋体"/>
          <w:color w:val="000000" w:themeColor="text1"/>
          <w:sz w:val="24"/>
          <w:szCs w:val="24"/>
          <w14:textFill>
            <w14:solidFill>
              <w14:schemeClr w14:val="tx1"/>
            </w14:solidFill>
          </w14:textFill>
        </w:rPr>
        <w:t xml:space="preserve">年度至今任意一期的财务报告（财务报表）或金融机构（中介机构）出具的资信证明）</w:t>
      </w:r>
      <w:r/>
    </w:p>
    <w:p>
      <w:pPr>
        <w:ind w:firstLine="787"/>
        <w:spacing w:line="4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3.具有履行合同所必需的设备和专业技术能力。（具备履行合同所必需的设备和专业技术能力的书面声明）</w:t>
      </w:r>
      <w:r/>
    </w:p>
    <w:p>
      <w:pPr>
        <w:ind w:firstLine="787"/>
        <w:spacing w:line="4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有依法缴纳税收和社会保障资金的良好记录。（提供投标截止时间前一年内至少一个月依法缴纳税收及缴纳社会保障资金的证明材料，如投标人缴纳税收的凭据、缴纳社会保险的专用收据或社会保险缴纳清单。投标人依法享受免缴税收、社会保障资金的提供证明材料。）</w:t>
      </w:r>
      <w:r/>
    </w:p>
    <w:p>
      <w:pPr>
        <w:ind w:firstLine="787"/>
        <w:spacing w:line="4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5.参加政府采购活动前三年内，在经营活动中没有重大违法记录。（参加政府采购活动前 3 年内在经营活动中没有重大违法记录的书面声明。）</w:t>
      </w:r>
      <w:r/>
    </w:p>
    <w:p>
      <w:pPr>
        <w:ind w:firstLine="480"/>
        <w:keepLines/>
        <w:keepNext/>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（二）落实政府采购政策需满足的资格要求：</w:t>
      </w:r>
      <w:r/>
    </w:p>
    <w:p>
      <w:pPr>
        <w:ind w:firstLine="482"/>
        <w:jc w:val="left"/>
        <w:spacing w:line="440" w:lineRule="exact"/>
        <w:shd w:val="clear" w:color="auto" w:fill="ffffff"/>
        <w:widowControl/>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本项目专门面向中小企业采购，所属行业为其他未列明行业，投标时须提供《中小企业声明函》。</w:t>
      </w:r>
      <w:r/>
    </w:p>
    <w:p>
      <w:pPr>
        <w:ind w:firstLine="482"/>
        <w:jc w:val="left"/>
        <w:spacing w:line="440" w:lineRule="exact"/>
        <w:shd w:val="clear" w:color="auto" w:fill="ffffff"/>
        <w:widowControl/>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注：对残疾人福利性单位、监狱企业视同小型、微型企业，但须按要求提供有关声明函或证明文件。</w:t>
      </w:r>
      <w:r/>
    </w:p>
    <w:p>
      <w:pPr>
        <w:ind w:firstLine="480"/>
        <w:keepLines/>
        <w:keepNext/>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（三）本项目的特定资格要求：无。</w:t>
      </w:r>
      <w:r/>
    </w:p>
    <w:p>
      <w:pPr>
        <w:ind w:firstLine="482"/>
        <w:keepLines/>
        <w:keepNext/>
        <w:spacing w:line="440" w:lineRule="exact"/>
        <w:rPr>
          <w:rFonts w:ascii="Times New Roman" w:hAnsi="Times New Roman"/>
          <w:b/>
          <w:bCs/>
          <w:color w:val="000000" w:themeColor="text1"/>
          <w:sz w:val="24"/>
          <w:szCs w:val="24"/>
          <w14:textFill>
            <w14:solidFill>
              <w14:schemeClr w14:val="tx1"/>
            </w14:solidFill>
          </w14:textFill>
        </w:rPr>
        <w:outlineLvl w:val="1"/>
      </w:pPr>
      <w:r/>
      <w:bookmarkStart w:id="25" w:name="_Toc16886"/>
      <w:r>
        <w:rPr>
          <w:rFonts w:hint="eastAsia" w:ascii="Times New Roman" w:hAnsi="Times New Roman"/>
          <w:b/>
          <w:bCs/>
          <w:color w:val="000000" w:themeColor="text1"/>
          <w:sz w:val="24"/>
          <w:szCs w:val="24"/>
          <w14:textFill>
            <w14:solidFill>
              <w14:schemeClr w14:val="tx1"/>
            </w14:solidFill>
          </w14:textFill>
        </w:rPr>
        <w:t xml:space="preserve">三、获取招标文件</w:t>
      </w:r>
      <w:bookmarkEnd w:id="20"/>
      <w:r/>
      <w:bookmarkEnd w:id="21"/>
      <w:r/>
      <w:bookmarkEnd w:id="22"/>
      <w:r/>
      <w:bookmarkEnd w:id="23"/>
      <w:r/>
      <w:bookmarkEnd w:id="24"/>
      <w:r/>
      <w:bookmarkEnd w:id="25"/>
      <w:r/>
      <w:bookmarkStart w:id="26" w:name="_Toc35393793"/>
      <w:r/>
      <w:bookmarkStart w:id="27" w:name="_Toc28359082"/>
      <w:r/>
      <w:bookmarkStart w:id="28" w:name="_Toc38985266"/>
      <w:r/>
      <w:bookmarkStart w:id="29" w:name="_Toc28359005"/>
      <w:r/>
      <w:bookmarkStart w:id="30" w:name="_Toc35393624"/>
      <w:r/>
      <w:r/>
    </w:p>
    <w:p>
      <w:pPr>
        <w:ind w:firstLine="480"/>
        <w:spacing w:line="440" w:lineRule="exact"/>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时间：自招标文件公告发布之日起5个工作日 </w:t>
      </w:r>
      <w:r/>
    </w:p>
    <w:p>
      <w:pPr>
        <w:ind w:firstLine="480"/>
        <w:spacing w:line="440" w:lineRule="exact"/>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地点：苏采云政府采购一体化平台</w:t>
      </w:r>
      <w:r/>
    </w:p>
    <w:p>
      <w:pPr>
        <w:ind w:firstLine="480"/>
        <w:spacing w:line="440" w:lineRule="exact"/>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方式：在“苏采云政府采购一体化平台”自行免费下载采购文件 </w:t>
      </w:r>
      <w:r/>
    </w:p>
    <w:p>
      <w:pPr>
        <w:ind w:firstLine="480"/>
        <w:spacing w:line="440" w:lineRule="exact"/>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售价：0.00元 </w:t>
      </w:r>
      <w:r/>
    </w:p>
    <w:p>
      <w:pPr>
        <w:ind w:firstLine="482"/>
        <w:keepLines/>
        <w:keepNext/>
        <w:spacing w:line="440" w:lineRule="exact"/>
        <w:rPr>
          <w:rFonts w:ascii="Times New Roman" w:hAnsi="Times New Roman"/>
          <w:b/>
          <w:bCs/>
          <w:color w:val="000000" w:themeColor="text1"/>
          <w:sz w:val="24"/>
          <w:szCs w:val="24"/>
          <w14:textFill>
            <w14:solidFill>
              <w14:schemeClr w14:val="tx1"/>
            </w14:solidFill>
          </w14:textFill>
        </w:rPr>
        <w:outlineLvl w:val="1"/>
      </w:pPr>
      <w:r/>
      <w:bookmarkStart w:id="31" w:name="_Toc6090"/>
      <w:r>
        <w:rPr>
          <w:rFonts w:hint="eastAsia" w:ascii="Times New Roman" w:hAnsi="Times New Roman"/>
          <w:b/>
          <w:bCs/>
          <w:color w:val="000000" w:themeColor="text1"/>
          <w:sz w:val="24"/>
          <w:szCs w:val="24"/>
          <w14:textFill>
            <w14:solidFill>
              <w14:schemeClr w14:val="tx1"/>
            </w14:solidFill>
          </w14:textFill>
        </w:rPr>
        <w:t xml:space="preserve">四、</w:t>
      </w:r>
      <w:bookmarkEnd w:id="26"/>
      <w:r/>
      <w:bookmarkEnd w:id="27"/>
      <w:r/>
      <w:bookmarkEnd w:id="28"/>
      <w:r/>
      <w:bookmarkEnd w:id="29"/>
      <w:r/>
      <w:bookmarkEnd w:id="30"/>
      <w:r>
        <w:rPr>
          <w:rFonts w:hint="eastAsia" w:ascii="Times New Roman" w:hAnsi="Times New Roman"/>
          <w:b/>
          <w:bCs/>
          <w:color w:val="000000" w:themeColor="text1"/>
          <w:sz w:val="24"/>
          <w:szCs w:val="24"/>
          <w14:textFill>
            <w14:solidFill>
              <w14:schemeClr w14:val="tx1"/>
            </w14:solidFill>
          </w14:textFill>
        </w:rPr>
        <w:t xml:space="preserve">提交投标文件截止时间、开标</w:t>
      </w:r>
      <w:r>
        <w:rPr>
          <w:rFonts w:ascii="Times New Roman" w:hAnsi="Times New Roman"/>
          <w:b/>
          <w:bCs/>
          <w:color w:val="000000" w:themeColor="text1"/>
          <w:sz w:val="24"/>
          <w:szCs w:val="24"/>
          <w14:textFill>
            <w14:solidFill>
              <w14:schemeClr w14:val="tx1"/>
            </w14:solidFill>
          </w14:textFill>
        </w:rPr>
        <w:t xml:space="preserve">时间和地点</w:t>
      </w:r>
      <w:bookmarkEnd w:id="31"/>
      <w:r/>
      <w:r/>
    </w:p>
    <w:p>
      <w:pPr>
        <w:ind w:firstLine="480"/>
        <w:spacing w:line="440" w:lineRule="exact"/>
        <w:rPr>
          <w:rFonts w:ascii="Times New Roman" w:hAnsi="Times New Roman"/>
          <w:color w:val="000000" w:themeColor="text1"/>
          <w:sz w:val="24"/>
          <w:szCs w:val="24"/>
          <w14:textFill>
            <w14:solidFill>
              <w14:schemeClr w14:val="tx1"/>
            </w14:solidFill>
          </w14:textFill>
        </w:rPr>
      </w:pPr>
      <w:r/>
      <w:bookmarkStart w:id="32" w:name="_Toc35393625"/>
      <w:r/>
      <w:bookmarkStart w:id="33" w:name="_Toc38985267"/>
      <w:r/>
      <w:bookmarkStart w:id="34" w:name="_Toc28359007"/>
      <w:r/>
      <w:bookmarkStart w:id="35" w:name="_Toc28359084"/>
      <w:r/>
      <w:bookmarkStart w:id="36" w:name="_Toc35393794"/>
      <w:r>
        <w:rPr>
          <w:rFonts w:hint="eastAsia" w:ascii="Times New Roman" w:hAnsi="Times New Roman"/>
          <w:color w:val="000000" w:themeColor="text1"/>
          <w:sz w:val="24"/>
          <w:szCs w:val="24"/>
          <w14:textFill>
            <w14:solidFill>
              <w14:schemeClr w14:val="tx1"/>
            </w14:solidFill>
          </w14:textFill>
        </w:rPr>
        <w:t xml:space="preserve">时间：202</w:t>
      </w:r>
      <w:r>
        <w:rPr>
          <w:rFonts w:hint="eastAsia" w:ascii="Times New Roman" w:hAnsi="Times New Roman"/>
          <w:color w:val="000000" w:themeColor="text1"/>
          <w:sz w:val="24"/>
          <w:szCs w:val="24"/>
          <w:lang w:val="en-US" w:eastAsia="zh-CN"/>
          <w14:textFill>
            <w14:solidFill>
              <w14:schemeClr w14:val="tx1"/>
            </w14:solidFill>
          </w14:textFill>
        </w:rPr>
        <w:t xml:space="preserve">5</w:t>
      </w:r>
      <w:r>
        <w:rPr>
          <w:rFonts w:hint="eastAsia" w:ascii="Times New Roman" w:hAnsi="Times New Roman"/>
          <w:color w:val="000000" w:themeColor="text1"/>
          <w:sz w:val="24"/>
          <w:szCs w:val="24"/>
          <w14:textFill>
            <w14:solidFill>
              <w14:schemeClr w14:val="tx1"/>
            </w14:solidFill>
          </w14:textFill>
        </w:rPr>
        <w:t xml:space="preserve">- </w:t>
      </w:r>
      <w:r>
        <w:rPr>
          <w:rFonts w:hint="eastAsia" w:ascii="Times New Roman" w:hAnsi="Times New Roman"/>
          <w:color w:val="000000" w:themeColor="text1"/>
          <w:sz w:val="24"/>
          <w:szCs w:val="24"/>
          <w:lang w:val="en-US" w:eastAsia="zh-CN"/>
          <w14:textFill>
            <w14:solidFill>
              <w14:schemeClr w14:val="tx1"/>
            </w14:solidFill>
          </w14:textFill>
        </w:rPr>
        <w:t xml:space="preserve">1</w:t>
      </w:r>
      <w:r>
        <w:rPr>
          <w:rFonts w:hint="eastAsia" w:ascii="Times New Roman" w:hAnsi="Times New Roman"/>
          <w:color w:val="000000" w:themeColor="text1"/>
          <w:sz w:val="24"/>
          <w:szCs w:val="24"/>
          <w14:textFill>
            <w14:solidFill>
              <w14:schemeClr w14:val="tx1"/>
            </w14:solidFill>
          </w14:textFill>
        </w:rPr>
        <w:t xml:space="preserve">-</w:t>
      </w:r>
      <w:r>
        <w:rPr>
          <w:rFonts w:hint="eastAsia" w:ascii="Times New Roman" w:hAnsi="Times New Roman"/>
          <w:color w:val="000000" w:themeColor="text1"/>
          <w:sz w:val="24"/>
          <w:szCs w:val="24"/>
          <w:lang w:val="en-US" w:eastAsia="zh-CN"/>
          <w14:textFill>
            <w14:solidFill>
              <w14:schemeClr w14:val="tx1"/>
            </w14:solidFill>
          </w14:textFill>
        </w:rPr>
        <w:t xml:space="preserve">9  </w:t>
      </w:r>
      <w:r>
        <w:rPr>
          <w:rFonts w:hint="eastAsia" w:ascii="Times New Roman" w:hAnsi="Times New Roman"/>
          <w:color w:val="000000" w:themeColor="text1"/>
          <w:sz w:val="24"/>
          <w:szCs w:val="24"/>
          <w14:textFill>
            <w14:solidFill>
              <w14:schemeClr w14:val="tx1"/>
            </w14:solidFill>
          </w14:textFill>
        </w:rPr>
        <w:t xml:space="preserve">13:</w:t>
      </w:r>
      <w:r>
        <w:rPr>
          <w:rFonts w:hint="eastAsia" w:ascii="Times New Roman" w:hAnsi="Times New Roman"/>
          <w:color w:val="000000" w:themeColor="text1"/>
          <w:sz w:val="24"/>
          <w:szCs w:val="24"/>
          <w:lang w:val="en-US" w:eastAsia="zh-CN"/>
          <w14:textFill>
            <w14:solidFill>
              <w14:schemeClr w14:val="tx1"/>
            </w14:solidFill>
          </w14:textFill>
        </w:rPr>
        <w:t xml:space="preserve">30</w:t>
      </w:r>
      <w:r>
        <w:rPr>
          <w:rFonts w:hint="eastAsia" w:ascii="Times New Roman" w:hAnsi="Times New Roman"/>
          <w:color w:val="000000" w:themeColor="text1"/>
          <w:sz w:val="24"/>
          <w:szCs w:val="24"/>
          <w14:textFill>
            <w14:solidFill>
              <w14:schemeClr w14:val="tx1"/>
            </w14:solidFill>
          </w14:textFill>
        </w:rPr>
        <w:t xml:space="preserve">（北京时间）</w:t>
      </w:r>
      <w:r/>
    </w:p>
    <w:p>
      <w:pPr>
        <w:ind w:firstLine="480"/>
        <w:spacing w:line="44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地点：苏采云政府采购一体化平台开标大厅</w:t>
      </w:r>
      <w:r/>
    </w:p>
    <w:p>
      <w:pPr>
        <w:ind w:firstLine="482"/>
        <w:keepLines/>
        <w:keepNext/>
        <w:spacing w:line="440" w:lineRule="exact"/>
        <w:rPr>
          <w:rFonts w:ascii="Times New Roman" w:hAnsi="Times New Roman"/>
          <w:b/>
          <w:bCs/>
          <w:color w:val="000000" w:themeColor="text1"/>
          <w:sz w:val="24"/>
          <w:szCs w:val="24"/>
          <w14:textFill>
            <w14:solidFill>
              <w14:schemeClr w14:val="tx1"/>
            </w14:solidFill>
          </w14:textFill>
        </w:rPr>
        <w:outlineLvl w:val="1"/>
      </w:pPr>
      <w:r/>
      <w:bookmarkStart w:id="37" w:name="_Toc807"/>
      <w:r>
        <w:rPr>
          <w:rFonts w:hint="eastAsia" w:ascii="Times New Roman" w:hAnsi="Times New Roman"/>
          <w:b/>
          <w:bCs/>
          <w:color w:val="000000" w:themeColor="text1"/>
          <w:sz w:val="24"/>
          <w:szCs w:val="24"/>
          <w14:textFill>
            <w14:solidFill>
              <w14:schemeClr w14:val="tx1"/>
            </w14:solidFill>
          </w14:textFill>
        </w:rPr>
        <w:t xml:space="preserve">五、</w:t>
      </w:r>
      <w:bookmarkEnd w:id="32"/>
      <w:r/>
      <w:bookmarkEnd w:id="33"/>
      <w:r/>
      <w:bookmarkEnd w:id="34"/>
      <w:r/>
      <w:bookmarkEnd w:id="35"/>
      <w:r/>
      <w:bookmarkEnd w:id="36"/>
      <w:r>
        <w:rPr>
          <w:rFonts w:ascii="Times New Roman" w:hAnsi="Times New Roman"/>
          <w:b/>
          <w:bCs/>
          <w:color w:val="000000" w:themeColor="text1"/>
          <w:sz w:val="24"/>
          <w:szCs w:val="24"/>
          <w14:textFill>
            <w14:solidFill>
              <w14:schemeClr w14:val="tx1"/>
            </w14:solidFill>
          </w14:textFill>
        </w:rPr>
        <w:t xml:space="preserve">公告</w:t>
      </w:r>
      <w:r>
        <w:rPr>
          <w:rFonts w:hint="eastAsia" w:ascii="Times New Roman" w:hAnsi="Times New Roman"/>
          <w:b/>
          <w:bCs/>
          <w:color w:val="000000" w:themeColor="text1"/>
          <w:sz w:val="24"/>
          <w:szCs w:val="24"/>
          <w14:textFill>
            <w14:solidFill>
              <w14:schemeClr w14:val="tx1"/>
            </w14:solidFill>
          </w14:textFill>
        </w:rPr>
        <w:t xml:space="preserve">期限</w:t>
      </w:r>
      <w:bookmarkEnd w:id="37"/>
      <w:r/>
      <w:r/>
    </w:p>
    <w:p>
      <w:pPr>
        <w:ind w:firstLine="480"/>
        <w:spacing w:line="440" w:lineRule="exact"/>
        <w:rPr>
          <w:rFonts w:ascii="Times New Roman" w:hAnsi="Times New Roman"/>
          <w:color w:val="000000" w:themeColor="text1"/>
          <w:sz w:val="24"/>
          <w:szCs w:val="24"/>
          <w14:textFill>
            <w14:solidFill>
              <w14:schemeClr w14:val="tx1"/>
            </w14:solidFill>
          </w14:textFill>
        </w:rPr>
      </w:pPr>
      <w:r/>
      <w:bookmarkStart w:id="38" w:name="_Toc35393626"/>
      <w:r/>
      <w:bookmarkStart w:id="39" w:name="_Toc38985268"/>
      <w:r/>
      <w:bookmarkStart w:id="40" w:name="_Toc35393795"/>
      <w:r>
        <w:rPr>
          <w:rFonts w:hint="eastAsia" w:ascii="Times New Roman" w:hAnsi="Times New Roman"/>
          <w:color w:val="000000" w:themeColor="text1"/>
          <w:sz w:val="24"/>
          <w:szCs w:val="24"/>
          <w14:textFill>
            <w14:solidFill>
              <w14:schemeClr w14:val="tx1"/>
            </w14:solidFill>
          </w14:textFill>
        </w:rPr>
        <w:t xml:space="preserve">公告期限：自本公告发布之日起5个工作日。</w:t>
      </w:r>
      <w:r/>
    </w:p>
    <w:p>
      <w:pPr>
        <w:ind w:firstLine="482"/>
        <w:keepLines/>
        <w:keepNext/>
        <w:spacing w:line="440" w:lineRule="exact"/>
        <w:rPr>
          <w:rFonts w:ascii="Times New Roman" w:hAnsi="Times New Roman"/>
          <w:b/>
          <w:bCs/>
          <w:color w:val="000000" w:themeColor="text1"/>
          <w:sz w:val="24"/>
          <w:szCs w:val="24"/>
          <w14:textFill>
            <w14:solidFill>
              <w14:schemeClr w14:val="tx1"/>
            </w14:solidFill>
          </w14:textFill>
        </w:rPr>
        <w:outlineLvl w:val="1"/>
      </w:pPr>
      <w:r/>
      <w:bookmarkStart w:id="41" w:name="_Toc21176"/>
      <w:r>
        <w:rPr>
          <w:rFonts w:hint="eastAsia" w:ascii="Times New Roman" w:hAnsi="Times New Roman"/>
          <w:b/>
          <w:bCs/>
          <w:color w:val="000000" w:themeColor="text1"/>
          <w:sz w:val="24"/>
          <w:szCs w:val="24"/>
          <w14:textFill>
            <w14:solidFill>
              <w14:schemeClr w14:val="tx1"/>
            </w14:solidFill>
          </w14:textFill>
        </w:rPr>
        <w:t xml:space="preserve">六、其他补充事宜</w:t>
      </w:r>
      <w:bookmarkEnd w:id="38"/>
      <w:r/>
      <w:bookmarkEnd w:id="39"/>
      <w:r/>
      <w:bookmarkEnd w:id="40"/>
      <w:r/>
      <w:bookmarkEnd w:id="41"/>
      <w:r/>
      <w:r/>
    </w:p>
    <w:p>
      <w:pPr>
        <w:ind w:firstLine="480"/>
        <w:spacing w:line="4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w:t>
      </w:r>
      <w:r>
        <w:rPr>
          <w:rFonts w:ascii="宋体" w:hAnsi="宋体"/>
          <w:color w:val="000000" w:themeColor="text1"/>
          <w:sz w:val="24"/>
          <w:szCs w:val="24"/>
          <w14:textFill>
            <w14:solidFill>
              <w14:schemeClr w14:val="tx1"/>
            </w14:solidFill>
          </w14:textFill>
        </w:rPr>
        <w:t xml:space="preserve">根据政府采购法及相关法规，将对供应商进行信用查询。供应商被列入失信被执行人或重大税收违法案件当事人名单或政府采购严重违法失信行为记录名单，以及存在其他不符合《政府采购法》第二十二条规定条件的不良信用记录，拒绝其参与政府采购活动。</w:t>
      </w:r>
      <w:r/>
    </w:p>
    <w:p>
      <w:pPr>
        <w:ind w:firstLine="480"/>
        <w:spacing w:line="4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单位负责人为同一人或者存在直接控股、管理关系的不同供应商，不得参加同一合同项下的政府采购活动。</w:t>
      </w:r>
      <w:r/>
    </w:p>
    <w:p>
      <w:pPr>
        <w:ind w:firstLine="480"/>
        <w:spacing w:line="44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3、CA证书办理：根据省财政厅《关于更换全省政府采购交易系统C A数字证书和电子签章的通知》（苏财购〔2023〕101号），“苏采云”系统目前支持的CA数字证书、电子签章为江苏省电子政务证书认证中心CA和方正国际软件（北京）有限公司电子签章。供应商参与本项目采购活动需办理、使用上述CA证书和电子签章，具体办理方法请访问“苏采云”系统登录页面（http://jszfcg.jscz.gov.cn/jszc/login）点击“新CA办理指南”进行查阅，江苏省内各地区办理的“苏采云”系统下的政务CA证书全省通用。</w:t>
      </w:r>
      <w:r/>
    </w:p>
    <w:p>
      <w:pPr>
        <w:ind w:firstLine="480"/>
        <w:spacing w:line="44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4、投标人在“苏采云”系统操作过程中如有疑问，请按以下方式联系：</w:t>
      </w:r>
      <w:r/>
    </w:p>
    <w:p>
      <w:pPr>
        <w:ind w:firstLine="480"/>
        <w:spacing w:line="44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CA技术咨询电话：400-608-6099；电子签章技术咨询电话：15380932027、15371015030、13675197356、13675197221；系统使用指导与咨询电话：18261002950、0512-69820854、0519-86722802。</w:t>
      </w:r>
      <w:r/>
    </w:p>
    <w:p>
      <w:pPr>
        <w:ind w:firstLine="480"/>
        <w:spacing w:line="44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5、有关本次采购的事项若存在变动或修改，敬请及时关注政府采购信息发布媒体上的更正（补充）公告</w:t>
      </w:r>
      <w:bookmarkStart w:id="42" w:name="_Hlk87882297"/>
      <w:r>
        <w:rPr>
          <w:rFonts w:hint="eastAsia" w:ascii="Times New Roman" w:hAnsi="Times New Roman"/>
          <w:color w:val="000000" w:themeColor="text1"/>
          <w:sz w:val="24"/>
          <w:szCs w:val="24"/>
          <w14:textFill>
            <w14:solidFill>
              <w14:schemeClr w14:val="tx1"/>
            </w14:solidFill>
          </w14:textFill>
        </w:rPr>
        <w:t xml:space="preserve">，并按规定获取相关信息内容。</w:t>
      </w:r>
      <w:bookmarkEnd w:id="42"/>
      <w:r/>
      <w:r/>
    </w:p>
    <w:p>
      <w:pPr>
        <w:ind w:firstLine="480"/>
        <w:spacing w:line="44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6、本次采购项目有关时间要求均以北京时间为标准，使用24小时制。</w:t>
      </w:r>
      <w:r/>
    </w:p>
    <w:p>
      <w:pPr>
        <w:ind w:firstLine="480"/>
        <w:spacing w:line="44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7、本次招标不收取投标保证金。</w:t>
      </w:r>
      <w:r/>
    </w:p>
    <w:p>
      <w:pPr>
        <w:ind w:firstLine="480"/>
        <w:spacing w:line="44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8、公告媒体：苏州市政府采购网、江苏政府采购网。</w:t>
      </w:r>
      <w:r/>
    </w:p>
    <w:p>
      <w:pPr>
        <w:ind w:firstLine="482"/>
        <w:keepLines/>
        <w:keepNext/>
        <w:spacing w:line="440" w:lineRule="exact"/>
        <w:rPr>
          <w:rFonts w:ascii="Times New Roman" w:hAnsi="Times New Roman"/>
          <w:b/>
          <w:bCs/>
          <w:color w:val="000000" w:themeColor="text1"/>
          <w:sz w:val="24"/>
          <w:szCs w:val="24"/>
          <w14:textFill>
            <w14:solidFill>
              <w14:schemeClr w14:val="tx1"/>
            </w14:solidFill>
          </w14:textFill>
        </w:rPr>
        <w:outlineLvl w:val="1"/>
      </w:pPr>
      <w:r/>
      <w:bookmarkStart w:id="43" w:name="_Toc35393627"/>
      <w:r/>
      <w:bookmarkStart w:id="44" w:name="_Toc28359085"/>
      <w:r/>
      <w:bookmarkStart w:id="45" w:name="_Toc38985269"/>
      <w:r/>
      <w:bookmarkStart w:id="46" w:name="_Toc28359008"/>
      <w:r/>
      <w:bookmarkStart w:id="47" w:name="_Toc35393796"/>
      <w:r/>
      <w:bookmarkStart w:id="48" w:name="_Toc26239"/>
      <w:r>
        <w:rPr>
          <w:rFonts w:hint="eastAsia" w:ascii="Times New Roman" w:hAnsi="Times New Roman"/>
          <w:b/>
          <w:bCs/>
          <w:color w:val="000000" w:themeColor="text1"/>
          <w:sz w:val="24"/>
          <w:szCs w:val="24"/>
          <w14:textFill>
            <w14:solidFill>
              <w14:schemeClr w14:val="tx1"/>
            </w14:solidFill>
          </w14:textFill>
        </w:rPr>
        <w:t xml:space="preserve">七、本次招标联系</w:t>
      </w:r>
      <w:bookmarkEnd w:id="43"/>
      <w:r/>
      <w:bookmarkEnd w:id="44"/>
      <w:r/>
      <w:bookmarkEnd w:id="45"/>
      <w:r/>
      <w:bookmarkEnd w:id="46"/>
      <w:r/>
      <w:bookmarkEnd w:id="47"/>
      <w:r>
        <w:rPr>
          <w:rFonts w:hint="eastAsia" w:ascii="Times New Roman" w:hAnsi="Times New Roman"/>
          <w:b/>
          <w:bCs/>
          <w:color w:val="000000" w:themeColor="text1"/>
          <w:sz w:val="24"/>
          <w:szCs w:val="24"/>
          <w14:textFill>
            <w14:solidFill>
              <w14:schemeClr w14:val="tx1"/>
            </w14:solidFill>
          </w14:textFill>
        </w:rPr>
        <w:t xml:space="preserve">方式</w:t>
      </w:r>
      <w:bookmarkEnd w:id="48"/>
      <w:r/>
      <w:r/>
    </w:p>
    <w:p>
      <w:pPr>
        <w:ind w:firstLine="480"/>
        <w:spacing w:line="44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1、采购人信息</w:t>
      </w:r>
      <w:r/>
    </w:p>
    <w:p>
      <w:pPr>
        <w:ind w:firstLine="480"/>
        <w:spacing w:line="440" w:lineRule="exact"/>
        <w:rPr>
          <w:rFonts w:hint="eastAsia"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单位名称：常熟市人民政府莫城街道办事处</w:t>
      </w:r>
      <w:r/>
    </w:p>
    <w:p>
      <w:pPr>
        <w:ind w:firstLine="480"/>
        <w:spacing w:line="440" w:lineRule="exact"/>
        <w:rPr>
          <w:rFonts w:hint="eastAsia"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单位地址：苏州市常熟市商城中路1号 </w:t>
      </w:r>
      <w:r/>
    </w:p>
    <w:p>
      <w:pPr>
        <w:ind w:firstLine="480"/>
        <w:spacing w:line="440" w:lineRule="exact"/>
        <w:rPr>
          <w:rFonts w:hint="eastAsia"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联系人：王雅军</w:t>
      </w:r>
      <w:r/>
    </w:p>
    <w:p>
      <w:pPr>
        <w:ind w:firstLine="480"/>
        <w:spacing w:line="440" w:lineRule="exact"/>
        <w:rPr>
          <w:rFonts w:hint="eastAsia"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联系方式：</w:t>
      </w:r>
      <w:bookmarkStart w:id="49" w:name="_Toc28359009"/>
      <w:r/>
      <w:bookmarkStart w:id="50" w:name="_Toc28359086"/>
      <w:r>
        <w:rPr>
          <w:rFonts w:hint="eastAsia" w:ascii="Times New Roman" w:hAnsi="Times New Roman"/>
          <w:color w:val="000000" w:themeColor="text1"/>
          <w:sz w:val="24"/>
          <w:szCs w:val="24"/>
          <w14:textFill>
            <w14:solidFill>
              <w14:schemeClr w14:val="tx1"/>
            </w14:solidFill>
          </w14:textFill>
        </w:rPr>
        <w:t xml:space="preserve">0512-52758017</w:t>
      </w:r>
      <w:bookmarkEnd w:id="49"/>
      <w:bookmarkEnd w:id="50"/>
      <w:r/>
    </w:p>
    <w:p>
      <w:pPr>
        <w:ind w:firstLine="480"/>
        <w:spacing w:line="440" w:lineRule="exact"/>
        <w:rPr>
          <w:rFonts w:hint="eastAsia"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2、采购代理机构信息</w:t>
      </w:r>
      <w:r/>
    </w:p>
    <w:p>
      <w:pPr>
        <w:ind w:firstLine="480"/>
        <w:spacing w:line="440" w:lineRule="exact"/>
        <w:rPr>
          <w:rFonts w:hint="eastAsia" w:ascii="Times New Roman" w:hAnsi="Times New Roman"/>
          <w:color w:val="000000" w:themeColor="text1"/>
          <w:sz w:val="24"/>
          <w:szCs w:val="24"/>
          <w14:textFill>
            <w14:solidFill>
              <w14:schemeClr w14:val="tx1"/>
            </w14:solidFill>
          </w14:textFill>
        </w:rPr>
      </w:pPr>
      <w:r/>
      <w:bookmarkStart w:id="51" w:name="_Toc28359087"/>
      <w:r/>
      <w:bookmarkStart w:id="52" w:name="_Toc28359010"/>
      <w:r>
        <w:rPr>
          <w:rFonts w:hint="eastAsia" w:ascii="Times New Roman" w:hAnsi="Times New Roman"/>
          <w:color w:val="000000" w:themeColor="text1"/>
          <w:sz w:val="24"/>
          <w:szCs w:val="24"/>
          <w14:textFill>
            <w14:solidFill>
              <w14:schemeClr w14:val="tx1"/>
            </w14:solidFill>
          </w14:textFill>
        </w:rPr>
        <w:t xml:space="preserve">单位名称：苏州新一造价师价格事务所有限公司</w:t>
      </w:r>
      <w:r/>
    </w:p>
    <w:p>
      <w:pPr>
        <w:ind w:firstLine="480"/>
        <w:spacing w:line="440" w:lineRule="exact"/>
        <w:rPr>
          <w:rFonts w:hint="eastAsia"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单位地址：常熟市九里大街5号</w:t>
      </w:r>
      <w:r/>
    </w:p>
    <w:p>
      <w:pPr>
        <w:ind w:firstLine="480"/>
        <w:spacing w:line="440" w:lineRule="exact"/>
        <w:rPr>
          <w:rFonts w:ascii="Times New Roman" w:hAnsi="Times New Roman"/>
          <w:color w:val="0000ff"/>
          <w:sz w:val="24"/>
          <w:szCs w:val="24"/>
        </w:rPr>
      </w:pPr>
      <w:r>
        <w:rPr>
          <w:rFonts w:hint="eastAsia" w:ascii="Times New Roman" w:hAnsi="Times New Roman"/>
          <w:color w:val="000000" w:themeColor="text1"/>
          <w:sz w:val="24"/>
          <w:szCs w:val="24"/>
          <w14:textFill>
            <w14:solidFill>
              <w14:schemeClr w14:val="tx1"/>
            </w14:solidFill>
          </w14:textFill>
        </w:rPr>
        <w:t xml:space="preserve">联系人：韩忆程</w:t>
      </w:r>
      <w:r/>
    </w:p>
    <w:p>
      <w:pPr>
        <w:ind w:firstLine="480"/>
        <w:spacing w:line="44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联系方式：0512-52808032</w:t>
      </w:r>
      <w:r/>
    </w:p>
    <w:p>
      <w:pPr>
        <w:ind w:firstLine="480"/>
        <w:spacing w:line="44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3、项目联系方式</w:t>
      </w:r>
      <w:r/>
    </w:p>
    <w:p>
      <w:pPr>
        <w:ind w:firstLine="480"/>
        <w:spacing w:line="44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项目联系人：韩忆程</w:t>
      </w:r>
      <w:r/>
    </w:p>
    <w:p>
      <w:pPr>
        <w:ind w:firstLine="480"/>
        <w:spacing w:line="44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电话：0512-52808032</w:t>
      </w:r>
      <w:r/>
    </w:p>
    <w:p>
      <w:pPr>
        <w:ind w:firstLine="480"/>
        <w:spacing w:line="440" w:lineRule="exac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bookmarkEnd w:id="51"/>
      <w:bookmarkEnd w:id="52"/>
      <w:r/>
    </w:p>
    <w:p>
      <w:pPr>
        <w:jc w:val="left"/>
        <w:widowControl/>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br w:type="page" w:clear="all"/>
      </w:r>
      <w:r/>
    </w:p>
    <w:p>
      <w:pPr>
        <w:ind w:firstLine="880"/>
        <w:jc w:val="center"/>
        <w:keepNext/>
        <w:rPr>
          <w:rFonts w:ascii="黑体" w:hAnsi="Times New Roman" w:eastAsia="黑体"/>
          <w:color w:val="000000" w:themeColor="text1"/>
          <w:sz w:val="44"/>
          <w:szCs w:val="44"/>
          <w14:textFill>
            <w14:solidFill>
              <w14:schemeClr w14:val="tx1"/>
            </w14:solidFill>
          </w14:textFill>
        </w:rPr>
        <w:outlineLvl w:val="0"/>
      </w:pPr>
      <w:r/>
      <w:bookmarkStart w:id="53" w:name="_Toc120614211"/>
      <w:r/>
      <w:bookmarkStart w:id="54" w:name="_Toc15721"/>
      <w:r>
        <w:rPr>
          <w:rFonts w:hint="eastAsia" w:ascii="黑体" w:hAnsi="Times New Roman" w:eastAsia="黑体"/>
          <w:color w:val="000000" w:themeColor="text1"/>
          <w:sz w:val="44"/>
          <w:szCs w:val="44"/>
          <w14:textFill>
            <w14:solidFill>
              <w14:schemeClr w14:val="tx1"/>
            </w14:solidFill>
          </w14:textFill>
        </w:rPr>
        <w:t xml:space="preserve">第二章  </w:t>
      </w:r>
      <w:bookmarkEnd w:id="1"/>
      <w:r/>
      <w:bookmarkEnd w:id="2"/>
      <w:r/>
      <w:bookmarkEnd w:id="3"/>
      <w:r/>
      <w:bookmarkEnd w:id="4"/>
      <w:r/>
      <w:bookmarkEnd w:id="5"/>
      <w:r/>
      <w:bookmarkEnd w:id="53"/>
      <w:r/>
      <w:bookmarkStart w:id="55" w:name="_Toc16938518"/>
      <w:r/>
      <w:bookmarkStart w:id="56" w:name="_Toc120614213"/>
      <w:r/>
      <w:bookmarkStart w:id="57" w:name="_Toc20823274"/>
      <w:r/>
      <w:bookmarkStart w:id="58" w:name="_Toc513029202"/>
      <w:r>
        <w:rPr>
          <w:rFonts w:hint="eastAsia" w:ascii="黑体" w:hAnsi="Times New Roman" w:eastAsia="黑体"/>
          <w:color w:val="000000" w:themeColor="text1"/>
          <w:sz w:val="44"/>
          <w:szCs w:val="44"/>
          <w14:textFill>
            <w14:solidFill>
              <w14:schemeClr w14:val="tx1"/>
            </w14:solidFill>
          </w14:textFill>
        </w:rPr>
        <w:t xml:space="preserve">投标人须知</w:t>
      </w:r>
      <w:bookmarkEnd w:id="54"/>
      <w:r/>
      <w:bookmarkEnd w:id="55"/>
      <w:r/>
      <w:bookmarkEnd w:id="56"/>
      <w:r/>
      <w:bookmarkEnd w:id="57"/>
      <w:r/>
      <w:bookmarkEnd w:id="58"/>
      <w:r/>
      <w:r/>
    </w:p>
    <w:p>
      <w:pPr>
        <w:ind w:firstLine="562"/>
        <w:keepLines/>
        <w:keepNext/>
        <w:spacing w:line="440" w:lineRule="exact"/>
        <w:rPr>
          <w:rFonts w:ascii="宋体" w:hAnsi="宋体" w:cs="宋体"/>
          <w:b/>
          <w:bCs/>
          <w:color w:val="000000" w:themeColor="text1"/>
          <w:sz w:val="28"/>
          <w:szCs w:val="28"/>
          <w14:textFill>
            <w14:solidFill>
              <w14:schemeClr w14:val="tx1"/>
            </w14:solidFill>
          </w14:textFill>
        </w:rPr>
        <w:outlineLvl w:val="1"/>
      </w:pPr>
      <w:r/>
      <w:bookmarkStart w:id="59" w:name="_Toc120614214"/>
      <w:r/>
      <w:bookmarkStart w:id="60" w:name="_Toc20823275"/>
      <w:r/>
      <w:bookmarkStart w:id="61" w:name="_Toc16938519"/>
      <w:r/>
      <w:bookmarkStart w:id="62" w:name="_Toc513029203"/>
      <w:r/>
      <w:bookmarkStart w:id="63" w:name="_Toc29914"/>
      <w:r>
        <w:rPr>
          <w:rFonts w:hint="eastAsia" w:ascii="宋体" w:hAnsi="宋体" w:cs="宋体"/>
          <w:b/>
          <w:bCs/>
          <w:color w:val="000000" w:themeColor="text1"/>
          <w:sz w:val="28"/>
          <w:szCs w:val="28"/>
          <w14:textFill>
            <w14:solidFill>
              <w14:schemeClr w14:val="tx1"/>
            </w14:solidFill>
          </w14:textFill>
        </w:rPr>
        <w:t xml:space="preserve">一、总则</w:t>
      </w:r>
      <w:bookmarkEnd w:id="59"/>
      <w:r/>
      <w:bookmarkEnd w:id="60"/>
      <w:r/>
      <w:bookmarkEnd w:id="61"/>
      <w:r/>
      <w:bookmarkEnd w:id="62"/>
      <w:r/>
      <w:bookmarkEnd w:id="63"/>
      <w:r/>
      <w:r/>
    </w:p>
    <w:p>
      <w:pPr>
        <w:ind w:firstLine="480"/>
        <w:keepLines/>
        <w:keepNext/>
        <w:spacing w:line="440" w:lineRule="exact"/>
        <w:rPr>
          <w:rFonts w:ascii="宋体" w:hAnsi="宋体" w:cs="宋体"/>
          <w:color w:val="000000" w:themeColor="text1"/>
          <w:sz w:val="24"/>
          <w:szCs w:val="24"/>
          <w14:textFill>
            <w14:solidFill>
              <w14:schemeClr w14:val="tx1"/>
            </w14:solidFill>
          </w14:textFill>
        </w:rPr>
        <w:outlineLvl w:val="3"/>
      </w:pPr>
      <w:r/>
      <w:bookmarkStart w:id="64" w:name="_Hlt16619475"/>
      <w:r/>
      <w:bookmarkEnd w:id="64"/>
      <w:r/>
      <w:bookmarkStart w:id="65" w:name="_Toc458694821"/>
      <w:r/>
      <w:bookmarkStart w:id="66" w:name="_Toc20823276"/>
      <w:r/>
      <w:bookmarkStart w:id="67" w:name="_Toc16938520"/>
      <w:r/>
      <w:bookmarkStart w:id="68" w:name="_Toc513029204"/>
      <w:r>
        <w:rPr>
          <w:rFonts w:hint="eastAsia" w:ascii="宋体" w:hAnsi="宋体" w:cs="宋体"/>
          <w:color w:val="000000" w:themeColor="text1"/>
          <w:sz w:val="24"/>
          <w:szCs w:val="24"/>
          <w14:textFill>
            <w14:solidFill>
              <w14:schemeClr w14:val="tx1"/>
            </w14:solidFill>
          </w14:textFill>
        </w:rPr>
        <w:t xml:space="preserve">1</w:t>
      </w:r>
      <w:bookmarkEnd w:id="65"/>
      <w:r>
        <w:rPr>
          <w:rFonts w:hint="eastAsia" w:ascii="宋体" w:hAnsi="宋体" w:cs="宋体"/>
          <w:color w:val="000000" w:themeColor="text1"/>
          <w:sz w:val="24"/>
          <w:szCs w:val="24"/>
          <w14:textFill>
            <w14:solidFill>
              <w14:schemeClr w14:val="tx1"/>
            </w14:solidFill>
          </w14:textFill>
        </w:rPr>
        <w:t xml:space="preserve">、采购方式</w:t>
      </w:r>
      <w:bookmarkEnd w:id="66"/>
      <w:r/>
      <w:bookmarkEnd w:id="67"/>
      <w:r/>
      <w:bookmarkEnd w:id="68"/>
      <w:r>
        <w:rPr>
          <w:rFonts w:hint="eastAsia" w:ascii="宋体" w:hAnsi="宋体" w:cs="宋体"/>
          <w:color w:val="000000" w:themeColor="text1"/>
          <w:sz w:val="24"/>
          <w:szCs w:val="24"/>
          <w14:textFill>
            <w14:solidFill>
              <w14:schemeClr w14:val="tx1"/>
            </w14:solidFill>
          </w14:textFill>
        </w:rPr>
        <w:t xml:space="preserve">及适用法律</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 本次招标采取公开招标方式，本招标文件仅适用于招标公告中所述项目。</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 本次招标及由此产生的合同受中华人民共和国有关的法律法规制约和保护。</w:t>
      </w:r>
      <w:r/>
    </w:p>
    <w:p>
      <w:pPr>
        <w:ind w:firstLine="480"/>
        <w:keepLines/>
        <w:keepNext/>
        <w:spacing w:line="440" w:lineRule="exact"/>
        <w:rPr>
          <w:rFonts w:ascii="宋体" w:hAnsi="宋体" w:cs="宋体"/>
          <w:color w:val="000000" w:themeColor="text1"/>
          <w:sz w:val="24"/>
          <w:szCs w:val="24"/>
          <w14:textFill>
            <w14:solidFill>
              <w14:schemeClr w14:val="tx1"/>
            </w14:solidFill>
          </w14:textFill>
        </w:rPr>
        <w:outlineLvl w:val="3"/>
      </w:pPr>
      <w:r>
        <w:rPr>
          <w:rFonts w:hint="eastAsia" w:ascii="宋体" w:hAnsi="宋体" w:cs="宋体"/>
          <w:color w:val="000000" w:themeColor="text1"/>
          <w:sz w:val="24"/>
          <w:szCs w:val="24"/>
          <w14:textFill>
            <w14:solidFill>
              <w14:schemeClr w14:val="tx1"/>
            </w14:solidFill>
          </w14:textFill>
        </w:rPr>
        <w:t xml:space="preserve">2、定义</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 “采购人”系指购买本项目货物并接受相关服务的国家机关、事业单位、团体组织。</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 “采购代理机构”系指依法接受采购人委托，从事货物和服务等政府采购业务的采购代理机构（以下简称“代理机构”）。本项目采购代理机构为苏州新一造价师价格事务所有限公司。</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2.3 “投标人”系指响应招标、参加投标竞争的供应商。</w:t>
      </w:r>
      <w:r/>
    </w:p>
    <w:p>
      <w:pPr>
        <w:ind w:firstLine="480"/>
        <w:keepLines/>
        <w:keepNext/>
        <w:spacing w:line="440" w:lineRule="exact"/>
        <w:rPr>
          <w:rFonts w:ascii="宋体" w:hAnsi="宋体" w:cs="宋体"/>
          <w:color w:val="000000" w:themeColor="text1"/>
          <w:sz w:val="24"/>
          <w:szCs w:val="24"/>
          <w14:textFill>
            <w14:solidFill>
              <w14:schemeClr w14:val="tx1"/>
            </w14:solidFill>
          </w14:textFill>
        </w:rPr>
        <w:outlineLvl w:val="3"/>
      </w:pPr>
      <w:r/>
      <w:bookmarkStart w:id="69" w:name="_Toc20823277"/>
      <w:r/>
      <w:bookmarkStart w:id="70" w:name="_Toc513029205"/>
      <w:r/>
      <w:bookmarkStart w:id="71" w:name="_Toc16938521"/>
      <w:r>
        <w:rPr>
          <w:rFonts w:hint="eastAsia" w:ascii="宋体" w:hAnsi="宋体" w:cs="宋体"/>
          <w:color w:val="000000" w:themeColor="text1"/>
          <w:sz w:val="24"/>
          <w:szCs w:val="24"/>
          <w14:textFill>
            <w14:solidFill>
              <w14:schemeClr w14:val="tx1"/>
            </w14:solidFill>
          </w14:textFill>
        </w:rPr>
        <w:t xml:space="preserve">3、合格的投标人</w:t>
      </w:r>
      <w:bookmarkEnd w:id="69"/>
      <w:r/>
      <w:bookmarkEnd w:id="70"/>
      <w:r/>
      <w:bookmarkEnd w:id="71"/>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3.1 满足招标公告中供应商的资格要求的规定，详见《第一章 投标邀请》中投标人资格要求。</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3.2 满足本文件实质性要求和条件的规定。</w:t>
      </w:r>
      <w:r/>
    </w:p>
    <w:p>
      <w:pPr>
        <w:ind w:firstLine="480"/>
        <w:keepLines/>
        <w:keepNext/>
        <w:spacing w:line="440" w:lineRule="exact"/>
        <w:rPr>
          <w:rFonts w:ascii="宋体" w:hAnsi="宋体" w:cs="宋体"/>
          <w:color w:val="000000" w:themeColor="text1"/>
          <w:sz w:val="24"/>
          <w:szCs w:val="24"/>
          <w14:textFill>
            <w14:solidFill>
              <w14:schemeClr w14:val="tx1"/>
            </w14:solidFill>
          </w14:textFill>
        </w:rPr>
        <w:outlineLvl w:val="3"/>
      </w:pPr>
      <w:r/>
      <w:bookmarkStart w:id="72" w:name="_Toc513029207"/>
      <w:r/>
      <w:bookmarkStart w:id="73" w:name="_Toc462564067"/>
      <w:r/>
      <w:bookmarkStart w:id="74" w:name="_Toc20823279"/>
      <w:r/>
      <w:bookmarkStart w:id="75" w:name="_Toc16938523"/>
      <w:r>
        <w:rPr>
          <w:rFonts w:hint="eastAsia" w:ascii="宋体" w:hAnsi="宋体" w:cs="宋体"/>
          <w:color w:val="000000" w:themeColor="text1"/>
          <w:sz w:val="24"/>
          <w:szCs w:val="24"/>
          <w14:textFill>
            <w14:solidFill>
              <w14:schemeClr w14:val="tx1"/>
            </w14:solidFill>
          </w14:textFill>
        </w:rPr>
        <w:t xml:space="preserve">4、投标费用</w:t>
      </w:r>
      <w:bookmarkEnd w:id="72"/>
      <w:r/>
      <w:bookmarkEnd w:id="73"/>
      <w:r/>
      <w:bookmarkEnd w:id="74"/>
      <w:r/>
      <w:bookmarkEnd w:id="75"/>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4.1 无论投标过程中的做法和结果如何，投标人应自行承担所有与准备和参加投标有关的全部费用。</w:t>
      </w:r>
      <w:r/>
    </w:p>
    <w:p>
      <w:pPr>
        <w:ind w:firstLine="789"/>
        <w:spacing w:line="440" w:lineRule="exact"/>
        <w:rPr>
          <w:rFonts w:ascii="宋体" w:hAnsi="宋体" w:cs="宋体"/>
          <w:b/>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4.2 </w:t>
      </w:r>
      <w:r>
        <w:rPr>
          <w:rFonts w:hint="eastAsia" w:ascii="宋体" w:hAnsi="宋体" w:cs="宋体"/>
          <w:b/>
          <w:color w:val="000000" w:themeColor="text1"/>
          <w:sz w:val="24"/>
          <w:szCs w:val="24"/>
          <w14:textFill>
            <w14:solidFill>
              <w14:schemeClr w14:val="tx1"/>
            </w14:solidFill>
          </w14:textFill>
        </w:rPr>
        <w:t xml:space="preserve">本次招标不收取采购文件工本费</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4.3 </w:t>
      </w:r>
      <w:r>
        <w:rPr>
          <w:rFonts w:hint="eastAsia" w:ascii="宋体" w:hAnsi="宋体" w:cs="宋体"/>
          <w:b/>
          <w:color w:val="000000" w:themeColor="text1"/>
          <w:sz w:val="24"/>
          <w:szCs w:val="24"/>
          <w14:textFill>
            <w14:solidFill>
              <w14:schemeClr w14:val="tx1"/>
            </w14:solidFill>
          </w14:textFill>
        </w:rPr>
        <w:t xml:space="preserve">采购代理服务费用：</w:t>
      </w:r>
      <w:r/>
    </w:p>
    <w:p>
      <w:pPr>
        <w:ind w:firstLine="790"/>
        <w:spacing w:line="440" w:lineRule="exact"/>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本项目中标服务费由中标人支付，在采购代理机构发中标通知书时由中标人向采购代理机构支付中标服务费</w:t>
      </w:r>
      <w:r>
        <w:rPr>
          <w:rFonts w:ascii="宋体" w:hAnsi="宋体" w:cs="宋体"/>
          <w:b/>
          <w:color w:val="000000" w:themeColor="text1"/>
          <w:sz w:val="24"/>
          <w:szCs w:val="24"/>
          <w14:textFill>
            <w14:solidFill>
              <w14:schemeClr w14:val="tx1"/>
            </w14:solidFill>
          </w14:textFill>
        </w:rPr>
        <w:t xml:space="preserve">9770.00</w:t>
      </w:r>
      <w:r>
        <w:rPr>
          <w:rFonts w:hint="eastAsia" w:ascii="宋体" w:hAnsi="宋体" w:cs="宋体"/>
          <w:b/>
          <w:color w:val="000000" w:themeColor="text1"/>
          <w:sz w:val="24"/>
          <w:szCs w:val="24"/>
          <w14:textFill>
            <w14:solidFill>
              <w14:schemeClr w14:val="tx1"/>
            </w14:solidFill>
          </w14:textFill>
        </w:rPr>
        <w:t xml:space="preserve">元整，一次性付清。</w:t>
      </w:r>
      <w:r/>
    </w:p>
    <w:p>
      <w:pPr>
        <w:ind w:firstLine="790"/>
        <w:spacing w:line="440" w:lineRule="exact"/>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账户名：苏州新一造价师价格事务所有限公司常熟分公司</w:t>
      </w:r>
      <w:r/>
    </w:p>
    <w:p>
      <w:pPr>
        <w:ind w:firstLine="790"/>
        <w:spacing w:line="440" w:lineRule="exact"/>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开户银行：常熟农商行开发区支行</w:t>
      </w:r>
      <w:r/>
    </w:p>
    <w:p>
      <w:pPr>
        <w:ind w:firstLine="790"/>
        <w:spacing w:line="440" w:lineRule="exact"/>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账号：101280001017827625</w:t>
      </w:r>
      <w:r/>
    </w:p>
    <w:p>
      <w:pPr>
        <w:ind w:firstLine="480"/>
        <w:keepLines/>
        <w:keepNext/>
        <w:spacing w:line="440" w:lineRule="exact"/>
        <w:rPr>
          <w:rFonts w:ascii="宋体" w:hAnsi="宋体" w:cs="宋体"/>
          <w:color w:val="000000" w:themeColor="text1"/>
          <w:sz w:val="24"/>
          <w:szCs w:val="24"/>
          <w14:textFill>
            <w14:solidFill>
              <w14:schemeClr w14:val="tx1"/>
            </w14:solidFill>
          </w14:textFill>
        </w:rPr>
        <w:outlineLvl w:val="3"/>
      </w:pPr>
      <w:r>
        <w:rPr>
          <w:rFonts w:hint="eastAsia" w:ascii="宋体" w:hAnsi="宋体" w:cs="宋体"/>
          <w:color w:val="000000" w:themeColor="text1"/>
          <w:sz w:val="24"/>
          <w:szCs w:val="24"/>
          <w14:textFill>
            <w14:solidFill>
              <w14:schemeClr w14:val="tx1"/>
            </w14:solidFill>
          </w14:textFill>
        </w:rPr>
        <w:t xml:space="preserve">5、招标文件的约束力</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5.1 投标人一旦参加本项目采购活动，即被认为接受了本招标文件的规定和约束。</w:t>
      </w:r>
      <w:r/>
    </w:p>
    <w:p>
      <w:pPr>
        <w:ind w:firstLine="562"/>
        <w:keepLines/>
        <w:keepNext/>
        <w:spacing w:line="440" w:lineRule="exact"/>
        <w:rPr>
          <w:rFonts w:ascii="宋体" w:hAnsi="宋体" w:cs="宋体"/>
          <w:b/>
          <w:bCs/>
          <w:color w:val="000000" w:themeColor="text1"/>
          <w:sz w:val="28"/>
          <w:szCs w:val="28"/>
          <w14:textFill>
            <w14:solidFill>
              <w14:schemeClr w14:val="tx1"/>
            </w14:solidFill>
          </w14:textFill>
        </w:rPr>
        <w:outlineLvl w:val="1"/>
      </w:pPr>
      <w:r/>
      <w:bookmarkStart w:id="76" w:name="_Toc16938525"/>
      <w:r/>
      <w:bookmarkStart w:id="77" w:name="_Toc20823281"/>
      <w:r/>
      <w:bookmarkStart w:id="78" w:name="_Toc120614215"/>
      <w:r/>
      <w:bookmarkStart w:id="79" w:name="_Toc513029209"/>
      <w:r/>
      <w:bookmarkStart w:id="80" w:name="_Toc295"/>
      <w:r>
        <w:rPr>
          <w:rFonts w:hint="eastAsia" w:ascii="宋体" w:hAnsi="宋体" w:cs="宋体"/>
          <w:b/>
          <w:bCs/>
          <w:color w:val="000000" w:themeColor="text1"/>
          <w:sz w:val="28"/>
          <w:szCs w:val="28"/>
          <w14:textFill>
            <w14:solidFill>
              <w14:schemeClr w14:val="tx1"/>
            </w14:solidFill>
          </w14:textFill>
        </w:rPr>
        <w:t xml:space="preserve">二、招标文件</w:t>
      </w:r>
      <w:bookmarkEnd w:id="76"/>
      <w:r/>
      <w:bookmarkEnd w:id="77"/>
      <w:r/>
      <w:bookmarkEnd w:id="78"/>
      <w:r/>
      <w:bookmarkEnd w:id="79"/>
      <w:r/>
      <w:bookmarkEnd w:id="80"/>
      <w:r/>
      <w:r/>
    </w:p>
    <w:p>
      <w:pPr>
        <w:ind w:firstLine="480"/>
        <w:keepLines/>
        <w:keepNext/>
        <w:spacing w:line="440" w:lineRule="exact"/>
        <w:rPr>
          <w:rFonts w:ascii="宋体" w:hAnsi="宋体" w:cs="宋体"/>
          <w:color w:val="000000" w:themeColor="text1"/>
          <w:sz w:val="24"/>
          <w:szCs w:val="24"/>
          <w14:textFill>
            <w14:solidFill>
              <w14:schemeClr w14:val="tx1"/>
            </w14:solidFill>
          </w14:textFill>
        </w:rPr>
        <w:outlineLvl w:val="3"/>
      </w:pPr>
      <w:r/>
      <w:bookmarkStart w:id="81" w:name="_Toc20823282"/>
      <w:r/>
      <w:bookmarkStart w:id="82" w:name="_Toc513029210"/>
      <w:r/>
      <w:bookmarkStart w:id="83" w:name="_Toc16938526"/>
      <w:r>
        <w:rPr>
          <w:rFonts w:hint="eastAsia" w:ascii="宋体" w:hAnsi="宋体" w:cs="宋体"/>
          <w:color w:val="000000" w:themeColor="text1"/>
          <w:sz w:val="24"/>
          <w:szCs w:val="24"/>
          <w14:textFill>
            <w14:solidFill>
              <w14:schemeClr w14:val="tx1"/>
            </w14:solidFill>
          </w14:textFill>
        </w:rPr>
        <w:t xml:space="preserve">1、招标文件构成</w:t>
      </w:r>
      <w:bookmarkEnd w:id="81"/>
      <w:r/>
      <w:bookmarkEnd w:id="82"/>
      <w:r/>
      <w:bookmarkEnd w:id="83"/>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1.1</w:t>
      </w:r>
      <w:r>
        <w:rPr>
          <w:rFonts w:hint="eastAsia" w:ascii="宋体" w:hAnsi="宋体" w:cs="宋体"/>
          <w:color w:val="000000" w:themeColor="text1"/>
          <w:sz w:val="24"/>
          <w:szCs w:val="24"/>
          <w14:textFill>
            <w14:solidFill>
              <w14:schemeClr w14:val="tx1"/>
            </w14:solidFill>
          </w14:textFill>
        </w:rPr>
        <w:t xml:space="preserve"> 招标文件由以下部分组成：</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（1）投标邀请</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（2）投标人须知</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（3）合同文本</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（4）采购需求</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（5）评标方法与评标标准</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（6）投标文件格式</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请仔细检查招标文件是否齐全，如有缺漏请立即与代理机构联系解决。</w:t>
      </w:r>
      <w:r/>
    </w:p>
    <w:p>
      <w:pPr>
        <w:ind w:firstLine="789"/>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1.3 招标文件及其更正事项如不是直接从指定媒体地址下载获得的，采购人或代理机构对招标文件及其补遗的真实性、完整性不承担任何责任。</w:t>
      </w:r>
      <w:r/>
    </w:p>
    <w:p>
      <w:pPr>
        <w:ind w:firstLine="480"/>
        <w:keepLines/>
        <w:keepNext/>
        <w:spacing w:line="440" w:lineRule="exact"/>
        <w:rPr>
          <w:rFonts w:ascii="宋体" w:hAnsi="宋体" w:cs="宋体"/>
          <w:color w:val="000000" w:themeColor="text1"/>
          <w:sz w:val="24"/>
          <w:szCs w:val="24"/>
          <w14:textFill>
            <w14:solidFill>
              <w14:schemeClr w14:val="tx1"/>
            </w14:solidFill>
          </w14:textFill>
        </w:rPr>
        <w:outlineLvl w:val="3"/>
      </w:pPr>
      <w:r/>
      <w:bookmarkStart w:id="84" w:name="_Toc513029211"/>
      <w:r/>
      <w:bookmarkStart w:id="85" w:name="_Toc462564070"/>
      <w:r/>
      <w:bookmarkStart w:id="86" w:name="_Toc16938527"/>
      <w:r/>
      <w:bookmarkStart w:id="87" w:name="_Toc20823283"/>
      <w:r>
        <w:rPr>
          <w:rFonts w:hint="eastAsia" w:ascii="宋体" w:hAnsi="宋体" w:cs="宋体"/>
          <w:color w:val="000000" w:themeColor="text1"/>
          <w:sz w:val="24"/>
          <w:szCs w:val="24"/>
          <w14:textFill>
            <w14:solidFill>
              <w14:schemeClr w14:val="tx1"/>
            </w14:solidFill>
          </w14:textFill>
        </w:rPr>
        <w:t xml:space="preserve">2、招标文件的澄清、修改</w:t>
      </w:r>
      <w:r/>
    </w:p>
    <w:p>
      <w:pPr>
        <w:ind w:firstLine="789"/>
        <w:spacing w:line="440" w:lineRule="exact"/>
        <w:rPr>
          <w:rFonts w:ascii="宋体" w:hAnsi="宋体" w:cs="宋体"/>
          <w:b/>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2.1 出于实际需要或澄清投标人问题的情况下，代理机构可对已发出的招标文件进行必要的澄清或者修改，并将在指定媒体上发布。</w:t>
      </w:r>
      <w:r>
        <w:rPr>
          <w:rFonts w:hint="eastAsia" w:ascii="宋体" w:hAnsi="宋体" w:cs="宋体"/>
          <w:b/>
          <w:bCs/>
          <w:color w:val="000000" w:themeColor="text1"/>
          <w:sz w:val="24"/>
          <w:szCs w:val="24"/>
          <w14:textFill>
            <w14:solidFill>
              <w14:schemeClr w14:val="tx1"/>
            </w14:solidFill>
          </w14:textFill>
        </w:rPr>
        <w:t xml:space="preserve">各投标人应在投标截止时间前关注</w:t>
      </w:r>
      <w:r>
        <w:rPr>
          <w:rFonts w:hint="eastAsia" w:ascii="Times New Roman" w:hAnsi="Times New Roman"/>
          <w:b/>
          <w:bCs/>
          <w:color w:val="000000" w:themeColor="text1"/>
          <w:sz w:val="24"/>
          <w:szCs w:val="24"/>
          <w14:textFill>
            <w14:solidFill>
              <w14:schemeClr w14:val="tx1"/>
            </w14:solidFill>
          </w14:textFill>
        </w:rPr>
        <w:t xml:space="preserve">政府采购信息发布媒体上</w:t>
      </w:r>
      <w:r>
        <w:rPr>
          <w:rFonts w:hint="eastAsia" w:ascii="宋体" w:hAnsi="宋体" w:cs="宋体"/>
          <w:b/>
          <w:bCs/>
          <w:color w:val="000000" w:themeColor="text1"/>
          <w:sz w:val="24"/>
          <w:szCs w:val="24"/>
          <w14:textFill>
            <w14:solidFill>
              <w14:schemeClr w14:val="tx1"/>
            </w14:solidFill>
          </w14:textFill>
        </w:rPr>
        <w:t xml:space="preserve">“补充通知”栏，按规定获取相关信息内容，否则其投标风险由投标人承担。</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 代理机构有权按照法定的要求顺延投标截止时间和开标时间。</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2.3 有关澄清或者修改的内容将作为招标文件的组成部分，对所有投标人具有约束力。</w:t>
      </w:r>
      <w:bookmarkEnd w:id="84"/>
      <w:bookmarkEnd w:id="85"/>
      <w:bookmarkEnd w:id="86"/>
      <w:bookmarkEnd w:id="87"/>
      <w:r/>
    </w:p>
    <w:p>
      <w:pPr>
        <w:ind w:firstLine="562"/>
        <w:keepLines/>
        <w:keepNext/>
        <w:spacing w:line="440" w:lineRule="exact"/>
        <w:rPr>
          <w:rFonts w:ascii="宋体" w:hAnsi="宋体" w:cs="宋体"/>
          <w:b/>
          <w:bCs/>
          <w:color w:val="000000" w:themeColor="text1"/>
          <w:sz w:val="28"/>
          <w:szCs w:val="28"/>
          <w14:textFill>
            <w14:solidFill>
              <w14:schemeClr w14:val="tx1"/>
            </w14:solidFill>
          </w14:textFill>
        </w:rPr>
        <w:outlineLvl w:val="1"/>
      </w:pPr>
      <w:r/>
      <w:bookmarkStart w:id="88" w:name="_Toc16938529"/>
      <w:r/>
      <w:bookmarkStart w:id="89" w:name="_Toc462564072"/>
      <w:r/>
      <w:bookmarkStart w:id="90" w:name="_Toc513029213"/>
      <w:r/>
      <w:bookmarkStart w:id="91" w:name="_Toc20823285"/>
      <w:r/>
      <w:bookmarkStart w:id="92" w:name="_Toc120614216"/>
      <w:r/>
      <w:bookmarkStart w:id="93" w:name="_Toc20177"/>
      <w:r>
        <w:rPr>
          <w:rFonts w:hint="eastAsia" w:ascii="宋体" w:hAnsi="宋体" w:cs="宋体"/>
          <w:b/>
          <w:bCs/>
          <w:color w:val="000000" w:themeColor="text1"/>
          <w:sz w:val="28"/>
          <w:szCs w:val="28"/>
          <w14:textFill>
            <w14:solidFill>
              <w14:schemeClr w14:val="tx1"/>
            </w14:solidFill>
          </w14:textFill>
        </w:rPr>
        <w:t xml:space="preserve">三、投标文件的编制</w:t>
      </w:r>
      <w:bookmarkEnd w:id="88"/>
      <w:r/>
      <w:bookmarkEnd w:id="89"/>
      <w:r/>
      <w:bookmarkEnd w:id="90"/>
      <w:r/>
      <w:bookmarkEnd w:id="91"/>
      <w:r/>
      <w:bookmarkEnd w:id="92"/>
      <w:r/>
      <w:bookmarkEnd w:id="93"/>
      <w:r/>
      <w:r/>
    </w:p>
    <w:p>
      <w:pPr>
        <w:ind w:firstLine="480"/>
        <w:keepLines/>
        <w:keepNext/>
        <w:spacing w:line="440" w:lineRule="exact"/>
        <w:rPr>
          <w:rFonts w:ascii="宋体" w:hAnsi="宋体" w:cs="宋体"/>
          <w:b/>
          <w:color w:val="000000" w:themeColor="text1"/>
          <w:sz w:val="24"/>
          <w:szCs w:val="24"/>
          <w14:textFill>
            <w14:solidFill>
              <w14:schemeClr w14:val="tx1"/>
            </w14:solidFill>
          </w14:textFill>
        </w:rPr>
        <w:outlineLvl w:val="3"/>
      </w:pPr>
      <w:r/>
      <w:bookmarkStart w:id="94" w:name="_Toc462564073"/>
      <w:r/>
      <w:bookmarkStart w:id="95" w:name="_Toc16938530"/>
      <w:r/>
      <w:bookmarkStart w:id="96" w:name="_Toc20823286"/>
      <w:r/>
      <w:bookmarkStart w:id="97" w:name="_Toc513029214"/>
      <w:r>
        <w:rPr>
          <w:rFonts w:hint="eastAsia" w:ascii="宋体" w:hAnsi="宋体" w:cs="宋体"/>
          <w:color w:val="000000" w:themeColor="text1"/>
          <w:sz w:val="24"/>
          <w:szCs w:val="24"/>
          <w14:textFill>
            <w14:solidFill>
              <w14:schemeClr w14:val="tx1"/>
            </w14:solidFill>
          </w14:textFill>
        </w:rPr>
        <w:t xml:space="preserve">1、投标文件的语言及度量衡单位</w:t>
      </w:r>
      <w:bookmarkEnd w:id="94"/>
      <w:r/>
      <w:bookmarkEnd w:id="95"/>
      <w:r/>
      <w:bookmarkEnd w:id="96"/>
      <w:r/>
      <w:bookmarkEnd w:id="97"/>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 投标人提交的投标文件以及投标人与代理机构就有关投标的所有来往通知、函件和文件均应使用</w:t>
      </w:r>
      <w:r>
        <w:rPr>
          <w:rFonts w:hint="eastAsia" w:ascii="宋体" w:hAnsi="宋体" w:cs="宋体"/>
          <w:b/>
          <w:bCs/>
          <w:color w:val="000000" w:themeColor="text1"/>
          <w:sz w:val="24"/>
          <w:szCs w:val="24"/>
          <w14:textFill>
            <w14:solidFill>
              <w14:schemeClr w14:val="tx1"/>
            </w14:solidFill>
          </w14:textFill>
        </w:rPr>
        <w:t xml:space="preserve">简体中文</w:t>
      </w:r>
      <w:r>
        <w:rPr>
          <w:rFonts w:hint="eastAsia" w:ascii="宋体" w:hAnsi="宋体" w:cs="宋体"/>
          <w:color w:val="000000" w:themeColor="text1"/>
          <w:sz w:val="24"/>
          <w:szCs w:val="24"/>
          <w14:textFill>
            <w14:solidFill>
              <w14:schemeClr w14:val="tx1"/>
            </w14:solidFill>
          </w14:textFill>
        </w:rPr>
        <w:t xml:space="preserve">。</w:t>
      </w:r>
      <w:r/>
    </w:p>
    <w:p>
      <w:pPr>
        <w:ind w:firstLine="789"/>
        <w:spacing w:line="44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 除技术性能另有规定外，投标文件所使用的度量衡单位，均须采用国家法定计量单位。</w:t>
      </w:r>
      <w:r/>
    </w:p>
    <w:p>
      <w:pPr>
        <w:ind w:firstLine="480"/>
        <w:keepLines/>
        <w:keepNext/>
        <w:spacing w:line="440" w:lineRule="exact"/>
        <w:rPr>
          <w:rFonts w:ascii="宋体" w:hAnsi="宋体" w:cs="宋体"/>
          <w:color w:val="000000" w:themeColor="text1"/>
          <w:sz w:val="24"/>
          <w:szCs w:val="24"/>
          <w14:textFill>
            <w14:solidFill>
              <w14:schemeClr w14:val="tx1"/>
            </w14:solidFill>
          </w14:textFill>
        </w:rPr>
        <w:outlineLvl w:val="3"/>
      </w:pPr>
      <w:r/>
      <w:bookmarkStart w:id="98" w:name="_Toc16938531"/>
      <w:r/>
      <w:bookmarkStart w:id="99" w:name="_Toc513029215"/>
      <w:r/>
      <w:bookmarkStart w:id="100" w:name="_Toc20823287"/>
      <w:r/>
      <w:bookmarkStart w:id="101" w:name="_Toc462564074"/>
      <w:r>
        <w:rPr>
          <w:rFonts w:hint="eastAsia" w:ascii="宋体" w:hAnsi="宋体" w:cs="宋体"/>
          <w:color w:val="000000" w:themeColor="text1"/>
          <w:sz w:val="24"/>
          <w:szCs w:val="24"/>
          <w14:textFill>
            <w14:solidFill>
              <w14:schemeClr w14:val="tx1"/>
            </w14:solidFill>
          </w14:textFill>
        </w:rPr>
        <w:t xml:space="preserve">2、投标文件构成</w:t>
      </w:r>
      <w:bookmarkEnd w:id="98"/>
      <w:r/>
      <w:bookmarkEnd w:id="99"/>
      <w:r/>
      <w:bookmarkEnd w:id="100"/>
      <w:r/>
      <w:bookmarkEnd w:id="101"/>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 投标人编写的投标文件应包括资格证明文件、开标一览表、报价明细表、投标函、服务（或商务）要求响应及偏离表、项目实施方案、其他证明文件等部分。</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 如标书制作工具中格式和内容与指定媒体发布的招标文件不一致，请以指定媒体发布的招标文件为准。</w:t>
      </w:r>
      <w:r/>
    </w:p>
    <w:p>
      <w:pPr>
        <w:ind w:firstLine="480"/>
        <w:keepLines/>
        <w:keepNext/>
        <w:spacing w:line="440" w:lineRule="exact"/>
        <w:rPr>
          <w:rFonts w:ascii="宋体" w:hAnsi="宋体" w:cs="宋体"/>
          <w:color w:val="000000" w:themeColor="text1"/>
          <w:sz w:val="24"/>
          <w:szCs w:val="24"/>
          <w14:textFill>
            <w14:solidFill>
              <w14:schemeClr w14:val="tx1"/>
            </w14:solidFill>
          </w14:textFill>
        </w:rPr>
        <w:outlineLvl w:val="3"/>
      </w:pPr>
      <w:r/>
      <w:bookmarkStart w:id="102" w:name="_Hlt26670360"/>
      <w:r/>
      <w:bookmarkEnd w:id="102"/>
      <w:r/>
      <w:bookmarkStart w:id="103" w:name="_Hlt26954838"/>
      <w:r/>
      <w:bookmarkEnd w:id="103"/>
      <w:r/>
      <w:bookmarkStart w:id="104" w:name="_Hlt26668975"/>
      <w:r/>
      <w:bookmarkEnd w:id="104"/>
      <w:r/>
      <w:bookmarkStart w:id="105" w:name="_Toc49090509"/>
      <w:r/>
      <w:bookmarkStart w:id="106" w:name="_Toc14577357"/>
      <w:r/>
      <w:bookmarkStart w:id="107" w:name="_Toc513029219"/>
      <w:r/>
      <w:bookmarkStart w:id="108" w:name="_Toc513029216"/>
      <w:r/>
      <w:bookmarkStart w:id="109" w:name="_Toc49090507"/>
      <w:r/>
      <w:bookmarkStart w:id="110" w:name="_Toc14577354"/>
      <w:r/>
      <w:bookmarkStart w:id="111" w:name="_Toc49090508"/>
      <w:r/>
      <w:bookmarkStart w:id="112" w:name="_Toc14577355"/>
      <w:r>
        <w:rPr>
          <w:rFonts w:hint="eastAsia" w:ascii="宋体" w:hAnsi="宋体" w:cs="宋体"/>
          <w:color w:val="000000" w:themeColor="text1"/>
          <w:sz w:val="24"/>
          <w:szCs w:val="24"/>
          <w14:textFill>
            <w14:solidFill>
              <w14:schemeClr w14:val="tx1"/>
            </w14:solidFill>
          </w14:textFill>
        </w:rPr>
        <w:t xml:space="preserve">3、证明投标人及投标标的符合招标文件规定的文件</w:t>
      </w:r>
      <w:bookmarkEnd w:id="105"/>
      <w:r/>
      <w:bookmarkEnd w:id="106"/>
      <w:r/>
      <w:bookmarkEnd w:id="107"/>
      <w:r/>
      <w:bookmarkEnd w:id="108"/>
      <w:bookmarkEnd w:id="109"/>
      <w:bookmarkEnd w:id="110"/>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3.1 投标人应按照招标文件要求提交证明文件，证明其及投标标的符合招标文件规定。</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3.2招标文件对证明文件无明确形式要求的，证明文件可以以文字资料、图纸和数据等形式提交。</w:t>
      </w:r>
      <w:bookmarkEnd w:id="111"/>
      <w:bookmarkEnd w:id="112"/>
      <w:r/>
    </w:p>
    <w:p>
      <w:pPr>
        <w:ind w:firstLine="480"/>
        <w:keepLines/>
        <w:keepNext/>
        <w:spacing w:line="440" w:lineRule="exact"/>
        <w:rPr>
          <w:rFonts w:ascii="宋体" w:hAnsi="宋体" w:cs="宋体"/>
          <w:color w:val="000000" w:themeColor="text1"/>
          <w:sz w:val="24"/>
          <w:szCs w:val="24"/>
          <w14:textFill>
            <w14:solidFill>
              <w14:schemeClr w14:val="tx1"/>
            </w14:solidFill>
          </w14:textFill>
        </w:rPr>
        <w:outlineLvl w:val="3"/>
      </w:pPr>
      <w:r>
        <w:rPr>
          <w:rFonts w:hint="eastAsia" w:ascii="宋体" w:hAnsi="宋体" w:cs="宋体"/>
          <w:color w:val="000000" w:themeColor="text1"/>
          <w:sz w:val="24"/>
          <w:szCs w:val="24"/>
          <w14:textFill>
            <w14:solidFill>
              <w14:schemeClr w14:val="tx1"/>
            </w14:solidFill>
          </w14:textFill>
        </w:rPr>
        <w:t xml:space="preserve">4、投标函和开标一览表</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4.1 投标人应按照招标文件中提供的格式完整、正确填写投标函、开标一览表。</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4.2 对于采用货币报价的项目，开标一览表中的投标总报价应与报价明细表中的投标总报价一致，如不一致不作为无效投标处理，但评标时按开标一览表中价格为准。</w:t>
      </w:r>
      <w:r/>
    </w:p>
    <w:p>
      <w:pPr>
        <w:ind w:firstLine="480"/>
        <w:keepLines/>
        <w:keepNext/>
        <w:spacing w:line="440" w:lineRule="exact"/>
        <w:rPr>
          <w:rFonts w:ascii="宋体" w:hAnsi="宋体" w:cs="宋体"/>
          <w:color w:val="000000" w:themeColor="text1"/>
          <w:sz w:val="24"/>
          <w:szCs w:val="24"/>
          <w14:textFill>
            <w14:solidFill>
              <w14:schemeClr w14:val="tx1"/>
            </w14:solidFill>
          </w14:textFill>
        </w:rPr>
        <w:outlineLvl w:val="3"/>
      </w:pPr>
      <w:r>
        <w:rPr>
          <w:rFonts w:hint="eastAsia" w:ascii="宋体" w:hAnsi="宋体" w:cs="宋体"/>
          <w:color w:val="000000" w:themeColor="text1"/>
          <w:sz w:val="24"/>
          <w:szCs w:val="24"/>
          <w14:textFill>
            <w14:solidFill>
              <w14:schemeClr w14:val="tx1"/>
            </w14:solidFill>
          </w14:textFill>
        </w:rPr>
        <w:t xml:space="preserve">5、报价明细表</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5.1 投标人应按照招标文件规定格式填报报价明细表。</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5.2 投标货币。投标文件中的单价和总价无特殊规定的采用人民币报价，以元为单位标注。招标文件中另有规定的按规定执行。</w:t>
      </w:r>
      <w:r/>
    </w:p>
    <w:p>
      <w:pPr>
        <w:ind w:firstLine="480"/>
        <w:keepLines/>
        <w:keepNext/>
        <w:spacing w:line="440" w:lineRule="exact"/>
        <w:rPr>
          <w:rFonts w:ascii="宋体" w:hAnsi="宋体" w:cs="宋体"/>
          <w:color w:val="000000" w:themeColor="text1"/>
          <w:sz w:val="24"/>
          <w:szCs w:val="24"/>
          <w14:textFill>
            <w14:solidFill>
              <w14:schemeClr w14:val="tx1"/>
            </w14:solidFill>
          </w14:textFill>
        </w:rPr>
        <w:outlineLvl w:val="3"/>
      </w:pPr>
      <w:r/>
      <w:bookmarkStart w:id="113" w:name="_Hlt26670482"/>
      <w:r/>
      <w:bookmarkEnd w:id="113"/>
      <w:r/>
      <w:bookmarkStart w:id="114" w:name="_Hlt26954848"/>
      <w:r/>
      <w:bookmarkEnd w:id="114"/>
      <w:r/>
      <w:bookmarkStart w:id="115" w:name="_Hlt26670486"/>
      <w:r/>
      <w:bookmarkEnd w:id="115"/>
      <w:r/>
      <w:bookmarkStart w:id="116" w:name="_Hlt26954731"/>
      <w:r/>
      <w:bookmarkEnd w:id="116"/>
      <w:r/>
      <w:bookmarkStart w:id="117" w:name="_Hlt26954846"/>
      <w:r/>
      <w:bookmarkEnd w:id="117"/>
      <w:r/>
      <w:bookmarkStart w:id="118" w:name="_Hlk155763835"/>
      <w:r>
        <w:rPr>
          <w:rFonts w:hint="eastAsia" w:ascii="宋体" w:hAnsi="宋体" w:cs="宋体"/>
          <w:color w:val="000000" w:themeColor="text1"/>
          <w:sz w:val="24"/>
          <w:szCs w:val="24"/>
          <w14:textFill>
            <w14:solidFill>
              <w14:schemeClr w14:val="tx1"/>
            </w14:solidFill>
          </w14:textFill>
        </w:rPr>
        <w:t xml:space="preserve">6、服务、商务要求响应及偏离表</w:t>
      </w:r>
      <w:r/>
    </w:p>
    <w:p>
      <w:pPr>
        <w:ind w:firstLine="789"/>
        <w:spacing w:line="440" w:lineRule="exact"/>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6.1</w:t>
      </w:r>
      <w:r>
        <w:rPr>
          <w:rFonts w:hint="eastAsia" w:ascii="宋体" w:hAnsi="宋体" w:cs="宋体"/>
          <w:color w:val="000000" w:themeColor="text1"/>
          <w:sz w:val="24"/>
          <w:szCs w:val="24"/>
          <w:lang w:val="zh-CN"/>
          <w14:textFill>
            <w14:solidFill>
              <w14:schemeClr w14:val="tx1"/>
            </w14:solidFill>
          </w14:textFill>
        </w:rPr>
        <w:t xml:space="preserve"> 投标人需对招标文件中的服务要求与商务要求逐项作出响应或偏离，并说明原因。</w:t>
      </w:r>
      <w:r/>
    </w:p>
    <w:p>
      <w:pPr>
        <w:ind w:firstLine="789"/>
        <w:spacing w:line="440" w:lineRule="exact"/>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6.2</w:t>
      </w:r>
      <w:r>
        <w:rPr>
          <w:rFonts w:hint="eastAsia" w:ascii="宋体" w:hAnsi="宋体" w:cs="宋体"/>
          <w:color w:val="000000" w:themeColor="text1"/>
          <w:sz w:val="24"/>
          <w:szCs w:val="24"/>
          <w:lang w:val="zh-CN"/>
          <w14:textFill>
            <w14:solidFill>
              <w14:schemeClr w14:val="tx1"/>
            </w14:solidFill>
          </w14:textFill>
        </w:rPr>
        <w:t xml:space="preserve"> 投标人需按照招标文件要求，在投标文件中提供与服务要求和商务要求相关的证明材料。</w:t>
      </w:r>
      <w:bookmarkEnd w:id="118"/>
      <w:r>
        <w:rPr>
          <w:rFonts w:hint="eastAsia" w:ascii="宋体" w:hAnsi="宋体" w:cs="宋体"/>
          <w:color w:val="000000" w:themeColor="text1"/>
          <w:sz w:val="24"/>
          <w:szCs w:val="24"/>
          <w:lang w:val="zh-CN"/>
          <w14:textFill>
            <w14:solidFill>
              <w14:schemeClr w14:val="tx1"/>
            </w14:solidFill>
          </w14:textFill>
        </w:rPr>
        <w:t xml:space="preserve">（如有）</w:t>
      </w:r>
      <w:r/>
    </w:p>
    <w:p>
      <w:pPr>
        <w:ind w:firstLine="480"/>
        <w:keepLines/>
        <w:keepNext/>
        <w:spacing w:line="440" w:lineRule="exact"/>
        <w:rPr>
          <w:rFonts w:ascii="宋体" w:hAnsi="宋体" w:cs="宋体"/>
          <w:color w:val="000000" w:themeColor="text1"/>
          <w:sz w:val="24"/>
          <w:szCs w:val="24"/>
          <w14:textFill>
            <w14:solidFill>
              <w14:schemeClr w14:val="tx1"/>
            </w14:solidFill>
          </w14:textFill>
        </w:rPr>
        <w:outlineLvl w:val="3"/>
      </w:pPr>
      <w:r>
        <w:rPr>
          <w:rFonts w:hint="eastAsia" w:ascii="宋体" w:hAnsi="宋体" w:cs="宋体"/>
          <w:color w:val="000000" w:themeColor="text1"/>
          <w:sz w:val="24"/>
          <w:szCs w:val="24"/>
          <w14:textFill>
            <w14:solidFill>
              <w14:schemeClr w14:val="tx1"/>
            </w14:solidFill>
          </w14:textFill>
        </w:rPr>
        <w:t xml:space="preserve">7、项目服务方案业绩情况</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7.1 投标人需根据招标文件要求提供有关项目服务方案和关键技术问题及难点分析、项目进度计划安排、质量管理及保证措施、响应承诺等。</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7.2 投标人需根据招标文件要求提供实施的类似项目业绩情况。</w:t>
      </w:r>
      <w:bookmarkStart w:id="119" w:name="_Toc49090510"/>
      <w:r/>
      <w:bookmarkStart w:id="120" w:name="_Toc14577359"/>
      <w:r/>
      <w:r/>
    </w:p>
    <w:p>
      <w:pPr>
        <w:ind w:firstLine="480"/>
        <w:keepLines/>
        <w:keepNext/>
        <w:spacing w:line="440" w:lineRule="exact"/>
        <w:rPr>
          <w:rFonts w:ascii="宋体" w:hAnsi="宋体" w:cs="宋体"/>
          <w:color w:val="000000" w:themeColor="text1"/>
          <w:sz w:val="24"/>
          <w:szCs w:val="24"/>
          <w14:textFill>
            <w14:solidFill>
              <w14:schemeClr w14:val="tx1"/>
            </w14:solidFill>
          </w14:textFill>
        </w:rPr>
        <w:outlineLvl w:val="3"/>
      </w:pPr>
      <w:r>
        <w:rPr>
          <w:rFonts w:hint="eastAsia" w:ascii="宋体" w:hAnsi="宋体" w:cs="宋体"/>
          <w:color w:val="000000" w:themeColor="text1"/>
          <w:sz w:val="24"/>
          <w:szCs w:val="24"/>
          <w14:textFill>
            <w14:solidFill>
              <w14:schemeClr w14:val="tx1"/>
            </w14:solidFill>
          </w14:textFill>
        </w:rPr>
        <w:t xml:space="preserve">8、其他</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8.1 投标人需根据招标文件要求提供的其他证明材料。</w:t>
      </w:r>
      <w:bookmarkEnd w:id="119"/>
      <w:bookmarkEnd w:id="120"/>
      <w:r/>
    </w:p>
    <w:p>
      <w:pPr>
        <w:ind w:firstLine="480"/>
        <w:keepLines/>
        <w:keepNext/>
        <w:spacing w:line="440" w:lineRule="exact"/>
        <w:rPr>
          <w:rFonts w:ascii="宋体" w:hAnsi="宋体" w:cs="宋体"/>
          <w:color w:val="000000" w:themeColor="text1"/>
          <w:sz w:val="24"/>
          <w:szCs w:val="24"/>
          <w14:textFill>
            <w14:solidFill>
              <w14:schemeClr w14:val="tx1"/>
            </w14:solidFill>
          </w14:textFill>
        </w:rPr>
        <w:outlineLvl w:val="3"/>
      </w:pPr>
      <w:r/>
      <w:bookmarkStart w:id="121" w:name="_Toc49090511"/>
      <w:r/>
      <w:bookmarkStart w:id="122" w:name="_Toc14577360"/>
      <w:r>
        <w:rPr>
          <w:rFonts w:hint="eastAsia" w:ascii="宋体" w:hAnsi="宋体" w:cs="宋体"/>
          <w:color w:val="000000" w:themeColor="text1"/>
          <w:sz w:val="24"/>
          <w:szCs w:val="24"/>
          <w14:textFill>
            <w14:solidFill>
              <w14:schemeClr w14:val="tx1"/>
            </w14:solidFill>
          </w14:textFill>
        </w:rPr>
        <w:t xml:space="preserve">9、投标有效期</w:t>
      </w:r>
      <w:bookmarkEnd w:id="121"/>
      <w:r/>
      <w:bookmarkEnd w:id="122"/>
      <w:r/>
      <w:r/>
    </w:p>
    <w:p>
      <w:pPr>
        <w:ind w:firstLine="789"/>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9.1投标有效期为代理机构</w:t>
      </w:r>
      <w:r>
        <w:rPr>
          <w:rFonts w:hint="eastAsia" w:ascii="宋体" w:hAnsi="宋体" w:cs="宋体"/>
          <w:bCs/>
          <w:color w:val="000000" w:themeColor="text1"/>
          <w:sz w:val="24"/>
          <w:szCs w:val="24"/>
          <w14:textFill>
            <w14:solidFill>
              <w14:schemeClr w14:val="tx1"/>
            </w14:solidFill>
          </w14:textFill>
        </w:rPr>
        <w:t xml:space="preserve">规定的开标之日后</w:t>
      </w:r>
      <w:r>
        <w:rPr>
          <w:rFonts w:hint="eastAsia" w:ascii="宋体" w:hAnsi="宋体" w:cs="宋体"/>
          <w:b/>
          <w:color w:val="000000" w:themeColor="text1"/>
          <w:sz w:val="24"/>
          <w:szCs w:val="24"/>
          <w:u w:val="single"/>
          <w14:textFill>
            <w14:solidFill>
              <w14:schemeClr w14:val="tx1"/>
            </w14:solidFill>
          </w14:textFill>
        </w:rPr>
        <w:t xml:space="preserve">六十（60）天</w:t>
      </w:r>
      <w:r>
        <w:rPr>
          <w:rFonts w:hint="eastAsia" w:ascii="宋体" w:hAnsi="宋体" w:cs="宋体"/>
          <w:bCs/>
          <w:color w:val="000000" w:themeColor="text1"/>
          <w:sz w:val="24"/>
          <w:szCs w:val="24"/>
          <w14:textFill>
            <w14:solidFill>
              <w14:schemeClr w14:val="tx1"/>
            </w14:solidFill>
          </w14:textFill>
        </w:rPr>
        <w:t xml:space="preserve">。投标有效期比规定短的将被视为未实质性响应招标文件而予以拒绝。</w:t>
      </w:r>
      <w:r/>
    </w:p>
    <w:p>
      <w:pPr>
        <w:ind w:firstLine="480"/>
        <w:keepLines/>
        <w:keepNext/>
        <w:spacing w:line="440" w:lineRule="exact"/>
        <w:rPr>
          <w:rFonts w:ascii="宋体" w:hAnsi="宋体" w:cs="宋体"/>
          <w:color w:val="000000" w:themeColor="text1"/>
          <w:sz w:val="24"/>
          <w:szCs w:val="24"/>
          <w14:textFill>
            <w14:solidFill>
              <w14:schemeClr w14:val="tx1"/>
            </w14:solidFill>
          </w14:textFill>
        </w:rPr>
        <w:outlineLvl w:val="3"/>
      </w:pPr>
      <w:r>
        <w:rPr>
          <w:rFonts w:hint="eastAsia" w:ascii="宋体" w:hAnsi="宋体" w:cs="宋体"/>
          <w:color w:val="000000" w:themeColor="text1"/>
          <w:sz w:val="24"/>
          <w:szCs w:val="24"/>
          <w14:textFill>
            <w14:solidFill>
              <w14:schemeClr w14:val="tx1"/>
            </w14:solidFill>
          </w14:textFill>
        </w:rPr>
        <w:t xml:space="preserve">10、投标有效期的延长</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10.1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ind w:firstLine="562"/>
        <w:keepLines/>
        <w:keepNext/>
        <w:spacing w:line="440" w:lineRule="exact"/>
        <w:rPr>
          <w:rFonts w:ascii="宋体" w:hAnsi="宋体" w:cs="宋体"/>
          <w:b/>
          <w:bCs/>
          <w:color w:val="000000" w:themeColor="text1"/>
          <w:sz w:val="28"/>
          <w:szCs w:val="28"/>
          <w14:textFill>
            <w14:solidFill>
              <w14:schemeClr w14:val="tx1"/>
            </w14:solidFill>
          </w14:textFill>
        </w:rPr>
        <w:outlineLvl w:val="1"/>
      </w:pPr>
      <w:r/>
      <w:bookmarkStart w:id="123" w:name="_Hlt26954739"/>
      <w:r/>
      <w:bookmarkEnd w:id="123"/>
      <w:r/>
      <w:bookmarkStart w:id="124" w:name="_Hlt26954852"/>
      <w:r/>
      <w:bookmarkEnd w:id="124"/>
      <w:r/>
      <w:bookmarkStart w:id="125" w:name="_Toc16938540"/>
      <w:r/>
      <w:bookmarkStart w:id="126" w:name="_Toc20823296"/>
      <w:r/>
      <w:bookmarkStart w:id="127" w:name="_Toc120614217"/>
      <w:r/>
      <w:bookmarkStart w:id="128" w:name="_Toc513029224"/>
      <w:r/>
      <w:bookmarkStart w:id="129" w:name="_Toc11985"/>
      <w:r>
        <w:rPr>
          <w:rFonts w:hint="eastAsia" w:ascii="宋体" w:hAnsi="宋体" w:cs="宋体"/>
          <w:b/>
          <w:bCs/>
          <w:color w:val="000000" w:themeColor="text1"/>
          <w:sz w:val="28"/>
          <w:szCs w:val="28"/>
          <w14:textFill>
            <w14:solidFill>
              <w14:schemeClr w14:val="tx1"/>
            </w14:solidFill>
          </w14:textFill>
        </w:rPr>
        <w:t xml:space="preserve">四、投标文件的递交</w:t>
      </w:r>
      <w:bookmarkEnd w:id="125"/>
      <w:r/>
      <w:bookmarkEnd w:id="126"/>
      <w:r/>
      <w:bookmarkEnd w:id="127"/>
      <w:r/>
      <w:bookmarkEnd w:id="128"/>
      <w:r/>
      <w:bookmarkEnd w:id="129"/>
      <w:r/>
      <w:r/>
    </w:p>
    <w:p>
      <w:pPr>
        <w:ind w:firstLine="480"/>
        <w:keepLines/>
        <w:keepNext/>
        <w:spacing w:line="440" w:lineRule="exact"/>
        <w:rPr>
          <w:rFonts w:ascii="宋体" w:hAnsi="宋体" w:cs="宋体"/>
          <w:color w:val="000000" w:themeColor="text1"/>
          <w:sz w:val="24"/>
          <w:szCs w:val="24"/>
          <w14:textFill>
            <w14:solidFill>
              <w14:schemeClr w14:val="tx1"/>
            </w14:solidFill>
          </w14:textFill>
        </w:rPr>
        <w:outlineLvl w:val="3"/>
      </w:pPr>
      <w:r/>
      <w:bookmarkStart w:id="130" w:name="_Toc462564084"/>
      <w:r/>
      <w:bookmarkStart w:id="131" w:name="_Toc20823297"/>
      <w:r/>
      <w:bookmarkStart w:id="132" w:name="_Toc16938541"/>
      <w:r/>
      <w:bookmarkStart w:id="133" w:name="_Toc513029225"/>
      <w:r>
        <w:rPr>
          <w:rFonts w:hint="eastAsia" w:ascii="宋体" w:hAnsi="宋体" w:cs="宋体"/>
          <w:color w:val="000000" w:themeColor="text1"/>
          <w:sz w:val="24"/>
          <w:szCs w:val="24"/>
          <w14:textFill>
            <w14:solidFill>
              <w14:schemeClr w14:val="tx1"/>
            </w14:solidFill>
          </w14:textFill>
        </w:rPr>
        <w:t xml:space="preserve">1、电子投标文件</w:t>
      </w:r>
      <w:bookmarkEnd w:id="130"/>
      <w:r/>
      <w:bookmarkEnd w:id="131"/>
      <w:r/>
      <w:bookmarkEnd w:id="132"/>
      <w:r/>
      <w:bookmarkEnd w:id="133"/>
      <w:r>
        <w:rPr>
          <w:rFonts w:hint="eastAsia" w:ascii="宋体" w:hAnsi="宋体" w:cs="宋体"/>
          <w:color w:val="000000" w:themeColor="text1"/>
          <w:sz w:val="24"/>
          <w:szCs w:val="24"/>
          <w14:textFill>
            <w14:solidFill>
              <w14:schemeClr w14:val="tx1"/>
            </w14:solidFill>
          </w14:textFill>
        </w:rPr>
        <w:t xml:space="preserve">的递交</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1.1投标人应当按照《苏采云系统供应商操作手册》规定，在投标截止时间前制作并上传电子投标文件。</w:t>
      </w:r>
      <w:bookmarkStart w:id="134" w:name="_Toc20823298"/>
      <w:r/>
      <w:bookmarkStart w:id="135" w:name="_Toc16938542"/>
      <w:r/>
      <w:bookmarkStart w:id="136" w:name="_Toc513029226"/>
      <w:r/>
      <w:r/>
    </w:p>
    <w:p>
      <w:pPr>
        <w:ind w:firstLine="480"/>
        <w:keepLines/>
        <w:keepNext/>
        <w:spacing w:line="440" w:lineRule="exact"/>
        <w:rPr>
          <w:rFonts w:ascii="宋体" w:hAnsi="宋体" w:cs="宋体"/>
          <w:bCs/>
          <w:color w:val="000000" w:themeColor="text1"/>
          <w:sz w:val="24"/>
          <w:szCs w:val="24"/>
          <w14:textFill>
            <w14:solidFill>
              <w14:schemeClr w14:val="tx1"/>
            </w14:solidFill>
          </w14:textFill>
        </w:rPr>
        <w:outlineLvl w:val="3"/>
      </w:pPr>
      <w:r>
        <w:rPr>
          <w:rFonts w:hint="eastAsia" w:ascii="宋体" w:hAnsi="宋体" w:cs="宋体"/>
          <w:bCs/>
          <w:color w:val="000000" w:themeColor="text1"/>
          <w:sz w:val="24"/>
          <w:szCs w:val="24"/>
          <w14:textFill>
            <w14:solidFill>
              <w14:schemeClr w14:val="tx1"/>
            </w14:solidFill>
          </w14:textFill>
        </w:rPr>
        <w:t xml:space="preserve">2、投标截止日期</w:t>
      </w:r>
      <w:bookmarkEnd w:id="134"/>
      <w:r/>
      <w:bookmarkEnd w:id="135"/>
      <w:r/>
      <w:bookmarkEnd w:id="136"/>
      <w:r/>
      <w:r/>
    </w:p>
    <w:p>
      <w:pPr>
        <w:ind w:firstLine="789"/>
        <w:spacing w:line="440" w:lineRule="exact"/>
        <w:rPr>
          <w:rFonts w:ascii="宋体" w:hAnsi="宋体" w:cs="宋体"/>
          <w:bCs/>
          <w:iCs/>
          <w:color w:val="000000" w:themeColor="text1"/>
          <w:sz w:val="24"/>
          <w:szCs w:val="24"/>
          <w:u w:val="single"/>
          <w14:textFill>
            <w14:solidFill>
              <w14:schemeClr w14:val="tx1"/>
            </w14:solidFill>
          </w14:textFill>
        </w:rPr>
      </w:pPr>
      <w:r>
        <w:rPr>
          <w:rFonts w:hint="eastAsia" w:ascii="宋体" w:hAnsi="宋体" w:cs="宋体"/>
          <w:iCs/>
          <w:color w:val="000000" w:themeColor="text1"/>
          <w:sz w:val="24"/>
          <w:szCs w:val="24"/>
          <w:u w:val="single"/>
          <w14:textFill>
            <w14:solidFill>
              <w14:schemeClr w14:val="tx1"/>
            </w14:solidFill>
          </w14:textFill>
        </w:rPr>
        <w:t xml:space="preserve">2.1</w:t>
      </w:r>
      <w:r>
        <w:rPr>
          <w:rFonts w:hint="eastAsia" w:ascii="宋体" w:hAnsi="宋体" w:cs="宋体"/>
          <w:bCs/>
          <w:iCs/>
          <w:color w:val="000000" w:themeColor="text1"/>
          <w:sz w:val="24"/>
          <w:szCs w:val="24"/>
          <w:u w:val="single"/>
          <w14:textFill>
            <w14:solidFill>
              <w14:schemeClr w14:val="tx1"/>
            </w14:solidFill>
          </w14:textFill>
        </w:rPr>
        <w:t xml:space="preserve"> 投标人上传电子投标文件的时间不得迟于招标公告中规定的投标截止时间。</w:t>
      </w:r>
      <w:r/>
    </w:p>
    <w:p>
      <w:pPr>
        <w:ind w:firstLine="480"/>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投标人应充分考虑到网络环境、网络带宽等风险因素，如因投标人自身原因造成的电子投标文件上传不成功的按照本招标文件第二章第27.1.2条规定做无效投标处理。</w:t>
      </w:r>
      <w:r/>
    </w:p>
    <w:p>
      <w:pPr>
        <w:ind w:firstLine="789"/>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w:t>
      </w:r>
      <w:r>
        <w:rPr>
          <w:rFonts w:hint="eastAsia" w:ascii="宋体" w:hAnsi="宋体" w:cs="宋体"/>
          <w:bCs/>
          <w:color w:val="000000" w:themeColor="text1"/>
          <w:sz w:val="24"/>
          <w:szCs w:val="24"/>
          <w14:textFill>
            <w14:solidFill>
              <w14:schemeClr w14:val="tx1"/>
            </w14:solidFill>
          </w14:textFill>
        </w:rPr>
        <w:t xml:space="preserve"> 代理机构可以按照规定，通过修改招标文件酌情延长投标截止日期，在此情况下，投标人的所有权利和义务以及投标人受制的截止日期均应以延长后新的截止日期为准。</w:t>
      </w:r>
      <w:r/>
    </w:p>
    <w:p>
      <w:pPr>
        <w:ind w:firstLine="480"/>
        <w:keepLines/>
        <w:keepNext/>
        <w:spacing w:line="440" w:lineRule="exact"/>
        <w:rPr>
          <w:rFonts w:ascii="宋体" w:hAnsi="宋体" w:cs="宋体"/>
          <w:color w:val="000000" w:themeColor="text1"/>
          <w:sz w:val="24"/>
          <w:szCs w:val="24"/>
          <w14:textFill>
            <w14:solidFill>
              <w14:schemeClr w14:val="tx1"/>
            </w14:solidFill>
          </w14:textFill>
        </w:rPr>
        <w:outlineLvl w:val="3"/>
      </w:pPr>
      <w:r/>
      <w:bookmarkStart w:id="137" w:name="_Toc20823299"/>
      <w:r/>
      <w:bookmarkStart w:id="138" w:name="_Toc513029227"/>
      <w:r/>
      <w:bookmarkStart w:id="139" w:name="_Toc16938543"/>
      <w:r>
        <w:rPr>
          <w:rFonts w:hint="eastAsia" w:ascii="宋体" w:hAnsi="宋体" w:cs="宋体"/>
          <w:color w:val="000000" w:themeColor="text1"/>
          <w:sz w:val="24"/>
          <w:szCs w:val="24"/>
          <w14:textFill>
            <w14:solidFill>
              <w14:schemeClr w14:val="tx1"/>
            </w14:solidFill>
          </w14:textFill>
        </w:rPr>
        <w:t xml:space="preserve">3、投标文件</w:t>
      </w:r>
      <w:bookmarkEnd w:id="137"/>
      <w:r/>
      <w:bookmarkEnd w:id="138"/>
      <w:r/>
      <w:bookmarkEnd w:id="139"/>
      <w:r>
        <w:rPr>
          <w:rFonts w:hint="eastAsia" w:ascii="宋体" w:hAnsi="宋体" w:cs="宋体"/>
          <w:color w:val="000000" w:themeColor="text1"/>
          <w:sz w:val="24"/>
          <w:szCs w:val="24"/>
          <w14:textFill>
            <w14:solidFill>
              <w14:schemeClr w14:val="tx1"/>
            </w14:solidFill>
          </w14:textFill>
        </w:rPr>
        <w:t xml:space="preserve">的拒收</w:t>
      </w:r>
      <w:r/>
    </w:p>
    <w:p>
      <w:pPr>
        <w:ind w:firstLine="789"/>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3.1 代理机构拒绝接收在其规定的投标截止时间后上传的任何投标文件。</w:t>
      </w:r>
      <w:r/>
    </w:p>
    <w:p>
      <w:pPr>
        <w:ind w:firstLine="480"/>
        <w:keepLines/>
        <w:keepNext/>
        <w:spacing w:line="440" w:lineRule="exact"/>
        <w:rPr>
          <w:rFonts w:ascii="宋体" w:hAnsi="宋体" w:cs="宋体"/>
          <w:color w:val="000000" w:themeColor="text1"/>
          <w:sz w:val="24"/>
          <w:szCs w:val="24"/>
          <w14:textFill>
            <w14:solidFill>
              <w14:schemeClr w14:val="tx1"/>
            </w14:solidFill>
          </w14:textFill>
        </w:rPr>
        <w:outlineLvl w:val="3"/>
      </w:pPr>
      <w:r/>
      <w:bookmarkStart w:id="140" w:name="_Toc513029228"/>
      <w:r/>
      <w:bookmarkStart w:id="141" w:name="_Toc16938544"/>
      <w:r/>
      <w:bookmarkStart w:id="142" w:name="_Toc20823300"/>
      <w:r>
        <w:rPr>
          <w:rFonts w:hint="eastAsia" w:ascii="宋体" w:hAnsi="宋体" w:cs="宋体"/>
          <w:color w:val="000000" w:themeColor="text1"/>
          <w:sz w:val="24"/>
          <w:szCs w:val="24"/>
          <w14:textFill>
            <w14:solidFill>
              <w14:schemeClr w14:val="tx1"/>
            </w14:solidFill>
          </w14:textFill>
        </w:rPr>
        <w:t xml:space="preserve">4、投标文件的撤回和修改</w:t>
      </w:r>
      <w:bookmarkEnd w:id="140"/>
      <w:r/>
      <w:bookmarkEnd w:id="141"/>
      <w:r/>
      <w:bookmarkEnd w:id="142"/>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4.1 投标文件的撤回</w:t>
      </w:r>
      <w:r/>
    </w:p>
    <w:p>
      <w:pPr>
        <w:ind w:firstLine="96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4.1.1 电子投标文件的撤回</w:t>
      </w:r>
      <w:r/>
    </w:p>
    <w:p>
      <w:pPr>
        <w:ind w:firstLine="48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投标人可在投标截止时间前，撤回其电子投标文件，具体操作方法见《苏采云系统供应商操作手册》。</w:t>
      </w:r>
      <w:r/>
    </w:p>
    <w:p>
      <w:pPr>
        <w:ind w:firstLine="96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4.1.2 投标人撤回电子投标文件，则认为其不再参与本项目投标活动。</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4.2 投标文件的修改</w:t>
      </w:r>
      <w:r/>
    </w:p>
    <w:p>
      <w:pPr>
        <w:ind w:firstLine="96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4.2.1投标人可在投标截止时间前，对其电子投标文件进行修改，具体操作方法见《苏采云系统供应商操作手册》。</w:t>
      </w:r>
      <w:r/>
    </w:p>
    <w:p>
      <w:pPr>
        <w:ind w:firstLine="96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4.2.2 在投标截止时间之后，投标人不得对其电子投标文件作任何修改。</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4.3 在投标截止时间至招标文件中规定的投标有效期满之间的这段时间内，投标人不得撤回其投标。</w:t>
      </w:r>
      <w:r/>
    </w:p>
    <w:p>
      <w:pPr>
        <w:ind w:firstLine="562"/>
        <w:keepLines/>
        <w:keepNext/>
        <w:spacing w:line="440" w:lineRule="exact"/>
        <w:rPr>
          <w:rFonts w:ascii="宋体" w:hAnsi="宋体" w:cs="宋体"/>
          <w:b/>
          <w:bCs/>
          <w:color w:val="000000" w:themeColor="text1"/>
          <w:sz w:val="28"/>
          <w:szCs w:val="28"/>
          <w14:textFill>
            <w14:solidFill>
              <w14:schemeClr w14:val="tx1"/>
            </w14:solidFill>
          </w14:textFill>
        </w:rPr>
        <w:outlineLvl w:val="1"/>
      </w:pPr>
      <w:r/>
      <w:bookmarkStart w:id="143" w:name="_Toc513029229"/>
      <w:r/>
      <w:bookmarkStart w:id="144" w:name="_Toc120614218"/>
      <w:r/>
      <w:bookmarkStart w:id="145" w:name="_Toc20823301"/>
      <w:r/>
      <w:bookmarkStart w:id="146" w:name="_Toc16938545"/>
      <w:r/>
      <w:bookmarkStart w:id="147" w:name="_Toc4550"/>
      <w:r>
        <w:rPr>
          <w:rFonts w:hint="eastAsia" w:ascii="宋体" w:hAnsi="宋体" w:cs="宋体"/>
          <w:b/>
          <w:bCs/>
          <w:color w:val="000000" w:themeColor="text1"/>
          <w:sz w:val="28"/>
          <w:szCs w:val="28"/>
          <w14:textFill>
            <w14:solidFill>
              <w14:schemeClr w14:val="tx1"/>
            </w14:solidFill>
          </w14:textFill>
        </w:rPr>
        <w:t xml:space="preserve">五、开标与评标</w:t>
      </w:r>
      <w:bookmarkEnd w:id="143"/>
      <w:r/>
      <w:bookmarkEnd w:id="144"/>
      <w:r/>
      <w:bookmarkEnd w:id="145"/>
      <w:r/>
      <w:bookmarkEnd w:id="146"/>
      <w:r/>
      <w:bookmarkEnd w:id="147"/>
      <w:r/>
      <w:r/>
    </w:p>
    <w:p>
      <w:pPr>
        <w:ind w:firstLine="480"/>
        <w:keepLines/>
        <w:keepNext/>
        <w:spacing w:line="440" w:lineRule="exact"/>
        <w:rPr>
          <w:rFonts w:ascii="宋体" w:hAnsi="宋体" w:cs="宋体"/>
          <w:color w:val="000000" w:themeColor="text1"/>
          <w:sz w:val="24"/>
          <w:szCs w:val="24"/>
          <w14:textFill>
            <w14:solidFill>
              <w14:schemeClr w14:val="tx1"/>
            </w14:solidFill>
          </w14:textFill>
        </w:rPr>
        <w:outlineLvl w:val="3"/>
      </w:pPr>
      <w:r/>
      <w:bookmarkStart w:id="148" w:name="_Toc513029230"/>
      <w:r/>
      <w:bookmarkStart w:id="149" w:name="_Toc16938546"/>
      <w:r/>
      <w:bookmarkStart w:id="150" w:name="_Toc20823302"/>
      <w:r>
        <w:rPr>
          <w:rFonts w:hint="eastAsia" w:ascii="宋体" w:hAnsi="宋体" w:cs="宋体"/>
          <w:color w:val="000000" w:themeColor="text1"/>
          <w:sz w:val="24"/>
          <w:szCs w:val="24"/>
          <w14:textFill>
            <w14:solidFill>
              <w14:schemeClr w14:val="tx1"/>
            </w14:solidFill>
          </w14:textFill>
        </w:rPr>
        <w:t xml:space="preserve">1、开标</w:t>
      </w:r>
      <w:bookmarkEnd w:id="148"/>
      <w:r/>
      <w:bookmarkEnd w:id="149"/>
      <w:r/>
      <w:bookmarkEnd w:id="150"/>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 代理机构将在招标公告中规定的时间和地点组织公开开标。投标人应当按照《苏采云系统供应商操作手册》规定，参加开标活动和在苏采云系统规定的时间内对投标文件进行解密。</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1.2开标仪式由代理机构组织。苏采云系统将自动对项目进行开标，并宣布各投标人名称和投标价格。</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1.3投标人在开标过程中涉及到的投标文件解密、开标结果确认等工作，应按照《苏采云系统供应商操作手册》规定执行。</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1.4投标人如果对开标过程和开标记录有疑义，应当根据《操作手册》规定提出，如苏采云系统中《开标记录表》宣布后5分钟内未提出的，视同认可开标结果。</w:t>
      </w:r>
      <w:r/>
    </w:p>
    <w:p>
      <w:pPr>
        <w:ind w:firstLine="480"/>
        <w:keepLines/>
        <w:keepNext/>
        <w:spacing w:line="440" w:lineRule="exact"/>
        <w:rPr>
          <w:rFonts w:ascii="宋体" w:hAnsi="宋体" w:cs="宋体"/>
          <w:color w:val="000000" w:themeColor="text1"/>
          <w:sz w:val="24"/>
          <w:szCs w:val="24"/>
          <w14:textFill>
            <w14:solidFill>
              <w14:schemeClr w14:val="tx1"/>
            </w14:solidFill>
          </w14:textFill>
        </w:rPr>
        <w:outlineLvl w:val="3"/>
      </w:pPr>
      <w:r/>
      <w:bookmarkStart w:id="151" w:name="_Toc513029231"/>
      <w:r/>
      <w:bookmarkStart w:id="152" w:name="_Toc20823303"/>
      <w:r/>
      <w:bookmarkStart w:id="153" w:name="_Toc16938547"/>
      <w:r>
        <w:rPr>
          <w:rFonts w:hint="eastAsia" w:ascii="宋体" w:hAnsi="宋体" w:cs="宋体"/>
          <w:color w:val="000000" w:themeColor="text1"/>
          <w:sz w:val="24"/>
          <w:szCs w:val="24"/>
          <w14:textFill>
            <w14:solidFill>
              <w14:schemeClr w14:val="tx1"/>
            </w14:solidFill>
          </w14:textFill>
        </w:rPr>
        <w:t xml:space="preserve">2、评标委员会</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 开标后，代理机构将立即组织评标委员会（以下简称评委会）进行评标。</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 评委会由采购人代表和有关技术、经济等方面的专家组成，且人员构成符合政府采购有关规定。</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2.3评委会独立工作，负责评审所有投标文件并确定中标侯选人。</w:t>
      </w:r>
      <w:r/>
    </w:p>
    <w:p>
      <w:pPr>
        <w:ind w:firstLine="480"/>
        <w:keepLines/>
        <w:keepNext/>
        <w:spacing w:line="440" w:lineRule="exact"/>
        <w:rPr>
          <w:rFonts w:ascii="宋体" w:hAnsi="宋体" w:cs="宋体"/>
          <w:color w:val="000000" w:themeColor="text1"/>
          <w:sz w:val="24"/>
          <w:szCs w:val="24"/>
          <w14:textFill>
            <w14:solidFill>
              <w14:schemeClr w14:val="tx1"/>
            </w14:solidFill>
          </w14:textFill>
        </w:rPr>
        <w:outlineLvl w:val="3"/>
      </w:pPr>
      <w:r>
        <w:rPr>
          <w:rFonts w:hint="eastAsia" w:ascii="宋体" w:hAnsi="宋体" w:cs="宋体"/>
          <w:color w:val="000000" w:themeColor="text1"/>
          <w:sz w:val="24"/>
          <w:szCs w:val="24"/>
          <w14:textFill>
            <w14:solidFill>
              <w14:schemeClr w14:val="tx1"/>
            </w14:solidFill>
          </w14:textFill>
        </w:rPr>
        <w:t xml:space="preserve">3．评标过程的保密与公正</w:t>
      </w:r>
      <w:bookmarkEnd w:id="151"/>
      <w:bookmarkEnd w:id="152"/>
      <w:bookmarkEnd w:id="153"/>
      <w:r/>
    </w:p>
    <w:p>
      <w:pPr>
        <w:ind w:firstLine="789"/>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3.1</w:t>
      </w:r>
      <w:r>
        <w:rPr>
          <w:rFonts w:hint="eastAsia" w:ascii="宋体" w:hAnsi="宋体" w:cs="宋体"/>
          <w:bCs/>
          <w:color w:val="000000" w:themeColor="text1"/>
          <w:sz w:val="24"/>
          <w:szCs w:val="24"/>
          <w14:textFill>
            <w14:solidFill>
              <w14:schemeClr w14:val="tx1"/>
            </w14:solidFill>
          </w14:textFill>
        </w:rPr>
        <w:t xml:space="preserve">凡是与审查、澄清、评价和比较投标的有关资料以及授标建议等，采购人、评委、代理机构均不得向投标人或与评标无关的其他人员透露。</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3.2在评标过程中，投标人不得以任何行为影响评标过程，否则其投标文件将被作为无效投标文件。</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3.3 代理机构和评委会不向未中标的投标人解释未中标原因，也不公布评标过程中的相关细节。</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3.4 采用综合评分法的项目，未中标的投标人可于中标结果公告期限届满之日起通过苏采云系统查看自己的评审得分及排序情况。</w:t>
      </w:r>
      <w:r/>
    </w:p>
    <w:p>
      <w:pPr>
        <w:ind w:firstLine="480"/>
        <w:keepLines/>
        <w:keepNext/>
        <w:spacing w:line="440" w:lineRule="exact"/>
        <w:rPr>
          <w:rFonts w:ascii="宋体" w:hAnsi="宋体" w:cs="宋体"/>
          <w:color w:val="000000" w:themeColor="text1"/>
          <w:sz w:val="24"/>
          <w:szCs w:val="24"/>
          <w14:textFill>
            <w14:solidFill>
              <w14:schemeClr w14:val="tx1"/>
            </w14:solidFill>
          </w14:textFill>
        </w:rPr>
        <w:outlineLvl w:val="3"/>
      </w:pPr>
      <w:r/>
      <w:bookmarkStart w:id="154" w:name="_Toc513029232"/>
      <w:r/>
      <w:bookmarkStart w:id="155" w:name="_Toc16938548"/>
      <w:r/>
      <w:bookmarkStart w:id="156" w:name="_Toc20823304"/>
      <w:r>
        <w:rPr>
          <w:rFonts w:hint="eastAsia" w:ascii="宋体" w:hAnsi="宋体" w:cs="宋体"/>
          <w:color w:val="000000" w:themeColor="text1"/>
          <w:sz w:val="24"/>
          <w:szCs w:val="24"/>
          <w14:textFill>
            <w14:solidFill>
              <w14:schemeClr w14:val="tx1"/>
            </w14:solidFill>
          </w14:textFill>
        </w:rPr>
        <w:t xml:space="preserve">4. 投标文件的澄清</w:t>
      </w:r>
      <w:bookmarkEnd w:id="154"/>
      <w:r/>
      <w:bookmarkEnd w:id="155"/>
      <w:r/>
      <w:bookmarkEnd w:id="156"/>
      <w:r/>
      <w:r/>
    </w:p>
    <w:p>
      <w:pPr>
        <w:ind w:firstLine="789"/>
        <w:spacing w:line="440" w:lineRule="exact"/>
        <w:rPr>
          <w:rFonts w:ascii="宋体" w:hAnsi="宋体" w:cs="宋体"/>
          <w:color w:val="000000" w:themeColor="text1"/>
          <w:sz w:val="24"/>
          <w:szCs w:val="24"/>
          <w14:textFill>
            <w14:solidFill>
              <w14:schemeClr w14:val="tx1"/>
            </w14:solidFill>
          </w14:textFill>
        </w:rPr>
      </w:pPr>
      <w:r/>
      <w:bookmarkStart w:id="157" w:name="_Toc16938549"/>
      <w:r/>
      <w:bookmarkStart w:id="158" w:name="_Toc20823305"/>
      <w:r/>
      <w:bookmarkStart w:id="159" w:name="_Toc513029233"/>
      <w:r>
        <w:rPr>
          <w:rFonts w:hint="eastAsia" w:ascii="宋体" w:hAnsi="宋体" w:cs="宋体"/>
          <w:color w:val="000000" w:themeColor="text1"/>
          <w:sz w:val="24"/>
          <w:szCs w:val="24"/>
          <w14:textFill>
            <w14:solidFill>
              <w14:schemeClr w14:val="tx1"/>
            </w14:solidFill>
          </w14:textFill>
        </w:rPr>
        <w:t xml:space="preserve">4.1评标期间，评委会对投标文件中含义不明确、同类问题表述不一致或者有明显文字和计算错误的内容 ，有权要求投标人作出必要的澄清、说明或者补正。</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投标人的澄清、说明或者补正不得超出投标文件的范围或者改变投标文件的实质性内容。</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评标委员会并非对每个投标人都做澄清要求。</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苏采云系统供应商操作手册》。</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4.3 接到评委会澄清、说明和补正要求的投标人如未按规定做出澄清、说明和补正，其风险由投标人自行承担。</w:t>
      </w:r>
      <w:r/>
    </w:p>
    <w:p>
      <w:pPr>
        <w:ind w:firstLine="480"/>
        <w:keepLines/>
        <w:keepNext/>
        <w:spacing w:line="440" w:lineRule="exact"/>
        <w:rPr>
          <w:rFonts w:ascii="宋体" w:hAnsi="宋体" w:cs="宋体"/>
          <w:color w:val="000000" w:themeColor="text1"/>
          <w:sz w:val="24"/>
          <w:szCs w:val="24"/>
          <w14:textFill>
            <w14:solidFill>
              <w14:schemeClr w14:val="tx1"/>
            </w14:solidFill>
          </w14:textFill>
        </w:rPr>
        <w:outlineLvl w:val="3"/>
      </w:pPr>
      <w:r>
        <w:rPr>
          <w:rFonts w:hint="eastAsia" w:ascii="宋体" w:hAnsi="宋体" w:cs="宋体"/>
          <w:color w:val="000000" w:themeColor="text1"/>
          <w:sz w:val="24"/>
          <w:szCs w:val="24"/>
          <w14:textFill>
            <w14:solidFill>
              <w14:schemeClr w14:val="tx1"/>
            </w14:solidFill>
          </w14:textFill>
        </w:rPr>
        <w:t xml:space="preserve">5. 对投标文件的初审</w:t>
      </w:r>
      <w:bookmarkEnd w:id="157"/>
      <w:r/>
      <w:bookmarkEnd w:id="158"/>
      <w:r/>
      <w:bookmarkEnd w:id="159"/>
      <w:r/>
      <w:r/>
    </w:p>
    <w:p>
      <w:pPr>
        <w:ind w:firstLine="789"/>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5.1</w:t>
      </w:r>
      <w:r>
        <w:rPr>
          <w:rFonts w:hint="eastAsia" w:ascii="宋体" w:hAnsi="宋体" w:cs="宋体"/>
          <w:bCs/>
          <w:color w:val="000000" w:themeColor="text1"/>
          <w:sz w:val="24"/>
          <w:szCs w:val="24"/>
          <w14:textFill>
            <w14:solidFill>
              <w14:schemeClr w14:val="tx1"/>
            </w14:solidFill>
          </w14:textFill>
        </w:rPr>
        <w:t xml:space="preserve">投标文件初审分为资格审查和符合性审查。</w:t>
      </w:r>
      <w:r/>
    </w:p>
    <w:p>
      <w:pPr>
        <w:ind w:firstLine="1027"/>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5.1.1 资格审查：依据法律法规和招标文件的规定，由采购人对投标文件中的资格证明文件进行审查。资格审查的结论，采购人以书面形式向评委会进行反馈。</w:t>
      </w:r>
      <w:r/>
    </w:p>
    <w:p>
      <w:pPr>
        <w:ind w:firstLine="789"/>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采购人在进行资格性审查的同时，将在</w:t>
      </w:r>
      <w:r>
        <w:rPr>
          <w:rFonts w:hint="eastAsia" w:cs="宋体"/>
          <w:color w:val="000000" w:themeColor="text1"/>
          <w:sz w:val="24"/>
          <w:szCs w:val="24"/>
          <w14:textFill>
            <w14:solidFill>
              <w14:schemeClr w14:val="tx1"/>
            </w14:solidFill>
          </w14:textFill>
        </w:rPr>
        <w:t xml:space="preserve">中国政府采购网</w:t>
      </w:r>
      <w:r>
        <w:rPr>
          <w:rFonts w:cs="宋体"/>
          <w:color w:val="000000" w:themeColor="text1"/>
          <w:sz w:val="24"/>
          <w:szCs w:val="24"/>
          <w14:textFill>
            <w14:solidFill>
              <w14:schemeClr w14:val="tx1"/>
            </w14:solidFill>
          </w14:textFill>
        </w:rPr>
        <w:t xml:space="preserve">(http://www.ccgp.gov.cn/search/cr/)、信用中国（https://www.creditchina.gov.cn/）、信用江苏（http://credit.jiangsu.gov.cn/）、信用中国（江苏苏州）（https://credit.suzhou.gov.cn/）</w:t>
      </w:r>
      <w:r>
        <w:rPr>
          <w:rFonts w:hint="eastAsia" w:ascii="宋体" w:hAnsi="宋体" w:cs="宋体"/>
          <w:bCs/>
          <w:color w:val="000000" w:themeColor="text1"/>
          <w:sz w:val="24"/>
          <w:szCs w:val="24"/>
          <w14:textFill>
            <w14:solidFill>
              <w14:schemeClr w14:val="tx1"/>
            </w14:solidFill>
          </w14:textFill>
        </w:rPr>
        <w:t xml:space="preserve">等查询投标人的信用记录，以确定投标人是否具备投标资格,查询结果留存并归档。</w:t>
      </w:r>
      <w:r/>
    </w:p>
    <w:p>
      <w:pPr>
        <w:ind w:firstLine="789"/>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1027"/>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5.1.2 符合性审查：依据招标文件的规定，由评委会从投标文件的有效性、完整性和对招标文件的响应程度进行审查，以确定是否对招标文件的实质性要求作出响应。</w:t>
      </w:r>
      <w:r/>
    </w:p>
    <w:p>
      <w:pPr>
        <w:ind w:firstLine="1027"/>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5.1.3 未通过资格审查或符合性审查的投标人，代理机构将在苏采云系统中告知未通过资格审查或符合性审查的原因，评审结束后，代理机构将不再告知未通过资格审查或符合性审查的原因。</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cs="宋体"/>
          <w:bCs/>
          <w:color w:val="000000" w:themeColor="text1"/>
          <w:sz w:val="24"/>
          <w:szCs w:val="24"/>
          <w14:textFill>
            <w14:solidFill>
              <w14:schemeClr w14:val="tx1"/>
            </w14:solidFill>
          </w14:textFill>
        </w:rPr>
        <w:t xml:space="preserve">评委决定投标文件的响应性只根据投标文件本身的内容，而不寻求外部的证据。</w:t>
      </w:r>
      <w:r/>
    </w:p>
    <w:p>
      <w:pPr>
        <w:ind w:firstLine="789"/>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5.3</w:t>
      </w:r>
      <w:r>
        <w:rPr>
          <w:rFonts w:hint="eastAsia" w:ascii="宋体" w:hAnsi="宋体" w:cs="宋体"/>
          <w:bCs/>
          <w:color w:val="000000" w:themeColor="text1"/>
          <w:sz w:val="24"/>
          <w:szCs w:val="24"/>
          <w14:textFill>
            <w14:solidFill>
              <w14:schemeClr w14:val="tx1"/>
            </w14:solidFill>
          </w14:textFill>
        </w:rPr>
        <w:t xml:space="preserve">如果投标文件实质上没有响应招标文件的要求，评委会将予以拒绝，投标人不得通过修改或撤销不合要求的偏离或保留而使其投标成为实质性响应的投标。</w:t>
      </w:r>
      <w:r/>
    </w:p>
    <w:p>
      <w:pPr>
        <w:ind w:firstLine="789"/>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5.4</w:t>
      </w:r>
      <w:r>
        <w:rPr>
          <w:rFonts w:hint="eastAsia" w:ascii="宋体" w:hAnsi="宋体" w:cs="宋体"/>
          <w:bCs/>
          <w:color w:val="000000" w:themeColor="text1"/>
          <w:sz w:val="24"/>
          <w:szCs w:val="24"/>
          <w14:textFill>
            <w14:solidFill>
              <w14:schemeClr w14:val="tx1"/>
            </w14:solidFill>
          </w14:textFill>
        </w:rPr>
        <w:t xml:space="preserve">评委会将对确定为实质性响应的投标进行进一步审核，看其是否有计算上或累加上的算术错误，修正错误的原则如下：</w:t>
      </w:r>
      <w:r/>
    </w:p>
    <w:p>
      <w:pPr>
        <w:ind w:firstLine="789"/>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（1）投标文件中开标一览表内容与投标文件中相应内容不一致的，以开标一览表为准。</w:t>
      </w:r>
      <w:r/>
    </w:p>
    <w:p>
      <w:pPr>
        <w:ind w:firstLine="789"/>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（2）大写金额和小写金额不一致的，以大写金额为准。</w:t>
      </w:r>
      <w:r/>
    </w:p>
    <w:p>
      <w:pPr>
        <w:ind w:firstLine="789"/>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（3）单价金额小数点或者百分比有明显错位的，以开标一览表的总价为准，并修改单价。</w:t>
      </w:r>
      <w:r/>
    </w:p>
    <w:p>
      <w:pPr>
        <w:ind w:firstLine="789"/>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（4）总价金额与按单价汇总金额不一致的，以单价金额计算结果为准。</w:t>
      </w:r>
      <w:r/>
    </w:p>
    <w:p>
      <w:pPr>
        <w:ind w:firstLine="960"/>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同时出现两种以上错误的，按照前款规定的顺序修正。</w:t>
      </w:r>
      <w:r/>
    </w:p>
    <w:p>
      <w:pPr>
        <w:ind w:firstLine="789"/>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5.5</w:t>
      </w:r>
      <w:r>
        <w:rPr>
          <w:rFonts w:hint="eastAsia" w:ascii="宋体" w:hAnsi="宋体" w:cs="宋体"/>
          <w:bCs/>
          <w:color w:val="000000" w:themeColor="text1"/>
          <w:sz w:val="24"/>
          <w:szCs w:val="24"/>
          <w14:textFill>
            <w14:solidFill>
              <w14:schemeClr w14:val="tx1"/>
            </w14:solidFill>
          </w14:textFill>
        </w:rPr>
        <w:t xml:space="preserve">评委会将按上述修正错误的方法调整投标文件中的投标报价，并通过</w:t>
      </w:r>
      <w:r>
        <w:rPr>
          <w:rFonts w:hint="eastAsia" w:ascii="宋体" w:hAnsi="宋体" w:cs="宋体"/>
          <w:color w:val="000000" w:themeColor="text1"/>
          <w:sz w:val="24"/>
          <w:szCs w:val="24"/>
          <w14:textFill>
            <w14:solidFill>
              <w14:schemeClr w14:val="tx1"/>
            </w14:solidFill>
          </w14:textFill>
        </w:rPr>
        <w:t xml:space="preserve">苏采云系统</w:t>
      </w:r>
      <w:r>
        <w:rPr>
          <w:rFonts w:hint="eastAsia" w:ascii="宋体" w:hAnsi="宋体" w:cs="宋体"/>
          <w:bCs/>
          <w:color w:val="000000" w:themeColor="text1"/>
          <w:sz w:val="24"/>
          <w:szCs w:val="24"/>
          <w14:textFill>
            <w14:solidFill>
              <w14:schemeClr w14:val="tx1"/>
            </w14:solidFill>
          </w14:textFill>
        </w:rPr>
        <w:t xml:space="preserve">告知投标人，调整后的价格应对投标人具有约束力。如果投标人不接受修正后的价格，则其投标将被拒绝。</w:t>
      </w:r>
      <w:r/>
    </w:p>
    <w:p>
      <w:pPr>
        <w:ind w:firstLine="789"/>
        <w:spacing w:line="440" w:lineRule="exact"/>
        <w:rPr>
          <w:rFonts w:ascii="宋体" w:hAnsi="宋体" w:cs="宋体"/>
          <w:color w:val="000000" w:themeColor="text1"/>
          <w:sz w:val="24"/>
          <w:szCs w:val="24"/>
          <w14:textFill>
            <w14:solidFill>
              <w14:schemeClr w14:val="tx1"/>
            </w14:solidFill>
          </w14:textFill>
        </w:rPr>
      </w:pPr>
      <w:r/>
      <w:bookmarkStart w:id="160" w:name="_Toc20823306"/>
      <w:r/>
      <w:bookmarkStart w:id="161" w:name="_Toc16938550"/>
      <w:r/>
      <w:bookmarkStart w:id="162" w:name="_Toc513029234"/>
      <w:r>
        <w:rPr>
          <w:rFonts w:hint="eastAsia" w:ascii="宋体" w:hAnsi="宋体" w:cs="宋体"/>
          <w:color w:val="000000" w:themeColor="text1"/>
          <w:sz w:val="24"/>
          <w:szCs w:val="24"/>
          <w14:textFill>
            <w14:solidFill>
              <w14:schemeClr w14:val="tx1"/>
            </w14:solidFill>
          </w14:textFill>
        </w:rPr>
        <w:t xml:space="preserve">5.6使用综合评分法的采购项目，评委会将对通过资格性和符合性检查的投标人进行综合评审，按评审后得分由高到低顺序排列。评审得分相同的，由</w:t>
      </w:r>
      <w:r>
        <w:rPr>
          <w:rFonts w:hint="eastAsia" w:ascii="宋体" w:hAnsi="宋体" w:cs="宋体"/>
          <w:bCs/>
          <w:color w:val="000000" w:themeColor="text1"/>
          <w:sz w:val="24"/>
          <w:szCs w:val="24"/>
          <w14:textFill>
            <w14:solidFill>
              <w14:schemeClr w14:val="tx1"/>
            </w14:solidFill>
          </w14:textFill>
        </w:rPr>
        <w:t xml:space="preserve">评委会</w:t>
      </w:r>
      <w:r>
        <w:rPr>
          <w:rFonts w:hint="eastAsia" w:ascii="宋体" w:hAnsi="宋体" w:cs="宋体"/>
          <w:color w:val="000000" w:themeColor="text1"/>
          <w:sz w:val="24"/>
          <w:szCs w:val="24"/>
          <w14:textFill>
            <w14:solidFill>
              <w14:schemeClr w14:val="tx1"/>
            </w14:solidFill>
          </w14:textFill>
        </w:rPr>
        <w:t xml:space="preserve">根据招标文件规定的方式（招标文件未规定的采取随机抽取的方式）确定一个中标候选人。</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5.7投标人在开、评标全过程中应保持通讯畅通，及时登录苏采云系统查阅、答复相关信息，并安排专人与代理机构及</w:t>
      </w:r>
      <w:r>
        <w:rPr>
          <w:rFonts w:hint="eastAsia" w:ascii="宋体" w:hAnsi="宋体" w:cs="宋体"/>
          <w:bCs/>
          <w:color w:val="000000" w:themeColor="text1"/>
          <w:sz w:val="24"/>
          <w:szCs w:val="24"/>
          <w14:textFill>
            <w14:solidFill>
              <w14:schemeClr w14:val="tx1"/>
            </w14:solidFill>
          </w14:textFill>
        </w:rPr>
        <w:t xml:space="preserve">评委会</w:t>
      </w:r>
      <w:r>
        <w:rPr>
          <w:rFonts w:hint="eastAsia" w:ascii="宋体" w:hAnsi="宋体" w:cs="宋体"/>
          <w:color w:val="000000" w:themeColor="text1"/>
          <w:sz w:val="24"/>
          <w:szCs w:val="24"/>
          <w14:textFill>
            <w14:solidFill>
              <w14:schemeClr w14:val="tx1"/>
            </w14:solidFill>
          </w14:textFill>
        </w:rPr>
        <w:t xml:space="preserve">联系。</w:t>
      </w:r>
      <w:r/>
    </w:p>
    <w:p>
      <w:pPr>
        <w:ind w:firstLine="480"/>
        <w:keepLines/>
        <w:keepNext/>
        <w:spacing w:line="440" w:lineRule="exact"/>
        <w:rPr>
          <w:rFonts w:ascii="宋体" w:hAnsi="宋体" w:cs="宋体"/>
          <w:color w:val="000000" w:themeColor="text1"/>
          <w:sz w:val="24"/>
          <w:szCs w:val="24"/>
          <w14:textFill>
            <w14:solidFill>
              <w14:schemeClr w14:val="tx1"/>
            </w14:solidFill>
          </w14:textFill>
        </w:rPr>
        <w:outlineLvl w:val="3"/>
      </w:pPr>
      <w:r>
        <w:rPr>
          <w:rFonts w:hint="eastAsia" w:ascii="宋体" w:hAnsi="宋体" w:cs="宋体"/>
          <w:color w:val="000000" w:themeColor="text1"/>
          <w:sz w:val="24"/>
          <w:szCs w:val="24"/>
          <w14:textFill>
            <w14:solidFill>
              <w14:schemeClr w14:val="tx1"/>
            </w14:solidFill>
          </w14:textFill>
        </w:rPr>
        <w:t xml:space="preserve">6</w:t>
      </w:r>
      <w:bookmarkEnd w:id="160"/>
      <w:r/>
      <w:bookmarkEnd w:id="161"/>
      <w:r/>
      <w:bookmarkEnd w:id="162"/>
      <w:r>
        <w:rPr>
          <w:rFonts w:hint="eastAsia" w:ascii="宋体" w:hAnsi="宋体" w:cs="宋体"/>
          <w:color w:val="000000" w:themeColor="text1"/>
          <w:sz w:val="24"/>
          <w:szCs w:val="24"/>
          <w14:textFill>
            <w14:solidFill>
              <w14:schemeClr w14:val="tx1"/>
            </w14:solidFill>
          </w14:textFill>
        </w:rPr>
        <w:t xml:space="preserve">.无效投标条款和废标条款</w:t>
      </w:r>
      <w:r/>
    </w:p>
    <w:p>
      <w:pPr>
        <w:ind w:firstLine="789"/>
        <w:spacing w:line="440" w:lineRule="exact"/>
        <w:rPr>
          <w:rFonts w:ascii="宋体" w:hAnsi="宋体" w:cs="宋体"/>
          <w:color w:val="000000" w:themeColor="text1"/>
          <w:sz w:val="24"/>
          <w:szCs w:val="24"/>
          <w14:textFill>
            <w14:solidFill>
              <w14:schemeClr w14:val="tx1"/>
            </w14:solidFill>
          </w14:textFill>
        </w:rPr>
      </w:pPr>
      <w:r/>
      <w:bookmarkStart w:id="163" w:name="_Toc16938551"/>
      <w:r/>
      <w:bookmarkStart w:id="164" w:name="_Toc20823307"/>
      <w:r/>
      <w:bookmarkStart w:id="165" w:name="_Toc513029235"/>
      <w:r>
        <w:rPr>
          <w:rFonts w:hint="eastAsia" w:ascii="宋体" w:hAnsi="宋体" w:cs="宋体"/>
          <w:color w:val="000000" w:themeColor="text1"/>
          <w:sz w:val="24"/>
          <w:szCs w:val="24"/>
          <w14:textFill>
            <w14:solidFill>
              <w14:schemeClr w14:val="tx1"/>
            </w14:solidFill>
          </w14:textFill>
        </w:rPr>
        <w:t xml:space="preserve">6.1无效投标条款</w:t>
      </w:r>
      <w:r/>
    </w:p>
    <w:p>
      <w:pPr>
        <w:ind w:firstLine="1027"/>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6.1.1 投标人在苏采云系统规定的时间内未成功解密电子投标文件的。</w:t>
      </w:r>
      <w:r/>
    </w:p>
    <w:p>
      <w:pPr>
        <w:ind w:firstLine="1027"/>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6.1.2 投标人未按照招标文件要求上传电子投标文件的。</w:t>
      </w:r>
      <w:r/>
    </w:p>
    <w:p>
      <w:pPr>
        <w:ind w:firstLine="1027"/>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6.1.3同一投标人提交两个（含两个）以上不同的投标报价的。</w:t>
      </w:r>
      <w:r/>
    </w:p>
    <w:p>
      <w:pPr>
        <w:ind w:firstLine="1027"/>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6.1.4投标人不具备招标文件中规定资格要求的。</w:t>
      </w:r>
      <w:r/>
    </w:p>
    <w:p>
      <w:pPr>
        <w:ind w:firstLine="1027"/>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6.1.5投标人的报价超过了采购预算或最高限价的。</w:t>
      </w:r>
      <w:r/>
    </w:p>
    <w:p>
      <w:pPr>
        <w:ind w:firstLine="1027"/>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6.1.6未通过符合性审查的。</w:t>
      </w:r>
      <w:r/>
    </w:p>
    <w:p>
      <w:pPr>
        <w:ind w:firstLine="1027"/>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6.1.7不符合招标文件中规定的实质性要求和条件的</w:t>
      </w:r>
      <w:r>
        <w:rPr>
          <w:rFonts w:hint="eastAsia" w:ascii="宋体" w:hAnsi="宋体"/>
          <w:bCs/>
          <w:color w:val="000000" w:themeColor="text1"/>
          <w:sz w:val="24"/>
          <w:szCs w:val="21"/>
          <w14:textFill>
            <w14:solidFill>
              <w14:schemeClr w14:val="tx1"/>
            </w14:solidFill>
          </w14:textFill>
        </w:rPr>
        <w:t xml:space="preserve">（</w:t>
      </w:r>
      <w:r>
        <w:rPr>
          <w:rFonts w:hint="eastAsia" w:ascii="宋体" w:hAnsi="宋体"/>
          <w:bCs/>
          <w:i/>
          <w:color w:val="000000" w:themeColor="text1"/>
          <w:sz w:val="24"/>
          <w:szCs w:val="21"/>
          <w:u w:val="single"/>
          <w14:textFill>
            <w14:solidFill>
              <w14:schemeClr w14:val="tx1"/>
            </w14:solidFill>
          </w14:textFill>
        </w:rPr>
        <w:t xml:space="preserve">本招标文件中斜体且有下划线部分为实质性要求和条件）</w:t>
      </w:r>
      <w:r>
        <w:rPr>
          <w:rFonts w:hint="eastAsia" w:ascii="宋体" w:hAnsi="宋体" w:cs="宋体"/>
          <w:bCs/>
          <w:color w:val="000000" w:themeColor="text1"/>
          <w:sz w:val="24"/>
          <w:szCs w:val="24"/>
          <w14:textFill>
            <w14:solidFill>
              <w14:schemeClr w14:val="tx1"/>
            </w14:solidFill>
          </w14:textFill>
        </w:rPr>
        <w:t xml:space="preserve">。</w:t>
      </w:r>
      <w:r/>
    </w:p>
    <w:p>
      <w:pPr>
        <w:ind w:firstLine="1027"/>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6.1.8 投标人在中国政府采购网、信用中国网站、信用江苏网站、信用中国（江苏苏州）网站存在下列依法拒绝投标人参加政府采购的失信信息的。</w:t>
      </w:r>
      <w:r/>
    </w:p>
    <w:p>
      <w:pPr>
        <w:ind w:firstLine="72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（1）政府采购严重违法记录，即投标人被全国各级财政部门列入“政府采购严重违法失信行为记录名单”，且在处罚有效期内的。</w:t>
      </w:r>
      <w:r/>
    </w:p>
    <w:p>
      <w:pPr>
        <w:ind w:firstLine="72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财政部门与法院、工商、税务等部门联合惩戒的失信信息，包括：1）被列入失信被执行人名单；2）被列入重大税收违法案件当事人名单；3）企业经营异常名录中被责令停产停业、暂扣或者吊销许可证或者执照，或者对经营活动中的违法行为处以较大数额罚款（较大数额罚款为200万元以上的罚款，法律、行政法规以及国务院有关部门明确规定相关领域“较大数额罚款”标准高于200万元的，从其规定。）的信用记录。处罚生效日至提交投标文件日未满三年的。</w:t>
      </w:r>
      <w:r/>
    </w:p>
    <w:p>
      <w:pPr>
        <w:ind w:firstLine="1027"/>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6.1.9  投标文件含有采购人不能接受的附加条件的。</w:t>
      </w:r>
      <w:r/>
    </w:p>
    <w:p>
      <w:pPr>
        <w:ind w:firstLine="1027"/>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6.1.10评标委员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标委员会应当将其作为无效投标处理。</w:t>
      </w:r>
      <w:r/>
    </w:p>
    <w:p>
      <w:pPr>
        <w:ind w:firstLine="1027"/>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1027"/>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6.1.12 投标文件未按照招标文件要求加盖CA电子公章的。</w:t>
      </w:r>
      <w:r/>
    </w:p>
    <w:p>
      <w:pPr>
        <w:ind w:firstLine="1027"/>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6.1.13其他法律、法规及本招标文件规定的属无效投标的情形。</w:t>
      </w:r>
      <w:r/>
    </w:p>
    <w:p>
      <w:pPr>
        <w:ind w:left="479" w:firstLine="240"/>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6.2废标条款</w:t>
      </w:r>
      <w:r/>
    </w:p>
    <w:p>
      <w:pPr>
        <w:ind w:left="479" w:firstLine="480"/>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6.2.1符合专业条件的供应商或者对招标文件作实质响应的供应商不足三家的。</w:t>
      </w:r>
      <w:r/>
    </w:p>
    <w:p>
      <w:pPr>
        <w:ind w:left="479" w:firstLine="480"/>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6.2.2出现影响采购公正的违法、违规行为的。</w:t>
      </w:r>
      <w:r/>
    </w:p>
    <w:p>
      <w:pPr>
        <w:ind w:left="479" w:firstLine="480"/>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6.2.3因重大变故，采购任务取消的。</w:t>
      </w:r>
      <w:r/>
    </w:p>
    <w:p>
      <w:pPr>
        <w:ind w:left="479" w:firstLine="480"/>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6.2.4评标委员会认定招标文件存在歧义、重大缺陷导致评审工作无法进行。</w:t>
      </w:r>
      <w:r/>
    </w:p>
    <w:p>
      <w:pPr>
        <w:ind w:left="479" w:firstLine="480"/>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6.2.5 因</w:t>
      </w:r>
      <w:r>
        <w:rPr>
          <w:rFonts w:hint="eastAsia" w:ascii="宋体" w:hAnsi="宋体" w:cs="宋体"/>
          <w:color w:val="000000" w:themeColor="text1"/>
          <w:sz w:val="24"/>
          <w:szCs w:val="24"/>
          <w14:textFill>
            <w14:solidFill>
              <w14:schemeClr w14:val="tx1"/>
            </w14:solidFill>
          </w14:textFill>
        </w:rPr>
        <w:t xml:space="preserve">苏采云系统</w:t>
      </w:r>
      <w:r>
        <w:rPr>
          <w:rFonts w:hint="eastAsia" w:ascii="宋体" w:hAnsi="宋体" w:cs="宋体"/>
          <w:bCs/>
          <w:color w:val="000000" w:themeColor="text1"/>
          <w:sz w:val="24"/>
          <w:szCs w:val="24"/>
          <w14:textFill>
            <w14:solidFill>
              <w14:schemeClr w14:val="tx1"/>
            </w14:solidFill>
          </w14:textFill>
        </w:rPr>
        <w:t xml:space="preserve">系统故障原因造成开标不成功的。</w:t>
      </w:r>
      <w:r/>
    </w:p>
    <w:p>
      <w:pPr>
        <w:ind w:left="479" w:firstLine="240"/>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6.3 投标截止时间结束后参加投标的供应商不足三家的处理：</w:t>
      </w:r>
      <w:r/>
    </w:p>
    <w:p>
      <w:pPr>
        <w:ind w:firstLine="1027"/>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6.3.1如出现投标截止时间结束后参加投标的供应商或者在评标期间对招标文件做出实质响应的供应商不足三家情况，按政府采购相关规定执行。</w:t>
      </w:r>
      <w:r/>
    </w:p>
    <w:p>
      <w:pPr>
        <w:ind w:firstLine="562"/>
        <w:keepLines/>
        <w:keepNext/>
        <w:spacing w:line="440" w:lineRule="exact"/>
        <w:rPr>
          <w:rFonts w:ascii="宋体" w:hAnsi="宋体" w:cs="宋体"/>
          <w:b/>
          <w:bCs/>
          <w:color w:val="000000" w:themeColor="text1"/>
          <w:sz w:val="28"/>
          <w:szCs w:val="28"/>
          <w14:textFill>
            <w14:solidFill>
              <w14:schemeClr w14:val="tx1"/>
            </w14:solidFill>
          </w14:textFill>
        </w:rPr>
        <w:outlineLvl w:val="1"/>
      </w:pPr>
      <w:r/>
      <w:bookmarkStart w:id="166" w:name="_Toc120614219"/>
      <w:r/>
      <w:bookmarkStart w:id="167" w:name="_Toc1596"/>
      <w:r>
        <w:rPr>
          <w:rFonts w:hint="eastAsia" w:ascii="宋体" w:hAnsi="宋体" w:cs="宋体"/>
          <w:b/>
          <w:bCs/>
          <w:color w:val="000000" w:themeColor="text1"/>
          <w:sz w:val="28"/>
          <w:szCs w:val="28"/>
          <w14:textFill>
            <w14:solidFill>
              <w14:schemeClr w14:val="tx1"/>
            </w14:solidFill>
          </w14:textFill>
        </w:rPr>
        <w:t xml:space="preserve">六、</w:t>
      </w:r>
      <w:bookmarkEnd w:id="163"/>
      <w:r/>
      <w:bookmarkEnd w:id="164"/>
      <w:r/>
      <w:bookmarkEnd w:id="165"/>
      <w:r>
        <w:rPr>
          <w:rFonts w:hint="eastAsia" w:ascii="宋体" w:hAnsi="宋体" w:cs="宋体"/>
          <w:b/>
          <w:bCs/>
          <w:color w:val="000000" w:themeColor="text1"/>
          <w:sz w:val="28"/>
          <w:szCs w:val="28"/>
          <w14:textFill>
            <w14:solidFill>
              <w14:schemeClr w14:val="tx1"/>
            </w14:solidFill>
          </w14:textFill>
        </w:rPr>
        <w:t xml:space="preserve">定标</w:t>
      </w:r>
      <w:bookmarkEnd w:id="166"/>
      <w:r/>
      <w:bookmarkEnd w:id="167"/>
      <w:r/>
      <w:r/>
    </w:p>
    <w:p>
      <w:pPr>
        <w:ind w:firstLine="480"/>
        <w:keepLines/>
        <w:keepNext/>
        <w:spacing w:line="440" w:lineRule="exact"/>
        <w:rPr>
          <w:rFonts w:ascii="宋体" w:hAnsi="宋体" w:cs="宋体"/>
          <w:bCs/>
          <w:color w:val="000000" w:themeColor="text1"/>
          <w:sz w:val="24"/>
          <w:szCs w:val="24"/>
          <w14:textFill>
            <w14:solidFill>
              <w14:schemeClr w14:val="tx1"/>
            </w14:solidFill>
          </w14:textFill>
        </w:rPr>
        <w:outlineLvl w:val="3"/>
      </w:pPr>
      <w:r/>
      <w:bookmarkStart w:id="168" w:name="_Toc513029238"/>
      <w:r/>
      <w:bookmarkStart w:id="169" w:name="_Toc20823310"/>
      <w:r/>
      <w:bookmarkStart w:id="170" w:name="_Toc16938554"/>
      <w:r>
        <w:rPr>
          <w:rFonts w:hint="eastAsia" w:ascii="宋体" w:hAnsi="宋体" w:cs="宋体"/>
          <w:bCs/>
          <w:color w:val="000000" w:themeColor="text1"/>
          <w:sz w:val="24"/>
          <w:szCs w:val="24"/>
          <w14:textFill>
            <w14:solidFill>
              <w14:schemeClr w14:val="tx1"/>
            </w14:solidFill>
          </w14:textFill>
        </w:rPr>
        <w:t xml:space="preserve">1、</w:t>
      </w:r>
      <w:bookmarkEnd w:id="168"/>
      <w:r>
        <w:rPr>
          <w:rFonts w:hint="eastAsia" w:ascii="宋体" w:hAnsi="宋体" w:cs="宋体"/>
          <w:bCs/>
          <w:color w:val="000000" w:themeColor="text1"/>
          <w:sz w:val="24"/>
          <w:szCs w:val="24"/>
          <w14:textFill>
            <w14:solidFill>
              <w14:schemeClr w14:val="tx1"/>
            </w14:solidFill>
          </w14:textFill>
        </w:rPr>
        <w:t xml:space="preserve">确定</w:t>
      </w:r>
      <w:bookmarkEnd w:id="169"/>
      <w:r/>
      <w:bookmarkEnd w:id="170"/>
      <w:r>
        <w:rPr>
          <w:rFonts w:hint="eastAsia" w:ascii="宋体" w:hAnsi="宋体" w:cs="宋体"/>
          <w:bCs/>
          <w:color w:val="000000" w:themeColor="text1"/>
          <w:sz w:val="24"/>
          <w:szCs w:val="24"/>
          <w14:textFill>
            <w14:solidFill>
              <w14:schemeClr w14:val="tx1"/>
            </w14:solidFill>
          </w14:textFill>
        </w:rPr>
        <w:t xml:space="preserve">中标单位</w:t>
      </w:r>
      <w:r/>
    </w:p>
    <w:p>
      <w:pPr>
        <w:ind w:firstLine="789"/>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1.1中标候选人的选取原则和数量见招标文件第五章规定。 </w:t>
      </w:r>
      <w:r/>
    </w:p>
    <w:p>
      <w:pPr>
        <w:ind w:firstLine="789"/>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1.2 采购人应根据评委会推荐的中标候选人确定中标人。</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1.3 </w:t>
      </w:r>
      <w:r>
        <w:rPr>
          <w:rFonts w:hint="eastAsia" w:ascii="宋体" w:hAnsi="宋体" w:cs="宋体"/>
          <w:color w:val="000000" w:themeColor="text1"/>
          <w:sz w:val="24"/>
          <w:szCs w:val="24"/>
          <w14:textFill>
            <w14:solidFill>
              <w14:schemeClr w14:val="tx1"/>
            </w14:solidFill>
          </w14:textFill>
        </w:rPr>
        <w:t xml:space="preserve">代理机构将在指定媒体上发布中标公告，公告期限为1个工作日。</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1.4  若有充分证据证明，中标人出现下列情况之一的，一经查实，将被取消中标资格：</w:t>
      </w:r>
      <w:r/>
    </w:p>
    <w:p>
      <w:pPr>
        <w:ind w:firstLine="1027"/>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1.4.1提供虚假材料谋取中标的。</w:t>
      </w:r>
      <w:r/>
    </w:p>
    <w:p>
      <w:pPr>
        <w:ind w:firstLine="1027"/>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1.4.2向采购人、代理机构行贿或者提供其他不正当利益的。</w:t>
      </w:r>
      <w:r/>
    </w:p>
    <w:p>
      <w:pPr>
        <w:ind w:firstLine="1027"/>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1.4.3属于本文件规定的无效条件，但在评标过程中又未被评委会发现的。</w:t>
      </w:r>
      <w:r/>
    </w:p>
    <w:p>
      <w:pPr>
        <w:ind w:firstLine="1027"/>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1.4.4与采购人或者其他供应商恶意串通的。</w:t>
      </w:r>
      <w:r/>
    </w:p>
    <w:p>
      <w:pPr>
        <w:ind w:firstLine="1027"/>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1.4.5采取不正当手段诋毁、排挤其他供应商的。</w:t>
      </w:r>
      <w:r/>
    </w:p>
    <w:p>
      <w:pPr>
        <w:ind w:firstLine="789"/>
        <w:spacing w:line="440" w:lineRule="exact"/>
        <w:rPr>
          <w:rFonts w:ascii="宋体" w:hAnsi="宋体" w:cs="宋体"/>
          <w:color w:val="000000" w:themeColor="text1"/>
          <w:sz w:val="24"/>
          <w:szCs w:val="24"/>
          <w14:textFill>
            <w14:solidFill>
              <w14:schemeClr w14:val="tx1"/>
            </w14:solidFill>
          </w14:textFill>
        </w:rPr>
      </w:pPr>
      <w:r/>
      <w:bookmarkStart w:id="171" w:name="_Toc200451960"/>
      <w:r>
        <w:rPr>
          <w:rFonts w:hint="eastAsia" w:ascii="宋体" w:hAnsi="宋体" w:cs="宋体"/>
          <w:color w:val="000000" w:themeColor="text1"/>
          <w:sz w:val="24"/>
          <w:szCs w:val="24"/>
          <w14:textFill>
            <w14:solidFill>
              <w14:schemeClr w14:val="tx1"/>
            </w14:solidFill>
          </w14:textFill>
        </w:rPr>
        <w:t xml:space="preserve">1.5. 有下列情形之一的，视为投标人串通投标，投标无效：</w:t>
      </w:r>
      <w:r/>
    </w:p>
    <w:p>
      <w:pPr>
        <w:ind w:firstLine="1027"/>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1.5.1不同投标人的投标文件由同一单位或者个人编制；</w:t>
      </w:r>
      <w:r/>
    </w:p>
    <w:p>
      <w:pPr>
        <w:ind w:firstLine="1027"/>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1.5.2不同投标人委托同一单位或者个人办理投标事宜；</w:t>
      </w:r>
      <w:r/>
    </w:p>
    <w:p>
      <w:pPr>
        <w:ind w:firstLine="1027"/>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1.5.3 不同投标人的投标文件载明的项目管理成员或者联系人员为同一人；</w:t>
      </w:r>
      <w:r/>
    </w:p>
    <w:p>
      <w:pPr>
        <w:ind w:firstLine="1027"/>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1.5.4不同投标人的投标文件异常一致或者投标报价呈规律性差异；</w:t>
      </w:r>
      <w:r/>
    </w:p>
    <w:p>
      <w:pPr>
        <w:ind w:firstLine="480"/>
        <w:keepLines/>
        <w:keepNext/>
        <w:spacing w:line="440" w:lineRule="exact"/>
        <w:rPr>
          <w:rFonts w:ascii="宋体" w:hAnsi="宋体" w:cs="宋体"/>
          <w:bCs/>
          <w:color w:val="000000" w:themeColor="text1"/>
          <w:sz w:val="24"/>
          <w:szCs w:val="24"/>
          <w14:textFill>
            <w14:solidFill>
              <w14:schemeClr w14:val="tx1"/>
            </w14:solidFill>
          </w14:textFill>
        </w:rPr>
        <w:outlineLvl w:val="3"/>
      </w:pPr>
      <w:r>
        <w:rPr>
          <w:rFonts w:hint="eastAsia" w:ascii="宋体" w:hAnsi="宋体" w:cs="宋体"/>
          <w:bCs/>
          <w:color w:val="000000" w:themeColor="text1"/>
          <w:sz w:val="24"/>
          <w:szCs w:val="24"/>
          <w14:textFill>
            <w14:solidFill>
              <w14:schemeClr w14:val="tx1"/>
            </w14:solidFill>
          </w14:textFill>
        </w:rPr>
        <w:t xml:space="preserve">2、质疑处理</w:t>
      </w:r>
      <w:bookmarkEnd w:id="171"/>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 提出质疑的供应商应当是参与所质疑项目采购活动的供应商。潜在供应商依法获取其可质疑的采购文件的，可以对采购文件提出质疑。请将</w:t>
      </w:r>
      <w:bookmarkStart w:id="172" w:name="_Hlk98510751"/>
      <w:r>
        <w:rPr>
          <w:rFonts w:hint="eastAsia" w:ascii="宋体" w:hAnsi="宋体" w:cs="宋体"/>
          <w:color w:val="000000" w:themeColor="text1"/>
          <w:sz w:val="24"/>
          <w:szCs w:val="24"/>
          <w14:textFill>
            <w14:solidFill>
              <w14:schemeClr w14:val="tx1"/>
            </w14:solidFill>
          </w14:textFill>
        </w:rPr>
        <w:t xml:space="preserve">获取采购文件后打印留存的《投标供应商确认函》等</w:t>
      </w:r>
      <w:bookmarkEnd w:id="172"/>
      <w:r>
        <w:rPr>
          <w:rFonts w:hint="eastAsia" w:ascii="宋体" w:hAnsi="宋体" w:cs="宋体"/>
          <w:color w:val="000000" w:themeColor="text1"/>
          <w:sz w:val="24"/>
          <w:szCs w:val="24"/>
          <w14:textFill>
            <w14:solidFill>
              <w14:schemeClr w14:val="tx1"/>
            </w14:solidFill>
          </w14:textFill>
        </w:rPr>
        <w:t xml:space="preserve">必要的证明材料与质疑函一起递交，否则不予受理。</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2.2供应商认为采购文件、采购过程和采购结果使自己的权益受到损害的，可以在知道或应知其权益受到损害之日起七个工作日内，以书面形式提出质疑。上述应知其权益受到损害之日，是指：</w:t>
      </w:r>
      <w:r/>
    </w:p>
    <w:p>
      <w:pPr>
        <w:ind w:firstLine="1027"/>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2.2.1对可以质疑的采购文件提出质疑的，为收到采购文件之日或者采购文件公告期限届满之日；</w:t>
      </w:r>
      <w:r/>
    </w:p>
    <w:p>
      <w:pPr>
        <w:ind w:firstLine="1027"/>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2.2.2对采购过程提出质疑的，为各采购程序环节结束之日；</w:t>
      </w:r>
      <w:r/>
    </w:p>
    <w:p>
      <w:pPr>
        <w:ind w:firstLine="1027"/>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2.2.3对中标或者成交结果提出质疑的，为中标或者成交结果公告期限届满之日。</w:t>
      </w:r>
      <w:r/>
    </w:p>
    <w:p>
      <w:pPr>
        <w:ind w:firstLine="1027"/>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2.3质疑函必须按照本招标文件中《质疑函范本》要求的格式和内容进行填写。供应商如组成联合体参加投标，则《质疑函范本》中要求签字、盖章、加盖公章之处，联合体各方均须按要求签字、盖章、加盖公章。</w:t>
      </w:r>
      <w:r/>
    </w:p>
    <w:p>
      <w:pPr>
        <w:ind w:firstLine="787"/>
        <w:spacing w:line="440" w:lineRule="exact"/>
        <w:rPr>
          <w:rFonts w:ascii="宋体" w:hAnsi="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2.4代理机构只接收以纸质原件形式送达的质疑</w:t>
      </w:r>
      <w:r>
        <w:rPr>
          <w:rFonts w:hint="eastAsia" w:ascii="宋体" w:hAnsi="宋体" w:cs="宋体"/>
          <w:b/>
          <w:bCs/>
          <w:color w:val="000000" w:themeColor="text1"/>
          <w:sz w:val="24"/>
          <w:szCs w:val="24"/>
          <w14:textFill>
            <w14:solidFill>
              <w14:schemeClr w14:val="tx1"/>
            </w14:solidFill>
          </w14:textFill>
        </w:rPr>
        <w:t xml:space="preserve">（采购人和代理机构不接受未填写快递运单的快件），</w:t>
      </w:r>
      <w:r>
        <w:rPr>
          <w:rFonts w:hint="eastAsia" w:ascii="宋体" w:hAnsi="宋体" w:cs="宋体"/>
          <w:color w:val="000000" w:themeColor="text1"/>
          <w:sz w:val="24"/>
          <w14:textFill>
            <w14:solidFill>
              <w14:schemeClr w14:val="tx1"/>
            </w14:solidFill>
          </w14:textFill>
        </w:rPr>
        <w:t xml:space="preserve">质疑接收单位为苏州新一造价师价格事务所有限公司，联系地址：常熟市九里大街5号三楼，联系人：韩忆程，联系电话：189 1565 5067</w:t>
      </w:r>
      <w:r>
        <w:rPr>
          <w:rFonts w:ascii="宋体" w:hAnsi="宋体" w:cs="宋体"/>
          <w:color w:val="000000" w:themeColor="text1"/>
          <w:sz w:val="24"/>
          <w14:textFill>
            <w14:solidFill>
              <w14:schemeClr w14:val="tx1"/>
            </w14:solidFill>
          </w14:textFill>
        </w:rPr>
        <w:t xml:space="preserve">。潜在投标人提出书面质疑必须有理、有据，不得捏造事实、提供虚假材料进行恶意质疑。否则，一经查实，将报请监管部门对该供应商进行相应的处罚。</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2.5 以下情形的质疑不予受理</w:t>
      </w:r>
      <w:r/>
    </w:p>
    <w:p>
      <w:pPr>
        <w:ind w:firstLine="1027"/>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2.5.1 内容不符合《政府采购质疑和投诉办法》第十二条规定的质疑。</w:t>
      </w:r>
      <w:r/>
    </w:p>
    <w:p>
      <w:pPr>
        <w:ind w:firstLine="1027"/>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2.5.2 超出政府采购法定期限的质疑。</w:t>
      </w:r>
      <w:r/>
    </w:p>
    <w:p>
      <w:pPr>
        <w:ind w:firstLine="1027"/>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2.5.3 以传真、电子邮件等方式递交的非原件形式的质疑。</w:t>
      </w:r>
      <w:r/>
    </w:p>
    <w:p>
      <w:pPr>
        <w:ind w:firstLine="1027"/>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2.5.4 未参加投标活动的供应商或在投标活动中自身权益未受到损害的供应商所提出的质疑。</w:t>
      </w:r>
      <w:r/>
    </w:p>
    <w:p>
      <w:pPr>
        <w:ind w:firstLine="1027"/>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2.5.5供应商组成联合体参加投标，联合体中任何一方或多方未按要求签字、盖章、加盖公章的质疑。</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2.6  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r/>
    </w:p>
    <w:p>
      <w:pPr>
        <w:ind w:firstLine="480"/>
        <w:keepLines/>
        <w:keepNext/>
        <w:spacing w:line="440" w:lineRule="exact"/>
        <w:rPr>
          <w:rFonts w:ascii="宋体" w:hAnsi="宋体" w:cs="宋体"/>
          <w:bCs/>
          <w:color w:val="000000" w:themeColor="text1"/>
          <w:sz w:val="24"/>
          <w:szCs w:val="24"/>
          <w14:textFill>
            <w14:solidFill>
              <w14:schemeClr w14:val="tx1"/>
            </w14:solidFill>
          </w14:textFill>
        </w:rPr>
        <w:outlineLvl w:val="3"/>
      </w:pPr>
      <w:r>
        <w:rPr>
          <w:rFonts w:hint="eastAsia" w:ascii="宋体" w:hAnsi="宋体" w:cs="宋体"/>
          <w:bCs/>
          <w:color w:val="000000" w:themeColor="text1"/>
          <w:sz w:val="24"/>
          <w:szCs w:val="24"/>
          <w14:textFill>
            <w14:solidFill>
              <w14:schemeClr w14:val="tx1"/>
            </w14:solidFill>
          </w14:textFill>
        </w:rPr>
        <w:t xml:space="preserve">3、中标通知书</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3.l</w:t>
      </w:r>
      <w:r>
        <w:rPr>
          <w:rFonts w:hint="eastAsia" w:ascii="宋体" w:hAnsi="宋体" w:cs="宋体"/>
          <w:b/>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3.2中标通知书将是合同的一个组成部分。对采购人和中标供应商均具有法律效力。中标通知书发出后，采购人改变中标结果的，或者中标供应商放弃中标项目的，应当依法承担法律责任。</w:t>
      </w:r>
      <w:r/>
    </w:p>
    <w:p>
      <w:pPr>
        <w:ind w:firstLine="562"/>
        <w:keepLines/>
        <w:keepNext/>
        <w:spacing w:line="440" w:lineRule="exact"/>
        <w:rPr>
          <w:rFonts w:ascii="宋体" w:hAnsi="宋体" w:cs="宋体"/>
          <w:b/>
          <w:bCs/>
          <w:color w:val="000000" w:themeColor="text1"/>
          <w:sz w:val="28"/>
          <w:szCs w:val="28"/>
          <w14:textFill>
            <w14:solidFill>
              <w14:schemeClr w14:val="tx1"/>
            </w14:solidFill>
          </w14:textFill>
        </w:rPr>
        <w:outlineLvl w:val="1"/>
      </w:pPr>
      <w:r/>
      <w:bookmarkStart w:id="173" w:name="_Toc120614220"/>
      <w:r/>
      <w:bookmarkStart w:id="174" w:name="_Toc7755"/>
      <w:r/>
      <w:bookmarkStart w:id="175" w:name="_Toc513029236"/>
      <w:r/>
      <w:bookmarkStart w:id="176" w:name="_Toc16938552"/>
      <w:r/>
      <w:bookmarkStart w:id="177" w:name="_Toc20823308"/>
      <w:r>
        <w:rPr>
          <w:rFonts w:hint="eastAsia" w:ascii="宋体" w:hAnsi="宋体" w:cs="宋体"/>
          <w:b/>
          <w:bCs/>
          <w:color w:val="000000" w:themeColor="text1"/>
          <w:sz w:val="28"/>
          <w:szCs w:val="28"/>
          <w14:textFill>
            <w14:solidFill>
              <w14:schemeClr w14:val="tx1"/>
            </w14:solidFill>
          </w14:textFill>
        </w:rPr>
        <w:t xml:space="preserve">七、授予合同</w:t>
      </w:r>
      <w:bookmarkEnd w:id="173"/>
      <w:r/>
      <w:bookmarkEnd w:id="174"/>
      <w:r/>
      <w:bookmarkEnd w:id="175"/>
      <w:bookmarkEnd w:id="176"/>
      <w:bookmarkEnd w:id="177"/>
      <w:r/>
    </w:p>
    <w:p>
      <w:pPr>
        <w:ind w:firstLine="480"/>
        <w:keepLines/>
        <w:keepNext/>
        <w:spacing w:line="440" w:lineRule="exact"/>
        <w:rPr>
          <w:rFonts w:ascii="宋体" w:hAnsi="宋体" w:cs="宋体"/>
          <w:bCs/>
          <w:color w:val="000000" w:themeColor="text1"/>
          <w:sz w:val="24"/>
          <w:szCs w:val="24"/>
          <w14:textFill>
            <w14:solidFill>
              <w14:schemeClr w14:val="tx1"/>
            </w14:solidFill>
          </w14:textFill>
        </w:rPr>
        <w:outlineLvl w:val="3"/>
      </w:pPr>
      <w:r/>
      <w:bookmarkStart w:id="178" w:name="_Toc16938553"/>
      <w:r/>
      <w:bookmarkStart w:id="179" w:name="_Toc513029237"/>
      <w:r/>
      <w:bookmarkStart w:id="180" w:name="_Toc20823309"/>
      <w:r>
        <w:rPr>
          <w:rFonts w:hint="eastAsia" w:ascii="宋体" w:hAnsi="宋体" w:cs="宋体"/>
          <w:bCs/>
          <w:color w:val="000000" w:themeColor="text1"/>
          <w:sz w:val="24"/>
          <w:szCs w:val="24"/>
          <w14:textFill>
            <w14:solidFill>
              <w14:schemeClr w14:val="tx1"/>
            </w14:solidFill>
          </w14:textFill>
        </w:rPr>
        <w:t xml:space="preserve">1、签订合同</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1.l中标人应当在中标通知书发出之日起三十日内，按照招标文件确定的事项与采购人签订政府采购合同。</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w:t>
      </w:r>
      <w:r>
        <w:rPr>
          <w:rFonts w:hint="eastAsia" w:ascii="宋体" w:hAnsi="宋体" w:cs="宋体"/>
          <w:b/>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招标文件、中标人的投标文件及招标过程中有关澄清、承诺文件均应作为合同附件。</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1.3 签订合同后，</w:t>
      </w:r>
      <w:r>
        <w:rPr>
          <w:rFonts w:hint="eastAsia" w:ascii="宋体" w:hAnsi="宋体" w:cs="宋体"/>
          <w:i/>
          <w:color w:val="000000" w:themeColor="text1"/>
          <w:sz w:val="24"/>
          <w:szCs w:val="24"/>
          <w:u w:val="single"/>
          <w14:textFill>
            <w14:solidFill>
              <w14:schemeClr w14:val="tx1"/>
            </w14:solidFill>
          </w14:textFill>
        </w:rPr>
        <w:t xml:space="preserve">中标人不得将合同标的进行转包</w:t>
      </w:r>
      <w:r>
        <w:rPr>
          <w:rFonts w:hint="eastAsia" w:ascii="宋体" w:hAnsi="宋体" w:cs="宋体"/>
          <w:color w:val="000000" w:themeColor="text1"/>
          <w:sz w:val="24"/>
          <w:szCs w:val="24"/>
          <w14:textFill>
            <w14:solidFill>
              <w14:schemeClr w14:val="tx1"/>
            </w14:solidFill>
          </w14:textFill>
        </w:rPr>
        <w:t xml:space="preserve">。未经采购人同意，中标人也不得采用分包的形式履行合同，否则采购人有权终止合同。转包或分包造成采购人损失的，中标人应承担相应赔偿责任。</w:t>
      </w:r>
      <w:r/>
    </w:p>
    <w:p>
      <w:pPr>
        <w:ind w:firstLine="480"/>
        <w:keepLines/>
        <w:keepNext/>
        <w:spacing w:line="440" w:lineRule="exact"/>
        <w:rPr>
          <w:rFonts w:ascii="宋体" w:hAnsi="宋体" w:cs="宋体"/>
          <w:bCs/>
          <w:color w:val="000000" w:themeColor="text1"/>
          <w:sz w:val="24"/>
          <w:szCs w:val="24"/>
          <w14:textFill>
            <w14:solidFill>
              <w14:schemeClr w14:val="tx1"/>
            </w14:solidFill>
          </w14:textFill>
        </w:rPr>
        <w:outlineLvl w:val="3"/>
      </w:pPr>
      <w:r>
        <w:rPr>
          <w:rFonts w:hint="eastAsia" w:ascii="宋体" w:hAnsi="宋体" w:cs="宋体"/>
          <w:bCs/>
          <w:color w:val="000000" w:themeColor="text1"/>
          <w:sz w:val="24"/>
          <w:szCs w:val="24"/>
          <w14:textFill>
            <w14:solidFill>
              <w14:schemeClr w14:val="tx1"/>
            </w14:solidFill>
          </w14:textFill>
        </w:rPr>
        <w:t xml:space="preserve">2、服务（包含与项目有关的服务）的追加</w:t>
      </w:r>
      <w:r/>
    </w:p>
    <w:p>
      <w:pPr>
        <w:ind w:firstLine="1027"/>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2.1政府采购合同履行中，采购人需追加与合同标的相同的服务（包含与项目有关的服务）的，在不改变合同其他条款的前提下，可以与中标人协商签订补充合同，但所有补充合同的采购金额不超过原合同金额10%。</w:t>
      </w:r>
      <w:bookmarkEnd w:id="178"/>
      <w:bookmarkEnd w:id="179"/>
      <w:bookmarkEnd w:id="180"/>
      <w:r/>
    </w:p>
    <w:p>
      <w:pPr>
        <w:ind w:firstLine="480"/>
        <w:keepLines/>
        <w:keepNext/>
        <w:spacing w:line="440" w:lineRule="exact"/>
        <w:rPr>
          <w:rFonts w:ascii="宋体" w:hAnsi="宋体" w:cs="宋体"/>
          <w:bCs/>
          <w:color w:val="000000" w:themeColor="text1"/>
          <w:sz w:val="24"/>
          <w:szCs w:val="24"/>
          <w14:textFill>
            <w14:solidFill>
              <w14:schemeClr w14:val="tx1"/>
            </w14:solidFill>
          </w14:textFill>
        </w:rPr>
        <w:outlineLvl w:val="3"/>
      </w:pPr>
      <w:r/>
      <w:bookmarkStart w:id="181" w:name="_Toc16938558"/>
      <w:r/>
      <w:bookmarkStart w:id="182" w:name="_Toc513029242"/>
      <w:r/>
      <w:bookmarkStart w:id="183" w:name="_Toc20823314"/>
      <w:r/>
      <w:bookmarkStart w:id="184" w:name="_Toc120614221"/>
      <w:r/>
      <w:bookmarkStart w:id="185" w:name="_Toc479757207"/>
      <w:r>
        <w:rPr>
          <w:rFonts w:hint="eastAsia" w:ascii="宋体" w:hAnsi="宋体" w:cs="宋体"/>
          <w:bCs/>
          <w:color w:val="000000" w:themeColor="text1"/>
          <w:sz w:val="24"/>
          <w:szCs w:val="24"/>
          <w14:textFill>
            <w14:solidFill>
              <w14:schemeClr w14:val="tx1"/>
            </w14:solidFill>
          </w14:textFill>
        </w:rPr>
        <w:t xml:space="preserve">3、政府采购信用融资政策</w:t>
      </w:r>
      <w:r/>
    </w:p>
    <w:p>
      <w:pPr>
        <w:ind w:firstLine="1027"/>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3.1 中标供应商可凭政府采购合同办理融资贷款，详情请见苏州市政府采购网“政府采购合同信用融资”专栏。</w:t>
      </w:r>
      <w:r/>
    </w:p>
    <w:p>
      <w:pPr>
        <w:ind w:firstLine="480"/>
        <w:keepLines/>
        <w:keepNext/>
        <w:spacing w:line="440" w:lineRule="exact"/>
        <w:rPr>
          <w:rFonts w:ascii="宋体" w:hAnsi="宋体" w:cs="宋体"/>
          <w:bCs/>
          <w:color w:val="000000" w:themeColor="text1"/>
          <w:sz w:val="24"/>
          <w:szCs w:val="24"/>
          <w14:textFill>
            <w14:solidFill>
              <w14:schemeClr w14:val="tx1"/>
            </w14:solidFill>
          </w14:textFill>
        </w:rPr>
        <w:outlineLvl w:val="3"/>
      </w:pPr>
      <w:r>
        <w:rPr>
          <w:rFonts w:hint="eastAsia" w:ascii="宋体" w:hAnsi="宋体" w:cs="宋体"/>
          <w:bCs/>
          <w:color w:val="000000" w:themeColor="text1"/>
          <w:sz w:val="24"/>
          <w:szCs w:val="24"/>
          <w14:textFill>
            <w14:solidFill>
              <w14:schemeClr w14:val="tx1"/>
            </w14:solidFill>
          </w14:textFill>
        </w:rPr>
        <w:t xml:space="preserve">4、合同公示</w:t>
      </w:r>
      <w:r/>
    </w:p>
    <w:p>
      <w:pPr>
        <w:ind w:firstLine="1027"/>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4.1采购合同将在签订之日起2个工作日内在指定媒体公示，涉及国家秘密、商业秘密的内容除外。</w:t>
      </w:r>
      <w:r/>
    </w:p>
    <w:p>
      <w:pPr>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r/>
    </w:p>
    <w:p>
      <w:pPr>
        <w:ind w:firstLine="880"/>
        <w:jc w:val="center"/>
        <w:keepNext/>
        <w:rPr>
          <w:rFonts w:ascii="黑体" w:hAnsi="Times New Roman" w:eastAsia="黑体"/>
          <w:bCs/>
          <w:color w:val="000000" w:themeColor="text1"/>
          <w:sz w:val="44"/>
          <w:szCs w:val="28"/>
          <w14:textFill>
            <w14:solidFill>
              <w14:schemeClr w14:val="tx1"/>
            </w14:solidFill>
          </w14:textFill>
        </w:rPr>
        <w:outlineLvl w:val="0"/>
      </w:pPr>
      <w:r/>
      <w:bookmarkStart w:id="186" w:name="_Toc19832"/>
      <w:r>
        <w:rPr>
          <w:rFonts w:hint="eastAsia" w:ascii="黑体" w:hAnsi="Times New Roman" w:eastAsia="黑体"/>
          <w:bCs/>
          <w:color w:val="000000" w:themeColor="text1"/>
          <w:sz w:val="44"/>
          <w:szCs w:val="28"/>
          <w14:textFill>
            <w14:solidFill>
              <w14:schemeClr w14:val="tx1"/>
            </w14:solidFill>
          </w14:textFill>
        </w:rPr>
        <w:t xml:space="preserve">第三章  合同</w:t>
      </w:r>
      <w:bookmarkEnd w:id="181"/>
      <w:r/>
      <w:bookmarkEnd w:id="182"/>
      <w:r/>
      <w:bookmarkEnd w:id="183"/>
      <w:r/>
      <w:bookmarkEnd w:id="184"/>
      <w:r/>
      <w:bookmarkEnd w:id="185"/>
      <w:r>
        <w:rPr>
          <w:rFonts w:hint="eastAsia" w:ascii="黑体" w:hAnsi="Times New Roman" w:eastAsia="黑体"/>
          <w:bCs/>
          <w:color w:val="000000" w:themeColor="text1"/>
          <w:sz w:val="44"/>
          <w:szCs w:val="28"/>
          <w14:textFill>
            <w14:solidFill>
              <w14:schemeClr w14:val="tx1"/>
            </w14:solidFill>
          </w14:textFill>
        </w:rPr>
        <w:t xml:space="preserve">文本</w:t>
      </w:r>
      <w:bookmarkEnd w:id="186"/>
      <w:r/>
      <w:r/>
    </w:p>
    <w:p>
      <w:pPr>
        <w:ind w:left="6237" w:right="-27"/>
        <w:spacing w:line="660" w:lineRule="exact"/>
        <w:rPr>
          <w:rFonts w:ascii="宋体" w:hAnsi="宋体" w:cs="宋体"/>
          <w:bCs/>
          <w:color w:val="000000" w:themeColor="text1"/>
          <w:sz w:val="24"/>
          <w:szCs w:val="24"/>
          <w14:textFill>
            <w14:solidFill>
              <w14:schemeClr w14:val="tx1"/>
            </w14:solidFill>
          </w14:textFill>
        </w:rPr>
      </w:pPr>
      <w:r/>
      <w:bookmarkStart w:id="187" w:name="_Hlt16619369"/>
      <w:r/>
      <w:bookmarkEnd w:id="187"/>
      <w:r/>
      <w:bookmarkStart w:id="188" w:name="_Hlt16619350"/>
      <w:r/>
      <w:bookmarkStart w:id="189" w:name="_Toc20823346"/>
      <w:r/>
      <w:bookmarkStart w:id="190" w:name="_Toc120614244"/>
      <w:r/>
      <w:bookmarkStart w:id="191" w:name="_Toc16938590"/>
      <w:r/>
      <w:bookmarkStart w:id="192" w:name="_Toc462564139"/>
      <w:r/>
      <w:bookmarkStart w:id="193" w:name="_Toc479757211"/>
      <w:r>
        <w:rPr>
          <w:rFonts w:hint="eastAsia" w:ascii="宋体" w:hAnsi="宋体" w:cs="宋体"/>
          <w:bCs/>
          <w:color w:val="000000" w:themeColor="text1"/>
          <w:sz w:val="24"/>
          <w:szCs w:val="24"/>
          <w14:textFill>
            <w14:solidFill>
              <w14:schemeClr w14:val="tx1"/>
            </w14:solidFill>
          </w14:textFill>
        </w:rPr>
        <w:t xml:space="preserve">编号：</w:t>
      </w:r>
      <w:r/>
    </w:p>
    <w:p>
      <w:pPr>
        <w:ind w:left="6237" w:right="-27"/>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签订地点：常熟市</w:t>
      </w:r>
      <w:r/>
    </w:p>
    <w:p>
      <w:pPr>
        <w:ind w:right="-27"/>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p>
      <w:pPr>
        <w:ind w:right="-27"/>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甲方：</w:t>
      </w:r>
      <w:r>
        <w:rPr>
          <w:rFonts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u w:val="single"/>
          <w14:textFill>
            <w14:solidFill>
              <w14:schemeClr w14:val="tx1"/>
            </w14:solidFill>
          </w14:textFill>
        </w:rPr>
        <w:t xml:space="preserve">          </w:t>
      </w:r>
      <w:r/>
    </w:p>
    <w:p>
      <w:pPr>
        <w:ind w:right="-27"/>
        <w:spacing w:line="480" w:lineRule="exact"/>
        <w:tabs>
          <w:tab w:val="left" w:pos="0" w:leader="none"/>
        </w:tabs>
        <w:rPr>
          <w:rFonts w:ascii="宋体" w:hAnsi="宋体" w:cs="宋体"/>
          <w:bCs/>
          <w:color w:val="000000" w:themeColor="text1"/>
          <w:sz w:val="24"/>
          <w:szCs w:val="24"/>
          <w:u w:val="single"/>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乙方：</w:t>
      </w:r>
      <w:r>
        <w:rPr>
          <w:rFonts w:hint="eastAsia" w:ascii="宋体" w:hAnsi="宋体" w:cs="宋体"/>
          <w:bCs/>
          <w:color w:val="000000" w:themeColor="text1"/>
          <w:sz w:val="24"/>
          <w:szCs w:val="24"/>
          <w:u w:val="single"/>
          <w14:textFill>
            <w14:solidFill>
              <w14:schemeClr w14:val="tx1"/>
            </w14:solidFill>
          </w14:textFill>
        </w:rPr>
        <w:t xml:space="preserve">                                </w:t>
      </w:r>
      <w:r/>
    </w:p>
    <w:p>
      <w:pPr>
        <w:spacing w:line="440" w:lineRule="exact"/>
        <w:rPr>
          <w:bCs/>
          <w:color w:val="000000" w:themeColor="text1"/>
          <w:sz w:val="24"/>
          <w:szCs w:val="24"/>
          <w14:textFill>
            <w14:solidFill>
              <w14:schemeClr w14:val="tx1"/>
            </w14:solidFill>
          </w14:textFill>
        </w:rPr>
      </w:pPr>
      <w:r>
        <w:rPr>
          <w:rFonts w:hint="eastAsia"/>
          <w:bCs/>
          <w:color w:val="000000" w:themeColor="text1"/>
          <w:sz w:val="24"/>
          <w:szCs w:val="24"/>
          <w14:textFill>
            <w14:solidFill>
              <w14:schemeClr w14:val="tx1"/>
            </w14:solidFill>
          </w14:textFill>
        </w:rPr>
        <w:t xml:space="preserve">信用融资回款账户：</w:t>
      </w:r>
      <w:r>
        <w:rPr>
          <w:rFonts w:hint="eastAsia"/>
          <w:bCs/>
          <w:color w:val="000000" w:themeColor="text1"/>
          <w:sz w:val="24"/>
          <w:szCs w:val="24"/>
          <w:u w:val="single"/>
          <w14:textFill>
            <w14:solidFill>
              <w14:schemeClr w14:val="tx1"/>
            </w14:solidFill>
          </w14:textFill>
        </w:rPr>
        <w:t xml:space="preserve">                               </w:t>
      </w:r>
      <w:r>
        <w:rPr>
          <w:rFonts w:hint="eastAsia"/>
          <w:bCs/>
          <w:color w:val="000000" w:themeColor="text1"/>
          <w:sz w:val="24"/>
          <w:szCs w:val="24"/>
          <w14:textFill>
            <w14:solidFill>
              <w14:schemeClr w14:val="tx1"/>
            </w14:solidFill>
          </w14:textFill>
        </w:rPr>
        <w:t xml:space="preserve">（如无可不填写）</w:t>
      </w:r>
      <w:r/>
    </w:p>
    <w:p>
      <w:pPr>
        <w:ind w:right="-27"/>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开户银行：</w:t>
      </w:r>
      <w:r>
        <w:rPr>
          <w:rFonts w:hint="eastAsia"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14:textFill>
            <w14:solidFill>
              <w14:schemeClr w14:val="tx1"/>
            </w14:solidFill>
          </w14:textFill>
        </w:rPr>
        <w:t xml:space="preserve"> </w:t>
      </w:r>
      <w:r/>
    </w:p>
    <w:p>
      <w:pPr>
        <w:ind w:right="-27" w:firstLine="480"/>
        <w:spacing w:line="48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根据《中华人民共和国政府采购法》及其实施条例、《中华人民共和国民法典》等法律法规的规定，甲乙双方按照</w:t>
      </w:r>
      <w:r>
        <w:rPr>
          <w:rFonts w:hint="eastAsia" w:ascii="宋体" w:hAnsi="宋体"/>
          <w:color w:val="000000" w:themeColor="text1"/>
          <w:sz w:val="24"/>
          <w:szCs w:val="24"/>
          <w:u w:val="single"/>
          <w14:textFill>
            <w14:solidFill>
              <w14:schemeClr w14:val="tx1"/>
            </w14:solidFill>
          </w14:textFill>
        </w:rPr>
        <w:t xml:space="preserve">莫城街道2025-2026年度三环外区域（市级移交属地管护区域）绿化养护</w:t>
      </w:r>
      <w:r>
        <w:rPr>
          <w:rFonts w:hint="eastAsia" w:ascii="宋体" w:hAnsi="宋体" w:cs="宋体"/>
          <w:bCs/>
          <w:color w:val="000000" w:themeColor="text1"/>
          <w:sz w:val="24"/>
          <w:szCs w:val="24"/>
          <w14:textFill>
            <w14:solidFill>
              <w14:schemeClr w14:val="tx1"/>
            </w14:solidFill>
          </w14:textFill>
        </w:rPr>
        <w:t xml:space="preserve">项目（项目编号：</w:t>
      </w:r>
      <w:r>
        <w:rPr>
          <w:rFonts w:ascii="宋体" w:hAnsi="宋体"/>
          <w:color w:val="000000" w:themeColor="text1"/>
          <w:sz w:val="24"/>
          <w:szCs w:val="24"/>
          <w:u w:val="single"/>
          <w14:textFill>
            <w14:solidFill>
              <w14:schemeClr w14:val="tx1"/>
            </w14:solidFill>
          </w14:textFill>
        </w:rPr>
        <w:t xml:space="preserve">(</w:t>
      </w:r>
      <w:r>
        <w:rPr>
          <w:rFonts w:hint="eastAsia" w:ascii="宋体" w:hAnsi="宋体"/>
          <w:color w:val="000000" w:themeColor="text1"/>
          <w:sz w:val="24"/>
          <w:szCs w:val="24"/>
          <w:u w:val="single"/>
          <w:lang w:eastAsia="zh-CN"/>
          <w14:textFill>
            <w14:solidFill>
              <w14:schemeClr w14:val="tx1"/>
            </w14:solidFill>
          </w14:textFill>
        </w:rPr>
        <w:t xml:space="preserve">JSZC-320581-SZXY-G2024-0064</w:t>
      </w:r>
      <w:r>
        <w:rPr>
          <w:rFonts w:hint="eastAsia" w:ascii="宋体" w:hAnsi="宋体" w:cs="宋体"/>
          <w:bCs/>
          <w:color w:val="000000" w:themeColor="text1"/>
          <w:sz w:val="24"/>
          <w:szCs w:val="24"/>
          <w14:textFill>
            <w14:solidFill>
              <w14:schemeClr w14:val="tx1"/>
            </w14:solidFill>
          </w14:textFill>
        </w:rPr>
        <w:t xml:space="preserve">）政府采购结果签订本合同。</w:t>
      </w:r>
      <w:r/>
    </w:p>
    <w:p>
      <w:pPr>
        <w:ind w:right="-27" w:firstLine="482"/>
        <w:spacing w:line="440" w:lineRule="exact"/>
        <w:tabs>
          <w:tab w:val="left" w:pos="0" w:leader="none"/>
        </w:tabs>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第一条 定义</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除非另有特别解释或说明，本合同有关词语应按如下定义解释：</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1、合同：甲乙双方签署的，与本项目相关的合同书、附件、附录、其他文件以及政府采购程序中的全部文件。</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2、甲方：购买本合同项下服务的国家机关、事业单位、团体组织。</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3、乙方：提供本合同项下服务的法人、其他组织或自然人。</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4、服务：提供本合同规定的乙方承担的</w:t>
      </w:r>
      <w:r>
        <w:rPr>
          <w:rFonts w:hint="eastAsia" w:ascii="宋体" w:hAnsi="宋体"/>
          <w:color w:val="000000" w:themeColor="text1"/>
          <w:sz w:val="24"/>
          <w:szCs w:val="24"/>
          <w:u w:val="single"/>
          <w14:textFill>
            <w14:solidFill>
              <w14:schemeClr w14:val="tx1"/>
            </w14:solidFill>
          </w14:textFill>
        </w:rPr>
        <w:t xml:space="preserve">莫城街道2025-2026年度三环外区域（市级移交属地管护区域）绿化养护</w:t>
      </w:r>
      <w:r>
        <w:rPr>
          <w:rFonts w:hint="eastAsia" w:ascii="宋体" w:hAnsi="宋体" w:cs="宋体"/>
          <w:bCs/>
          <w:color w:val="000000" w:themeColor="text1"/>
          <w:sz w:val="24"/>
          <w:szCs w:val="24"/>
          <w14:textFill>
            <w14:solidFill>
              <w14:schemeClr w14:val="tx1"/>
            </w14:solidFill>
          </w14:textFill>
        </w:rPr>
        <w:t xml:space="preserve">及相关工作。</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5、合同价款：根据合同规定乙方在正确地完全履行合同义务后甲方应支付给乙方的价款，包含了甲方购买合同项下相关服务的一切费用。</w:t>
      </w:r>
      <w:r/>
    </w:p>
    <w:p>
      <w:pPr>
        <w:ind w:right="-27" w:firstLine="482"/>
        <w:spacing w:line="440" w:lineRule="exact"/>
        <w:tabs>
          <w:tab w:val="left" w:pos="0" w:leader="none"/>
        </w:tabs>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第二条 组成本合同的文件</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 xml:space="preserve">1</w:t>
      </w:r>
      <w:r>
        <w:rPr>
          <w:rFonts w:hint="eastAsia" w:ascii="宋体" w:hAnsi="宋体" w:cs="宋体"/>
          <w:bCs/>
          <w:color w:val="000000" w:themeColor="text1"/>
          <w:sz w:val="24"/>
          <w:szCs w:val="24"/>
          <w14:textFill>
            <w14:solidFill>
              <w14:schemeClr w14:val="tx1"/>
            </w14:solidFill>
          </w14:textFill>
        </w:rPr>
        <w:t xml:space="preserve">、下列文件是组成本合同的不可分割的部分：</w:t>
      </w:r>
      <w:r/>
    </w:p>
    <w:p>
      <w:pPr>
        <w:ind w:right="-27" w:firstLine="480"/>
        <w:spacing w:line="440" w:lineRule="exact"/>
        <w:tabs>
          <w:tab w:val="left" w:pos="0" w:leader="none"/>
        </w:tabs>
        <w:rPr>
          <w:rFonts w:ascii="Times New Roman" w:hAnsi="Times New Roman"/>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①中标通知书；</w:t>
      </w:r>
      <w:r/>
    </w:p>
    <w:p>
      <w:pPr>
        <w:ind w:right="-27" w:firstLine="480"/>
        <w:spacing w:line="440" w:lineRule="exact"/>
        <w:tabs>
          <w:tab w:val="left" w:pos="0" w:leader="none"/>
        </w:tabs>
        <w:rPr>
          <w:rFonts w:ascii="Times New Roman" w:hAnsi="Times New Roman"/>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②招标文件（以下统称“采购文件”）；</w:t>
      </w:r>
      <w:r/>
    </w:p>
    <w:p>
      <w:pPr>
        <w:ind w:right="-27" w:firstLine="480"/>
        <w:spacing w:line="440" w:lineRule="exact"/>
        <w:tabs>
          <w:tab w:val="left" w:pos="0" w:leader="none"/>
        </w:tabs>
        <w:rPr>
          <w:rFonts w:ascii="Times New Roman" w:hAnsi="Times New Roman"/>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③乙方的投标文件；</w:t>
      </w:r>
      <w:r/>
    </w:p>
    <w:p>
      <w:pPr>
        <w:ind w:right="-27" w:firstLine="480"/>
        <w:spacing w:line="440" w:lineRule="exact"/>
        <w:tabs>
          <w:tab w:val="left" w:pos="0"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④乙方在投标过程中所作的其它承诺、声明、书面澄清等。</w:t>
      </w:r>
      <w:r/>
    </w:p>
    <w:p>
      <w:pPr>
        <w:ind w:right="-27" w:firstLine="480"/>
        <w:spacing w:line="440" w:lineRule="exact"/>
        <w:tabs>
          <w:tab w:val="left" w:pos="0" w:leader="none"/>
        </w:tabs>
        <w:rPr>
          <w:rFonts w:ascii="宋体" w:hAnsi="宋体"/>
          <w:color w:val="000000" w:themeColor="text1"/>
          <w:sz w:val="24"/>
          <w:szCs w:val="24"/>
          <w14:textFill>
            <w14:solidFill>
              <w14:schemeClr w14:val="tx1"/>
            </w14:solidFill>
          </w14:textFill>
        </w:rPr>
      </w:pPr>
      <w:r/>
      <w:bookmarkStart w:id="194" w:name="_Hlk144021334"/>
      <w:r>
        <w:rPr>
          <w:rFonts w:hint="eastAsia" w:ascii="宋体" w:hAnsi="宋体"/>
          <w:color w:val="000000" w:themeColor="text1"/>
          <w:sz w:val="24"/>
          <w:szCs w:val="24"/>
          <w14:textFill>
            <w14:solidFill>
              <w14:schemeClr w14:val="tx1"/>
            </w14:solidFill>
          </w14:textFill>
        </w:rPr>
        <w:t xml:space="preserve">2、上述文件之间如果出现不一致的，以甲方文件确定的内容为准，但乙方文件的内容对甲方更有利的，适用乙方文件。</w:t>
      </w:r>
      <w:r/>
    </w:p>
    <w:p>
      <w:pPr>
        <w:ind w:right="-27" w:firstLine="480"/>
        <w:spacing w:line="440" w:lineRule="exact"/>
        <w:tabs>
          <w:tab w:val="left" w:pos="0" w:leader="none"/>
        </w:tabs>
        <w:rPr>
          <w:rFonts w:ascii="Times New Roman" w:hAnsi="Times New Roman"/>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3、乙方文件应当符合采购文件确定的原则，如果乙方文件中的表述，形式上符合招标文件原则，但具体内容对甲方不利、对乙方有利的，视为背离采购文件，不予适用。</w:t>
      </w:r>
      <w:bookmarkEnd w:id="194"/>
      <w:r/>
    </w:p>
    <w:p>
      <w:pPr>
        <w:ind w:right="-27" w:firstLine="482"/>
        <w:spacing w:line="440" w:lineRule="exact"/>
        <w:tabs>
          <w:tab w:val="left" w:pos="0" w:leader="none"/>
        </w:tabs>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第三条 合同内容</w:t>
      </w:r>
      <w:r/>
    </w:p>
    <w:p>
      <w:pPr>
        <w:ind w:right="-27" w:firstLine="480"/>
        <w:spacing w:line="420" w:lineRule="exact"/>
        <w:tabs>
          <w:tab w:val="left" w:pos="0" w:leader="none"/>
        </w:tabs>
        <w:rPr>
          <w:rFonts w:ascii="宋体" w:hAnsi="宋体" w:cs="宋体"/>
          <w:bCs/>
          <w:color w:val="000000" w:themeColor="text1"/>
          <w:sz w:val="24"/>
          <w:szCs w:val="24"/>
          <w:u w:val="single"/>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1、服务内容：</w:t>
      </w:r>
      <w:r>
        <w:rPr>
          <w:rFonts w:hint="eastAsia" w:ascii="宋体" w:hAnsi="宋体" w:cs="宋体"/>
          <w:bCs/>
          <w:color w:val="000000" w:themeColor="text1"/>
          <w:sz w:val="24"/>
          <w:szCs w:val="24"/>
          <w:u w:val="single"/>
          <w14:textFill>
            <w14:solidFill>
              <w14:schemeClr w14:val="tx1"/>
            </w14:solidFill>
          </w14:textFill>
        </w:rPr>
        <w:t xml:space="preserve">常熟市人民政府莫城街道办事处所需的莫城街道2025-2026年度三环外区域（市级移交属地管护区域）绿化养护。</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2、服务期限：自合同签订之日起两年。</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3、乙方承诺上述服务由乙方自行完成，不转包予第三方完成。</w:t>
      </w:r>
      <w:r/>
    </w:p>
    <w:p>
      <w:pPr>
        <w:ind w:right="-27" w:firstLine="482"/>
        <w:spacing w:line="440" w:lineRule="exact"/>
        <w:tabs>
          <w:tab w:val="left" w:pos="0" w:leader="none"/>
        </w:tabs>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第四条 合同价款</w:t>
      </w:r>
      <w:r/>
    </w:p>
    <w:p>
      <w:pPr>
        <w:ind w:right="-27" w:firstLine="787"/>
        <w:spacing w:line="440" w:lineRule="exact"/>
        <w:tabs>
          <w:tab w:val="left" w:pos="0" w:leader="none"/>
        </w:tabs>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本项目采用总价合同，合同项下合同金额为</w:t>
      </w:r>
      <w:r>
        <w:rPr>
          <w:rFonts w:hint="eastAsia" w:ascii="宋体" w:hAnsi="宋体" w:cs="宋体"/>
          <w:color w:val="000000" w:themeColor="text1"/>
          <w:sz w:val="24"/>
          <w:szCs w:val="24"/>
          <w:u w:val="single"/>
          <w14:textFill>
            <w14:solidFill>
              <w14:schemeClr w14:val="tx1"/>
            </w14:solidFill>
          </w14:textFill>
        </w:rPr>
        <w:t xml:space="preserve"> </w:t>
      </w:r>
      <w:r>
        <w:rPr>
          <w:rFonts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元。</w:t>
      </w:r>
      <w:r/>
    </w:p>
    <w:p>
      <w:pPr>
        <w:ind w:right="-27" w:firstLine="482"/>
        <w:spacing w:line="460" w:lineRule="exact"/>
        <w:tabs>
          <w:tab w:val="left" w:pos="0" w:leader="none"/>
        </w:tabs>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第五条 付款方式 </w:t>
      </w:r>
      <w:r/>
    </w:p>
    <w:p>
      <w:pPr>
        <w:ind w:firstLine="720"/>
        <w:spacing w:line="44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rPr>
        <w:t xml:space="preserve"> </w:t>
      </w:r>
      <w:r>
        <w:rPr>
          <w:rFonts w:hint="eastAsia" w:ascii="宋体" w:hAnsi="宋体" w:eastAsia="宋体" w:cs="宋体"/>
          <w:i w:val="0"/>
          <w:iCs w:val="0"/>
          <w:color w:val="000000"/>
          <w:sz w:val="24"/>
          <w:szCs w:val="24"/>
          <w:highlight w:val="none"/>
          <w:u w:val="none"/>
        </w:rPr>
        <w:t xml:space="preserve">1</w:t>
      </w:r>
      <w:r>
        <w:rPr>
          <w:rFonts w:hint="eastAsia" w:ascii="宋体" w:hAnsi="宋体" w:eastAsia="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rPr>
        <w:t xml:space="preserve">本项目合同款支付货币：（√）数字人民币，（√）传统实物人民币</w:t>
      </w:r>
      <w:r/>
    </w:p>
    <w:p>
      <w:pPr>
        <w:ind w:firstLine="720"/>
        <w:spacing w:line="44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rPr>
        <w:t xml:space="preserve"> </w:t>
      </w:r>
      <w:r>
        <w:rPr>
          <w:rFonts w:hint="eastAsia" w:ascii="宋体" w:hAnsi="宋体" w:eastAsia="宋体" w:cs="宋体"/>
          <w:i w:val="0"/>
          <w:iCs w:val="0"/>
          <w:color w:val="000000"/>
          <w:sz w:val="24"/>
          <w:szCs w:val="24"/>
          <w:highlight w:val="none"/>
          <w:u w:val="none"/>
        </w:rPr>
        <w:t xml:space="preserve">2</w:t>
      </w:r>
      <w:r>
        <w:rPr>
          <w:rFonts w:hint="eastAsia" w:ascii="宋体" w:hAnsi="宋体" w:eastAsia="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rPr>
        <w:t xml:space="preserve">合同签订后</w:t>
      </w:r>
      <w:r>
        <w:rPr>
          <w:rFonts w:hint="eastAsia" w:ascii="宋体" w:hAnsi="宋体" w:eastAsia="宋体" w:cs="宋体"/>
          <w:i w:val="0"/>
          <w:iCs w:val="0"/>
          <w:color w:val="000000"/>
          <w:sz w:val="24"/>
          <w:szCs w:val="24"/>
          <w:highlight w:val="none"/>
          <w:u w:val="none"/>
          <w:lang w:val="en-US" w:eastAsia="zh-CN"/>
        </w:rPr>
        <w:t xml:space="preserve">的两个月内</w:t>
      </w:r>
      <w:r>
        <w:rPr>
          <w:rFonts w:hint="eastAsia" w:ascii="宋体" w:hAnsi="宋体" w:eastAsia="宋体" w:cs="宋体"/>
          <w:i w:val="0"/>
          <w:iCs w:val="0"/>
          <w:color w:val="000000"/>
          <w:sz w:val="24"/>
          <w:szCs w:val="24"/>
          <w:highlight w:val="none"/>
          <w:u w:val="none"/>
        </w:rPr>
        <w:t xml:space="preserve">，采购人向中标人支付合同金额的10%</w:t>
      </w:r>
      <w:r>
        <w:rPr>
          <w:rFonts w:hint="eastAsia" w:ascii="宋体" w:hAnsi="宋体" w:eastAsia="宋体" w:cs="宋体"/>
          <w:i w:val="0"/>
          <w:iCs w:val="0"/>
          <w:color w:val="000000"/>
          <w:sz w:val="24"/>
          <w:szCs w:val="24"/>
          <w:highlight w:val="none"/>
          <w:u w:val="none"/>
          <w:lang w:val="en-US" w:eastAsia="zh-CN"/>
        </w:rPr>
        <w:t xml:space="preserve">作为预付款</w:t>
      </w:r>
      <w:r>
        <w:rPr>
          <w:rFonts w:hint="eastAsia" w:ascii="宋体" w:hAnsi="宋体" w:eastAsia="宋体" w:cs="宋体"/>
          <w:i w:val="0"/>
          <w:iCs w:val="0"/>
          <w:color w:val="000000"/>
          <w:sz w:val="24"/>
          <w:szCs w:val="24"/>
          <w:highlight w:val="none"/>
          <w:u w:val="none"/>
        </w:rPr>
        <w:t xml:space="preserve">；</w:t>
      </w:r>
      <w:r/>
    </w:p>
    <w:p>
      <w:pPr>
        <w:ind w:firstLine="720"/>
        <w:spacing w:line="44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rPr>
        <w:t xml:space="preserve"> </w:t>
      </w:r>
      <w:r>
        <w:rPr>
          <w:rFonts w:hint="eastAsia" w:ascii="宋体" w:hAnsi="宋体" w:eastAsia="宋体" w:cs="宋体"/>
          <w:i w:val="0"/>
          <w:iCs w:val="0"/>
          <w:color w:val="000000"/>
          <w:sz w:val="24"/>
          <w:szCs w:val="24"/>
          <w:highlight w:val="none"/>
          <w:u w:val="none"/>
        </w:rPr>
        <w:t xml:space="preserve">3</w:t>
      </w:r>
      <w:r>
        <w:rPr>
          <w:rFonts w:hint="eastAsia" w:ascii="宋体" w:hAnsi="宋体" w:eastAsia="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rPr>
        <w:t xml:space="preserve">服务费由</w:t>
      </w:r>
      <w:r>
        <w:rPr>
          <w:rFonts w:hint="eastAsia" w:ascii="宋体" w:hAnsi="宋体" w:eastAsia="宋体" w:cs="宋体"/>
          <w:i w:val="0"/>
          <w:iCs w:val="0"/>
          <w:color w:val="000000"/>
          <w:sz w:val="24"/>
          <w:szCs w:val="24"/>
          <w:highlight w:val="none"/>
          <w:u w:val="none"/>
          <w:lang w:val="en-US" w:eastAsia="zh-CN"/>
        </w:rPr>
        <w:t xml:space="preserve">甲方</w:t>
      </w:r>
      <w:r>
        <w:rPr>
          <w:rFonts w:hint="eastAsia" w:ascii="宋体" w:hAnsi="宋体" w:eastAsia="宋体" w:cs="宋体"/>
          <w:i w:val="0"/>
          <w:iCs w:val="0"/>
          <w:color w:val="000000"/>
          <w:sz w:val="24"/>
          <w:szCs w:val="24"/>
          <w:highlight w:val="none"/>
          <w:u w:val="none"/>
        </w:rPr>
        <w:t xml:space="preserve">对</w:t>
      </w:r>
      <w:r>
        <w:rPr>
          <w:rFonts w:hint="eastAsia" w:ascii="宋体" w:hAnsi="宋体" w:eastAsia="宋体" w:cs="宋体"/>
          <w:i w:val="0"/>
          <w:iCs w:val="0"/>
          <w:color w:val="000000"/>
          <w:sz w:val="24"/>
          <w:szCs w:val="24"/>
          <w:highlight w:val="none"/>
          <w:u w:val="none"/>
          <w:lang w:val="en-US" w:eastAsia="zh-CN"/>
        </w:rPr>
        <w:t xml:space="preserve">乙方</w:t>
      </w:r>
      <w:r>
        <w:rPr>
          <w:rFonts w:hint="eastAsia" w:ascii="宋体" w:hAnsi="宋体" w:eastAsia="宋体" w:cs="宋体"/>
          <w:i w:val="0"/>
          <w:iCs w:val="0"/>
          <w:color w:val="000000"/>
          <w:sz w:val="24"/>
          <w:szCs w:val="24"/>
          <w:highlight w:val="none"/>
          <w:u w:val="none"/>
        </w:rPr>
        <w:t xml:space="preserve">实行</w:t>
      </w:r>
      <w:r>
        <w:rPr>
          <w:rFonts w:hint="eastAsia" w:ascii="宋体" w:hAnsi="宋体" w:eastAsia="宋体" w:cs="宋体"/>
          <w:i w:val="0"/>
          <w:iCs w:val="0"/>
          <w:color w:val="000000"/>
          <w:sz w:val="24"/>
          <w:szCs w:val="24"/>
          <w:highlight w:val="none"/>
          <w:u w:val="none"/>
          <w:lang w:val="en-US" w:eastAsia="zh-CN"/>
        </w:rPr>
        <w:t xml:space="preserve">月度</w:t>
      </w:r>
      <w:r>
        <w:rPr>
          <w:rFonts w:hint="eastAsia" w:ascii="宋体" w:hAnsi="宋体" w:eastAsia="宋体" w:cs="宋体"/>
          <w:i w:val="0"/>
          <w:iCs w:val="0"/>
          <w:color w:val="000000"/>
          <w:sz w:val="24"/>
          <w:szCs w:val="24"/>
          <w:highlight w:val="none"/>
          <w:u w:val="none"/>
        </w:rPr>
        <w:t xml:space="preserve">考核后</w:t>
      </w:r>
      <w:r>
        <w:rPr>
          <w:rFonts w:hint="eastAsia" w:ascii="宋体" w:hAnsi="宋体" w:eastAsia="宋体" w:cs="宋体"/>
          <w:i w:val="0"/>
          <w:iCs w:val="0"/>
          <w:color w:val="000000"/>
          <w:sz w:val="24"/>
          <w:szCs w:val="24"/>
          <w:highlight w:val="none"/>
          <w:u w:val="none"/>
          <w:lang w:val="en-US" w:eastAsia="zh-CN"/>
        </w:rPr>
        <w:t xml:space="preserve">进行汇总</w:t>
      </w:r>
      <w:r>
        <w:rPr>
          <w:rFonts w:hint="eastAsia" w:ascii="宋体" w:hAnsi="宋体"/>
          <w:i w:val="0"/>
          <w:iCs w:val="0"/>
          <w:sz w:val="24"/>
          <w:szCs w:val="24"/>
          <w:u w:val="none"/>
        </w:rPr>
        <w:t xml:space="preserve">（月度养护费用（含预付款）=合同金额/服务月数）</w:t>
      </w:r>
      <w:r>
        <w:rPr>
          <w:rFonts w:hint="eastAsia" w:ascii="宋体" w:hAnsi="宋体" w:eastAsia="宋体" w:cs="宋体"/>
          <w:i w:val="0"/>
          <w:iCs w:val="0"/>
          <w:color w:val="000000"/>
          <w:sz w:val="24"/>
          <w:szCs w:val="24"/>
          <w:highlight w:val="none"/>
          <w:u w:val="none"/>
          <w:lang w:val="en-US" w:eastAsia="zh-CN"/>
        </w:rPr>
        <w:t xml:space="preserve">，每半年支付一次，考核办法详见附件</w:t>
      </w:r>
      <w:r>
        <w:rPr>
          <w:rFonts w:hint="eastAsia" w:ascii="宋体" w:hAnsi="宋体" w:eastAsia="宋体" w:cs="宋体"/>
          <w:i w:val="0"/>
          <w:iCs w:val="0"/>
          <w:color w:val="000000"/>
          <w:sz w:val="24"/>
          <w:szCs w:val="24"/>
          <w:highlight w:val="none"/>
          <w:u w:val="none"/>
        </w:rPr>
        <w:t xml:space="preserve">。</w:t>
      </w:r>
      <w:r/>
    </w:p>
    <w:p>
      <w:pPr>
        <w:ind w:firstLine="241"/>
        <w:spacing w:line="480" w:lineRule="exac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注：①签订合同时，乙方明确表示无需预付款的，可不执行第“2”条款规定；</w:t>
      </w:r>
      <w:r/>
    </w:p>
    <w:p>
      <w:pPr>
        <w:ind w:firstLine="723"/>
        <w:spacing w:line="480" w:lineRule="exact"/>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②以上每次付款前，乙方均应提供符合甲方要求的同等金额的合法有效发票。否则，甲方有权顺延付款时间，且不承担任何违约及/或赔偿责任。</w:t>
      </w:r>
      <w:r/>
    </w:p>
    <w:p>
      <w:pPr>
        <w:ind w:firstLine="472"/>
        <w:spacing w:line="440" w:lineRule="exact"/>
        <w:rPr>
          <w:b/>
          <w:color w:val="000000"/>
          <w:sz w:val="24"/>
          <w:szCs w:val="24"/>
          <w:highlight w:val="none"/>
        </w:rPr>
      </w:pPr>
      <w:r>
        <w:rPr>
          <w:rFonts w:ascii="宋体" w:hAnsi="宋体"/>
          <w:b/>
          <w:color w:val="000000"/>
          <w:sz w:val="24"/>
          <w:szCs w:val="24"/>
          <w:highlight w:val="none"/>
        </w:rPr>
        <w:t xml:space="preserve">第</w:t>
      </w:r>
      <w:r>
        <w:rPr>
          <w:rFonts w:hint="eastAsia" w:ascii="宋体" w:hAnsi="宋体"/>
          <w:b/>
          <w:color w:val="000000"/>
          <w:sz w:val="24"/>
          <w:szCs w:val="24"/>
          <w:highlight w:val="none"/>
        </w:rPr>
        <w:t xml:space="preserve">六</w:t>
      </w:r>
      <w:r>
        <w:rPr>
          <w:rFonts w:ascii="宋体" w:hAnsi="宋体"/>
          <w:b/>
          <w:color w:val="000000"/>
          <w:sz w:val="24"/>
          <w:szCs w:val="24"/>
          <w:highlight w:val="none"/>
        </w:rPr>
        <w:t xml:space="preserve">条</w:t>
      </w:r>
      <w:r>
        <w:rPr>
          <w:b/>
          <w:color w:val="000000"/>
          <w:sz w:val="24"/>
          <w:szCs w:val="24"/>
          <w:highlight w:val="none"/>
        </w:rPr>
        <w:t xml:space="preserve">  </w:t>
      </w:r>
      <w:r>
        <w:rPr>
          <w:rFonts w:hint="eastAsia" w:ascii="宋体" w:hAnsi="宋体"/>
          <w:b/>
          <w:color w:val="000000"/>
          <w:sz w:val="24"/>
          <w:szCs w:val="24"/>
          <w:highlight w:val="none"/>
        </w:rPr>
        <w:t xml:space="preserve">考核办法</w:t>
      </w:r>
      <w:r/>
    </w:p>
    <w:p>
      <w:pPr>
        <w:ind w:firstLine="720"/>
        <w:spacing w:line="440" w:lineRule="exact"/>
        <w:rPr>
          <w:b/>
          <w:sz w:val="24"/>
          <w:szCs w:val="24"/>
          <w:highlight w:val="none"/>
        </w:rPr>
      </w:pPr>
      <w:r>
        <w:rPr>
          <w:rFonts w:ascii="宋体" w:hAnsi="宋体"/>
          <w:sz w:val="24"/>
          <w:szCs w:val="24"/>
          <w:highlight w:val="none"/>
        </w:rPr>
        <w:t xml:space="preserve">考核</w:t>
      </w:r>
      <w:r>
        <w:rPr>
          <w:rFonts w:hint="eastAsia" w:ascii="宋体" w:hAnsi="宋体"/>
          <w:sz w:val="24"/>
          <w:szCs w:val="24"/>
          <w:highlight w:val="none"/>
        </w:rPr>
        <w:t xml:space="preserve">办法详见附件</w:t>
      </w:r>
      <w:r>
        <w:rPr>
          <w:rFonts w:ascii="宋体" w:hAnsi="宋体"/>
          <w:sz w:val="24"/>
          <w:szCs w:val="24"/>
          <w:highlight w:val="none"/>
        </w:rPr>
        <w:t xml:space="preserve">。</w:t>
      </w:r>
      <w:r/>
    </w:p>
    <w:p>
      <w:pPr>
        <w:ind w:right="-27" w:firstLine="482"/>
        <w:spacing w:line="440" w:lineRule="exact"/>
        <w:tabs>
          <w:tab w:val="left" w:pos="0" w:leader="none"/>
          <w:tab w:val="left" w:pos="6983" w:leader="none"/>
        </w:tabs>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第七条 验收办法</w:t>
      </w:r>
      <w:r>
        <w:rPr>
          <w:rFonts w:ascii="宋体" w:hAnsi="宋体" w:cs="宋体"/>
          <w:b/>
          <w:bCs/>
          <w:color w:val="000000" w:themeColor="text1"/>
          <w:sz w:val="24"/>
          <w:szCs w:val="24"/>
          <w14:textFill>
            <w14:solidFill>
              <w14:schemeClr w14:val="tx1"/>
            </w14:solidFill>
          </w14:textFill>
        </w:rPr>
        <w:tab/>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1、甲方依法组织履约验收工作。</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2、甲方按照确定的验收方案或分期考核方案（包括履约验收的时间、方式、程序等内容），综合考核情况和服务效果进行验收。乙方应根据验收方案内容做好相应配合工作。</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3、对于实际使用人和甲方分离的项目，甲方邀请实际使用人参与验收。</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4、如有必要，甲方邀请参加本项目的其他投标人或第三方专业机构及专家参与验收，相关意见将作为验收书的参考资料。</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 </w:t>
      </w:r>
      <w:r>
        <w:rPr>
          <w:rFonts w:hint="eastAsia" w:ascii="宋体" w:hAnsi="宋体" w:cs="宋体"/>
          <w:bCs/>
          <w:color w:val="000000" w:themeColor="text1"/>
          <w:sz w:val="24"/>
          <w:szCs w:val="24"/>
          <w:lang w:eastAsia="zh-CN"/>
          <w14:textFill>
            <w14:solidFill>
              <w14:schemeClr w14:val="tx1"/>
            </w14:solidFill>
          </w14:textFill>
        </w:rPr>
        <w:t xml:space="preserve">、</w:t>
      </w:r>
      <w:r>
        <w:rPr>
          <w:rFonts w:hint="eastAsia" w:ascii="宋体" w:hAnsi="宋体" w:cs="宋体"/>
          <w:bCs/>
          <w:color w:val="000000" w:themeColor="text1"/>
          <w:sz w:val="24"/>
          <w:szCs w:val="24"/>
          <w14:textFill>
            <w14:solidFill>
              <w14:schemeClr w14:val="tx1"/>
            </w14:solidFill>
          </w14:textFill>
        </w:rPr>
        <w:t xml:space="preserve">验收合格的项目,甲方根据采购合同的约定及时向乙方支付合同款项、退还履约保证金（如有）。验收不合格的项目，甲方依法及时处理。</w:t>
      </w:r>
      <w:r/>
    </w:p>
    <w:p>
      <w:pPr>
        <w:ind w:right="-27" w:firstLine="482"/>
        <w:spacing w:line="440" w:lineRule="exact"/>
        <w:tabs>
          <w:tab w:val="left" w:pos="0" w:leader="none"/>
        </w:tabs>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第八条</w:t>
      </w:r>
      <w:r>
        <w:rPr>
          <w:rFonts w:ascii="宋体" w:hAnsi="宋体" w:cs="宋体"/>
          <w:b/>
          <w:bCs/>
          <w:color w:val="000000" w:themeColor="text1"/>
          <w:sz w:val="24"/>
          <w:szCs w:val="24"/>
          <w14:textFill>
            <w14:solidFill>
              <w14:schemeClr w14:val="tx1"/>
            </w14:solidFill>
          </w14:textFill>
        </w:rPr>
        <w:t xml:space="preserve">  </w:t>
      </w:r>
      <w:r>
        <w:rPr>
          <w:rFonts w:hint="eastAsia" w:ascii="宋体" w:hAnsi="宋体" w:cs="宋体"/>
          <w:b/>
          <w:bCs/>
          <w:color w:val="000000" w:themeColor="text1"/>
          <w:sz w:val="24"/>
          <w:szCs w:val="24"/>
          <w14:textFill>
            <w14:solidFill>
              <w14:schemeClr w14:val="tx1"/>
            </w14:solidFill>
          </w14:textFill>
        </w:rPr>
        <w:t xml:space="preserve">双方的其他权利义务</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1、甲方权利义务</w:t>
      </w:r>
      <w:r/>
    </w:p>
    <w:p>
      <w:pPr>
        <w:ind w:right="-27" w:firstLine="72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1.1 甲方权利</w:t>
      </w:r>
      <w:r/>
    </w:p>
    <w:p>
      <w:pPr>
        <w:ind w:right="-27" w:firstLine="789"/>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甲方有权随时向乙方了解服务进展，提出改进意见和建议；甲方有权根据实际履约质量和进度情况要求乙方按照本合同约定加强管理直至提供符合约定的服务。</w:t>
      </w:r>
      <w:r/>
    </w:p>
    <w:p>
      <w:pPr>
        <w:ind w:right="-27" w:firstLine="789"/>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 xml:space="preserve">1.2</w:t>
      </w:r>
      <w:r>
        <w:rPr>
          <w:rFonts w:hint="eastAsia" w:ascii="宋体" w:hAnsi="宋体" w:cs="宋体"/>
          <w:bCs/>
          <w:color w:val="000000" w:themeColor="text1"/>
          <w:sz w:val="24"/>
          <w:szCs w:val="24"/>
          <w14:textFill>
            <w14:solidFill>
              <w14:schemeClr w14:val="tx1"/>
            </w14:solidFill>
          </w14:textFill>
        </w:rPr>
        <w:t xml:space="preserve">甲方义务</w:t>
      </w:r>
      <w:r/>
    </w:p>
    <w:p>
      <w:pPr>
        <w:ind w:right="-27" w:firstLine="789"/>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甲方应按时支付合同价款；为乙方履行合同提供必要的便利条件；本合同约定的其他义务。</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2乙方权利义务</w:t>
      </w:r>
      <w:r/>
    </w:p>
    <w:p>
      <w:pPr>
        <w:ind w:right="-27" w:firstLine="789"/>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2.1乙方权利</w:t>
      </w:r>
      <w:r/>
    </w:p>
    <w:p>
      <w:pPr>
        <w:ind w:right="-27" w:firstLine="789"/>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乙方有权按照合同获得合同价款；乙方有权根据服务内容的需要，请求甲方予以配合。</w:t>
      </w:r>
      <w:r/>
    </w:p>
    <w:p>
      <w:pPr>
        <w:ind w:right="-27" w:firstLine="789"/>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 xml:space="preserve">2.2</w:t>
      </w:r>
      <w:r>
        <w:rPr>
          <w:rFonts w:hint="eastAsia" w:ascii="宋体" w:hAnsi="宋体" w:cs="宋体"/>
          <w:bCs/>
          <w:color w:val="000000" w:themeColor="text1"/>
          <w:sz w:val="24"/>
          <w:szCs w:val="24"/>
          <w14:textFill>
            <w14:solidFill>
              <w14:schemeClr w14:val="tx1"/>
            </w14:solidFill>
          </w14:textFill>
        </w:rPr>
        <w:t xml:space="preserve">除其他有关条款的约定外，乙方义务还包括：</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fldChar w:fldCharType="begin"/>
      </w:r>
      <w:r>
        <w:rPr>
          <w:rFonts w:ascii="宋体" w:hAnsi="宋体" w:cs="宋体"/>
          <w:bCs/>
          <w:color w:val="000000" w:themeColor="text1"/>
          <w:sz w:val="24"/>
          <w:szCs w:val="24"/>
          <w14:textFill>
            <w14:solidFill>
              <w14:schemeClr w14:val="tx1"/>
            </w14:solidFill>
          </w14:textFill>
        </w:rPr>
        <w:instrText xml:space="preserve"> </w:instrText>
      </w:r>
      <w:r>
        <w:rPr>
          <w:rFonts w:hint="eastAsia" w:ascii="宋体" w:hAnsi="宋体" w:cs="宋体"/>
          <w:bCs/>
          <w:color w:val="000000" w:themeColor="text1"/>
          <w:sz w:val="24"/>
          <w:szCs w:val="24"/>
          <w14:textFill>
            <w14:solidFill>
              <w14:schemeClr w14:val="tx1"/>
            </w14:solidFill>
          </w14:textFill>
        </w:rPr>
        <w:instrText xml:space="preserve">= 1 \* GB3</w:instrText>
      </w:r>
      <w:r>
        <w:rPr>
          <w:rFonts w:ascii="宋体" w:hAnsi="宋体" w:cs="宋体"/>
          <w:bCs/>
          <w:color w:val="000000" w:themeColor="text1"/>
          <w:sz w:val="24"/>
          <w:szCs w:val="24"/>
          <w14:textFill>
            <w14:solidFill>
              <w14:schemeClr w14:val="tx1"/>
            </w14:solidFill>
          </w14:textFill>
        </w:rPr>
        <w:instrText xml:space="preserve"> </w:instrText>
      </w:r>
      <w:r>
        <w:rPr>
          <w:rFonts w:ascii="宋体" w:hAnsi="宋体" w:cs="宋体"/>
          <w:bCs/>
          <w:color w:val="000000" w:themeColor="text1"/>
          <w:sz w:val="24"/>
          <w:szCs w:val="24"/>
          <w14:textFill>
            <w14:solidFill>
              <w14:schemeClr w14:val="tx1"/>
            </w14:solidFill>
          </w14:textFill>
        </w:rPr>
        <w:fldChar w:fldCharType="separate"/>
      </w:r>
      <w:r>
        <w:rPr>
          <w:rFonts w:hint="eastAsia" w:ascii="宋体" w:hAnsi="宋体" w:cs="宋体"/>
          <w:bCs/>
          <w:color w:val="000000" w:themeColor="text1"/>
          <w:sz w:val="24"/>
          <w:szCs w:val="24"/>
          <w14:textFill>
            <w14:solidFill>
              <w14:schemeClr w14:val="tx1"/>
            </w14:solidFill>
          </w14:textFill>
        </w:rPr>
        <w:t xml:space="preserve">①</w:t>
      </w:r>
      <w:r>
        <w:rPr>
          <w:rFonts w:ascii="宋体" w:hAnsi="宋体" w:cs="宋体"/>
          <w:bCs/>
          <w:color w:val="000000" w:themeColor="text1"/>
          <w:sz w:val="24"/>
          <w:szCs w:val="24"/>
          <w14:textFill>
            <w14:solidFill>
              <w14:schemeClr w14:val="tx1"/>
            </w14:solidFill>
          </w14:textFill>
        </w:rPr>
        <w:fldChar w:fldCharType="end"/>
      </w:r>
      <w:r>
        <w:rPr>
          <w:rFonts w:hint="eastAsia" w:ascii="宋体" w:hAnsi="宋体" w:cs="宋体"/>
          <w:bCs/>
          <w:color w:val="000000" w:themeColor="text1"/>
          <w:sz w:val="24"/>
          <w:szCs w:val="24"/>
          <w14:textFill>
            <w14:solidFill>
              <w14:schemeClr w14:val="tx1"/>
            </w14:solidFill>
          </w14:textFill>
        </w:rPr>
        <w:t xml:space="preserve">乙方承诺参与政府采购时显示的服务能力不会减弱，包括服务人员团队人员不减少、服务资质不下降、团队具备的人才技能不下降。除了提升人员资质和执业等级（如有）或引进新的人才，如果乙方服务团队人员减少或资质下降人数超过</w:t>
      </w:r>
      <w:r>
        <w:rPr>
          <w:rFonts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14:textFill>
            <w14:solidFill>
              <w14:schemeClr w14:val="tx1"/>
            </w14:solidFill>
          </w14:textFill>
        </w:rPr>
        <w:t xml:space="preserve">的，视为乙方丧失提供服务的能力。</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fldChar w:fldCharType="begin"/>
      </w:r>
      <w:r>
        <w:rPr>
          <w:rFonts w:ascii="宋体" w:hAnsi="宋体" w:cs="宋体"/>
          <w:bCs/>
          <w:color w:val="000000" w:themeColor="text1"/>
          <w:sz w:val="24"/>
          <w:szCs w:val="24"/>
          <w14:textFill>
            <w14:solidFill>
              <w14:schemeClr w14:val="tx1"/>
            </w14:solidFill>
          </w14:textFill>
        </w:rPr>
        <w:instrText xml:space="preserve"> </w:instrText>
      </w:r>
      <w:r>
        <w:rPr>
          <w:rFonts w:hint="eastAsia" w:ascii="宋体" w:hAnsi="宋体" w:cs="宋体"/>
          <w:bCs/>
          <w:color w:val="000000" w:themeColor="text1"/>
          <w:sz w:val="24"/>
          <w:szCs w:val="24"/>
          <w14:textFill>
            <w14:solidFill>
              <w14:schemeClr w14:val="tx1"/>
            </w14:solidFill>
          </w14:textFill>
        </w:rPr>
        <w:instrText xml:space="preserve">= 2 \* GB3</w:instrText>
      </w:r>
      <w:r>
        <w:rPr>
          <w:rFonts w:ascii="宋体" w:hAnsi="宋体" w:cs="宋体"/>
          <w:bCs/>
          <w:color w:val="000000" w:themeColor="text1"/>
          <w:sz w:val="24"/>
          <w:szCs w:val="24"/>
          <w14:textFill>
            <w14:solidFill>
              <w14:schemeClr w14:val="tx1"/>
            </w14:solidFill>
          </w14:textFill>
        </w:rPr>
        <w:instrText xml:space="preserve"> </w:instrText>
      </w:r>
      <w:r>
        <w:rPr>
          <w:rFonts w:ascii="宋体" w:hAnsi="宋体" w:cs="宋体"/>
          <w:bCs/>
          <w:color w:val="000000" w:themeColor="text1"/>
          <w:sz w:val="24"/>
          <w:szCs w:val="24"/>
          <w14:textFill>
            <w14:solidFill>
              <w14:schemeClr w14:val="tx1"/>
            </w14:solidFill>
          </w14:textFill>
        </w:rPr>
        <w:fldChar w:fldCharType="separate"/>
      </w:r>
      <w:r>
        <w:rPr>
          <w:rFonts w:hint="eastAsia" w:ascii="宋体" w:hAnsi="宋体" w:cs="宋体"/>
          <w:bCs/>
          <w:color w:val="000000" w:themeColor="text1"/>
          <w:sz w:val="24"/>
          <w:szCs w:val="24"/>
          <w14:textFill>
            <w14:solidFill>
              <w14:schemeClr w14:val="tx1"/>
            </w14:solidFill>
          </w14:textFill>
        </w:rPr>
        <w:t xml:space="preserve">②</w:t>
      </w:r>
      <w:r>
        <w:rPr>
          <w:rFonts w:ascii="宋体" w:hAnsi="宋体" w:cs="宋体"/>
          <w:bCs/>
          <w:color w:val="000000" w:themeColor="text1"/>
          <w:sz w:val="24"/>
          <w:szCs w:val="24"/>
          <w14:textFill>
            <w14:solidFill>
              <w14:schemeClr w14:val="tx1"/>
            </w14:solidFill>
          </w14:textFill>
        </w:rPr>
        <w:fldChar w:fldCharType="end"/>
      </w:r>
      <w:r>
        <w:rPr>
          <w:rFonts w:hint="eastAsia" w:ascii="宋体" w:hAnsi="宋体" w:cs="宋体"/>
          <w:bCs/>
          <w:color w:val="000000" w:themeColor="text1"/>
          <w:sz w:val="24"/>
          <w:szCs w:val="24"/>
          <w14:textFill>
            <w14:solidFill>
              <w14:schemeClr w14:val="tx1"/>
            </w14:solidFill>
          </w14:textFill>
        </w:rPr>
        <w:t xml:space="preserve">乙方应安排身体健康、品性良好的服务人员为甲方提供服务。</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fldChar w:fldCharType="begin"/>
      </w:r>
      <w:r>
        <w:rPr>
          <w:rFonts w:ascii="宋体" w:hAnsi="宋体" w:cs="宋体"/>
          <w:bCs/>
          <w:color w:val="000000" w:themeColor="text1"/>
          <w:sz w:val="24"/>
          <w:szCs w:val="24"/>
          <w14:textFill>
            <w14:solidFill>
              <w14:schemeClr w14:val="tx1"/>
            </w14:solidFill>
          </w14:textFill>
        </w:rPr>
        <w:instrText xml:space="preserve"> </w:instrText>
      </w:r>
      <w:r>
        <w:rPr>
          <w:rFonts w:hint="eastAsia" w:ascii="宋体" w:hAnsi="宋体" w:cs="宋体"/>
          <w:bCs/>
          <w:color w:val="000000" w:themeColor="text1"/>
          <w:sz w:val="24"/>
          <w:szCs w:val="24"/>
          <w14:textFill>
            <w14:solidFill>
              <w14:schemeClr w14:val="tx1"/>
            </w14:solidFill>
          </w14:textFill>
        </w:rPr>
        <w:instrText xml:space="preserve">= 3 \* GB3</w:instrText>
      </w:r>
      <w:r>
        <w:rPr>
          <w:rFonts w:ascii="宋体" w:hAnsi="宋体" w:cs="宋体"/>
          <w:bCs/>
          <w:color w:val="000000" w:themeColor="text1"/>
          <w:sz w:val="24"/>
          <w:szCs w:val="24"/>
          <w14:textFill>
            <w14:solidFill>
              <w14:schemeClr w14:val="tx1"/>
            </w14:solidFill>
          </w14:textFill>
        </w:rPr>
        <w:instrText xml:space="preserve"> </w:instrText>
      </w:r>
      <w:r>
        <w:rPr>
          <w:rFonts w:ascii="宋体" w:hAnsi="宋体" w:cs="宋体"/>
          <w:bCs/>
          <w:color w:val="000000" w:themeColor="text1"/>
          <w:sz w:val="24"/>
          <w:szCs w:val="24"/>
          <w14:textFill>
            <w14:solidFill>
              <w14:schemeClr w14:val="tx1"/>
            </w14:solidFill>
          </w14:textFill>
        </w:rPr>
        <w:fldChar w:fldCharType="separate"/>
      </w:r>
      <w:r>
        <w:rPr>
          <w:rFonts w:hint="eastAsia" w:ascii="宋体" w:hAnsi="宋体" w:cs="宋体"/>
          <w:bCs/>
          <w:color w:val="000000" w:themeColor="text1"/>
          <w:sz w:val="24"/>
          <w:szCs w:val="24"/>
          <w14:textFill>
            <w14:solidFill>
              <w14:schemeClr w14:val="tx1"/>
            </w14:solidFill>
          </w14:textFill>
        </w:rPr>
        <w:t xml:space="preserve">③</w:t>
      </w:r>
      <w:r>
        <w:rPr>
          <w:rFonts w:ascii="宋体" w:hAnsi="宋体" w:cs="宋体"/>
          <w:bCs/>
          <w:color w:val="000000" w:themeColor="text1"/>
          <w:sz w:val="24"/>
          <w:szCs w:val="24"/>
          <w14:textFill>
            <w14:solidFill>
              <w14:schemeClr w14:val="tx1"/>
            </w14:solidFill>
          </w14:textFill>
        </w:rPr>
        <w:fldChar w:fldCharType="end"/>
      </w:r>
      <w:r>
        <w:rPr>
          <w:rFonts w:hint="eastAsia" w:ascii="宋体" w:hAnsi="宋体" w:cs="宋体"/>
          <w:bCs/>
          <w:color w:val="000000" w:themeColor="text1"/>
          <w:sz w:val="24"/>
          <w:szCs w:val="24"/>
          <w14:textFill>
            <w14:solidFill>
              <w14:schemeClr w14:val="tx1"/>
            </w14:solidFill>
          </w14:textFill>
        </w:rPr>
        <w:t xml:space="preserve">乙方应保证服务人员的稳定，未经甲方同意，不得变更服务人员。</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fldChar w:fldCharType="begin"/>
      </w:r>
      <w:r>
        <w:rPr>
          <w:rFonts w:ascii="宋体" w:hAnsi="宋体" w:cs="宋体"/>
          <w:bCs/>
          <w:color w:val="000000" w:themeColor="text1"/>
          <w:sz w:val="24"/>
          <w:szCs w:val="24"/>
          <w14:textFill>
            <w14:solidFill>
              <w14:schemeClr w14:val="tx1"/>
            </w14:solidFill>
          </w14:textFill>
        </w:rPr>
        <w:instrText xml:space="preserve"> </w:instrText>
      </w:r>
      <w:r>
        <w:rPr>
          <w:rFonts w:hint="eastAsia" w:ascii="宋体" w:hAnsi="宋体" w:cs="宋体"/>
          <w:bCs/>
          <w:color w:val="000000" w:themeColor="text1"/>
          <w:sz w:val="24"/>
          <w:szCs w:val="24"/>
          <w14:textFill>
            <w14:solidFill>
              <w14:schemeClr w14:val="tx1"/>
            </w14:solidFill>
          </w14:textFill>
        </w:rPr>
        <w:instrText xml:space="preserve">= 4 \* GB3</w:instrText>
      </w:r>
      <w:r>
        <w:rPr>
          <w:rFonts w:ascii="宋体" w:hAnsi="宋体" w:cs="宋体"/>
          <w:bCs/>
          <w:color w:val="000000" w:themeColor="text1"/>
          <w:sz w:val="24"/>
          <w:szCs w:val="24"/>
          <w14:textFill>
            <w14:solidFill>
              <w14:schemeClr w14:val="tx1"/>
            </w14:solidFill>
          </w14:textFill>
        </w:rPr>
        <w:instrText xml:space="preserve"> </w:instrText>
      </w:r>
      <w:r>
        <w:rPr>
          <w:rFonts w:ascii="宋体" w:hAnsi="宋体" w:cs="宋体"/>
          <w:bCs/>
          <w:color w:val="000000" w:themeColor="text1"/>
          <w:sz w:val="24"/>
          <w:szCs w:val="24"/>
          <w14:textFill>
            <w14:solidFill>
              <w14:schemeClr w14:val="tx1"/>
            </w14:solidFill>
          </w14:textFill>
        </w:rPr>
        <w:fldChar w:fldCharType="separate"/>
      </w:r>
      <w:r>
        <w:rPr>
          <w:rFonts w:hint="eastAsia" w:ascii="宋体" w:hAnsi="宋体" w:cs="宋体"/>
          <w:bCs/>
          <w:color w:val="000000" w:themeColor="text1"/>
          <w:sz w:val="24"/>
          <w:szCs w:val="24"/>
          <w14:textFill>
            <w14:solidFill>
              <w14:schemeClr w14:val="tx1"/>
            </w14:solidFill>
          </w14:textFill>
        </w:rPr>
        <w:t xml:space="preserve">④</w:t>
      </w:r>
      <w:r>
        <w:rPr>
          <w:rFonts w:ascii="宋体" w:hAnsi="宋体" w:cs="宋体"/>
          <w:bCs/>
          <w:color w:val="000000" w:themeColor="text1"/>
          <w:sz w:val="24"/>
          <w:szCs w:val="24"/>
          <w14:textFill>
            <w14:solidFill>
              <w14:schemeClr w14:val="tx1"/>
            </w14:solidFill>
          </w14:textFill>
        </w:rPr>
        <w:fldChar w:fldCharType="end"/>
      </w:r>
      <w:r>
        <w:rPr>
          <w:rFonts w:hint="eastAsia" w:ascii="宋体" w:hAnsi="宋体" w:cs="宋体"/>
          <w:bCs/>
          <w:color w:val="000000" w:themeColor="text1"/>
          <w:sz w:val="24"/>
          <w:szCs w:val="24"/>
          <w14:textFill>
            <w14:solidFill>
              <w14:schemeClr w14:val="tx1"/>
            </w14:solidFill>
          </w14:textFill>
        </w:rPr>
        <w:t xml:space="preserve">乙方应当及时响应甲方的服务需求，在甲方提出派员到场服务时，应当与甲方确定到场时间。甲方紧急服务需求时，乙方应在</w:t>
      </w:r>
      <w:r>
        <w:rPr>
          <w:rFonts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14:textFill>
            <w14:solidFill>
              <w14:schemeClr w14:val="tx1"/>
            </w14:solidFill>
          </w14:textFill>
        </w:rPr>
        <w:t xml:space="preserve">小时内派员到场。</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fldChar w:fldCharType="begin"/>
      </w:r>
      <w:r>
        <w:rPr>
          <w:rFonts w:ascii="宋体" w:hAnsi="宋体" w:cs="宋体"/>
          <w:bCs/>
          <w:color w:val="000000" w:themeColor="text1"/>
          <w:sz w:val="24"/>
          <w:szCs w:val="24"/>
          <w14:textFill>
            <w14:solidFill>
              <w14:schemeClr w14:val="tx1"/>
            </w14:solidFill>
          </w14:textFill>
        </w:rPr>
        <w:instrText xml:space="preserve"> </w:instrText>
      </w:r>
      <w:r>
        <w:rPr>
          <w:rFonts w:hint="eastAsia" w:ascii="宋体" w:hAnsi="宋体" w:cs="宋体"/>
          <w:bCs/>
          <w:color w:val="000000" w:themeColor="text1"/>
          <w:sz w:val="24"/>
          <w:szCs w:val="24"/>
          <w14:textFill>
            <w14:solidFill>
              <w14:schemeClr w14:val="tx1"/>
            </w14:solidFill>
          </w14:textFill>
        </w:rPr>
        <w:instrText xml:space="preserve">= 5 \* GB3</w:instrText>
      </w:r>
      <w:r>
        <w:rPr>
          <w:rFonts w:ascii="宋体" w:hAnsi="宋体" w:cs="宋体"/>
          <w:bCs/>
          <w:color w:val="000000" w:themeColor="text1"/>
          <w:sz w:val="24"/>
          <w:szCs w:val="24"/>
          <w14:textFill>
            <w14:solidFill>
              <w14:schemeClr w14:val="tx1"/>
            </w14:solidFill>
          </w14:textFill>
        </w:rPr>
        <w:instrText xml:space="preserve"> </w:instrText>
      </w:r>
      <w:r>
        <w:rPr>
          <w:rFonts w:ascii="宋体" w:hAnsi="宋体" w:cs="宋体"/>
          <w:bCs/>
          <w:color w:val="000000" w:themeColor="text1"/>
          <w:sz w:val="24"/>
          <w:szCs w:val="24"/>
          <w14:textFill>
            <w14:solidFill>
              <w14:schemeClr w14:val="tx1"/>
            </w14:solidFill>
          </w14:textFill>
        </w:rPr>
        <w:fldChar w:fldCharType="separate"/>
      </w:r>
      <w:r>
        <w:rPr>
          <w:rFonts w:hint="eastAsia" w:ascii="宋体" w:hAnsi="宋体" w:cs="宋体"/>
          <w:bCs/>
          <w:color w:val="000000" w:themeColor="text1"/>
          <w:sz w:val="24"/>
          <w:szCs w:val="24"/>
          <w14:textFill>
            <w14:solidFill>
              <w14:schemeClr w14:val="tx1"/>
            </w14:solidFill>
          </w14:textFill>
        </w:rPr>
        <w:t xml:space="preserve">⑤</w:t>
      </w:r>
      <w:r>
        <w:rPr>
          <w:rFonts w:ascii="宋体" w:hAnsi="宋体" w:cs="宋体"/>
          <w:bCs/>
          <w:color w:val="000000" w:themeColor="text1"/>
          <w:sz w:val="24"/>
          <w:szCs w:val="24"/>
          <w14:textFill>
            <w14:solidFill>
              <w14:schemeClr w14:val="tx1"/>
            </w14:solidFill>
          </w14:textFill>
        </w:rPr>
        <w:fldChar w:fldCharType="end"/>
      </w:r>
      <w:r>
        <w:rPr>
          <w:rFonts w:hint="eastAsia" w:ascii="宋体" w:hAnsi="宋体" w:cs="宋体"/>
          <w:bCs/>
          <w:color w:val="000000" w:themeColor="text1"/>
          <w:sz w:val="24"/>
          <w:szCs w:val="24"/>
          <w14:textFill>
            <w14:solidFill>
              <w14:schemeClr w14:val="tx1"/>
            </w14:solidFill>
          </w14:textFill>
        </w:rPr>
        <w:t xml:space="preserve">定期组织服务人员进行培训学习，不断提高服务人员业务技能。</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fldChar w:fldCharType="begin"/>
      </w:r>
      <w:r>
        <w:rPr>
          <w:rFonts w:ascii="宋体" w:hAnsi="宋体" w:cs="宋体"/>
          <w:bCs/>
          <w:color w:val="000000" w:themeColor="text1"/>
          <w:sz w:val="24"/>
          <w:szCs w:val="24"/>
          <w14:textFill>
            <w14:solidFill>
              <w14:schemeClr w14:val="tx1"/>
            </w14:solidFill>
          </w14:textFill>
        </w:rPr>
        <w:instrText xml:space="preserve"> </w:instrText>
      </w:r>
      <w:r>
        <w:rPr>
          <w:rFonts w:hint="eastAsia" w:ascii="宋体" w:hAnsi="宋体" w:cs="宋体"/>
          <w:bCs/>
          <w:color w:val="000000" w:themeColor="text1"/>
          <w:sz w:val="24"/>
          <w:szCs w:val="24"/>
          <w14:textFill>
            <w14:solidFill>
              <w14:schemeClr w14:val="tx1"/>
            </w14:solidFill>
          </w14:textFill>
        </w:rPr>
        <w:instrText xml:space="preserve">= 6 \* GB3</w:instrText>
      </w:r>
      <w:r>
        <w:rPr>
          <w:rFonts w:ascii="宋体" w:hAnsi="宋体" w:cs="宋体"/>
          <w:bCs/>
          <w:color w:val="000000" w:themeColor="text1"/>
          <w:sz w:val="24"/>
          <w:szCs w:val="24"/>
          <w14:textFill>
            <w14:solidFill>
              <w14:schemeClr w14:val="tx1"/>
            </w14:solidFill>
          </w14:textFill>
        </w:rPr>
        <w:instrText xml:space="preserve"> </w:instrText>
      </w:r>
      <w:r>
        <w:rPr>
          <w:rFonts w:ascii="宋体" w:hAnsi="宋体" w:cs="宋体"/>
          <w:bCs/>
          <w:color w:val="000000" w:themeColor="text1"/>
          <w:sz w:val="24"/>
          <w:szCs w:val="24"/>
          <w14:textFill>
            <w14:solidFill>
              <w14:schemeClr w14:val="tx1"/>
            </w14:solidFill>
          </w14:textFill>
        </w:rPr>
        <w:fldChar w:fldCharType="separate"/>
      </w:r>
      <w:r>
        <w:rPr>
          <w:rFonts w:hint="eastAsia" w:ascii="宋体" w:hAnsi="宋体" w:cs="宋体"/>
          <w:bCs/>
          <w:color w:val="000000" w:themeColor="text1"/>
          <w:sz w:val="24"/>
          <w:szCs w:val="24"/>
          <w14:textFill>
            <w14:solidFill>
              <w14:schemeClr w14:val="tx1"/>
            </w14:solidFill>
          </w14:textFill>
        </w:rPr>
        <w:t xml:space="preserve">⑥</w:t>
      </w:r>
      <w:r>
        <w:rPr>
          <w:rFonts w:ascii="宋体" w:hAnsi="宋体" w:cs="宋体"/>
          <w:bCs/>
          <w:color w:val="000000" w:themeColor="text1"/>
          <w:sz w:val="24"/>
          <w:szCs w:val="24"/>
          <w14:textFill>
            <w14:solidFill>
              <w14:schemeClr w14:val="tx1"/>
            </w14:solidFill>
          </w14:textFill>
        </w:rPr>
        <w:fldChar w:fldCharType="end"/>
      </w:r>
      <w:r>
        <w:rPr>
          <w:rFonts w:hint="eastAsia" w:ascii="宋体" w:hAnsi="宋体" w:cs="宋体"/>
          <w:bCs/>
          <w:color w:val="000000" w:themeColor="text1"/>
          <w:sz w:val="24"/>
          <w:szCs w:val="24"/>
          <w14:textFill>
            <w14:solidFill>
              <w14:schemeClr w14:val="tx1"/>
            </w14:solidFill>
          </w14:textFill>
        </w:rPr>
        <w:t xml:space="preserve">乙方做好安全生产工作，对在工作中出现的服务人员的人身安全承担责任，并对由于服务人员的原因导致的第三人的人身财产损失承担赔偿责任。</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fldChar w:fldCharType="begin"/>
      </w:r>
      <w:r>
        <w:rPr>
          <w:rFonts w:ascii="宋体" w:hAnsi="宋体" w:cs="宋体"/>
          <w:bCs/>
          <w:color w:val="000000" w:themeColor="text1"/>
          <w:sz w:val="24"/>
          <w:szCs w:val="24"/>
          <w14:textFill>
            <w14:solidFill>
              <w14:schemeClr w14:val="tx1"/>
            </w14:solidFill>
          </w14:textFill>
        </w:rPr>
        <w:instrText xml:space="preserve"> </w:instrText>
      </w:r>
      <w:r>
        <w:rPr>
          <w:rFonts w:hint="eastAsia" w:ascii="宋体" w:hAnsi="宋体" w:cs="宋体"/>
          <w:bCs/>
          <w:color w:val="000000" w:themeColor="text1"/>
          <w:sz w:val="24"/>
          <w:szCs w:val="24"/>
          <w14:textFill>
            <w14:solidFill>
              <w14:schemeClr w14:val="tx1"/>
            </w14:solidFill>
          </w14:textFill>
        </w:rPr>
        <w:instrText xml:space="preserve">= 7 \* GB3</w:instrText>
      </w:r>
      <w:r>
        <w:rPr>
          <w:rFonts w:ascii="宋体" w:hAnsi="宋体" w:cs="宋体"/>
          <w:bCs/>
          <w:color w:val="000000" w:themeColor="text1"/>
          <w:sz w:val="24"/>
          <w:szCs w:val="24"/>
          <w14:textFill>
            <w14:solidFill>
              <w14:schemeClr w14:val="tx1"/>
            </w14:solidFill>
          </w14:textFill>
        </w:rPr>
        <w:instrText xml:space="preserve"> </w:instrText>
      </w:r>
      <w:r>
        <w:rPr>
          <w:rFonts w:ascii="宋体" w:hAnsi="宋体" w:cs="宋体"/>
          <w:bCs/>
          <w:color w:val="000000" w:themeColor="text1"/>
          <w:sz w:val="24"/>
          <w:szCs w:val="24"/>
          <w14:textFill>
            <w14:solidFill>
              <w14:schemeClr w14:val="tx1"/>
            </w14:solidFill>
          </w14:textFill>
        </w:rPr>
        <w:fldChar w:fldCharType="separate"/>
      </w:r>
      <w:r>
        <w:rPr>
          <w:rFonts w:hint="eastAsia" w:ascii="宋体" w:hAnsi="宋体" w:cs="宋体"/>
          <w:bCs/>
          <w:color w:val="000000" w:themeColor="text1"/>
          <w:sz w:val="24"/>
          <w:szCs w:val="24"/>
          <w14:textFill>
            <w14:solidFill>
              <w14:schemeClr w14:val="tx1"/>
            </w14:solidFill>
          </w14:textFill>
        </w:rPr>
        <w:t xml:space="preserve">⑦</w:t>
      </w:r>
      <w:r>
        <w:rPr>
          <w:rFonts w:ascii="宋体" w:hAnsi="宋体" w:cs="宋体"/>
          <w:bCs/>
          <w:color w:val="000000" w:themeColor="text1"/>
          <w:sz w:val="24"/>
          <w:szCs w:val="24"/>
          <w14:textFill>
            <w14:solidFill>
              <w14:schemeClr w14:val="tx1"/>
            </w14:solidFill>
          </w14:textFill>
        </w:rPr>
        <w:fldChar w:fldCharType="end"/>
      </w:r>
      <w:r>
        <w:rPr>
          <w:rFonts w:hint="eastAsia" w:ascii="宋体" w:hAnsi="宋体" w:cs="宋体"/>
          <w:bCs/>
          <w:color w:val="000000" w:themeColor="text1"/>
          <w:sz w:val="24"/>
          <w:szCs w:val="24"/>
          <w14:textFill>
            <w14:solidFill>
              <w14:schemeClr w14:val="tx1"/>
            </w14:solidFill>
          </w14:textFill>
        </w:rPr>
        <w:t xml:space="preserve">乙方应根据国家法律法规的规定与其为甲方提供服务的人员签署劳动合同，并负责上述人员的工资和社会劳动保险、奖金、福利等费用，若发生劳动争议均由乙方自己解决并承担所有责任，甲方无任何连带关系和责任。</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fldChar w:fldCharType="begin"/>
      </w:r>
      <w:r>
        <w:rPr>
          <w:rFonts w:ascii="宋体" w:hAnsi="宋体" w:cs="宋体"/>
          <w:bCs/>
          <w:color w:val="000000" w:themeColor="text1"/>
          <w:sz w:val="24"/>
          <w:szCs w:val="24"/>
          <w14:textFill>
            <w14:solidFill>
              <w14:schemeClr w14:val="tx1"/>
            </w14:solidFill>
          </w14:textFill>
        </w:rPr>
        <w:instrText xml:space="preserve"> </w:instrText>
      </w:r>
      <w:r>
        <w:rPr>
          <w:rFonts w:hint="eastAsia" w:ascii="宋体" w:hAnsi="宋体" w:cs="宋体"/>
          <w:bCs/>
          <w:color w:val="000000" w:themeColor="text1"/>
          <w:sz w:val="24"/>
          <w:szCs w:val="24"/>
          <w14:textFill>
            <w14:solidFill>
              <w14:schemeClr w14:val="tx1"/>
            </w14:solidFill>
          </w14:textFill>
        </w:rPr>
        <w:instrText xml:space="preserve">= 8 \* GB3</w:instrText>
      </w:r>
      <w:r>
        <w:rPr>
          <w:rFonts w:ascii="宋体" w:hAnsi="宋体" w:cs="宋体"/>
          <w:bCs/>
          <w:color w:val="000000" w:themeColor="text1"/>
          <w:sz w:val="24"/>
          <w:szCs w:val="24"/>
          <w14:textFill>
            <w14:solidFill>
              <w14:schemeClr w14:val="tx1"/>
            </w14:solidFill>
          </w14:textFill>
        </w:rPr>
        <w:instrText xml:space="preserve"> </w:instrText>
      </w:r>
      <w:r>
        <w:rPr>
          <w:rFonts w:ascii="宋体" w:hAnsi="宋体" w:cs="宋体"/>
          <w:bCs/>
          <w:color w:val="000000" w:themeColor="text1"/>
          <w:sz w:val="24"/>
          <w:szCs w:val="24"/>
          <w14:textFill>
            <w14:solidFill>
              <w14:schemeClr w14:val="tx1"/>
            </w14:solidFill>
          </w14:textFill>
        </w:rPr>
        <w:fldChar w:fldCharType="separate"/>
      </w:r>
      <w:r>
        <w:rPr>
          <w:rFonts w:hint="eastAsia" w:ascii="宋体" w:hAnsi="宋体" w:cs="宋体"/>
          <w:bCs/>
          <w:color w:val="000000" w:themeColor="text1"/>
          <w:sz w:val="24"/>
          <w:szCs w:val="24"/>
          <w14:textFill>
            <w14:solidFill>
              <w14:schemeClr w14:val="tx1"/>
            </w14:solidFill>
          </w14:textFill>
        </w:rPr>
        <w:t xml:space="preserve">⑧</w:t>
      </w:r>
      <w:r>
        <w:rPr>
          <w:rFonts w:ascii="宋体" w:hAnsi="宋体" w:cs="宋体"/>
          <w:bCs/>
          <w:color w:val="000000" w:themeColor="text1"/>
          <w:sz w:val="24"/>
          <w:szCs w:val="24"/>
          <w14:textFill>
            <w14:solidFill>
              <w14:schemeClr w14:val="tx1"/>
            </w14:solidFill>
          </w14:textFill>
        </w:rPr>
        <w:fldChar w:fldCharType="end"/>
      </w:r>
      <w:r>
        <w:rPr>
          <w:rFonts w:hint="eastAsia" w:ascii="宋体" w:hAnsi="宋体" w:cs="宋体"/>
          <w:bCs/>
          <w:color w:val="000000" w:themeColor="text1"/>
          <w:sz w:val="24"/>
          <w:szCs w:val="24"/>
          <w14:textFill>
            <w14:solidFill>
              <w14:schemeClr w14:val="tx1"/>
            </w14:solidFill>
          </w14:textFill>
        </w:rPr>
        <w:t xml:space="preserve">法规、政策规定由乙方承担的其他责任。</w:t>
      </w:r>
      <w:r/>
    </w:p>
    <w:p>
      <w:pPr>
        <w:ind w:right="-27" w:firstLine="482"/>
        <w:spacing w:line="440" w:lineRule="exact"/>
        <w:tabs>
          <w:tab w:val="left" w:pos="0" w:leader="none"/>
        </w:tabs>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第九条 质量保证</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乙方各项服务承诺指标及所采取的措施按照采购文件要求及相应文件的承诺予以确定。  </w:t>
      </w:r>
      <w:r/>
    </w:p>
    <w:p>
      <w:pPr>
        <w:ind w:firstLine="482"/>
        <w:spacing w:line="440" w:lineRule="exact"/>
        <w:rPr>
          <w:b/>
          <w:sz w:val="24"/>
          <w:szCs w:val="24"/>
        </w:rPr>
      </w:pPr>
      <w:r/>
      <w:bookmarkStart w:id="195" w:name="_Toc22267"/>
      <w:r>
        <w:rPr>
          <w:rFonts w:hint="eastAsia" w:ascii="宋体" w:hAnsi="宋体" w:cs="宋体"/>
          <w:b/>
          <w:bCs/>
          <w:color w:val="000000" w:themeColor="text1"/>
          <w:sz w:val="24"/>
          <w:szCs w:val="24"/>
          <w14:textFill>
            <w14:solidFill>
              <w14:schemeClr w14:val="tx1"/>
            </w14:solidFill>
          </w14:textFill>
        </w:rPr>
        <w:t xml:space="preserve">第</w:t>
      </w:r>
      <w:r>
        <w:rPr>
          <w:rFonts w:hint="eastAsia" w:ascii="宋体" w:hAnsi="宋体" w:cs="宋体"/>
          <w:b/>
          <w:bCs/>
          <w:color w:val="000000" w:themeColor="text1"/>
          <w:sz w:val="24"/>
          <w:szCs w:val="24"/>
          <w:lang w:val="en-US" w:eastAsia="zh-CN"/>
          <w14:textFill>
            <w14:solidFill>
              <w14:schemeClr w14:val="tx1"/>
            </w14:solidFill>
          </w14:textFill>
        </w:rPr>
        <w:t xml:space="preserve">十</w:t>
      </w:r>
      <w:r>
        <w:rPr>
          <w:rFonts w:hint="eastAsia" w:ascii="宋体" w:hAnsi="宋体" w:cs="宋体"/>
          <w:b/>
          <w:bCs/>
          <w:color w:val="000000" w:themeColor="text1"/>
          <w:sz w:val="24"/>
          <w:szCs w:val="24"/>
          <w14:textFill>
            <w14:solidFill>
              <w14:schemeClr w14:val="tx1"/>
            </w14:solidFill>
          </w14:textFill>
        </w:rPr>
        <w:t xml:space="preserve">条</w:t>
      </w:r>
      <w:r>
        <w:rPr>
          <w:rFonts w:hint="eastAsia"/>
          <w:b/>
          <w:sz w:val="24"/>
          <w:szCs w:val="24"/>
        </w:rPr>
        <w:t xml:space="preserve"> 延迟履行</w:t>
      </w:r>
      <w:bookmarkEnd w:id="195"/>
      <w:r/>
      <w:r/>
    </w:p>
    <w:p>
      <w:pPr>
        <w:ind w:firstLine="480"/>
        <w:spacing w:line="440" w:lineRule="exact"/>
        <w:rPr>
          <w:sz w:val="24"/>
          <w:szCs w:val="24"/>
        </w:rPr>
      </w:pPr>
      <w:r>
        <w:rPr>
          <w:sz w:val="24"/>
          <w:szCs w:val="24"/>
        </w:rPr>
        <w:t xml:space="preserve">在合同履行过程中，如果乙方遇到不能按时</w:t>
      </w:r>
      <w:r>
        <w:rPr>
          <w:rFonts w:hint="eastAsia"/>
          <w:sz w:val="24"/>
          <w:szCs w:val="24"/>
        </w:rPr>
        <w:t xml:space="preserve">提供服务</w:t>
      </w:r>
      <w:r>
        <w:rPr>
          <w:sz w:val="24"/>
          <w:szCs w:val="24"/>
        </w:rPr>
        <w:t xml:space="preserve">的情况，应及时以书面形式将不能按时</w:t>
      </w:r>
      <w:r>
        <w:rPr>
          <w:rFonts w:hint="eastAsia"/>
          <w:sz w:val="24"/>
          <w:szCs w:val="24"/>
        </w:rPr>
        <w:t xml:space="preserve">提供服务</w:t>
      </w:r>
      <w:r>
        <w:rPr>
          <w:sz w:val="24"/>
          <w:szCs w:val="24"/>
        </w:rPr>
        <w:t xml:space="preserve">的理由、预期延误时间通知甲方</w:t>
      </w:r>
      <w:r>
        <w:rPr>
          <w:rFonts w:hint="eastAsia"/>
          <w:sz w:val="24"/>
          <w:szCs w:val="24"/>
        </w:rPr>
        <w:t xml:space="preserve">；甲</w:t>
      </w:r>
      <w:r>
        <w:rPr>
          <w:sz w:val="24"/>
          <w:szCs w:val="24"/>
        </w:rPr>
        <w:t xml:space="preserve">方收到乙方通知后，认为其理由正当的，可以书面形式酌情同意乙方可以延长</w:t>
      </w:r>
      <w:r>
        <w:rPr>
          <w:rFonts w:hint="eastAsia"/>
          <w:sz w:val="24"/>
          <w:szCs w:val="24"/>
        </w:rPr>
        <w:t xml:space="preserve">履行</w:t>
      </w:r>
      <w:r>
        <w:rPr>
          <w:sz w:val="24"/>
          <w:szCs w:val="24"/>
        </w:rPr>
        <w:t xml:space="preserve">的具体时间。</w:t>
      </w:r>
      <w:r/>
    </w:p>
    <w:p>
      <w:pPr>
        <w:ind w:right="-27" w:firstLine="482"/>
        <w:spacing w:line="440" w:lineRule="exact"/>
        <w:tabs>
          <w:tab w:val="left" w:pos="0" w:leader="none"/>
        </w:tabs>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第十</w:t>
      </w:r>
      <w:r>
        <w:rPr>
          <w:rFonts w:hint="eastAsia" w:ascii="宋体" w:hAnsi="宋体" w:cs="宋体"/>
          <w:b/>
          <w:bCs/>
          <w:color w:val="000000" w:themeColor="text1"/>
          <w:sz w:val="24"/>
          <w:szCs w:val="24"/>
          <w:lang w:val="en-US" w:eastAsia="zh-CN"/>
          <w14:textFill>
            <w14:solidFill>
              <w14:schemeClr w14:val="tx1"/>
            </w14:solidFill>
          </w14:textFill>
        </w:rPr>
        <w:t xml:space="preserve">一</w:t>
      </w:r>
      <w:r>
        <w:rPr>
          <w:rFonts w:hint="eastAsia" w:ascii="宋体" w:hAnsi="宋体" w:cs="宋体"/>
          <w:b/>
          <w:bCs/>
          <w:color w:val="000000" w:themeColor="text1"/>
          <w:sz w:val="24"/>
          <w:szCs w:val="24"/>
          <w14:textFill>
            <w14:solidFill>
              <w14:schemeClr w14:val="tx1"/>
            </w14:solidFill>
          </w14:textFill>
        </w:rPr>
        <w:t xml:space="preserve">条 违约责任</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 xml:space="preserve">1</w:t>
      </w:r>
      <w:r>
        <w:rPr>
          <w:rFonts w:hint="eastAsia" w:ascii="宋体" w:hAnsi="宋体" w:cs="宋体"/>
          <w:bCs/>
          <w:color w:val="000000" w:themeColor="text1"/>
          <w:sz w:val="24"/>
          <w:szCs w:val="24"/>
          <w14:textFill>
            <w14:solidFill>
              <w14:schemeClr w14:val="tx1"/>
            </w14:solidFill>
          </w14:textFill>
        </w:rPr>
        <w:t xml:space="preserve">、有下列情形之一的，乙方应当向甲方支付合同约定合同价款金额</w:t>
      </w:r>
      <w:r>
        <w:rPr>
          <w:rFonts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u w:val="single"/>
          <w14:textFill>
            <w14:solidFill>
              <w14:schemeClr w14:val="tx1"/>
            </w14:solidFill>
          </w14:textFill>
        </w:rPr>
        <w:t xml:space="preserve">5</w:t>
      </w:r>
      <w:r>
        <w:rPr>
          <w:rFonts w:ascii="宋体" w:hAnsi="宋体" w:cs="宋体"/>
          <w:bCs/>
          <w:color w:val="000000" w:themeColor="text1"/>
          <w:sz w:val="24"/>
          <w:szCs w:val="24"/>
          <w:u w:val="single"/>
          <w14:textFill>
            <w14:solidFill>
              <w14:schemeClr w14:val="tx1"/>
            </w14:solidFill>
          </w14:textFill>
        </w:rPr>
        <w:t xml:space="preserve"> </w:t>
      </w:r>
      <w:r>
        <w:rPr>
          <w:rFonts w:ascii="宋体" w:hAnsi="宋体" w:cs="宋体"/>
          <w:bCs/>
          <w:color w:val="000000" w:themeColor="text1"/>
          <w:sz w:val="24"/>
          <w:szCs w:val="24"/>
          <w14:textFill>
            <w14:solidFill>
              <w14:schemeClr w14:val="tx1"/>
            </w14:solidFill>
          </w14:textFill>
        </w:rPr>
        <w:t xml:space="preserve">%</w:t>
      </w:r>
      <w:r>
        <w:rPr>
          <w:rFonts w:hint="eastAsia" w:ascii="宋体" w:hAnsi="宋体" w:cs="宋体"/>
          <w:bCs/>
          <w:color w:val="000000" w:themeColor="text1"/>
          <w:sz w:val="24"/>
          <w:szCs w:val="24"/>
          <w14:textFill>
            <w14:solidFill>
              <w14:schemeClr w14:val="tx1"/>
            </w14:solidFill>
          </w14:textFill>
        </w:rPr>
        <w:t xml:space="preserve">的违约金：</w:t>
      </w:r>
      <w:r/>
    </w:p>
    <w:p>
      <w:pPr>
        <w:ind w:right="-27" w:firstLine="789"/>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 xml:space="preserve">1.1</w:t>
      </w:r>
      <w:r>
        <w:rPr>
          <w:rFonts w:hint="eastAsia" w:ascii="宋体" w:hAnsi="宋体" w:cs="宋体"/>
          <w:bCs/>
          <w:color w:val="000000" w:themeColor="text1"/>
          <w:sz w:val="24"/>
          <w:szCs w:val="24"/>
          <w14:textFill>
            <w14:solidFill>
              <w14:schemeClr w14:val="tx1"/>
            </w14:solidFill>
          </w14:textFill>
        </w:rPr>
        <w:t xml:space="preserve">乙方服务团队成员未经甲方同意发生变更，经甲方要求恢复后，未在合理期限内（</w:t>
      </w:r>
      <w:r>
        <w:rPr>
          <w:rFonts w:ascii="宋体" w:hAnsi="宋体" w:cs="宋体"/>
          <w:bCs/>
          <w:color w:val="000000" w:themeColor="text1"/>
          <w:sz w:val="24"/>
          <w:szCs w:val="24"/>
          <w:u w:val="single"/>
          <w14:textFill>
            <w14:solidFill>
              <w14:schemeClr w14:val="tx1"/>
            </w14:solidFill>
          </w14:textFill>
        </w:rPr>
        <w:t xml:space="preserve">5</w:t>
      </w:r>
      <w:r>
        <w:rPr>
          <w:rFonts w:hint="eastAsia" w:ascii="宋体" w:hAnsi="宋体" w:cs="宋体"/>
          <w:bCs/>
          <w:color w:val="000000" w:themeColor="text1"/>
          <w:sz w:val="24"/>
          <w:szCs w:val="24"/>
          <w:u w:val="single"/>
          <w14:textFill>
            <w14:solidFill>
              <w14:schemeClr w14:val="tx1"/>
            </w14:solidFill>
          </w14:textFill>
        </w:rPr>
        <w:t xml:space="preserve">个</w:t>
      </w:r>
      <w:r>
        <w:rPr>
          <w:rFonts w:ascii="宋体" w:hAnsi="宋体" w:cs="宋体"/>
          <w:bCs/>
          <w:color w:val="000000" w:themeColor="text1"/>
          <w:sz w:val="24"/>
          <w:szCs w:val="24"/>
          <w:u w:val="single"/>
          <w14:textFill>
            <w14:solidFill>
              <w14:schemeClr w14:val="tx1"/>
            </w14:solidFill>
          </w14:textFill>
        </w:rPr>
        <w:t xml:space="preserve">工作</w:t>
      </w:r>
      <w:r>
        <w:rPr>
          <w:rFonts w:hint="eastAsia" w:ascii="宋体" w:hAnsi="宋体" w:cs="宋体"/>
          <w:bCs/>
          <w:color w:val="000000" w:themeColor="text1"/>
          <w:sz w:val="24"/>
          <w:szCs w:val="24"/>
          <w14:textFill>
            <w14:solidFill>
              <w14:schemeClr w14:val="tx1"/>
            </w14:solidFill>
          </w14:textFill>
        </w:rPr>
        <w:t xml:space="preserve">日内）恢复的；</w:t>
      </w:r>
      <w:r/>
    </w:p>
    <w:p>
      <w:pPr>
        <w:ind w:right="-27" w:firstLine="789"/>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 xml:space="preserve">1.2</w:t>
      </w:r>
      <w:r>
        <w:rPr>
          <w:rFonts w:hint="eastAsia" w:ascii="宋体" w:hAnsi="宋体" w:cs="宋体"/>
          <w:bCs/>
          <w:color w:val="000000" w:themeColor="text1"/>
          <w:sz w:val="24"/>
          <w:szCs w:val="24"/>
          <w14:textFill>
            <w14:solidFill>
              <w14:schemeClr w14:val="tx1"/>
            </w14:solidFill>
          </w14:textFill>
        </w:rPr>
        <w:t xml:space="preserve">乙方单位总体服务能力发生下降，专业技术人员减员或资质下降人数达到</w:t>
      </w:r>
      <w:r>
        <w:rPr>
          <w:rFonts w:ascii="宋体" w:hAnsi="宋体" w:cs="宋体"/>
          <w:bCs/>
          <w:color w:val="000000" w:themeColor="text1"/>
          <w:sz w:val="24"/>
          <w:szCs w:val="24"/>
          <w:u w:val="single"/>
          <w14:textFill>
            <w14:solidFill>
              <w14:schemeClr w14:val="tx1"/>
            </w14:solidFill>
          </w14:textFill>
        </w:rPr>
        <w:t xml:space="preserve">20%</w:t>
      </w:r>
      <w:r>
        <w:rPr>
          <w:rFonts w:hint="eastAsia" w:ascii="宋体" w:hAnsi="宋体" w:cs="宋体"/>
          <w:bCs/>
          <w:color w:val="000000" w:themeColor="text1"/>
          <w:sz w:val="24"/>
          <w:szCs w:val="24"/>
          <w14:textFill>
            <w14:solidFill>
              <w14:schemeClr w14:val="tx1"/>
            </w14:solidFill>
          </w14:textFill>
        </w:rPr>
        <w:t xml:space="preserve">的；</w:t>
      </w:r>
      <w:r/>
    </w:p>
    <w:p>
      <w:pPr>
        <w:ind w:right="-27" w:firstLine="789"/>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 xml:space="preserve">1.3</w:t>
      </w:r>
      <w:r>
        <w:rPr>
          <w:rFonts w:hint="eastAsia" w:ascii="宋体" w:hAnsi="宋体" w:cs="宋体"/>
          <w:bCs/>
          <w:color w:val="000000" w:themeColor="text1"/>
          <w:sz w:val="24"/>
          <w:szCs w:val="24"/>
          <w14:textFill>
            <w14:solidFill>
              <w14:schemeClr w14:val="tx1"/>
            </w14:solidFill>
          </w14:textFill>
        </w:rPr>
        <w:t xml:space="preserve">乙方人员无故未能按约到甲方提供服务，服务期限内达到</w:t>
      </w:r>
      <w:r>
        <w:rPr>
          <w:rFonts w:hint="eastAsia" w:ascii="宋体" w:hAnsi="宋体" w:cs="宋体"/>
          <w:bCs/>
          <w:color w:val="000000" w:themeColor="text1"/>
          <w:sz w:val="24"/>
          <w:szCs w:val="24"/>
          <w:u w:val="single"/>
          <w14:textFill>
            <w14:solidFill>
              <w14:schemeClr w14:val="tx1"/>
            </w14:solidFill>
          </w14:textFill>
        </w:rPr>
        <w:t xml:space="preserve">二</w:t>
      </w:r>
      <w:r>
        <w:rPr>
          <w:rFonts w:hint="eastAsia" w:ascii="宋体" w:hAnsi="宋体" w:cs="宋体"/>
          <w:bCs/>
          <w:color w:val="000000" w:themeColor="text1"/>
          <w:sz w:val="24"/>
          <w:szCs w:val="24"/>
          <w14:textFill>
            <w14:solidFill>
              <w14:schemeClr w14:val="tx1"/>
            </w14:solidFill>
          </w14:textFill>
        </w:rPr>
        <w:t xml:space="preserve">人次的；</w:t>
      </w:r>
      <w:r/>
    </w:p>
    <w:p>
      <w:pPr>
        <w:ind w:right="-27" w:firstLine="789"/>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 xml:space="preserve">1.4</w:t>
      </w:r>
      <w:r>
        <w:rPr>
          <w:rFonts w:hint="eastAsia" w:ascii="宋体" w:hAnsi="宋体" w:cs="宋体"/>
          <w:bCs/>
          <w:color w:val="000000" w:themeColor="text1"/>
          <w:sz w:val="24"/>
          <w:szCs w:val="24"/>
          <w14:textFill>
            <w14:solidFill>
              <w14:schemeClr w14:val="tx1"/>
            </w14:solidFill>
          </w14:textFill>
        </w:rPr>
        <w:t xml:space="preserve">乙方人员不能响应甲方紧急服务需求的；</w:t>
      </w:r>
      <w:r/>
    </w:p>
    <w:p>
      <w:pPr>
        <w:ind w:right="-27" w:firstLine="789"/>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 xml:space="preserve">1.5因</w:t>
      </w:r>
      <w:r>
        <w:rPr>
          <w:rFonts w:hint="eastAsia" w:ascii="宋体" w:hAnsi="宋体" w:cs="宋体"/>
          <w:bCs/>
          <w:color w:val="000000" w:themeColor="text1"/>
          <w:sz w:val="24"/>
          <w:szCs w:val="24"/>
          <w14:textFill>
            <w14:solidFill>
              <w14:schemeClr w14:val="tx1"/>
            </w14:solidFill>
          </w14:textFill>
        </w:rPr>
        <w:t xml:space="preserve">乙方服务人员原因在服务期间给甲方造成不良影响的，服务期限内达到</w:t>
      </w:r>
      <w:r>
        <w:rPr>
          <w:rFonts w:hint="eastAsia" w:ascii="宋体" w:hAnsi="宋体" w:cs="宋体"/>
          <w:bCs/>
          <w:color w:val="000000" w:themeColor="text1"/>
          <w:sz w:val="24"/>
          <w:szCs w:val="24"/>
          <w:u w:val="single"/>
          <w14:textFill>
            <w14:solidFill>
              <w14:schemeClr w14:val="tx1"/>
            </w14:solidFill>
          </w14:textFill>
        </w:rPr>
        <w:t xml:space="preserve">一</w:t>
      </w:r>
      <w:r>
        <w:rPr>
          <w:rFonts w:hint="eastAsia" w:ascii="宋体" w:hAnsi="宋体" w:cs="宋体"/>
          <w:bCs/>
          <w:color w:val="000000" w:themeColor="text1"/>
          <w:sz w:val="24"/>
          <w:szCs w:val="24"/>
          <w14:textFill>
            <w14:solidFill>
              <w14:schemeClr w14:val="tx1"/>
            </w14:solidFill>
          </w14:textFill>
        </w:rPr>
        <w:t xml:space="preserve">次的；</w:t>
      </w:r>
      <w:r/>
    </w:p>
    <w:p>
      <w:pPr>
        <w:ind w:right="-27" w:firstLine="789"/>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 xml:space="preserve">1.6</w:t>
      </w:r>
      <w:r>
        <w:rPr>
          <w:rFonts w:hint="eastAsia" w:ascii="宋体" w:hAnsi="宋体" w:cs="宋体"/>
          <w:bCs/>
          <w:color w:val="000000" w:themeColor="text1"/>
          <w:sz w:val="24"/>
          <w:szCs w:val="24"/>
          <w14:textFill>
            <w14:solidFill>
              <w14:schemeClr w14:val="tx1"/>
            </w14:solidFill>
          </w14:textFill>
        </w:rPr>
        <w:t xml:space="preserve">乙方及其服务人员虚报服务内容、服务时间等，骗取甲方服务费用的；</w:t>
      </w:r>
      <w:r/>
    </w:p>
    <w:p>
      <w:pPr>
        <w:ind w:right="-27" w:firstLine="789"/>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 xml:space="preserve">1.7</w:t>
      </w:r>
      <w:r>
        <w:rPr>
          <w:rFonts w:hint="eastAsia" w:ascii="宋体" w:hAnsi="宋体" w:cs="宋体"/>
          <w:bCs/>
          <w:color w:val="000000" w:themeColor="text1"/>
          <w:sz w:val="24"/>
          <w:szCs w:val="24"/>
          <w14:textFill>
            <w14:solidFill>
              <w14:schemeClr w14:val="tx1"/>
            </w14:solidFill>
          </w14:textFill>
        </w:rPr>
        <w:t xml:space="preserve">根据第七条乙方义务，如乙方未按本合同规定提供相关服务或未能履行本合同规定的其他义务的，甲方有权依据考核结果结算当期服务费金额并要求乙方限期整改，逾期不整改或整改后仍达不到甲方要求的，甲方有权解除合同，由此造成甲方经济损失的，乙方应承担赔偿责任。同时乙方应向甲方支付合同总价</w:t>
      </w:r>
      <w:r>
        <w:rPr>
          <w:rFonts w:hint="eastAsia" w:ascii="宋体" w:hAnsi="宋体" w:cs="宋体"/>
          <w:bCs/>
          <w:color w:val="000000" w:themeColor="text1"/>
          <w:sz w:val="24"/>
          <w:szCs w:val="24"/>
          <w:u w:val="single"/>
          <w14:textFill>
            <w14:solidFill>
              <w14:schemeClr w14:val="tx1"/>
            </w14:solidFill>
          </w14:textFill>
        </w:rPr>
        <w:t xml:space="preserve"> </w:t>
      </w:r>
      <w:r>
        <w:rPr>
          <w:rFonts w:ascii="宋体" w:hAnsi="宋体" w:cs="宋体"/>
          <w:bCs/>
          <w:color w:val="000000" w:themeColor="text1"/>
          <w:sz w:val="24"/>
          <w:szCs w:val="24"/>
          <w:u w:val="single"/>
          <w14:textFill>
            <w14:solidFill>
              <w14:schemeClr w14:val="tx1"/>
            </w14:solidFill>
          </w14:textFill>
        </w:rPr>
        <w:t xml:space="preserve">5 </w:t>
      </w:r>
      <w:r>
        <w:rPr>
          <w:rFonts w:hint="eastAsia" w:ascii="宋体" w:hAnsi="宋体" w:cs="宋体"/>
          <w:bCs/>
          <w:color w:val="000000" w:themeColor="text1"/>
          <w:sz w:val="24"/>
          <w:szCs w:val="24"/>
          <w14:textFill>
            <w14:solidFill>
              <w14:schemeClr w14:val="tx1"/>
            </w14:solidFill>
          </w14:textFill>
        </w:rPr>
        <w:t xml:space="preserve">％的违约金。</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 xml:space="preserve">2</w:t>
      </w:r>
      <w:r>
        <w:rPr>
          <w:rFonts w:hint="eastAsia" w:ascii="宋体" w:hAnsi="宋体" w:cs="宋体"/>
          <w:bCs/>
          <w:color w:val="000000" w:themeColor="text1"/>
          <w:sz w:val="24"/>
          <w:szCs w:val="24"/>
          <w14:textFill>
            <w14:solidFill>
              <w14:schemeClr w14:val="tx1"/>
            </w14:solidFill>
          </w14:textFill>
        </w:rPr>
        <w:t xml:space="preserve">、乙方在承担上述“1”项中一项或多项违约责任后，仍应继续履行合同规定的义务（甲方解除合同的除外）。甲方未能及时追究乙方的任何一项违约责任并不表明甲方放弃追究乙方该项或其他违约责任。</w:t>
      </w:r>
      <w:r/>
    </w:p>
    <w:p>
      <w:pPr>
        <w:ind w:right="-27" w:firstLine="482"/>
        <w:spacing w:line="440" w:lineRule="exact"/>
        <w:tabs>
          <w:tab w:val="left" w:pos="0" w:leader="none"/>
        </w:tabs>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第十</w:t>
      </w:r>
      <w:r>
        <w:rPr>
          <w:rFonts w:hint="eastAsia" w:ascii="宋体" w:hAnsi="宋体" w:cs="宋体"/>
          <w:b/>
          <w:bCs/>
          <w:color w:val="000000" w:themeColor="text1"/>
          <w:sz w:val="24"/>
          <w:szCs w:val="24"/>
          <w:lang w:val="en-US" w:eastAsia="zh-CN"/>
          <w14:textFill>
            <w14:solidFill>
              <w14:schemeClr w14:val="tx1"/>
            </w14:solidFill>
          </w14:textFill>
        </w:rPr>
        <w:t xml:space="preserve">二</w:t>
      </w:r>
      <w:r>
        <w:rPr>
          <w:rFonts w:hint="eastAsia" w:ascii="宋体" w:hAnsi="宋体" w:cs="宋体"/>
          <w:b/>
          <w:bCs/>
          <w:color w:val="000000" w:themeColor="text1"/>
          <w:sz w:val="24"/>
          <w:szCs w:val="24"/>
          <w14:textFill>
            <w14:solidFill>
              <w14:schemeClr w14:val="tx1"/>
            </w14:solidFill>
          </w14:textFill>
        </w:rPr>
        <w:t xml:space="preserve">条 合同的解除</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出现下列情形之一的，甲方有权解除本合同：</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 xml:space="preserve">1</w:t>
      </w:r>
      <w:r>
        <w:rPr>
          <w:rFonts w:hint="eastAsia" w:ascii="宋体" w:hAnsi="宋体" w:cs="宋体"/>
          <w:bCs/>
          <w:color w:val="000000" w:themeColor="text1"/>
          <w:sz w:val="24"/>
          <w:szCs w:val="24"/>
          <w14:textFill>
            <w14:solidFill>
              <w14:schemeClr w14:val="tx1"/>
            </w14:solidFill>
          </w14:textFill>
        </w:rPr>
        <w:t xml:space="preserve">、乙方单位总体服务能力发生下降，专业技术人员减员或资质下降人数达到</w:t>
      </w:r>
      <w:r>
        <w:rPr>
          <w:rFonts w:ascii="宋体" w:hAnsi="宋体" w:cs="宋体"/>
          <w:bCs/>
          <w:color w:val="000000" w:themeColor="text1"/>
          <w:sz w:val="24"/>
          <w:szCs w:val="24"/>
          <w:u w:val="single"/>
          <w14:textFill>
            <w14:solidFill>
              <w14:schemeClr w14:val="tx1"/>
            </w14:solidFill>
          </w14:textFill>
        </w:rPr>
        <w:t xml:space="preserve">30%</w:t>
      </w:r>
      <w:r>
        <w:rPr>
          <w:rFonts w:hint="eastAsia" w:ascii="宋体" w:hAnsi="宋体" w:cs="宋体"/>
          <w:bCs/>
          <w:color w:val="000000" w:themeColor="text1"/>
          <w:sz w:val="24"/>
          <w:szCs w:val="24"/>
          <w14:textFill>
            <w14:solidFill>
              <w14:schemeClr w14:val="tx1"/>
            </w14:solidFill>
          </w14:textFill>
        </w:rPr>
        <w:t xml:space="preserve">的；</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 xml:space="preserve">2</w:t>
      </w:r>
      <w:r>
        <w:rPr>
          <w:rFonts w:hint="eastAsia" w:ascii="宋体" w:hAnsi="宋体" w:cs="宋体"/>
          <w:bCs/>
          <w:color w:val="000000" w:themeColor="text1"/>
          <w:sz w:val="24"/>
          <w:szCs w:val="24"/>
          <w14:textFill>
            <w14:solidFill>
              <w14:schemeClr w14:val="tx1"/>
            </w14:solidFill>
          </w14:textFill>
        </w:rPr>
        <w:t xml:space="preserve">、乙方人员无故未能按约到甲方提供服务，服务期限内达到</w:t>
      </w:r>
      <w:r>
        <w:rPr>
          <w:rFonts w:hint="eastAsia" w:ascii="宋体" w:hAnsi="宋体" w:cs="宋体"/>
          <w:bCs/>
          <w:color w:val="000000" w:themeColor="text1"/>
          <w:sz w:val="24"/>
          <w:szCs w:val="24"/>
          <w:u w:val="single"/>
          <w14:textFill>
            <w14:solidFill>
              <w14:schemeClr w14:val="tx1"/>
            </w14:solidFill>
          </w14:textFill>
        </w:rPr>
        <w:t xml:space="preserve">三</w:t>
      </w:r>
      <w:r>
        <w:rPr>
          <w:rFonts w:hint="eastAsia" w:ascii="宋体" w:hAnsi="宋体" w:cs="宋体"/>
          <w:bCs/>
          <w:color w:val="000000" w:themeColor="text1"/>
          <w:sz w:val="24"/>
          <w:szCs w:val="24"/>
          <w14:textFill>
            <w14:solidFill>
              <w14:schemeClr w14:val="tx1"/>
            </w14:solidFill>
          </w14:textFill>
        </w:rPr>
        <w:t xml:space="preserve">人次的；</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 xml:space="preserve">3</w:t>
      </w:r>
      <w:r>
        <w:rPr>
          <w:rFonts w:hint="eastAsia" w:ascii="宋体" w:hAnsi="宋体" w:cs="宋体"/>
          <w:bCs/>
          <w:color w:val="000000" w:themeColor="text1"/>
          <w:sz w:val="24"/>
          <w:szCs w:val="24"/>
          <w14:textFill>
            <w14:solidFill>
              <w14:schemeClr w14:val="tx1"/>
            </w14:solidFill>
          </w14:textFill>
        </w:rPr>
        <w:t xml:space="preserve">、乙方人员不能响应甲方紧急服务需求的，经甲方指出后未能改正的；</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 xml:space="preserve">4</w:t>
      </w:r>
      <w:r>
        <w:rPr>
          <w:rFonts w:hint="eastAsia" w:ascii="宋体" w:hAnsi="宋体" w:cs="宋体"/>
          <w:bCs/>
          <w:color w:val="000000" w:themeColor="text1"/>
          <w:sz w:val="24"/>
          <w:szCs w:val="24"/>
          <w14:textFill>
            <w14:solidFill>
              <w14:schemeClr w14:val="tx1"/>
            </w14:solidFill>
          </w14:textFill>
        </w:rPr>
        <w:t xml:space="preserve">、</w:t>
      </w:r>
      <w:r>
        <w:rPr>
          <w:rFonts w:ascii="宋体" w:hAnsi="宋体" w:cs="宋体"/>
          <w:bCs/>
          <w:color w:val="000000" w:themeColor="text1"/>
          <w:sz w:val="24"/>
          <w:szCs w:val="24"/>
          <w14:textFill>
            <w14:solidFill>
              <w14:schemeClr w14:val="tx1"/>
            </w14:solidFill>
          </w14:textFill>
        </w:rPr>
        <w:t xml:space="preserve">因</w:t>
      </w:r>
      <w:r>
        <w:rPr>
          <w:rFonts w:hint="eastAsia" w:ascii="宋体" w:hAnsi="宋体" w:cs="宋体"/>
          <w:bCs/>
          <w:color w:val="000000" w:themeColor="text1"/>
          <w:sz w:val="24"/>
          <w:szCs w:val="24"/>
          <w14:textFill>
            <w14:solidFill>
              <w14:schemeClr w14:val="tx1"/>
            </w14:solidFill>
          </w14:textFill>
        </w:rPr>
        <w:t xml:space="preserve">乙方服务人员原因在服务期间给甲方造成不良影响的，服务期限内达到</w:t>
      </w:r>
      <w:r>
        <w:rPr>
          <w:rFonts w:hint="eastAsia" w:ascii="宋体" w:hAnsi="宋体" w:cs="宋体"/>
          <w:bCs/>
          <w:color w:val="000000" w:themeColor="text1"/>
          <w:sz w:val="24"/>
          <w:szCs w:val="24"/>
          <w:u w:val="single"/>
          <w14:textFill>
            <w14:solidFill>
              <w14:schemeClr w14:val="tx1"/>
            </w14:solidFill>
          </w14:textFill>
        </w:rPr>
        <w:t xml:space="preserve">二</w:t>
      </w:r>
      <w:r>
        <w:rPr>
          <w:rFonts w:hint="eastAsia" w:ascii="宋体" w:hAnsi="宋体" w:cs="宋体"/>
          <w:bCs/>
          <w:color w:val="000000" w:themeColor="text1"/>
          <w:sz w:val="24"/>
          <w:szCs w:val="24"/>
          <w14:textFill>
            <w14:solidFill>
              <w14:schemeClr w14:val="tx1"/>
            </w14:solidFill>
          </w14:textFill>
        </w:rPr>
        <w:t xml:space="preserve">次的；</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 xml:space="preserve">5</w:t>
      </w:r>
      <w:r>
        <w:rPr>
          <w:rFonts w:hint="eastAsia" w:ascii="宋体" w:hAnsi="宋体" w:cs="宋体"/>
          <w:bCs/>
          <w:color w:val="000000" w:themeColor="text1"/>
          <w:sz w:val="24"/>
          <w:szCs w:val="24"/>
          <w14:textFill>
            <w14:solidFill>
              <w14:schemeClr w14:val="tx1"/>
            </w14:solidFill>
          </w14:textFill>
        </w:rPr>
        <w:t xml:space="preserve">、乙方及其服务人员虚报服务内容、服务时间等，骗取甲方服务费用的；</w:t>
      </w:r>
      <w:r/>
    </w:p>
    <w:p>
      <w:pPr>
        <w:ind w:right="-27" w:firstLine="480"/>
        <w:spacing w:line="440" w:lineRule="exact"/>
        <w:tabs>
          <w:tab w:val="left" w:pos="0" w:leader="none"/>
        </w:tabs>
        <w:rPr>
          <w:rFonts w:hint="eastAsia"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 xml:space="preserve">6</w:t>
      </w:r>
      <w:r>
        <w:rPr>
          <w:rFonts w:hint="eastAsia" w:ascii="宋体" w:hAnsi="宋体" w:cs="宋体"/>
          <w:bCs/>
          <w:color w:val="000000" w:themeColor="text1"/>
          <w:sz w:val="24"/>
          <w:szCs w:val="24"/>
          <w14:textFill>
            <w14:solidFill>
              <w14:schemeClr w14:val="tx1"/>
            </w14:solidFill>
          </w14:textFill>
        </w:rPr>
        <w:t xml:space="preserve">、因乙方不当服务或服务人员违法，给甲方造成严重不良影响的；</w:t>
      </w:r>
      <w:r/>
    </w:p>
    <w:p>
      <w:pPr>
        <w:ind w:right="-27" w:firstLine="480"/>
        <w:spacing w:line="440" w:lineRule="exact"/>
        <w:tabs>
          <w:tab w:val="left" w:pos="0" w:leader="none"/>
        </w:tabs>
        <w:rPr>
          <w:rFonts w:hint="default"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cs="宋体"/>
          <w:bCs/>
          <w:color w:val="000000" w:themeColor="text1"/>
          <w:sz w:val="24"/>
          <w:szCs w:val="24"/>
          <w:lang w:val="en-US" w:eastAsia="zh-CN"/>
          <w14:textFill>
            <w14:solidFill>
              <w14:schemeClr w14:val="tx1"/>
            </w14:solidFill>
          </w14:textFill>
        </w:rPr>
        <w:t xml:space="preserve">7、招标文件约定的合同解除条款；</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lang w:val="en-US" w:eastAsia="zh-CN"/>
          <w14:textFill>
            <w14:solidFill>
              <w14:schemeClr w14:val="tx1"/>
            </w14:solidFill>
          </w14:textFill>
        </w:rPr>
        <w:t xml:space="preserve">8</w:t>
      </w:r>
      <w:r>
        <w:rPr>
          <w:rFonts w:hint="eastAsia" w:ascii="宋体" w:hAnsi="宋体" w:cs="宋体"/>
          <w:bCs/>
          <w:color w:val="000000" w:themeColor="text1"/>
          <w:sz w:val="24"/>
          <w:szCs w:val="24"/>
          <w14:textFill>
            <w14:solidFill>
              <w14:schemeClr w14:val="tx1"/>
            </w14:solidFill>
          </w14:textFill>
        </w:rPr>
        <w:t xml:space="preserve">、乙方一年内因生产安全事故受到行政处罚达到三次的，或者因为乙方发生生产安全事故、环境损害事故，给甲方造成重大不良影响的或导致甲方受到行政处罚的。</w:t>
      </w:r>
      <w:r/>
    </w:p>
    <w:p>
      <w:pPr>
        <w:ind w:right="-27" w:firstLine="482"/>
        <w:spacing w:line="440" w:lineRule="exact"/>
        <w:tabs>
          <w:tab w:val="left" w:pos="0" w:leader="none"/>
        </w:tabs>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第十</w:t>
      </w:r>
      <w:r>
        <w:rPr>
          <w:rFonts w:hint="eastAsia" w:ascii="宋体" w:hAnsi="宋体" w:cs="宋体"/>
          <w:b/>
          <w:bCs/>
          <w:color w:val="000000" w:themeColor="text1"/>
          <w:sz w:val="24"/>
          <w:szCs w:val="24"/>
          <w:lang w:val="en-US" w:eastAsia="zh-CN"/>
          <w14:textFill>
            <w14:solidFill>
              <w14:schemeClr w14:val="tx1"/>
            </w14:solidFill>
          </w14:textFill>
        </w:rPr>
        <w:t xml:space="preserve">三</w:t>
      </w:r>
      <w:r>
        <w:rPr>
          <w:rFonts w:hint="eastAsia" w:ascii="宋体" w:hAnsi="宋体" w:cs="宋体"/>
          <w:b/>
          <w:bCs/>
          <w:color w:val="000000" w:themeColor="text1"/>
          <w:sz w:val="24"/>
          <w:szCs w:val="24"/>
          <w14:textFill>
            <w14:solidFill>
              <w14:schemeClr w14:val="tx1"/>
            </w14:solidFill>
          </w14:textFill>
        </w:rPr>
        <w:t xml:space="preserve">条 不可抗力</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 xml:space="preserve">1</w:t>
      </w:r>
      <w:r>
        <w:rPr>
          <w:rFonts w:hint="eastAsia" w:ascii="宋体" w:hAnsi="宋体" w:cs="宋体"/>
          <w:bCs/>
          <w:color w:val="000000" w:themeColor="text1"/>
          <w:sz w:val="24"/>
          <w:szCs w:val="24"/>
          <w14:textFill>
            <w14:solidFill>
              <w14:schemeClr w14:val="tx1"/>
            </w14:solidFill>
          </w14:textFill>
        </w:rPr>
        <w:t xml:space="preserve">、不可抗力，是指不能预见、不能避免并不能克服的客观情况，如战争、动乱、洪水、地震、风暴等。</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 xml:space="preserve">2</w:t>
      </w:r>
      <w:r>
        <w:rPr>
          <w:rFonts w:hint="eastAsia" w:ascii="宋体" w:hAnsi="宋体" w:cs="宋体"/>
          <w:bCs/>
          <w:color w:val="000000" w:themeColor="text1"/>
          <w:sz w:val="24"/>
          <w:szCs w:val="24"/>
          <w14:textFill>
            <w14:solidFill>
              <w14:schemeClr w14:val="tx1"/>
            </w14:solidFill>
          </w14:textFill>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 xml:space="preserve">3</w:t>
      </w:r>
      <w:r>
        <w:rPr>
          <w:rFonts w:hint="eastAsia" w:ascii="宋体" w:hAnsi="宋体" w:cs="宋体"/>
          <w:bCs/>
          <w:color w:val="000000" w:themeColor="text1"/>
          <w:sz w:val="24"/>
          <w:szCs w:val="24"/>
          <w14:textFill>
            <w14:solidFill>
              <w14:schemeClr w14:val="tx1"/>
            </w14:solidFill>
          </w14:textFill>
        </w:rPr>
        <w:t xml:space="preserve">、发生不可抗力事件，任何一方均不对因不可抗力无法履行或迟延履行本合同义务而使另一方蒙受的任何损失承担责任，法律另有规定的除外。</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 xml:space="preserve">4</w:t>
      </w:r>
      <w:r>
        <w:rPr>
          <w:rFonts w:hint="eastAsia" w:ascii="宋体" w:hAnsi="宋体" w:cs="宋体"/>
          <w:bCs/>
          <w:color w:val="000000" w:themeColor="text1"/>
          <w:sz w:val="24"/>
          <w:szCs w:val="24"/>
          <w14:textFill>
            <w14:solidFill>
              <w14:schemeClr w14:val="tx1"/>
            </w14:solidFill>
          </w14:textFill>
        </w:rPr>
        <w:t xml:space="preserve">、合同各方应根据不可抗力对本合同履行的影响程度，协商确定是否终止或是继续履行本合同。</w:t>
      </w:r>
      <w:r/>
    </w:p>
    <w:p>
      <w:pPr>
        <w:ind w:right="-27" w:firstLine="482"/>
        <w:spacing w:line="440" w:lineRule="exact"/>
        <w:tabs>
          <w:tab w:val="left" w:pos="0" w:leader="none"/>
        </w:tabs>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第十</w:t>
      </w:r>
      <w:r>
        <w:rPr>
          <w:rFonts w:hint="eastAsia" w:ascii="宋体" w:hAnsi="宋体" w:cs="宋体"/>
          <w:b/>
          <w:bCs/>
          <w:color w:val="000000" w:themeColor="text1"/>
          <w:sz w:val="24"/>
          <w:szCs w:val="24"/>
          <w:lang w:val="en-US" w:eastAsia="zh-CN"/>
          <w14:textFill>
            <w14:solidFill>
              <w14:schemeClr w14:val="tx1"/>
            </w14:solidFill>
          </w14:textFill>
        </w:rPr>
        <w:t xml:space="preserve">四</w:t>
      </w:r>
      <w:r>
        <w:rPr>
          <w:rFonts w:hint="eastAsia" w:ascii="宋体" w:hAnsi="宋体" w:cs="宋体"/>
          <w:b/>
          <w:bCs/>
          <w:color w:val="000000" w:themeColor="text1"/>
          <w:sz w:val="24"/>
          <w:szCs w:val="24"/>
          <w14:textFill>
            <w14:solidFill>
              <w14:schemeClr w14:val="tx1"/>
            </w14:solidFill>
          </w14:textFill>
        </w:rPr>
        <w:t xml:space="preserve">条 合同的变更、中止</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本合同一经签订，双方均不得擅自变更或中止合同，除非合同的继续履行将损害国家利益和社会公共利益。</w:t>
      </w:r>
      <w:r/>
    </w:p>
    <w:p>
      <w:pPr>
        <w:ind w:right="-27" w:firstLine="482"/>
        <w:spacing w:line="440" w:lineRule="exact"/>
        <w:tabs>
          <w:tab w:val="left" w:pos="0" w:leader="none"/>
        </w:tabs>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第十</w:t>
      </w:r>
      <w:r>
        <w:rPr>
          <w:rFonts w:hint="eastAsia" w:ascii="宋体" w:hAnsi="宋体" w:cs="宋体"/>
          <w:b/>
          <w:bCs/>
          <w:color w:val="000000" w:themeColor="text1"/>
          <w:sz w:val="24"/>
          <w:szCs w:val="24"/>
          <w:lang w:val="en-US" w:eastAsia="zh-CN"/>
          <w14:textFill>
            <w14:solidFill>
              <w14:schemeClr w14:val="tx1"/>
            </w14:solidFill>
          </w14:textFill>
        </w:rPr>
        <w:t xml:space="preserve">五</w:t>
      </w:r>
      <w:r>
        <w:rPr>
          <w:rFonts w:hint="eastAsia" w:ascii="宋体" w:hAnsi="宋体" w:cs="宋体"/>
          <w:b/>
          <w:bCs/>
          <w:color w:val="000000" w:themeColor="text1"/>
          <w:sz w:val="24"/>
          <w:szCs w:val="24"/>
          <w14:textFill>
            <w14:solidFill>
              <w14:schemeClr w14:val="tx1"/>
            </w14:solidFill>
          </w14:textFill>
        </w:rPr>
        <w:t xml:space="preserve">条 合同的终止</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1、本合同因下列原因而终止：</w:t>
      </w:r>
      <w:r/>
    </w:p>
    <w:p>
      <w:pPr>
        <w:ind w:right="-27" w:firstLine="789"/>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1.1 本合同正常履行完毕；</w:t>
      </w:r>
      <w:r/>
    </w:p>
    <w:p>
      <w:pPr>
        <w:ind w:right="-27" w:firstLine="789"/>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1.2 因不可抗力导致本合同无法履行或履行不必要；</w:t>
      </w:r>
      <w:r/>
    </w:p>
    <w:p>
      <w:pPr>
        <w:ind w:right="-27" w:firstLine="789"/>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1.3 任何一方行使解除权解除本合同；</w:t>
      </w:r>
      <w:r/>
    </w:p>
    <w:p>
      <w:pPr>
        <w:ind w:right="-27" w:firstLine="789"/>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1.4 合同的继续履行将损害国家利益和社会公共利益且不宜变更、中止的。</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2、除上述情形外，甲乙双方不得擅自终止合同。</w:t>
      </w:r>
      <w:r/>
    </w:p>
    <w:p>
      <w:pPr>
        <w:ind w:right="-27" w:firstLine="482"/>
        <w:spacing w:line="440" w:lineRule="exact"/>
        <w:tabs>
          <w:tab w:val="left" w:pos="0" w:leader="none"/>
        </w:tabs>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第十</w:t>
      </w:r>
      <w:r>
        <w:rPr>
          <w:rFonts w:hint="eastAsia" w:ascii="宋体" w:hAnsi="宋体" w:cs="宋体"/>
          <w:b/>
          <w:bCs/>
          <w:color w:val="000000" w:themeColor="text1"/>
          <w:sz w:val="24"/>
          <w:szCs w:val="24"/>
          <w:lang w:val="en-US" w:eastAsia="zh-CN"/>
          <w14:textFill>
            <w14:solidFill>
              <w14:schemeClr w14:val="tx1"/>
            </w14:solidFill>
          </w14:textFill>
        </w:rPr>
        <w:t xml:space="preserve">六</w:t>
      </w:r>
      <w:r>
        <w:rPr>
          <w:rFonts w:hint="eastAsia" w:ascii="宋体" w:hAnsi="宋体" w:cs="宋体"/>
          <w:b/>
          <w:bCs/>
          <w:color w:val="000000" w:themeColor="text1"/>
          <w:sz w:val="24"/>
          <w:szCs w:val="24"/>
          <w14:textFill>
            <w14:solidFill>
              <w14:schemeClr w14:val="tx1"/>
            </w14:solidFill>
          </w14:textFill>
        </w:rPr>
        <w:t xml:space="preserve">条 合同的转让</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乙方不得将其合同项下的权利义务部分或全部转让给第三方。</w:t>
      </w:r>
      <w:r/>
    </w:p>
    <w:p>
      <w:pPr>
        <w:ind w:right="-27" w:firstLine="482"/>
        <w:spacing w:line="440" w:lineRule="exact"/>
        <w:tabs>
          <w:tab w:val="left" w:pos="0" w:leader="none"/>
        </w:tabs>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第十</w:t>
      </w:r>
      <w:r>
        <w:rPr>
          <w:rFonts w:hint="eastAsia" w:ascii="宋体" w:hAnsi="宋体" w:cs="宋体"/>
          <w:b/>
          <w:bCs/>
          <w:color w:val="000000" w:themeColor="text1"/>
          <w:sz w:val="24"/>
          <w:szCs w:val="24"/>
          <w:lang w:val="en-US" w:eastAsia="zh-CN"/>
          <w14:textFill>
            <w14:solidFill>
              <w14:schemeClr w14:val="tx1"/>
            </w14:solidFill>
          </w14:textFill>
        </w:rPr>
        <w:t xml:space="preserve">七</w:t>
      </w:r>
      <w:r>
        <w:rPr>
          <w:rFonts w:hint="eastAsia" w:ascii="宋体" w:hAnsi="宋体" w:cs="宋体"/>
          <w:b/>
          <w:bCs/>
          <w:color w:val="000000" w:themeColor="text1"/>
          <w:sz w:val="24"/>
          <w:szCs w:val="24"/>
          <w14:textFill>
            <w14:solidFill>
              <w14:schemeClr w14:val="tx1"/>
            </w14:solidFill>
          </w14:textFill>
        </w:rPr>
        <w:t xml:space="preserve">条 履约保证金</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本项目不收取履约保证金。</w:t>
      </w:r>
      <w:r/>
    </w:p>
    <w:p>
      <w:pPr>
        <w:ind w:right="-27" w:firstLine="482"/>
        <w:spacing w:line="440" w:lineRule="exact"/>
        <w:tabs>
          <w:tab w:val="left" w:pos="0" w:leader="none"/>
        </w:tabs>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第十</w:t>
      </w:r>
      <w:r>
        <w:rPr>
          <w:rFonts w:hint="eastAsia" w:ascii="宋体" w:hAnsi="宋体" w:cs="宋体"/>
          <w:b/>
          <w:bCs/>
          <w:color w:val="000000" w:themeColor="text1"/>
          <w:sz w:val="24"/>
          <w:szCs w:val="24"/>
          <w:lang w:val="en-US" w:eastAsia="zh-CN"/>
          <w14:textFill>
            <w14:solidFill>
              <w14:schemeClr w14:val="tx1"/>
            </w14:solidFill>
          </w14:textFill>
        </w:rPr>
        <w:t xml:space="preserve">八</w:t>
      </w:r>
      <w:r>
        <w:rPr>
          <w:rFonts w:hint="eastAsia" w:ascii="宋体" w:hAnsi="宋体" w:cs="宋体"/>
          <w:b/>
          <w:bCs/>
          <w:color w:val="000000" w:themeColor="text1"/>
          <w:sz w:val="24"/>
          <w:szCs w:val="24"/>
          <w14:textFill>
            <w14:solidFill>
              <w14:schemeClr w14:val="tx1"/>
            </w14:solidFill>
          </w14:textFill>
        </w:rPr>
        <w:t xml:space="preserve">条 争议解决方式</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1、在执行本合同过程中所发生的或与本合同有关的一切争端，甲乙双方友好协商解决。如协商不能解决，则全部争端由甲方所在地人民法院管辖。</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2、如因乙方违约，导致甲方起诉的，甲方由此产生的诉讼费用、律师费用、差旅费用等，均由乙方承担。</w:t>
      </w:r>
      <w:r/>
    </w:p>
    <w:p>
      <w:pPr>
        <w:ind w:right="-27" w:firstLine="482"/>
        <w:spacing w:line="440" w:lineRule="exact"/>
        <w:tabs>
          <w:tab w:val="left" w:pos="0" w:leader="none"/>
        </w:tabs>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第十</w:t>
      </w:r>
      <w:r>
        <w:rPr>
          <w:rFonts w:hint="eastAsia" w:ascii="宋体" w:hAnsi="宋体" w:cs="宋体"/>
          <w:b/>
          <w:bCs/>
          <w:color w:val="000000" w:themeColor="text1"/>
          <w:sz w:val="24"/>
          <w:szCs w:val="24"/>
          <w:lang w:val="en-US" w:eastAsia="zh-CN"/>
          <w14:textFill>
            <w14:solidFill>
              <w14:schemeClr w14:val="tx1"/>
            </w14:solidFill>
          </w14:textFill>
        </w:rPr>
        <w:t xml:space="preserve">九</w:t>
      </w:r>
      <w:r>
        <w:rPr>
          <w:rFonts w:hint="eastAsia" w:ascii="宋体" w:hAnsi="宋体" w:cs="宋体"/>
          <w:b/>
          <w:bCs/>
          <w:color w:val="000000" w:themeColor="text1"/>
          <w:sz w:val="24"/>
          <w:szCs w:val="24"/>
          <w14:textFill>
            <w14:solidFill>
              <w14:schemeClr w14:val="tx1"/>
            </w14:solidFill>
          </w14:textFill>
        </w:rPr>
        <w:t xml:space="preserve">条 通知与送达</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1、甲乙双方因履行本合同需要向对方发送通知、文件、资料的，均以下列联系信息确定内容进行：</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 xml:space="preserve">1.1</w:t>
      </w:r>
      <w:r>
        <w:rPr>
          <w:rFonts w:hint="eastAsia" w:ascii="宋体" w:hAnsi="宋体" w:cs="宋体"/>
          <w:bCs/>
          <w:color w:val="000000" w:themeColor="text1"/>
          <w:sz w:val="24"/>
          <w:szCs w:val="24"/>
          <w14:textFill>
            <w14:solidFill>
              <w14:schemeClr w14:val="tx1"/>
            </w14:solidFill>
          </w14:textFill>
        </w:rPr>
        <w:t xml:space="preserve">甲方联系信息：</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指定收件人：</w:t>
      </w:r>
      <w:r>
        <w:rPr>
          <w:rFonts w:hint="eastAsia" w:ascii="宋体" w:hAnsi="宋体" w:cs="宋体"/>
          <w:bCs/>
          <w:color w:val="000000" w:themeColor="text1"/>
          <w:sz w:val="24"/>
          <w:szCs w:val="24"/>
          <w:u w:val="single"/>
          <w14:textFill>
            <w14:solidFill>
              <w14:schemeClr w14:val="tx1"/>
            </w14:solidFill>
          </w14:textFill>
        </w:rPr>
        <w:t xml:space="preserve">                           </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送达地址：</w:t>
      </w:r>
      <w:r>
        <w:rPr>
          <w:rFonts w:hint="eastAsia" w:ascii="宋体" w:hAnsi="宋体" w:cs="宋体"/>
          <w:bCs/>
          <w:color w:val="000000" w:themeColor="text1"/>
          <w:sz w:val="24"/>
          <w:szCs w:val="24"/>
          <w:u w:val="single"/>
          <w14:textFill>
            <w14:solidFill>
              <w14:schemeClr w14:val="tx1"/>
            </w14:solidFill>
          </w14:textFill>
        </w:rPr>
        <w:t xml:space="preserve">                           </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指定电子收件方式：</w:t>
      </w:r>
      <w:r>
        <w:rPr>
          <w:rFonts w:hint="eastAsia" w:ascii="宋体" w:hAnsi="宋体" w:cs="宋体"/>
          <w:bCs/>
          <w:color w:val="000000" w:themeColor="text1"/>
          <w:sz w:val="24"/>
          <w:szCs w:val="24"/>
          <w:u w:val="single"/>
          <w14:textFill>
            <w14:solidFill>
              <w14:schemeClr w14:val="tx1"/>
            </w14:solidFill>
          </w14:textFill>
        </w:rPr>
        <w:t xml:space="preserve">                           </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 xml:space="preserve">1.2</w:t>
      </w:r>
      <w:r>
        <w:rPr>
          <w:rFonts w:hint="eastAsia" w:ascii="宋体" w:hAnsi="宋体" w:cs="宋体"/>
          <w:bCs/>
          <w:color w:val="000000" w:themeColor="text1"/>
          <w:sz w:val="24"/>
          <w:szCs w:val="24"/>
          <w14:textFill>
            <w14:solidFill>
              <w14:schemeClr w14:val="tx1"/>
            </w14:solidFill>
          </w14:textFill>
        </w:rPr>
        <w:t xml:space="preserve">乙方联系信息：</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指定收件人：</w:t>
      </w:r>
      <w:r>
        <w:rPr>
          <w:rFonts w:hint="eastAsia" w:ascii="宋体" w:hAnsi="宋体" w:cs="宋体"/>
          <w:bCs/>
          <w:color w:val="000000" w:themeColor="text1"/>
          <w:sz w:val="24"/>
          <w:szCs w:val="24"/>
          <w:u w:val="single"/>
          <w14:textFill>
            <w14:solidFill>
              <w14:schemeClr w14:val="tx1"/>
            </w14:solidFill>
          </w14:textFill>
        </w:rPr>
        <w:t xml:space="preserve">                           </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送达地址：</w:t>
      </w:r>
      <w:r>
        <w:rPr>
          <w:rFonts w:hint="eastAsia" w:ascii="宋体" w:hAnsi="宋体" w:cs="宋体"/>
          <w:bCs/>
          <w:color w:val="000000" w:themeColor="text1"/>
          <w:sz w:val="24"/>
          <w:szCs w:val="24"/>
          <w:u w:val="single"/>
          <w14:textFill>
            <w14:solidFill>
              <w14:schemeClr w14:val="tx1"/>
            </w14:solidFill>
          </w14:textFill>
        </w:rPr>
        <w:t xml:space="preserve">                           </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指定电子收件方式：</w:t>
      </w:r>
      <w:r>
        <w:rPr>
          <w:rFonts w:hint="eastAsia" w:ascii="宋体" w:hAnsi="宋体" w:cs="宋体"/>
          <w:bCs/>
          <w:color w:val="000000" w:themeColor="text1"/>
          <w:sz w:val="24"/>
          <w:szCs w:val="24"/>
          <w:u w:val="single"/>
          <w14:textFill>
            <w14:solidFill>
              <w14:schemeClr w14:val="tx1"/>
            </w14:solidFill>
          </w14:textFill>
        </w:rPr>
        <w:t xml:space="preserve">                           </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2、双方确认前述联系信息作为解决争议时接受人民法院诉讼文书的送达地址和联系方式。</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3、任何一方改变前述联系信息的，应在发生变更后的3天内告知对方并做好通知到达对方前可能存在的邮件的接收。如未通知的，视为没有变更。</w:t>
      </w:r>
      <w:r/>
    </w:p>
    <w:p>
      <w:pPr>
        <w:ind w:right="-27" w:firstLine="482"/>
        <w:spacing w:line="440" w:lineRule="exact"/>
        <w:tabs>
          <w:tab w:val="left" w:pos="0" w:leader="none"/>
        </w:tabs>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第</w:t>
      </w:r>
      <w:r>
        <w:rPr>
          <w:rFonts w:hint="eastAsia" w:ascii="宋体" w:hAnsi="宋体" w:cs="宋体"/>
          <w:b/>
          <w:bCs/>
          <w:color w:val="000000" w:themeColor="text1"/>
          <w:sz w:val="24"/>
          <w:szCs w:val="24"/>
          <w:lang w:val="en-US" w:eastAsia="zh-CN"/>
          <w14:textFill>
            <w14:solidFill>
              <w14:schemeClr w14:val="tx1"/>
            </w14:solidFill>
          </w14:textFill>
        </w:rPr>
        <w:t xml:space="preserve">二十</w:t>
      </w:r>
      <w:r>
        <w:rPr>
          <w:rFonts w:hint="eastAsia" w:ascii="宋体" w:hAnsi="宋体" w:cs="宋体"/>
          <w:b/>
          <w:bCs/>
          <w:color w:val="000000" w:themeColor="text1"/>
          <w:sz w:val="24"/>
          <w:szCs w:val="24"/>
          <w14:textFill>
            <w14:solidFill>
              <w14:schemeClr w14:val="tx1"/>
            </w14:solidFill>
          </w14:textFill>
        </w:rPr>
        <w:t xml:space="preserve">条 合同生效及其他</w:t>
      </w:r>
      <w:r/>
    </w:p>
    <w:p>
      <w:pPr>
        <w:ind w:right="-27" w:firstLine="480"/>
        <w:spacing w:line="440" w:lineRule="exact"/>
        <w:tabs>
          <w:tab w:val="left" w:pos="0" w:leader="none"/>
        </w:tabs>
        <w:rPr>
          <w:rFonts w:ascii="Times New Roman" w:hAnsi="Times New Roman"/>
          <w:b/>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合同在双方加盖公章或</w:t>
      </w:r>
      <w:r>
        <w:rPr>
          <w:rFonts w:hint="eastAsia" w:ascii="宋体" w:hAnsi="宋体"/>
          <w:b/>
          <w:color w:val="000000" w:themeColor="text1"/>
          <w:sz w:val="24"/>
          <w:szCs w:val="24"/>
          <w14:textFill>
            <w14:solidFill>
              <w14:schemeClr w14:val="tx1"/>
            </w14:solidFill>
          </w14:textFill>
        </w:rPr>
        <w:t xml:space="preserve">双方法定代表人、授权代表签字后生效</w:t>
      </w:r>
      <w:r/>
    </w:p>
    <w:p>
      <w:pPr>
        <w:ind w:right="-27" w:firstLine="480"/>
        <w:spacing w:line="440" w:lineRule="exact"/>
        <w:tabs>
          <w:tab w:val="left" w:pos="0" w:leader="none"/>
        </w:tabs>
        <w:rPr>
          <w:rFonts w:ascii="Times New Roman" w:hAnsi="Times New Roman"/>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本合同一式</w:t>
      </w:r>
      <w:r>
        <w:rPr>
          <w:rFonts w:hint="eastAsia" w:ascii="宋体" w:hAnsi="宋体"/>
          <w:color w:val="000000" w:themeColor="text1"/>
          <w:sz w:val="24"/>
          <w:szCs w:val="24"/>
          <w:u w:val="single"/>
          <w14:textFill>
            <w14:solidFill>
              <w14:schemeClr w14:val="tx1"/>
            </w14:solidFill>
          </w14:textFill>
        </w:rPr>
        <w:t xml:space="preserve">四</w:t>
      </w:r>
      <w:r>
        <w:rPr>
          <w:rFonts w:hint="eastAsia" w:ascii="宋体" w:hAnsi="宋体"/>
          <w:color w:val="000000" w:themeColor="text1"/>
          <w:sz w:val="24"/>
          <w:szCs w:val="24"/>
          <w14:textFill>
            <w14:solidFill>
              <w14:schemeClr w14:val="tx1"/>
            </w14:solidFill>
          </w14:textFill>
        </w:rPr>
        <w:t xml:space="preserve">份，以简体中文书写，甲方、乙方各执二份。</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3、本合同应按照中华人民共和国的现行法律进行解释。</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甲方（公章）：                       乙方（公章）：</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法定（授权）代表人（签字）：        </w:t>
      </w:r>
      <w:r>
        <w:rPr>
          <w:rFonts w:ascii="宋体" w:hAnsi="宋体"/>
          <w:color w:val="000000" w:themeColor="text1"/>
          <w:sz w:val="24"/>
          <w:szCs w:val="24"/>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法定（授权）代表人（签字）：</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    年   月   日                        年   月   日</w:t>
      </w:r>
      <w:r/>
    </w:p>
    <w:p>
      <w:pPr>
        <w:ind w:firstLine="880"/>
        <w:jc w:val="center"/>
        <w:keepNext/>
        <w:rPr>
          <w:rFonts w:ascii="宋体" w:hAnsi="宋体" w:cs="Courier New"/>
          <w:color w:val="000000" w:themeColor="text1"/>
          <w:sz w:val="24"/>
          <w:szCs w:val="24"/>
          <w14:textFill>
            <w14:solidFill>
              <w14:schemeClr w14:val="tx1"/>
            </w14:solidFill>
          </w14:textFill>
        </w:rPr>
        <w:outlineLvl w:val="0"/>
      </w:pPr>
      <w:r>
        <w:rPr>
          <w:rFonts w:ascii="黑体" w:hAnsi="Courier New" w:eastAsia="黑体" w:cs="Courier New"/>
          <w:bCs/>
          <w:color w:val="000000" w:themeColor="text1"/>
          <w:sz w:val="44"/>
          <w:szCs w:val="21"/>
          <w14:textFill>
            <w14:solidFill>
              <w14:schemeClr w14:val="tx1"/>
            </w14:solidFill>
          </w14:textFill>
        </w:rPr>
        <w:br w:type="page" w:clear="all"/>
      </w:r>
      <w:bookmarkStart w:id="196" w:name="_Toc4820"/>
      <w:r>
        <w:rPr>
          <w:rFonts w:hint="eastAsia" w:ascii="黑体" w:hAnsi="Courier New" w:eastAsia="黑体" w:cs="Courier New"/>
          <w:bCs/>
          <w:color w:val="000000" w:themeColor="text1"/>
          <w:sz w:val="44"/>
          <w:szCs w:val="21"/>
          <w14:textFill>
            <w14:solidFill>
              <w14:schemeClr w14:val="tx1"/>
            </w14:solidFill>
          </w14:textFill>
        </w:rPr>
        <w:t xml:space="preserve">第</w:t>
      </w:r>
      <w:bookmarkEnd w:id="188"/>
      <w:r>
        <w:rPr>
          <w:rFonts w:hint="eastAsia" w:ascii="黑体" w:hAnsi="Courier New" w:eastAsia="黑体" w:cs="Courier New"/>
          <w:bCs/>
          <w:color w:val="000000" w:themeColor="text1"/>
          <w:sz w:val="44"/>
          <w:szCs w:val="21"/>
          <w14:textFill>
            <w14:solidFill>
              <w14:schemeClr w14:val="tx1"/>
            </w14:solidFill>
          </w14:textFill>
        </w:rPr>
        <w:t xml:space="preserve">四章 </w:t>
      </w:r>
      <w:r>
        <w:rPr>
          <w:rFonts w:ascii="黑体" w:hAnsi="Courier New" w:eastAsia="黑体" w:cs="Courier New"/>
          <w:bCs/>
          <w:color w:val="000000" w:themeColor="text1"/>
          <w:sz w:val="44"/>
          <w:szCs w:val="21"/>
          <w14:textFill>
            <w14:solidFill>
              <w14:schemeClr w14:val="tx1"/>
            </w14:solidFill>
          </w14:textFill>
        </w:rPr>
        <w:t xml:space="preserve"> </w:t>
      </w:r>
      <w:r>
        <w:rPr>
          <w:rFonts w:hint="eastAsia" w:ascii="黑体" w:hAnsi="Courier New" w:eastAsia="黑体" w:cs="Courier New"/>
          <w:bCs/>
          <w:color w:val="000000" w:themeColor="text1"/>
          <w:sz w:val="44"/>
          <w:szCs w:val="21"/>
          <w14:textFill>
            <w14:solidFill>
              <w14:schemeClr w14:val="tx1"/>
            </w14:solidFill>
          </w14:textFill>
        </w:rPr>
        <w:t xml:space="preserve">采购需求</w:t>
      </w:r>
      <w:bookmarkEnd w:id="189"/>
      <w:r/>
      <w:bookmarkEnd w:id="190"/>
      <w:r/>
      <w:bookmarkEnd w:id="191"/>
      <w:r/>
      <w:bookmarkEnd w:id="196"/>
      <w:r/>
      <w:r/>
    </w:p>
    <w:p>
      <w:pPr>
        <w:spacing w:line="440" w:lineRule="exact"/>
        <w:rPr>
          <w:rFonts w:ascii="宋体" w:hAnsi="宋体"/>
          <w:b/>
          <w:color w:val="000000"/>
          <w:sz w:val="28"/>
          <w:szCs w:val="24"/>
        </w:rPr>
      </w:pPr>
      <w:r/>
      <w:bookmarkStart w:id="197" w:name="_Toc49090575"/>
      <w:r/>
      <w:bookmarkStart w:id="198" w:name="_Toc26554093"/>
      <w:r/>
      <w:bookmarkStart w:id="199" w:name="_Toc120614281"/>
      <w:r>
        <w:rPr>
          <w:rFonts w:hint="eastAsia" w:ascii="宋体" w:hAnsi="宋体"/>
          <w:b/>
          <w:color w:val="000000"/>
          <w:sz w:val="28"/>
          <w:szCs w:val="24"/>
        </w:rPr>
        <w:t xml:space="preserve">一、项目说明：</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1、本次采购内容为常熟市人民政府莫城街道办事处所需的莫城街道2025-2026年度三环外区域（市级移交属地管护区域）绿化养护，具体养护区域详见绿化养护范围清单。</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、服务内容：</w:t>
      </w:r>
      <w:r/>
    </w:p>
    <w:p>
      <w:pPr>
        <w:ind w:firstLine="720"/>
        <w:spacing w:line="440" w:lineRule="exact"/>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.1绿地植物及行道树养护；</w:t>
      </w:r>
      <w:r/>
    </w:p>
    <w:p>
      <w:pPr>
        <w:ind w:firstLine="720"/>
        <w:spacing w:line="440" w:lineRule="exact"/>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.2环境卫生管理及园林设施管理；</w:t>
      </w:r>
      <w:r/>
    </w:p>
    <w:p>
      <w:pPr>
        <w:ind w:firstLine="720"/>
        <w:spacing w:line="440" w:lineRule="exact"/>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.3绿地保护；</w:t>
      </w:r>
      <w:r/>
    </w:p>
    <w:p>
      <w:pPr>
        <w:ind w:firstLine="720"/>
        <w:spacing w:line="440" w:lineRule="exact"/>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.4秩序管理；</w:t>
      </w:r>
      <w:r/>
    </w:p>
    <w:p>
      <w:pPr>
        <w:ind w:firstLine="720"/>
        <w:spacing w:line="440" w:lineRule="exact"/>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.5应急抢险；</w:t>
      </w:r>
      <w:r/>
    </w:p>
    <w:p>
      <w:pPr>
        <w:ind w:firstLine="720"/>
        <w:spacing w:line="440" w:lineRule="exact"/>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.6数字化案件处置；</w:t>
      </w:r>
      <w:r/>
    </w:p>
    <w:p>
      <w:pPr>
        <w:ind w:firstLine="720"/>
        <w:spacing w:line="440" w:lineRule="exact"/>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.7安全生产、综合治理及其它。</w:t>
      </w:r>
      <w:r/>
    </w:p>
    <w:p>
      <w:pPr>
        <w:ind w:firstLine="480"/>
        <w:spacing w:line="440" w:lineRule="exact"/>
        <w:rPr>
          <w:rFonts w:ascii="宋体" w:hAnsi="宋体"/>
          <w:i/>
          <w:color w:val="000000"/>
          <w:sz w:val="24"/>
          <w:szCs w:val="24"/>
          <w:highlight w:val="none"/>
          <w:u w:val="single"/>
        </w:rPr>
      </w:pPr>
      <w:r>
        <w:rPr>
          <w:rFonts w:hint="eastAsia" w:ascii="宋体" w:hAnsi="宋体"/>
          <w:i/>
          <w:color w:val="000000"/>
          <w:sz w:val="24"/>
          <w:szCs w:val="24"/>
          <w:highlight w:val="none"/>
          <w:u w:val="single"/>
          <w:lang w:val="en-US" w:eastAsia="zh-CN"/>
        </w:rPr>
        <w:t xml:space="preserve">3</w:t>
      </w:r>
      <w:r>
        <w:rPr>
          <w:rFonts w:hint="eastAsia" w:ascii="宋体" w:hAnsi="宋体"/>
          <w:i/>
          <w:color w:val="000000"/>
          <w:sz w:val="24"/>
          <w:szCs w:val="24"/>
          <w:highlight w:val="none"/>
          <w:u w:val="single"/>
        </w:rPr>
        <w:t xml:space="preserve">、服务期限：自合同签订之日起两年。</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、投标人应对项目现场进行踏勘，但费用由投标人自行承担。采投标人在报价时应充分考虑现场其他实际情况，采购人不负担因投标人对项目情况考虑不周而产生的其他任何费用。</w:t>
      </w:r>
      <w:r/>
    </w:p>
    <w:p>
      <w:pPr>
        <w:ind w:firstLine="480"/>
        <w:spacing w:line="440" w:lineRule="exact"/>
        <w:rPr>
          <w:rFonts w:ascii="宋体" w:hAnsi="宋体"/>
          <w:i/>
          <w:iCs/>
          <w:color w:val="000000"/>
          <w:sz w:val="24"/>
          <w:szCs w:val="24"/>
          <w:highlight w:val="none"/>
          <w:u w:val="single"/>
        </w:rPr>
      </w:pPr>
      <w:r>
        <w:rPr>
          <w:rFonts w:hint="eastAsia" w:ascii="宋体" w:hAnsi="宋体"/>
          <w:i/>
          <w:iCs/>
          <w:color w:val="000000"/>
          <w:sz w:val="24"/>
          <w:szCs w:val="24"/>
          <w:highlight w:val="none"/>
          <w:u w:val="single"/>
          <w:lang w:val="en-US" w:eastAsia="zh-CN"/>
        </w:rPr>
        <w:t xml:space="preserve">5</w:t>
      </w:r>
      <w:r>
        <w:rPr>
          <w:rFonts w:hint="eastAsia" w:ascii="宋体" w:hAnsi="宋体"/>
          <w:i/>
          <w:iCs/>
          <w:color w:val="000000"/>
          <w:sz w:val="24"/>
          <w:szCs w:val="24"/>
          <w:highlight w:val="none"/>
          <w:u w:val="single"/>
        </w:rPr>
        <w:t xml:space="preserve">、付款方式：</w:t>
      </w:r>
      <w:r/>
    </w:p>
    <w:p>
      <w:pPr>
        <w:ind w:firstLine="720"/>
        <w:spacing w:line="440" w:lineRule="exact"/>
        <w:rPr>
          <w:rFonts w:ascii="宋体" w:hAnsi="宋体"/>
          <w:i/>
          <w:iCs/>
          <w:color w:val="000000"/>
          <w:sz w:val="24"/>
          <w:szCs w:val="24"/>
          <w:highlight w:val="none"/>
          <w:u w:val="single"/>
        </w:rPr>
      </w:pPr>
      <w:r/>
      <w:bookmarkStart w:id="200" w:name="_Hlk136344290"/>
      <w:r>
        <w:rPr>
          <w:rFonts w:hint="eastAsia" w:ascii="宋体" w:hAnsi="宋体"/>
          <w:i/>
          <w:iCs/>
          <w:color w:val="000000"/>
          <w:sz w:val="24"/>
          <w:szCs w:val="24"/>
          <w:highlight w:val="none"/>
          <w:u w:val="single"/>
          <w:lang w:val="en-US" w:eastAsia="zh-CN"/>
        </w:rPr>
        <w:t xml:space="preserve">5</w:t>
      </w:r>
      <w:r>
        <w:rPr>
          <w:rFonts w:hint="eastAsia" w:ascii="宋体" w:hAnsi="宋体"/>
          <w:i/>
          <w:iCs/>
          <w:color w:val="000000"/>
          <w:sz w:val="24"/>
          <w:szCs w:val="24"/>
          <w:highlight w:val="none"/>
          <w:u w:val="single"/>
        </w:rPr>
        <w:t xml:space="preserve">.1 本项目合同款支付货币：（√）数字人民币，（√）传统实物人民币</w:t>
      </w:r>
      <w:r/>
    </w:p>
    <w:p>
      <w:pPr>
        <w:ind w:firstLine="720"/>
        <w:spacing w:line="440" w:lineRule="exact"/>
        <w:rPr>
          <w:rFonts w:ascii="宋体" w:hAnsi="宋体"/>
          <w:i/>
          <w:iCs/>
          <w:color w:val="000000"/>
          <w:sz w:val="24"/>
          <w:szCs w:val="24"/>
          <w:highlight w:val="none"/>
          <w:u w:val="single"/>
        </w:rPr>
      </w:pPr>
      <w:r>
        <w:rPr>
          <w:rFonts w:hint="eastAsia" w:ascii="宋体" w:hAnsi="宋体"/>
          <w:i/>
          <w:iCs/>
          <w:color w:val="000000"/>
          <w:sz w:val="24"/>
          <w:szCs w:val="24"/>
          <w:highlight w:val="none"/>
          <w:u w:val="single"/>
          <w:lang w:val="en-US" w:eastAsia="zh-CN"/>
        </w:rPr>
        <w:t xml:space="preserve">5</w:t>
      </w:r>
      <w:r>
        <w:rPr>
          <w:rFonts w:ascii="宋体" w:hAnsi="宋体"/>
          <w:i/>
          <w:iCs/>
          <w:color w:val="000000"/>
          <w:sz w:val="24"/>
          <w:szCs w:val="24"/>
          <w:highlight w:val="none"/>
          <w:u w:val="single"/>
        </w:rPr>
        <w:t xml:space="preserve">.2 </w:t>
      </w:r>
      <w:r>
        <w:rPr>
          <w:rFonts w:hint="eastAsia" w:ascii="宋体" w:hAnsi="宋体"/>
          <w:i/>
          <w:iCs/>
          <w:color w:val="000000"/>
          <w:sz w:val="24"/>
          <w:szCs w:val="24"/>
          <w:highlight w:val="none"/>
          <w:u w:val="single"/>
        </w:rPr>
        <w:t xml:space="preserve">合同签订后</w:t>
      </w:r>
      <w:r>
        <w:rPr>
          <w:rFonts w:hint="eastAsia" w:ascii="宋体" w:hAnsi="宋体"/>
          <w:i/>
          <w:iCs/>
          <w:color w:val="000000"/>
          <w:sz w:val="24"/>
          <w:szCs w:val="24"/>
          <w:highlight w:val="none"/>
          <w:u w:val="single"/>
          <w:lang w:val="en-US" w:eastAsia="zh-CN"/>
        </w:rPr>
        <w:t xml:space="preserve">的两个月内</w:t>
      </w:r>
      <w:r>
        <w:rPr>
          <w:rFonts w:hint="eastAsia" w:ascii="宋体" w:hAnsi="宋体"/>
          <w:i/>
          <w:iCs/>
          <w:color w:val="000000"/>
          <w:sz w:val="24"/>
          <w:szCs w:val="24"/>
          <w:highlight w:val="none"/>
          <w:u w:val="single"/>
        </w:rPr>
        <w:t xml:space="preserve">，采购人向中标人支付合同金额的10%</w:t>
      </w:r>
      <w:r>
        <w:rPr>
          <w:rFonts w:hint="eastAsia" w:ascii="宋体" w:hAnsi="宋体"/>
          <w:i/>
          <w:iCs/>
          <w:color w:val="000000"/>
          <w:sz w:val="24"/>
          <w:szCs w:val="24"/>
          <w:highlight w:val="none"/>
          <w:u w:val="single"/>
          <w:lang w:val="en-US" w:eastAsia="zh-CN"/>
        </w:rPr>
        <w:t xml:space="preserve">作为预付款</w:t>
      </w:r>
      <w:r>
        <w:rPr>
          <w:rFonts w:hint="eastAsia" w:ascii="宋体" w:hAnsi="宋体"/>
          <w:i/>
          <w:iCs/>
          <w:color w:val="000000"/>
          <w:sz w:val="24"/>
          <w:szCs w:val="24"/>
          <w:highlight w:val="none"/>
          <w:u w:val="single"/>
        </w:rPr>
        <w:t xml:space="preserve">；</w:t>
      </w:r>
      <w:r/>
    </w:p>
    <w:p>
      <w:pPr>
        <w:ind w:firstLine="720"/>
        <w:spacing w:line="440" w:lineRule="exact"/>
        <w:rPr>
          <w:rFonts w:ascii="宋体" w:hAnsi="宋体"/>
          <w:i/>
          <w:iCs/>
          <w:color w:val="000000"/>
          <w:sz w:val="24"/>
          <w:szCs w:val="24"/>
          <w:highlight w:val="none"/>
          <w:u w:val="single"/>
        </w:rPr>
      </w:pPr>
      <w:r>
        <w:rPr>
          <w:rFonts w:hint="eastAsia" w:ascii="宋体" w:hAnsi="宋体"/>
          <w:i/>
          <w:iCs/>
          <w:color w:val="000000"/>
          <w:sz w:val="24"/>
          <w:szCs w:val="24"/>
          <w:highlight w:val="none"/>
          <w:u w:val="single"/>
          <w:lang w:val="en-US" w:eastAsia="zh-CN"/>
        </w:rPr>
        <w:t xml:space="preserve">5</w:t>
      </w:r>
      <w:r>
        <w:rPr>
          <w:rFonts w:ascii="宋体" w:hAnsi="宋体"/>
          <w:i/>
          <w:iCs/>
          <w:color w:val="000000"/>
          <w:sz w:val="24"/>
          <w:szCs w:val="24"/>
          <w:highlight w:val="none"/>
          <w:u w:val="single"/>
        </w:rPr>
        <w:t xml:space="preserve">.3 </w:t>
      </w:r>
      <w:r>
        <w:rPr>
          <w:rFonts w:hint="eastAsia" w:ascii="宋体" w:hAnsi="宋体"/>
          <w:i/>
          <w:iCs/>
          <w:color w:val="000000"/>
          <w:sz w:val="24"/>
          <w:szCs w:val="24"/>
          <w:highlight w:val="none"/>
          <w:u w:val="single"/>
        </w:rPr>
        <w:t xml:space="preserve">服务费由采购人对中标人实行</w:t>
      </w:r>
      <w:r>
        <w:rPr>
          <w:rFonts w:hint="eastAsia" w:ascii="宋体" w:hAnsi="宋体"/>
          <w:i/>
          <w:iCs/>
          <w:color w:val="000000"/>
          <w:sz w:val="24"/>
          <w:szCs w:val="24"/>
          <w:highlight w:val="none"/>
          <w:u w:val="single"/>
          <w:lang w:val="en-US" w:eastAsia="zh-CN"/>
        </w:rPr>
        <w:t xml:space="preserve">月度</w:t>
      </w:r>
      <w:r>
        <w:rPr>
          <w:rFonts w:hint="eastAsia" w:ascii="宋体" w:hAnsi="宋体"/>
          <w:i/>
          <w:iCs/>
          <w:color w:val="000000"/>
          <w:sz w:val="24"/>
          <w:szCs w:val="24"/>
          <w:highlight w:val="none"/>
          <w:u w:val="single"/>
        </w:rPr>
        <w:t xml:space="preserve">考核后</w:t>
      </w:r>
      <w:r>
        <w:rPr>
          <w:rFonts w:hint="eastAsia" w:ascii="宋体" w:hAnsi="宋体"/>
          <w:i/>
          <w:iCs/>
          <w:color w:val="000000"/>
          <w:sz w:val="24"/>
          <w:szCs w:val="24"/>
          <w:highlight w:val="none"/>
          <w:u w:val="single"/>
          <w:lang w:val="en-US" w:eastAsia="zh-CN"/>
        </w:rPr>
        <w:t xml:space="preserve">进行汇总</w:t>
      </w:r>
      <w:r>
        <w:rPr>
          <w:rFonts w:hint="eastAsia" w:ascii="宋体" w:hAnsi="宋体"/>
          <w:i/>
          <w:iCs/>
          <w:sz w:val="24"/>
          <w:szCs w:val="24"/>
          <w:u w:val="single"/>
        </w:rPr>
        <w:t xml:space="preserve">（月度养护费用（含预付款）=合同金额/服务月数）</w:t>
      </w:r>
      <w:r>
        <w:rPr>
          <w:rFonts w:hint="eastAsia" w:ascii="宋体" w:hAnsi="宋体"/>
          <w:i/>
          <w:iCs/>
          <w:color w:val="000000"/>
          <w:sz w:val="24"/>
          <w:szCs w:val="24"/>
          <w:highlight w:val="none"/>
          <w:u w:val="single"/>
          <w:lang w:val="en-US" w:eastAsia="zh-CN"/>
        </w:rPr>
        <w:t xml:space="preserve">，每半年支付一次，考核办法详见附件</w:t>
      </w:r>
      <w:r>
        <w:rPr>
          <w:rFonts w:hint="eastAsia" w:ascii="宋体" w:hAnsi="宋体"/>
          <w:i/>
          <w:iCs/>
          <w:color w:val="000000"/>
          <w:sz w:val="24"/>
          <w:szCs w:val="24"/>
          <w:highlight w:val="none"/>
          <w:u w:val="single"/>
        </w:rPr>
        <w:t xml:space="preserve">。</w:t>
      </w:r>
      <w:bookmarkEnd w:id="200"/>
      <w:r/>
      <w:r/>
    </w:p>
    <w:p>
      <w:pPr>
        <w:spacing w:line="440" w:lineRule="exact"/>
        <w:rPr>
          <w:rFonts w:ascii="宋体" w:hAnsi="宋体"/>
          <w:bCs/>
          <w:i/>
          <w:iCs/>
          <w:color w:val="000000"/>
          <w:sz w:val="24"/>
          <w:szCs w:val="24"/>
          <w:u w:val="single"/>
        </w:rPr>
      </w:pPr>
      <w:r>
        <w:rPr>
          <w:rFonts w:hint="eastAsia" w:ascii="宋体" w:hAnsi="宋体"/>
          <w:b/>
          <w:bCs/>
          <w:i/>
          <w:iCs/>
          <w:color w:val="000000"/>
          <w:sz w:val="24"/>
          <w:szCs w:val="24"/>
          <w:u w:val="single"/>
        </w:rPr>
        <w:t xml:space="preserve">注：</w:t>
      </w:r>
      <w:r>
        <w:rPr>
          <w:rFonts w:hint="eastAsia" w:ascii="宋体" w:hAnsi="宋体"/>
          <w:bCs/>
          <w:i/>
          <w:iCs/>
          <w:color w:val="000000"/>
          <w:sz w:val="24"/>
          <w:szCs w:val="24"/>
          <w:u w:val="single"/>
        </w:rPr>
        <w:t xml:space="preserve">（1）签订合同时，中标人明确表示无需预付款的，可不执行</w:t>
      </w:r>
      <w:r>
        <w:rPr>
          <w:rFonts w:hint="eastAsia" w:ascii="宋体" w:hAnsi="宋体"/>
          <w:bCs/>
          <w:i/>
          <w:iCs/>
          <w:color w:val="000000"/>
          <w:sz w:val="24"/>
          <w:szCs w:val="24"/>
          <w:u w:val="single"/>
          <w:lang w:val="en-US" w:eastAsia="zh-CN"/>
        </w:rPr>
        <w:t xml:space="preserve">5</w:t>
      </w:r>
      <w:r>
        <w:rPr>
          <w:rFonts w:hint="eastAsia" w:ascii="宋体" w:hAnsi="宋体"/>
          <w:bCs/>
          <w:i/>
          <w:iCs/>
          <w:color w:val="000000"/>
          <w:sz w:val="24"/>
          <w:szCs w:val="24"/>
          <w:u w:val="single"/>
        </w:rPr>
        <w:t xml:space="preserve">.</w:t>
      </w:r>
      <w:r>
        <w:rPr>
          <w:rFonts w:ascii="宋体" w:hAnsi="宋体"/>
          <w:bCs/>
          <w:i/>
          <w:iCs/>
          <w:color w:val="000000"/>
          <w:sz w:val="24"/>
          <w:szCs w:val="24"/>
          <w:u w:val="single"/>
        </w:rPr>
        <w:t xml:space="preserve">2</w:t>
      </w:r>
      <w:r>
        <w:rPr>
          <w:rFonts w:hint="eastAsia" w:ascii="宋体" w:hAnsi="宋体"/>
          <w:bCs/>
          <w:i/>
          <w:iCs/>
          <w:color w:val="000000"/>
          <w:sz w:val="24"/>
          <w:szCs w:val="24"/>
          <w:u w:val="single"/>
        </w:rPr>
        <w:t xml:space="preserve">。</w:t>
      </w:r>
      <w:r/>
    </w:p>
    <w:p>
      <w:pPr>
        <w:ind w:firstLine="480"/>
        <w:spacing w:line="440" w:lineRule="exact"/>
        <w:rPr>
          <w:rFonts w:ascii="宋体" w:hAnsi="宋体"/>
          <w:bCs/>
          <w:i/>
          <w:iCs/>
          <w:color w:val="000000"/>
          <w:sz w:val="24"/>
          <w:szCs w:val="24"/>
          <w:u w:val="single"/>
        </w:rPr>
      </w:pPr>
      <w:r>
        <w:rPr>
          <w:rFonts w:hint="eastAsia" w:ascii="宋体" w:hAnsi="宋体"/>
          <w:bCs/>
          <w:i/>
          <w:iCs/>
          <w:color w:val="000000"/>
          <w:sz w:val="24"/>
          <w:szCs w:val="24"/>
          <w:u w:val="single"/>
        </w:rPr>
        <w:t xml:space="preserve">（2）以上每次付款前，中标人均应提供符合采购人要求的同等金额的合法有效发票。否则，采购人有权顺延付款时间，且不承担任何违约或赔偿责任。</w:t>
      </w:r>
      <w:r/>
    </w:p>
    <w:p>
      <w:pPr>
        <w:ind w:firstLine="482"/>
        <w:spacing w:line="440" w:lineRule="exact"/>
        <w:rPr>
          <w:rFonts w:ascii="宋体" w:hAnsi="宋体"/>
          <w:b/>
          <w:bCs/>
          <w:color w:val="000000"/>
          <w:sz w:val="24"/>
          <w:szCs w:val="24"/>
        </w:rPr>
      </w:pPr>
      <w:r>
        <w:rPr>
          <w:rFonts w:hint="eastAsia" w:ascii="宋体" w:hAnsi="宋体"/>
          <w:b/>
          <w:bCs/>
          <w:color w:val="000000"/>
          <w:sz w:val="24"/>
          <w:szCs w:val="24"/>
          <w:lang w:val="en-US" w:eastAsia="zh-CN"/>
        </w:rPr>
        <w:t xml:space="preserve">6</w:t>
      </w:r>
      <w:r>
        <w:rPr>
          <w:rFonts w:hint="eastAsia" w:ascii="宋体" w:hAnsi="宋体"/>
          <w:b/>
          <w:bCs/>
          <w:color w:val="000000"/>
          <w:sz w:val="24"/>
          <w:szCs w:val="24"/>
        </w:rPr>
        <w:t xml:space="preserve">、</w:t>
      </w:r>
      <w:r>
        <w:rPr>
          <w:rFonts w:ascii="宋体" w:hAnsi="宋体"/>
          <w:b/>
          <w:bCs/>
          <w:color w:val="000000"/>
          <w:sz w:val="24"/>
          <w:szCs w:val="24"/>
        </w:rPr>
        <w:t xml:space="preserve">本项目采购预算为￥931000.00元</w:t>
      </w:r>
      <w:r>
        <w:rPr>
          <w:rFonts w:hint="eastAsia" w:ascii="宋体" w:hAnsi="宋体"/>
          <w:b/>
          <w:bCs/>
          <w:color w:val="000000"/>
          <w:sz w:val="24"/>
          <w:szCs w:val="24"/>
        </w:rPr>
        <w:t xml:space="preserve">（人民币玖拾叁万壹仟元整），投标价格不得高于采购预算，否则将做无效投标处理。</w:t>
      </w:r>
      <w:r/>
    </w:p>
    <w:p>
      <w:pPr>
        <w:ind w:firstLine="480"/>
        <w:spacing w:line="440" w:lineRule="exact"/>
        <w:rPr>
          <w:rFonts w:ascii="宋体" w:hAnsi="宋体"/>
          <w:color w:val="000000"/>
          <w:sz w:val="24"/>
          <w:szCs w:val="24"/>
          <w:highlight w:val="none"/>
        </w:rPr>
      </w:pPr>
      <w:r>
        <w:rPr>
          <w:rFonts w:ascii="宋体" w:hAnsi="宋体"/>
          <w:color w:val="000000"/>
          <w:sz w:val="24"/>
          <w:szCs w:val="24"/>
          <w:highlight w:val="none"/>
        </w:rPr>
        <w:t xml:space="preserve">8</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本项目不接受联合</w:t>
      </w:r>
      <w:r>
        <w:rPr>
          <w:rFonts w:hint="eastAsia" w:ascii="宋体" w:hAnsi="宋体"/>
          <w:color w:val="000000"/>
          <w:sz w:val="24"/>
          <w:szCs w:val="24"/>
          <w:highlight w:val="none"/>
        </w:rPr>
        <w:t xml:space="preserve">体</w:t>
      </w:r>
      <w:r>
        <w:rPr>
          <w:rFonts w:ascii="宋体" w:hAnsi="宋体"/>
          <w:color w:val="000000"/>
          <w:sz w:val="24"/>
          <w:szCs w:val="24"/>
          <w:highlight w:val="none"/>
        </w:rPr>
        <w:t xml:space="preserve">参加</w:t>
      </w:r>
      <w:r>
        <w:rPr>
          <w:rFonts w:hint="eastAsia" w:ascii="宋体" w:hAnsi="宋体"/>
          <w:color w:val="000000"/>
          <w:sz w:val="24"/>
          <w:szCs w:val="24"/>
          <w:highlight w:val="none"/>
        </w:rPr>
        <w:t xml:space="preserve">公开招标</w:t>
      </w:r>
      <w:r>
        <w:rPr>
          <w:rFonts w:ascii="宋体" w:hAnsi="宋体"/>
          <w:color w:val="000000"/>
          <w:sz w:val="24"/>
          <w:szCs w:val="24"/>
          <w:highlight w:val="none"/>
        </w:rPr>
        <w:t xml:space="preserve">，不得以任何形式进行转包及分包。</w:t>
      </w:r>
      <w:r/>
    </w:p>
    <w:p>
      <w:pPr>
        <w:ind w:firstLine="480"/>
        <w:spacing w:line="440" w:lineRule="exact"/>
        <w:rPr>
          <w:rFonts w:hint="eastAsia" w:ascii="宋体" w:hAnsi="宋体"/>
          <w:strike w:val="0"/>
          <w:color w:val="000000"/>
          <w:sz w:val="24"/>
          <w:szCs w:val="24"/>
          <w:highlight w:val="none"/>
        </w:rPr>
      </w:pPr>
      <w:r>
        <w:rPr>
          <w:rFonts w:hint="eastAsia" w:ascii="宋体" w:hAnsi="宋体"/>
          <w:strike w:val="0"/>
          <w:color w:val="000000"/>
          <w:sz w:val="24"/>
          <w:szCs w:val="24"/>
          <w:highlight w:val="none"/>
        </w:rPr>
        <w:t xml:space="preserve">9、整治绿地面积养护费核减：因绿化整治需要对原养护绿地进行改造的，以实际改造的色块、地被、草坪面积之和为核减面积，但改造绿地内保留的乔灌木等绿化植物仍由原养护单位负责养护。按照绿化养护增减面积及中标绿化养护单价（按中标总价除以总面积计算）来调整养护服务费用。</w:t>
      </w:r>
      <w:r/>
    </w:p>
    <w:p>
      <w:pPr>
        <w:jc w:val="left"/>
        <w:spacing w:line="440" w:lineRule="exact"/>
        <w:rPr>
          <w:rFonts w:hint="eastAsia" w:ascii="宋体" w:hAnsi="宋体"/>
          <w:b/>
          <w:color w:val="000000"/>
          <w:sz w:val="28"/>
          <w:szCs w:val="24"/>
        </w:rPr>
      </w:pPr>
      <w:r>
        <w:rPr>
          <w:rFonts w:hint="eastAsia" w:ascii="宋体" w:hAnsi="宋体"/>
          <w:b/>
          <w:color w:val="000000"/>
          <w:sz w:val="28"/>
          <w:szCs w:val="24"/>
        </w:rPr>
      </w:r>
      <w:r/>
    </w:p>
    <w:p>
      <w:pPr>
        <w:jc w:val="left"/>
        <w:spacing w:line="440" w:lineRule="exact"/>
        <w:rPr>
          <w:rFonts w:hint="eastAsia" w:ascii="宋体" w:hAnsi="宋体"/>
          <w:b/>
          <w:color w:val="000000"/>
          <w:sz w:val="28"/>
          <w:szCs w:val="24"/>
        </w:rPr>
      </w:pPr>
      <w:r>
        <w:rPr>
          <w:rFonts w:hint="eastAsia" w:ascii="宋体" w:hAnsi="宋体"/>
          <w:b/>
          <w:color w:val="000000"/>
          <w:sz w:val="28"/>
          <w:szCs w:val="24"/>
        </w:rPr>
      </w:r>
      <w:r/>
    </w:p>
    <w:p>
      <w:pPr>
        <w:jc w:val="left"/>
        <w:spacing w:line="440" w:lineRule="exact"/>
        <w:rPr>
          <w:rFonts w:hint="eastAsia" w:ascii="宋体" w:hAnsi="宋体"/>
          <w:b/>
          <w:color w:val="000000"/>
          <w:sz w:val="28"/>
          <w:szCs w:val="24"/>
        </w:rPr>
      </w:pPr>
      <w:r>
        <w:rPr>
          <w:rFonts w:hint="eastAsia" w:ascii="宋体" w:hAnsi="宋体"/>
          <w:b/>
          <w:color w:val="000000"/>
          <w:sz w:val="28"/>
          <w:szCs w:val="24"/>
        </w:rPr>
      </w:r>
      <w:r/>
    </w:p>
    <w:p>
      <w:pPr>
        <w:jc w:val="left"/>
        <w:spacing w:line="440" w:lineRule="exact"/>
        <w:rPr>
          <w:rFonts w:hint="eastAsia" w:ascii="宋体" w:hAnsi="宋体"/>
          <w:b/>
          <w:color w:val="000000"/>
          <w:sz w:val="28"/>
          <w:szCs w:val="24"/>
        </w:rPr>
      </w:pPr>
      <w:r>
        <w:rPr>
          <w:rFonts w:hint="eastAsia" w:ascii="宋体" w:hAnsi="宋体"/>
          <w:b/>
          <w:color w:val="000000"/>
          <w:sz w:val="28"/>
          <w:szCs w:val="24"/>
        </w:rPr>
      </w:r>
      <w:r/>
    </w:p>
    <w:p>
      <w:pPr>
        <w:jc w:val="left"/>
        <w:spacing w:line="440" w:lineRule="exact"/>
        <w:rPr>
          <w:rFonts w:ascii="宋体" w:hAnsi="宋体"/>
          <w:b/>
          <w:color w:val="000000"/>
          <w:sz w:val="28"/>
          <w:szCs w:val="24"/>
        </w:rPr>
      </w:pPr>
      <w:r>
        <w:rPr>
          <w:rFonts w:hint="eastAsia" w:ascii="宋体" w:hAnsi="宋体"/>
          <w:b/>
          <w:color w:val="000000"/>
          <w:sz w:val="28"/>
          <w:szCs w:val="24"/>
        </w:rPr>
        <w:t xml:space="preserve">二、</w:t>
      </w:r>
      <w:r>
        <w:rPr>
          <w:rFonts w:hint="eastAsia"/>
          <w:b/>
          <w:bCs/>
          <w:color w:val="000000"/>
          <w:sz w:val="28"/>
          <w:szCs w:val="28"/>
        </w:rPr>
        <w:t xml:space="preserve">绿化养护范围</w:t>
      </w:r>
      <w:r>
        <w:rPr>
          <w:rFonts w:hint="eastAsia" w:ascii="宋体" w:hAnsi="宋体"/>
          <w:b/>
          <w:color w:val="000000"/>
          <w:sz w:val="28"/>
          <w:szCs w:val="24"/>
        </w:rPr>
        <w:t xml:space="preserve">：</w:t>
      </w:r>
      <w:r/>
    </w:p>
    <w:tbl>
      <w:tblPr>
        <w:tblStyle w:val="717"/>
        <w:tblW w:w="1061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53"/>
        <w:gridCol w:w="2655"/>
        <w:gridCol w:w="1179"/>
        <w:gridCol w:w="1059"/>
        <w:gridCol w:w="1321"/>
        <w:gridCol w:w="1209"/>
        <w:gridCol w:w="2543"/>
      </w:tblGrid>
      <w:tr>
        <w:trPr>
          <w:trHeight w:val="519"/>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公路名称</w:t>
            </w:r>
            <w:r/>
          </w:p>
        </w:tc>
        <w:tc>
          <w:tcPr>
            <w:gridSpan w:val="5"/>
            <w:shd w:val="clear" w:color="auto" w:fill="auto"/>
            <w:tcBorders>
              <w:top w:val="single" w:color="000000" w:sz="4" w:space="0"/>
              <w:left w:val="none" w:color="000000" w:sz="4" w:space="0"/>
              <w:bottom w:val="single" w:color="000000" w:sz="4" w:space="0"/>
              <w:right w:val="single" w:color="000000" w:sz="4" w:space="0"/>
            </w:tcBorders>
            <w:tcW w:w="731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面积（㎡）</w:t>
            </w:r>
            <w:r/>
          </w:p>
        </w:tc>
      </w:tr>
      <w:tr>
        <w:trPr>
          <w:trHeight w:val="1068"/>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non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林带</w:t>
            </w:r>
            <w:r/>
          </w:p>
        </w:tc>
        <w:tc>
          <w:tcPr>
            <w:shd w:val="clear" w:color="auto" w:fill="auto"/>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边坡</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中分带（含机非隔离带）</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总面积</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备注</w:t>
            </w:r>
            <w:r/>
          </w:p>
        </w:tc>
      </w:tr>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锡太公路</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295008.7</w:t>
            </w:r>
            <w:r/>
          </w:p>
        </w:tc>
        <w:tc>
          <w:tcPr>
            <w:shd w:val="clear" w:color="auto" w:fill="auto"/>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60637.6</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11644.3</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367290.6</w:t>
            </w:r>
            <w:r/>
          </w:p>
        </w:tc>
        <w:tc>
          <w:tcPr>
            <w:shd w:val="clear" w:color="auto" w:fill="auto"/>
            <w:tcBorders>
              <w:top w:val="single" w:color="000000" w:sz="4" w:space="0"/>
              <w:left w:val="single" w:color="000000" w:sz="4" w:space="0"/>
              <w:right w:val="single" w:color="000000" w:sz="4" w:space="0"/>
            </w:tcBorders>
            <w:tcW w:w="2543" w:type="dxa"/>
            <w:vAlign w:val="center"/>
            <w:vMerge w:val="restart"/>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二级养护</w:t>
            </w:r>
            <w:r/>
          </w:p>
        </w:tc>
      </w:tr>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G524</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3560</w:t>
            </w:r>
            <w:r/>
          </w:p>
        </w:tc>
        <w:tc>
          <w:tcPr>
            <w:shd w:val="clear" w:color="auto" w:fill="auto"/>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2131</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5691</w:t>
            </w:r>
            <w:r/>
          </w:p>
        </w:tc>
        <w:tc>
          <w:tcPr>
            <w:shd w:val="clear" w:color="auto" w:fill="auto"/>
            <w:tcBorders>
              <w:left w:val="single" w:color="000000" w:sz="4" w:space="0"/>
              <w:right w:val="single" w:color="000000" w:sz="4" w:space="0"/>
            </w:tcBorders>
            <w:tcW w:w="2543"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S227老线</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7820.4</w:t>
            </w:r>
            <w:r/>
          </w:p>
        </w:tc>
        <w:tc>
          <w:tcPr>
            <w:shd w:val="clear" w:color="auto" w:fill="auto"/>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5213.6</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13034</w:t>
            </w:r>
            <w:r/>
          </w:p>
        </w:tc>
        <w:tc>
          <w:tcPr>
            <w:shd w:val="clear" w:color="auto" w:fill="auto"/>
            <w:tcBorders>
              <w:left w:val="single" w:color="000000" w:sz="4" w:space="0"/>
              <w:right w:val="single" w:color="000000" w:sz="4" w:space="0"/>
            </w:tcBorders>
            <w:tcW w:w="2543"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669"/>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和莫路南延（南三环—莫干路）</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5878</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5878</w:t>
            </w:r>
            <w:r/>
          </w:p>
        </w:tc>
        <w:tc>
          <w:tcPr>
            <w:shd w:val="clear" w:color="auto" w:fill="auto"/>
            <w:tcBorders>
              <w:left w:val="single" w:color="000000" w:sz="4" w:space="0"/>
              <w:bottom w:val="single" w:color="000000" w:sz="4" w:space="0"/>
              <w:right w:val="single" w:color="000000" w:sz="4" w:space="0"/>
            </w:tcBorders>
            <w:tcW w:w="2543"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657"/>
        </w:trPr>
        <w:tc>
          <w:tcPr>
            <w:gridSpan w:val="2"/>
            <w:shd w:val="clear" w:color="auto" w:fill="auto"/>
            <w:tcBorders>
              <w:top w:val="single" w:color="000000" w:sz="4" w:space="0"/>
              <w:left w:val="single" w:color="000000" w:sz="4" w:space="0"/>
              <w:bottom w:val="single" w:color="000000" w:sz="4" w:space="0"/>
              <w:right w:val="single" w:color="000000" w:sz="4" w:space="0"/>
            </w:tcBorders>
            <w:tcW w:w="33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306389.1</w:t>
            </w:r>
            <w:r/>
          </w:p>
        </w:tc>
        <w:tc>
          <w:tcPr>
            <w:shd w:val="clear" w:color="auto" w:fill="auto"/>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65851.2</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19653.3</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391893.6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bl>
    <w:p>
      <w:pPr>
        <w:jc w:val="left"/>
        <w:spacing w:line="440" w:lineRule="exact"/>
        <w:rPr>
          <w:rFonts w:ascii="宋体" w:hAnsi="宋体"/>
          <w:b/>
          <w:color w:val="000000"/>
          <w:sz w:val="28"/>
          <w:szCs w:val="24"/>
        </w:rPr>
      </w:pPr>
      <w:r>
        <w:rPr>
          <w:rFonts w:hint="eastAsia" w:ascii="宋体" w:hAnsi="宋体"/>
          <w:b/>
          <w:color w:val="000000"/>
          <w:sz w:val="28"/>
          <w:szCs w:val="24"/>
        </w:rPr>
        <w:t xml:space="preserve">三、项目服务要求：</w:t>
      </w:r>
      <w:r/>
    </w:p>
    <w:p>
      <w:pPr>
        <w:spacing w:line="440" w:lineRule="exact"/>
        <w:rPr>
          <w:b/>
          <w:bCs/>
          <w:color w:val="000000"/>
          <w:sz w:val="24"/>
        </w:rPr>
      </w:pPr>
      <w:r>
        <w:rPr>
          <w:rFonts w:hint="eastAsia"/>
          <w:b/>
          <w:bCs/>
          <w:color w:val="000000"/>
          <w:sz w:val="24"/>
        </w:rPr>
        <w:t xml:space="preserve">（一）总体要求：</w:t>
      </w:r>
      <w:r/>
    </w:p>
    <w:p>
      <w:pPr>
        <w:ind w:firstLine="480"/>
        <w:spacing w:line="440" w:lineRule="exact"/>
        <w:rPr>
          <w:rFonts w:ascii="宋体" w:hAnsi="宋体"/>
          <w:i/>
          <w:iCs/>
          <w:color w:val="000000"/>
          <w:sz w:val="24"/>
          <w:szCs w:val="24"/>
          <w:u w:val="single"/>
        </w:rPr>
      </w:pPr>
      <w:r>
        <w:rPr>
          <w:rFonts w:ascii="宋体" w:hAnsi="宋体"/>
          <w:i/>
          <w:iCs/>
          <w:color w:val="000000"/>
          <w:sz w:val="24"/>
          <w:szCs w:val="24"/>
          <w:u w:val="single"/>
        </w:rPr>
        <w:t xml:space="preserve">1、</w:t>
      </w:r>
      <w:r>
        <w:rPr>
          <w:rFonts w:hint="eastAsia" w:ascii="宋体" w:hAnsi="宋体"/>
          <w:i/>
          <w:iCs/>
          <w:color w:val="000000"/>
          <w:sz w:val="24"/>
          <w:szCs w:val="24"/>
          <w:u w:val="single"/>
        </w:rPr>
        <w:t xml:space="preserve">投标人</w:t>
      </w:r>
      <w:r>
        <w:rPr>
          <w:rFonts w:ascii="宋体" w:hAnsi="宋体"/>
          <w:i/>
          <w:iCs/>
          <w:color w:val="000000"/>
          <w:sz w:val="24"/>
          <w:szCs w:val="24"/>
          <w:u w:val="single"/>
        </w:rPr>
        <w:t xml:space="preserve">需在合同履行日前五日派员对管理现场进行熟悉情况和办理交接手续，相关费用包含在</w:t>
      </w:r>
      <w:r>
        <w:rPr>
          <w:rFonts w:hint="eastAsia" w:ascii="宋体" w:hAnsi="宋体"/>
          <w:i/>
          <w:iCs/>
          <w:color w:val="000000"/>
          <w:sz w:val="24"/>
          <w:szCs w:val="24"/>
          <w:u w:val="single"/>
        </w:rPr>
        <w:t xml:space="preserve">投标价格</w:t>
      </w:r>
      <w:r>
        <w:rPr>
          <w:rFonts w:ascii="宋体" w:hAnsi="宋体"/>
          <w:i/>
          <w:iCs/>
          <w:color w:val="000000"/>
          <w:sz w:val="24"/>
          <w:szCs w:val="24"/>
          <w:u w:val="single"/>
        </w:rPr>
        <w:t xml:space="preserve">中。</w:t>
      </w:r>
      <w:r/>
    </w:p>
    <w:p>
      <w:pPr>
        <w:ind w:firstLine="480"/>
        <w:spacing w:line="440" w:lineRule="exact"/>
        <w:rPr>
          <w:rFonts w:ascii="宋体" w:hAnsi="宋体"/>
          <w:i/>
          <w:iCs/>
          <w:color w:val="000000"/>
          <w:sz w:val="24"/>
          <w:szCs w:val="24"/>
          <w:u w:val="none"/>
        </w:rPr>
      </w:pPr>
      <w:r>
        <w:rPr>
          <w:rFonts w:ascii="宋体" w:hAnsi="宋体"/>
          <w:i/>
          <w:iCs/>
          <w:color w:val="000000"/>
          <w:sz w:val="24"/>
          <w:szCs w:val="24"/>
          <w:u w:val="none"/>
        </w:rPr>
        <w:t xml:space="preserve">2、</w:t>
      </w:r>
      <w:r>
        <w:rPr>
          <w:rFonts w:hint="eastAsia" w:ascii="宋体" w:hAnsi="宋体"/>
          <w:i/>
          <w:iCs/>
          <w:color w:val="000000"/>
          <w:sz w:val="24"/>
          <w:szCs w:val="24"/>
          <w:u w:val="none"/>
        </w:rPr>
        <w:t xml:space="preserve">投标人</w:t>
      </w:r>
      <w:r>
        <w:rPr>
          <w:rFonts w:ascii="宋体" w:hAnsi="宋体"/>
          <w:i/>
          <w:iCs/>
          <w:color w:val="000000"/>
          <w:sz w:val="24"/>
          <w:szCs w:val="24"/>
          <w:u w:val="none"/>
        </w:rPr>
        <w:t xml:space="preserve">必须遵守劳动法，依法规范用工，全员购买意外险。</w:t>
      </w:r>
      <w:r/>
    </w:p>
    <w:p>
      <w:pPr>
        <w:ind w:firstLine="480"/>
        <w:spacing w:line="440" w:lineRule="exact"/>
        <w:rPr>
          <w:rFonts w:ascii="宋体" w:hAnsi="宋体"/>
          <w:color w:val="000000"/>
          <w:sz w:val="24"/>
          <w:szCs w:val="24"/>
          <w:u w:val="none"/>
        </w:rPr>
      </w:pPr>
      <w:r>
        <w:rPr>
          <w:rFonts w:ascii="宋体" w:hAnsi="宋体"/>
          <w:color w:val="000000"/>
          <w:sz w:val="24"/>
          <w:szCs w:val="24"/>
          <w:u w:val="none"/>
        </w:rPr>
        <w:t xml:space="preserve">3、</w:t>
      </w:r>
      <w:r>
        <w:rPr>
          <w:rFonts w:hint="eastAsia" w:ascii="宋体" w:hAnsi="宋体"/>
          <w:color w:val="000000"/>
          <w:sz w:val="24"/>
          <w:szCs w:val="24"/>
          <w:u w:val="none"/>
          <w:lang w:val="en-US" w:eastAsia="zh-CN"/>
        </w:rPr>
        <w:t xml:space="preserve">职龄内</w:t>
      </w:r>
      <w:r>
        <w:rPr>
          <w:rFonts w:ascii="宋体" w:hAnsi="宋体"/>
          <w:color w:val="000000"/>
          <w:sz w:val="24"/>
          <w:szCs w:val="24"/>
          <w:u w:val="none"/>
        </w:rPr>
        <w:t xml:space="preserve">人员工资应不低于最新公布的常熟市最低工资标准。</w:t>
      </w:r>
      <w:r/>
    </w:p>
    <w:p>
      <w:pPr>
        <w:ind w:firstLine="480"/>
        <w:spacing w:line="440" w:lineRule="exact"/>
        <w:rPr>
          <w:rFonts w:ascii="宋体" w:hAnsi="宋体"/>
          <w:i/>
          <w:iCs/>
          <w:color w:val="000000"/>
          <w:sz w:val="24"/>
          <w:szCs w:val="24"/>
          <w:u w:val="none"/>
        </w:rPr>
      </w:pPr>
      <w:r>
        <w:rPr>
          <w:rFonts w:ascii="宋体" w:hAnsi="宋体"/>
          <w:i/>
          <w:iCs/>
          <w:color w:val="000000"/>
          <w:sz w:val="24"/>
          <w:szCs w:val="24"/>
          <w:u w:val="none"/>
        </w:rPr>
        <w:t xml:space="preserve">4、所有服务项目参照《江苏省城市园林绿化植物种植技术规定（试行）》、《常熟市绿地养护质量标准》（详见</w:t>
      </w:r>
      <w:r>
        <w:rPr>
          <w:rFonts w:hint="eastAsia" w:ascii="宋体" w:hAnsi="宋体"/>
          <w:i/>
          <w:iCs/>
          <w:color w:val="000000"/>
          <w:sz w:val="24"/>
          <w:szCs w:val="24"/>
          <w:u w:val="none"/>
        </w:rPr>
        <w:t xml:space="preserve">附件</w:t>
      </w:r>
      <w:r>
        <w:rPr>
          <w:rFonts w:ascii="宋体" w:hAnsi="宋体"/>
          <w:i/>
          <w:iCs/>
          <w:color w:val="000000"/>
          <w:sz w:val="24"/>
          <w:szCs w:val="24"/>
          <w:u w:val="none"/>
        </w:rPr>
        <w:t xml:space="preserve">）及各项规章制度等内容进行管理，并且不局限于以上要求内容。</w:t>
      </w:r>
      <w:r/>
    </w:p>
    <w:p>
      <w:pPr>
        <w:ind w:firstLine="480"/>
        <w:spacing w:line="440" w:lineRule="exact"/>
        <w:rPr>
          <w:rFonts w:ascii="宋体" w:hAnsi="宋体"/>
          <w:color w:val="000000"/>
          <w:sz w:val="24"/>
          <w:szCs w:val="24"/>
        </w:rPr>
      </w:pPr>
      <w:r>
        <w:rPr>
          <w:rFonts w:ascii="宋体" w:hAnsi="宋体"/>
          <w:color w:val="000000"/>
          <w:sz w:val="24"/>
          <w:szCs w:val="24"/>
        </w:rPr>
        <w:t xml:space="preserve">5、</w:t>
      </w:r>
      <w:r>
        <w:rPr>
          <w:rFonts w:hint="eastAsia" w:ascii="宋体" w:hAnsi="宋体"/>
          <w:color w:val="000000"/>
          <w:sz w:val="24"/>
          <w:szCs w:val="24"/>
        </w:rPr>
        <w:t xml:space="preserve">绿化养护</w:t>
      </w:r>
      <w:r>
        <w:rPr>
          <w:rFonts w:ascii="宋体" w:hAnsi="宋体"/>
          <w:color w:val="000000"/>
          <w:sz w:val="24"/>
          <w:szCs w:val="24"/>
        </w:rPr>
        <w:t xml:space="preserve">服务主要内容：包括但不限于（1）绿地保洁、清除杂草、清理农作物、清除垃圾（白色漂浮物、生活垃圾、建筑垃圾、枯枝树叶）；（2）修剪剥芽；（3）清除枯死树木枝条及架空线、路灯、交通信号灯、各类指示牌下树木的修剪；（4）树桩绑扎、加土扶正，过期铁丝清理；（5）草坪切边、色块切边、树穴完整；（6）病虫防治；（7）抗旱排涝、浇水排水，排水沟清理；（8）设施维护；（9）松土施肥；（10）露地草花种植；（11）清除修剪下的枝条、树叶、草坪等（枝条粉碎）；（12）草坪控高；（13）施肥及药水</w:t>
      </w:r>
      <w:r>
        <w:rPr>
          <w:rFonts w:hint="eastAsia" w:ascii="宋体" w:hAnsi="宋体"/>
          <w:color w:val="000000"/>
          <w:sz w:val="24"/>
          <w:szCs w:val="24"/>
        </w:rPr>
        <w:t xml:space="preserve">，</w:t>
      </w:r>
      <w:r>
        <w:rPr>
          <w:rFonts w:ascii="宋体" w:hAnsi="宋体"/>
          <w:color w:val="000000"/>
          <w:sz w:val="24"/>
          <w:szCs w:val="24"/>
        </w:rPr>
        <w:t xml:space="preserve">并考虑风险因素；（14）冬季防火、杂草的清理清运；（15）灾害性应急抢险；（16）苗木定期清点；（17）行道树修剪；</w:t>
      </w:r>
      <w:r>
        <w:rPr>
          <w:rFonts w:hint="eastAsia" w:ascii="宋体" w:hAnsi="宋体"/>
          <w:color w:val="000000"/>
          <w:sz w:val="24"/>
          <w:szCs w:val="24"/>
        </w:rPr>
        <w:t xml:space="preserve">（18）秩序管理；（19）数字化案件处置；（20）安全生产、综合治理及其它。 </w:t>
      </w:r>
      <w:r/>
    </w:p>
    <w:p>
      <w:pPr>
        <w:ind w:firstLine="480"/>
        <w:spacing w:line="440" w:lineRule="exact"/>
        <w:rPr>
          <w:rFonts w:ascii="宋体" w:hAnsi="宋体"/>
          <w:color w:val="000000"/>
          <w:sz w:val="24"/>
          <w:szCs w:val="24"/>
        </w:rPr>
      </w:pPr>
      <w:r>
        <w:rPr>
          <w:rFonts w:ascii="宋体" w:hAnsi="宋体"/>
          <w:color w:val="000000"/>
          <w:sz w:val="24"/>
          <w:szCs w:val="24"/>
        </w:rPr>
        <w:t xml:space="preserve">6</w:t>
      </w:r>
      <w:r>
        <w:rPr>
          <w:rFonts w:hint="eastAsia" w:ascii="宋体" w:hAnsi="宋体"/>
          <w:color w:val="000000"/>
          <w:sz w:val="24"/>
          <w:szCs w:val="24"/>
        </w:rPr>
        <w:t xml:space="preserve">、</w:t>
      </w:r>
      <w:r>
        <w:rPr>
          <w:rFonts w:ascii="宋体" w:hAnsi="宋体"/>
          <w:color w:val="000000"/>
          <w:sz w:val="24"/>
          <w:szCs w:val="24"/>
        </w:rPr>
        <w:t xml:space="preserve">因政府重大活动、灾害性天气及突发性事件而必须实施的应急任务，由采购人按相关规定落实相应养护单位实施，养护单位须无条件保质保量完成。遇到参观或者突击检查，必须按照采购人的提前</w:t>
      </w:r>
      <w:r>
        <w:rPr>
          <w:rFonts w:hint="eastAsia" w:ascii="宋体" w:hAnsi="宋体"/>
          <w:color w:val="000000"/>
          <w:sz w:val="24"/>
          <w:szCs w:val="24"/>
        </w:rPr>
        <w:t xml:space="preserve">通知</w:t>
      </w:r>
      <w:r>
        <w:rPr>
          <w:rFonts w:ascii="宋体" w:hAnsi="宋体"/>
          <w:color w:val="000000"/>
          <w:sz w:val="24"/>
          <w:szCs w:val="24"/>
        </w:rPr>
        <w:t xml:space="preserve">，增加养护频次。</w:t>
      </w:r>
      <w:r/>
    </w:p>
    <w:p>
      <w:pPr>
        <w:spacing w:line="440" w:lineRule="exact"/>
        <w:rPr>
          <w:b/>
          <w:bCs/>
          <w:color w:val="000000"/>
          <w:sz w:val="24"/>
        </w:rPr>
      </w:pPr>
      <w:r>
        <w:rPr>
          <w:rFonts w:hint="eastAsia"/>
          <w:b/>
          <w:bCs/>
          <w:color w:val="000000"/>
          <w:sz w:val="24"/>
        </w:rPr>
        <w:t xml:space="preserve">（二）人员要求：</w:t>
      </w:r>
      <w:r/>
    </w:p>
    <w:p>
      <w:pPr>
        <w:ind w:firstLine="480"/>
        <w:spacing w:line="440" w:lineRule="exact"/>
        <w:rPr>
          <w:rFonts w:ascii="宋体" w:hAnsi="宋体"/>
          <w:i/>
          <w:iCs/>
          <w:color w:val="000000"/>
          <w:sz w:val="24"/>
          <w:szCs w:val="24"/>
          <w:u w:val="single"/>
        </w:rPr>
      </w:pPr>
      <w:r>
        <w:rPr>
          <w:rFonts w:ascii="宋体" w:hAnsi="宋体"/>
          <w:i/>
          <w:iCs/>
          <w:color w:val="000000"/>
          <w:sz w:val="24"/>
          <w:szCs w:val="24"/>
          <w:u w:val="single"/>
        </w:rPr>
        <w:t xml:space="preserve">1、禁止使用65周岁</w:t>
      </w:r>
      <w:r>
        <w:rPr>
          <w:rFonts w:hint="eastAsia" w:ascii="宋体" w:hAnsi="宋体"/>
          <w:i/>
          <w:iCs/>
          <w:color w:val="000000"/>
          <w:sz w:val="24"/>
          <w:szCs w:val="24"/>
          <w:u w:val="single"/>
        </w:rPr>
        <w:t xml:space="preserve">（不含）</w:t>
      </w:r>
      <w:r>
        <w:rPr>
          <w:rFonts w:ascii="宋体" w:hAnsi="宋体"/>
          <w:i/>
          <w:iCs/>
          <w:color w:val="000000"/>
          <w:sz w:val="24"/>
          <w:szCs w:val="24"/>
          <w:u w:val="single"/>
        </w:rPr>
        <w:t xml:space="preserve">以上人员。</w:t>
      </w:r>
      <w:r/>
    </w:p>
    <w:p>
      <w:pPr>
        <w:ind w:firstLine="480"/>
        <w:spacing w:line="440" w:lineRule="exact"/>
        <w:rPr>
          <w:rFonts w:ascii="宋体" w:hAnsi="宋体"/>
          <w:color w:val="000000"/>
          <w:sz w:val="24"/>
          <w:szCs w:val="24"/>
        </w:rPr>
      </w:pPr>
      <w:r>
        <w:rPr>
          <w:rFonts w:ascii="宋体" w:hAnsi="宋体"/>
          <w:color w:val="000000"/>
          <w:sz w:val="24"/>
          <w:szCs w:val="24"/>
        </w:rPr>
        <w:t xml:space="preserve">2、爱岗敬业，主人翁意识强，遵纪守法，文明礼貌。</w:t>
      </w:r>
      <w:r/>
    </w:p>
    <w:p>
      <w:pPr>
        <w:ind w:firstLine="480"/>
        <w:spacing w:line="440" w:lineRule="exact"/>
        <w:rPr>
          <w:rFonts w:ascii="宋体" w:hAnsi="宋体"/>
          <w:color w:val="000000"/>
          <w:sz w:val="24"/>
          <w:szCs w:val="24"/>
        </w:rPr>
      </w:pPr>
      <w:r>
        <w:rPr>
          <w:rFonts w:ascii="宋体" w:hAnsi="宋体"/>
          <w:color w:val="000000"/>
          <w:sz w:val="24"/>
          <w:szCs w:val="24"/>
        </w:rPr>
        <w:t xml:space="preserve">3、团结协作意识、安全作业意识强，工作高质、高效。</w:t>
      </w:r>
      <w:r/>
    </w:p>
    <w:p>
      <w:pPr>
        <w:ind w:firstLine="480"/>
        <w:spacing w:line="440" w:lineRule="exact"/>
        <w:rPr>
          <w:rFonts w:ascii="宋体" w:hAnsi="宋体"/>
          <w:color w:val="000000"/>
          <w:sz w:val="24"/>
          <w:szCs w:val="24"/>
        </w:rPr>
      </w:pPr>
      <w:r>
        <w:rPr>
          <w:rFonts w:ascii="宋体" w:hAnsi="宋体"/>
          <w:color w:val="000000"/>
          <w:sz w:val="24"/>
          <w:szCs w:val="24"/>
        </w:rPr>
        <w:t xml:space="preserve">4、</w:t>
      </w:r>
      <w:r>
        <w:rPr>
          <w:rFonts w:hint="eastAsia" w:ascii="宋体" w:hAnsi="宋体"/>
          <w:color w:val="000000"/>
          <w:sz w:val="24"/>
          <w:szCs w:val="24"/>
        </w:rPr>
        <w:t xml:space="preserve">统一服装，精神饱满，衣着整洁，注重个人形象</w:t>
      </w:r>
      <w:r>
        <w:rPr>
          <w:rFonts w:ascii="宋体" w:hAnsi="宋体"/>
          <w:color w:val="000000"/>
          <w:sz w:val="24"/>
          <w:szCs w:val="24"/>
        </w:rPr>
        <w:t xml:space="preserve">。</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5、投标人必须配备1名项目负责人，现场作业人员不少于</w:t>
      </w:r>
      <w:r>
        <w:rPr>
          <w:rFonts w:hint="eastAsia" w:ascii="宋体" w:hAnsi="宋体"/>
          <w:color w:val="auto"/>
          <w:sz w:val="24"/>
          <w:szCs w:val="24"/>
          <w:highlight w:val="none"/>
          <w:lang w:val="en-US" w:eastAsia="zh-CN"/>
        </w:rPr>
        <w:t xml:space="preserve">12</w:t>
      </w:r>
      <w:r>
        <w:rPr>
          <w:rFonts w:hint="eastAsia" w:ascii="宋体" w:hAnsi="宋体"/>
          <w:color w:val="auto"/>
          <w:sz w:val="24"/>
          <w:szCs w:val="24"/>
          <w:highlight w:val="none"/>
        </w:rPr>
        <w:t xml:space="preserve">名。</w:t>
      </w:r>
      <w:r/>
    </w:p>
    <w:p>
      <w:pPr>
        <w:spacing w:line="440" w:lineRule="exact"/>
        <w:rPr>
          <w:b/>
          <w:bCs/>
          <w:color w:val="auto"/>
          <w:sz w:val="24"/>
          <w:szCs w:val="24"/>
          <w:highlight w:val="none"/>
        </w:rPr>
      </w:pPr>
      <w:r>
        <w:rPr>
          <w:rFonts w:hint="eastAsia"/>
          <w:b/>
          <w:bCs/>
          <w:color w:val="auto"/>
          <w:sz w:val="24"/>
          <w:highlight w:val="none"/>
        </w:rPr>
        <w:t xml:space="preserve">（三）</w:t>
      </w:r>
      <w:r>
        <w:rPr>
          <w:b/>
          <w:bCs/>
          <w:color w:val="auto"/>
          <w:sz w:val="24"/>
          <w:szCs w:val="24"/>
          <w:highlight w:val="none"/>
        </w:rPr>
        <w:t xml:space="preserve">车辆、工具设备配置要求</w:t>
      </w:r>
      <w:r>
        <w:rPr>
          <w:rFonts w:hint="eastAsia"/>
          <w:b/>
          <w:bCs/>
          <w:color w:val="auto"/>
          <w:sz w:val="24"/>
          <w:szCs w:val="24"/>
          <w:highlight w:val="none"/>
        </w:rPr>
        <w:t xml:space="preserve">：</w:t>
      </w:r>
      <w:r/>
    </w:p>
    <w:p>
      <w:pPr>
        <w:ind w:firstLine="480"/>
        <w:spacing w:line="440" w:lineRule="exact"/>
        <w:rPr>
          <w:rFonts w:hint="default" w:ascii="宋体" w:hAnsi="宋体" w:eastAsia="宋体"/>
          <w:b/>
          <w:bCs/>
          <w:color w:val="auto"/>
          <w:sz w:val="24"/>
          <w:szCs w:val="24"/>
          <w:highlight w:val="none"/>
          <w:lang w:val="en-US" w:eastAsia="zh-CN"/>
        </w:rPr>
      </w:pPr>
      <w:r>
        <w:rPr>
          <w:rFonts w:hint="eastAsia" w:ascii="宋体" w:hAnsi="宋体"/>
          <w:color w:val="auto"/>
          <w:sz w:val="24"/>
          <w:szCs w:val="24"/>
          <w:highlight w:val="none"/>
        </w:rPr>
        <w:t xml:space="preserve">投标人</w:t>
      </w:r>
      <w:r>
        <w:rPr>
          <w:rFonts w:ascii="宋体" w:hAnsi="宋体"/>
          <w:color w:val="auto"/>
          <w:sz w:val="24"/>
          <w:szCs w:val="24"/>
          <w:highlight w:val="none"/>
        </w:rPr>
        <w:t xml:space="preserve">应按照服务内容</w:t>
      </w:r>
      <w:r>
        <w:rPr>
          <w:rFonts w:hint="eastAsia" w:ascii="宋体" w:hAnsi="宋体"/>
          <w:color w:val="auto"/>
          <w:sz w:val="24"/>
          <w:szCs w:val="24"/>
          <w:highlight w:val="none"/>
        </w:rPr>
        <w:t xml:space="preserve">要求</w:t>
      </w:r>
      <w:r>
        <w:rPr>
          <w:rFonts w:ascii="宋体" w:hAnsi="宋体"/>
          <w:color w:val="auto"/>
          <w:sz w:val="24"/>
          <w:szCs w:val="24"/>
          <w:highlight w:val="none"/>
        </w:rPr>
        <w:t xml:space="preserve">将相关车辆、工具设备等配备到位，满足绿化养护日常作业及应急服务需求</w:t>
      </w:r>
      <w:r>
        <w:rPr>
          <w:rFonts w:hint="eastAsia" w:ascii="宋体" w:hAnsi="宋体"/>
          <w:color w:val="auto"/>
          <w:sz w:val="24"/>
          <w:szCs w:val="24"/>
          <w:highlight w:val="none"/>
          <w:lang w:eastAsia="zh-CN"/>
        </w:rPr>
        <w:t xml:space="preserve">；</w:t>
      </w:r>
      <w:r>
        <w:rPr>
          <w:rFonts w:hint="eastAsia" w:ascii="宋体" w:hAnsi="宋体"/>
          <w:b/>
          <w:bCs/>
          <w:color w:val="auto"/>
          <w:sz w:val="24"/>
          <w:szCs w:val="24"/>
          <w:highlight w:val="none"/>
          <w:lang w:val="en-US" w:eastAsia="zh-CN"/>
        </w:rPr>
        <w:t xml:space="preserve">为保障园林绿化垃圾处置，投标人应配套相应的树枝加工末端处理。</w:t>
      </w:r>
      <w:r/>
    </w:p>
    <w:p>
      <w:pPr>
        <w:spacing w:line="440" w:lineRule="exact"/>
        <w:rPr>
          <w:b/>
          <w:bCs/>
          <w:color w:val="auto"/>
          <w:sz w:val="24"/>
          <w:highlight w:val="none"/>
        </w:rPr>
      </w:pPr>
      <w:r>
        <w:rPr>
          <w:b/>
          <w:bCs/>
          <w:color w:val="auto"/>
          <w:sz w:val="24"/>
          <w:highlight w:val="none"/>
        </w:rPr>
        <w:t xml:space="preserve">（四）服务要求：</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1、投标人负责区域绿地内园林设施巡视看护、保洁、安全隐患情况的上报。</w:t>
      </w:r>
      <w:r/>
    </w:p>
    <w:p>
      <w:pPr>
        <w:ind w:firstLine="482"/>
        <w:spacing w:line="440" w:lineRule="exact"/>
        <w:rPr>
          <w:rFonts w:hint="default" w:ascii="宋体" w:hAnsi="宋体"/>
          <w:color w:val="auto"/>
          <w:sz w:val="24"/>
          <w:szCs w:val="24"/>
          <w:highlight w:val="none"/>
          <w:lang w:val="en-US" w:eastAsia="zh-CN"/>
        </w:rPr>
      </w:pPr>
      <w:r>
        <w:rPr>
          <w:rFonts w:hint="eastAsia" w:ascii="宋体" w:hAnsi="宋体"/>
          <w:b/>
          <w:bCs/>
          <w:color w:val="auto"/>
          <w:sz w:val="24"/>
          <w:szCs w:val="24"/>
          <w:highlight w:val="none"/>
          <w:lang w:val="en-US" w:eastAsia="zh-CN"/>
        </w:rPr>
        <w:t xml:space="preserve">2、投标人须负责区域内行道树的缺损补植以及非养护单位原因树木死亡或极端天气造成的树木补植（行道树补植数量不超100棵，胸径≥10cm）。</w:t>
      </w:r>
      <w:r/>
    </w:p>
    <w:p>
      <w:pPr>
        <w:ind w:firstLine="480"/>
        <w:spacing w:line="440" w:lineRule="exact"/>
        <w:rPr>
          <w:rFonts w:ascii="宋体" w:hAnsi="宋体"/>
          <w:color w:val="000000"/>
          <w:sz w:val="24"/>
          <w:szCs w:val="24"/>
        </w:rPr>
      </w:pPr>
      <w:r>
        <w:rPr>
          <w:rFonts w:hint="eastAsia" w:ascii="宋体" w:hAnsi="宋体"/>
          <w:color w:val="000000"/>
          <w:sz w:val="24"/>
          <w:szCs w:val="24"/>
          <w:lang w:val="en-US" w:eastAsia="zh-CN"/>
        </w:rPr>
        <w:t xml:space="preserve">3</w:t>
      </w:r>
      <w:r>
        <w:rPr>
          <w:rFonts w:hint="eastAsia" w:ascii="宋体" w:hAnsi="宋体"/>
          <w:color w:val="000000"/>
          <w:sz w:val="24"/>
          <w:szCs w:val="24"/>
        </w:rPr>
        <w:t xml:space="preserve">、设施巡视看护要求：投标人应落实专人负责巡视看护工作，并按要求做好做到存在问题当日发现，存在安全隐患的问题当日上报。</w:t>
      </w:r>
      <w:r/>
    </w:p>
    <w:p>
      <w:pPr>
        <w:ind w:firstLine="480"/>
        <w:spacing w:line="440" w:lineRule="exact"/>
        <w:rPr>
          <w:rFonts w:ascii="宋体" w:hAnsi="宋体"/>
          <w:color w:val="000000"/>
          <w:sz w:val="24"/>
          <w:szCs w:val="24"/>
        </w:rPr>
      </w:pPr>
      <w:r>
        <w:rPr>
          <w:rFonts w:hint="eastAsia" w:ascii="宋体" w:hAnsi="宋体"/>
          <w:color w:val="000000"/>
          <w:sz w:val="24"/>
          <w:szCs w:val="24"/>
          <w:lang w:val="en-US" w:eastAsia="zh-CN"/>
        </w:rPr>
        <w:t xml:space="preserve">4</w:t>
      </w:r>
      <w:r>
        <w:rPr>
          <w:rFonts w:hint="eastAsia" w:ascii="宋体" w:hAnsi="宋体"/>
          <w:color w:val="000000"/>
          <w:sz w:val="24"/>
          <w:szCs w:val="24"/>
        </w:rPr>
        <w:t xml:space="preserve">、安全保护：投标人养护期内除按要求做好巡视看护、保洁工作外，应做好设施的安全防范措施，在第一时间内发现安全隐患，采取有效措施。</w:t>
      </w:r>
      <w:r/>
    </w:p>
    <w:p>
      <w:pPr>
        <w:ind w:firstLine="480"/>
        <w:spacing w:line="440" w:lineRule="exact"/>
        <w:rPr>
          <w:rFonts w:ascii="宋体" w:hAnsi="宋体"/>
          <w:color w:val="000000"/>
          <w:sz w:val="24"/>
          <w:szCs w:val="24"/>
        </w:rPr>
      </w:pP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、因政府重大活动或突发性事件而必须实施的应急整治任务，由采购人按相关规定落实相应投标人实施的，投标人应保质保量完成。</w:t>
      </w:r>
      <w:r/>
    </w:p>
    <w:p>
      <w:pPr>
        <w:ind w:firstLine="480"/>
        <w:spacing w:line="440" w:lineRule="exact"/>
        <w:rPr>
          <w:rFonts w:ascii="宋体" w:hAnsi="宋体"/>
          <w:color w:val="000000"/>
          <w:sz w:val="24"/>
          <w:szCs w:val="24"/>
        </w:rPr>
      </w:pP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工作手机：安装绿化养护平台，每天7：00-17:00开启定位功能，项目负责人在工作日开启绿化养护平台，并处理平台派发的案卷；加入养护微信群，每天7：00-17:00开启定位功能，项目负责人在工作日关注绿化养护微信群，并处理微信群指出的各类问题。</w:t>
      </w:r>
      <w:r/>
    </w:p>
    <w:p>
      <w:pPr>
        <w:ind w:firstLine="480"/>
        <w:spacing w:line="440" w:lineRule="exact"/>
        <w:rPr>
          <w:rFonts w:ascii="宋体" w:hAnsi="宋体"/>
          <w:color w:val="000000"/>
          <w:sz w:val="24"/>
          <w:szCs w:val="24"/>
        </w:rPr>
      </w:pPr>
      <w:r>
        <w:rPr>
          <w:rFonts w:hint="eastAsia" w:ascii="宋体" w:hAnsi="宋体"/>
          <w:color w:val="000000"/>
          <w:sz w:val="24"/>
          <w:szCs w:val="24"/>
          <w:lang w:val="en-US" w:eastAsia="zh-CN"/>
        </w:rPr>
        <w:t xml:space="preserve">7</w:t>
      </w:r>
      <w:r>
        <w:rPr>
          <w:rFonts w:hint="eastAsia" w:ascii="宋体" w:hAnsi="宋体"/>
          <w:color w:val="000000"/>
          <w:sz w:val="24"/>
          <w:szCs w:val="24"/>
        </w:rPr>
        <w:t xml:space="preserve">、突击工作服从采购人安排，增派人员和设备。</w:t>
      </w:r>
      <w:r/>
    </w:p>
    <w:p>
      <w:pPr>
        <w:ind w:firstLine="480"/>
        <w:spacing w:line="440" w:lineRule="exact"/>
        <w:rPr>
          <w:rFonts w:ascii="宋体" w:hAnsi="宋体"/>
          <w:color w:val="000000"/>
          <w:sz w:val="24"/>
          <w:szCs w:val="24"/>
        </w:rPr>
      </w:pPr>
      <w:r>
        <w:rPr>
          <w:rFonts w:hint="eastAsia" w:ascii="宋体" w:hAnsi="宋体"/>
          <w:color w:val="000000"/>
          <w:sz w:val="24"/>
          <w:szCs w:val="24"/>
          <w:lang w:val="en-US" w:eastAsia="zh-CN"/>
        </w:rPr>
        <w:t xml:space="preserve">8</w:t>
      </w:r>
      <w:r>
        <w:rPr>
          <w:rFonts w:hint="eastAsia" w:ascii="宋体" w:hAnsi="宋体"/>
          <w:color w:val="000000"/>
          <w:sz w:val="24"/>
          <w:szCs w:val="24"/>
        </w:rPr>
        <w:t xml:space="preserve">、养护工人工作服配备：春秋冬季绿马夹二件、夏装二件、雨衣雨裤一套，标明养护单位。</w:t>
      </w:r>
      <w:r/>
    </w:p>
    <w:p>
      <w:pPr>
        <w:ind w:firstLine="480"/>
        <w:spacing w:line="440" w:lineRule="exact"/>
        <w:rPr>
          <w:rFonts w:ascii="宋体" w:hAnsi="宋体"/>
          <w:color w:val="000000"/>
          <w:sz w:val="24"/>
          <w:szCs w:val="24"/>
        </w:rPr>
      </w:pPr>
      <w:r>
        <w:rPr>
          <w:rFonts w:hint="eastAsia" w:ascii="宋体" w:hAnsi="宋体"/>
          <w:color w:val="000000"/>
          <w:sz w:val="24"/>
          <w:szCs w:val="24"/>
          <w:lang w:val="en-US" w:eastAsia="zh-CN"/>
        </w:rPr>
        <w:t xml:space="preserve">9</w:t>
      </w:r>
      <w:r>
        <w:rPr>
          <w:rFonts w:hint="eastAsia" w:ascii="宋体" w:hAnsi="宋体"/>
          <w:color w:val="000000"/>
          <w:sz w:val="24"/>
          <w:szCs w:val="24"/>
        </w:rPr>
        <w:t xml:space="preserve">、养护开始之日起应将工作服发放到位，全部统一着装上岗，统一挂牌上岗，马路上保洁人员加穿反光马甲。</w:t>
      </w:r>
      <w:r/>
    </w:p>
    <w:p>
      <w:pPr>
        <w:ind w:firstLine="480"/>
        <w:spacing w:line="440" w:lineRule="exact"/>
        <w:rPr>
          <w:rFonts w:ascii="宋体" w:hAnsi="宋体"/>
          <w:color w:val="000000"/>
          <w:sz w:val="24"/>
          <w:szCs w:val="24"/>
        </w:rPr>
      </w:pPr>
      <w:r>
        <w:rPr>
          <w:rFonts w:hint="eastAsia" w:ascii="宋体" w:hAnsi="宋体"/>
          <w:color w:val="000000"/>
          <w:sz w:val="24"/>
          <w:szCs w:val="24"/>
          <w:lang w:val="en-US" w:eastAsia="zh-CN"/>
        </w:rPr>
        <w:t xml:space="preserve">10</w:t>
      </w:r>
      <w:r>
        <w:rPr>
          <w:rFonts w:hint="eastAsia" w:ascii="宋体" w:hAnsi="宋体"/>
          <w:color w:val="000000"/>
          <w:sz w:val="24"/>
          <w:szCs w:val="24"/>
        </w:rPr>
        <w:t xml:space="preserve">、落实专人负责养护台帐资料的制作、管理，确保台帐资料记录详细，分类清楚，数据详实；建立养护范围内绿化苗木数据库，并根据实际情况进行动态更新。</w:t>
      </w:r>
      <w:r/>
    </w:p>
    <w:p>
      <w:pPr>
        <w:ind w:firstLine="480"/>
        <w:spacing w:line="440" w:lineRule="exact"/>
        <w:rPr>
          <w:rFonts w:ascii="宋体" w:hAnsi="宋体"/>
          <w:color w:val="000000"/>
          <w:sz w:val="24"/>
          <w:szCs w:val="24"/>
        </w:rPr>
      </w:pPr>
      <w:r>
        <w:rPr>
          <w:rFonts w:hint="eastAsia" w:ascii="宋体" w:hAnsi="宋体"/>
          <w:color w:val="000000"/>
          <w:sz w:val="24"/>
          <w:szCs w:val="24"/>
          <w:lang w:val="en-US" w:eastAsia="zh-CN"/>
        </w:rPr>
        <w:t xml:space="preserve">11</w:t>
      </w:r>
      <w:r>
        <w:rPr>
          <w:rFonts w:hint="eastAsia" w:ascii="宋体" w:hAnsi="宋体"/>
          <w:color w:val="000000"/>
          <w:sz w:val="24"/>
          <w:szCs w:val="24"/>
        </w:rPr>
        <w:t xml:space="preserve">、养护期内加强管理，一旦出现枯枝现象，24小时内处理完毕，如出现树木、草坪等植物死亡，在第一时间内按规定格式及时上报。</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lang w:val="en-US" w:eastAsia="zh-CN"/>
        </w:rPr>
        <w:t xml:space="preserve">2</w:t>
      </w:r>
      <w:r>
        <w:rPr>
          <w:rFonts w:hint="eastAsia" w:ascii="宋体" w:hAnsi="宋体"/>
          <w:color w:val="000000"/>
          <w:sz w:val="24"/>
          <w:szCs w:val="24"/>
        </w:rPr>
        <w:t xml:space="preserve">、投标人应建立急抢险预案，组织一支稳定的应急抢险队伍，配备必备的抢险车辆、工具设备，并落实专人负责抢险工作，保持全天24小时通信畅通，做到接到抢险任务于半小时内到达现场解除险情。</w:t>
      </w:r>
      <w:r/>
    </w:p>
    <w:p>
      <w:pPr>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lang w:val="en-US" w:eastAsia="zh-CN"/>
        </w:rPr>
        <w:t xml:space="preserve">3</w:t>
      </w:r>
      <w:r>
        <w:rPr>
          <w:rFonts w:hint="eastAsia" w:ascii="宋体" w:hAnsi="宋体"/>
          <w:color w:val="000000"/>
          <w:sz w:val="24"/>
          <w:szCs w:val="24"/>
        </w:rPr>
        <w:t xml:space="preserve">、出现强对流等恶劣天气时，提前1—2天做好高大树木加固、危枝危</w:t>
      </w:r>
      <w:r>
        <w:rPr>
          <w:rFonts w:hint="eastAsia" w:ascii="宋体" w:hAnsi="宋体"/>
          <w:color w:val="000000"/>
          <w:sz w:val="24"/>
          <w:szCs w:val="24"/>
          <w:lang w:val="en-US" w:eastAsia="zh-CN"/>
        </w:rPr>
        <w:t xml:space="preserve">旁</w:t>
      </w:r>
      <w:r>
        <w:rPr>
          <w:rFonts w:hint="eastAsia" w:ascii="宋体" w:hAnsi="宋体"/>
          <w:color w:val="000000"/>
          <w:sz w:val="24"/>
          <w:szCs w:val="24"/>
        </w:rPr>
        <w:t xml:space="preserve">剪除等防范措施，抢险应急队伍24小时值班待命；事中做到抢险人员主动上路巡视，主动发现问题、主动解除险情；事后及时清理现场做好善后工作。在做好本分包范围绿地内的应急抢险任务外，服从采购人的统一调度，确保完成业主方另行安排的其它应急抢险任务。</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14</w:t>
      </w:r>
      <w:r>
        <w:rPr>
          <w:rFonts w:hint="eastAsia" w:ascii="宋体" w:hAnsi="宋体"/>
          <w:color w:val="000000"/>
          <w:sz w:val="24"/>
          <w:szCs w:val="24"/>
          <w:highlight w:val="none"/>
        </w:rPr>
        <w:t xml:space="preserve">、采购人不提供垃圾</w:t>
      </w:r>
      <w:r>
        <w:rPr>
          <w:rFonts w:hint="eastAsia" w:ascii="宋体" w:hAnsi="宋体"/>
          <w:color w:val="000000"/>
          <w:sz w:val="24"/>
          <w:szCs w:val="24"/>
          <w:highlight w:val="none"/>
          <w:lang w:val="en-US" w:eastAsia="zh-CN"/>
        </w:rPr>
        <w:t xml:space="preserve">处置点</w:t>
      </w:r>
      <w:r>
        <w:rPr>
          <w:rFonts w:hint="eastAsia" w:ascii="宋体" w:hAnsi="宋体"/>
          <w:color w:val="000000"/>
          <w:sz w:val="24"/>
          <w:szCs w:val="24"/>
          <w:highlight w:val="none"/>
        </w:rPr>
        <w:t xml:space="preserve">，养护单位</w:t>
      </w:r>
      <w:r>
        <w:rPr>
          <w:rFonts w:hint="eastAsia" w:ascii="宋体" w:hAnsi="宋体"/>
          <w:color w:val="000000"/>
          <w:sz w:val="24"/>
          <w:szCs w:val="24"/>
          <w:highlight w:val="none"/>
          <w:lang w:val="en-US" w:eastAsia="zh-CN"/>
        </w:rPr>
        <w:t xml:space="preserve">应</w:t>
      </w:r>
      <w:r>
        <w:rPr>
          <w:rFonts w:hint="eastAsia" w:ascii="宋体" w:hAnsi="宋体"/>
          <w:color w:val="000000"/>
          <w:sz w:val="24"/>
          <w:szCs w:val="24"/>
          <w:highlight w:val="none"/>
        </w:rPr>
        <w:t xml:space="preserve">自行考虑绿化养护产生垃圾</w:t>
      </w:r>
      <w:r>
        <w:rPr>
          <w:rFonts w:hint="eastAsia" w:ascii="宋体" w:hAnsi="宋体"/>
          <w:color w:val="000000"/>
          <w:sz w:val="24"/>
          <w:szCs w:val="24"/>
          <w:highlight w:val="none"/>
          <w:lang w:val="en-US" w:eastAsia="zh-CN"/>
        </w:rPr>
        <w:t xml:space="preserve">的处置方式不得随意堆放、处置</w:t>
      </w:r>
      <w:r>
        <w:rPr>
          <w:rFonts w:hint="eastAsia" w:ascii="宋体" w:hAnsi="宋体"/>
          <w:color w:val="000000"/>
          <w:sz w:val="24"/>
          <w:szCs w:val="24"/>
          <w:highlight w:val="none"/>
        </w:rPr>
        <w:t xml:space="preserve">。</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、因中标人养护管理不善而死亡的植物，中标人应及时无偿补植，补植的苗木规格原则上不小于死亡苗木并确保成活。</w:t>
      </w:r>
      <w:r/>
    </w:p>
    <w:p>
      <w:pPr>
        <w:ind w:firstLine="480"/>
        <w:spacing w:line="440" w:lineRule="exact"/>
        <w:rPr>
          <w:rFonts w:ascii="宋体" w:hAnsi="宋体"/>
          <w:b/>
          <w:i/>
          <w:iCs/>
          <w:color w:val="000000"/>
          <w:sz w:val="24"/>
          <w:szCs w:val="24"/>
          <w:u w:val="single"/>
        </w:rPr>
      </w:pPr>
      <w:r>
        <w:rPr>
          <w:rFonts w:hint="eastAsia" w:ascii="宋体" w:hAnsi="宋体"/>
          <w:b/>
          <w:i/>
          <w:iCs/>
          <w:color w:val="000000"/>
          <w:sz w:val="24"/>
          <w:szCs w:val="24"/>
          <w:u w:val="single"/>
          <w:lang w:val="en-US" w:eastAsia="zh-CN"/>
        </w:rPr>
        <w:t xml:space="preserve">16</w:t>
      </w:r>
      <w:r>
        <w:rPr>
          <w:rFonts w:hint="eastAsia" w:ascii="宋体" w:hAnsi="宋体"/>
          <w:b/>
          <w:i/>
          <w:iCs/>
          <w:color w:val="000000"/>
          <w:sz w:val="24"/>
          <w:szCs w:val="24"/>
          <w:u w:val="single"/>
        </w:rPr>
        <w:t xml:space="preserve">、考核机制：</w:t>
      </w:r>
      <w:r/>
    </w:p>
    <w:p>
      <w:pPr>
        <w:ind w:firstLine="961"/>
        <w:spacing w:line="440" w:lineRule="exact"/>
        <w:rPr>
          <w:rFonts w:ascii="宋体" w:hAnsi="宋体"/>
          <w:b/>
          <w:i/>
          <w:iCs/>
          <w:color w:val="000000"/>
          <w:sz w:val="24"/>
          <w:szCs w:val="24"/>
          <w:u w:val="single"/>
        </w:rPr>
      </w:pPr>
      <w:r>
        <w:rPr>
          <w:rFonts w:hint="eastAsia" w:ascii="宋体" w:hAnsi="宋体"/>
          <w:b/>
          <w:i/>
          <w:iCs/>
          <w:color w:val="000000"/>
          <w:sz w:val="24"/>
          <w:szCs w:val="24"/>
          <w:u w:val="single"/>
        </w:rPr>
        <w:t xml:space="preserve">街道考评：①附件《常熟市三环路外绿化属地养护考核办法（修订）》</w:t>
      </w:r>
      <w:r>
        <w:rPr>
          <w:rFonts w:hint="eastAsia" w:ascii="宋体" w:hAnsi="宋体"/>
          <w:b/>
          <w:i/>
          <w:iCs/>
          <w:color w:val="000000"/>
          <w:sz w:val="24"/>
          <w:szCs w:val="24"/>
          <w:u w:val="single"/>
          <w:lang w:eastAsia="zh-CN"/>
        </w:rPr>
        <w:t xml:space="preserve">、</w:t>
      </w:r>
      <w:r>
        <w:rPr>
          <w:rFonts w:hint="eastAsia" w:ascii="宋体" w:hAnsi="宋体"/>
          <w:b/>
          <w:i/>
          <w:iCs/>
          <w:color w:val="000000"/>
          <w:sz w:val="24"/>
          <w:szCs w:val="24"/>
          <w:u w:val="single"/>
        </w:rPr>
        <w:t xml:space="preserve">附件《常熟市三环路外绿化属地养护评分细则（修订）》</w:t>
      </w:r>
      <w:r>
        <w:rPr>
          <w:rFonts w:hint="eastAsia" w:ascii="宋体" w:hAnsi="宋体"/>
          <w:b/>
          <w:i/>
          <w:iCs/>
          <w:color w:val="000000"/>
          <w:sz w:val="24"/>
          <w:szCs w:val="24"/>
          <w:u w:val="single"/>
          <w:lang w:eastAsia="zh-CN"/>
        </w:rPr>
        <w:t xml:space="preserve">、</w:t>
      </w:r>
      <w:r>
        <w:rPr>
          <w:rFonts w:hint="eastAsia" w:ascii="宋体" w:hAnsi="宋体"/>
          <w:b/>
          <w:i/>
          <w:iCs/>
          <w:color w:val="000000"/>
          <w:sz w:val="24"/>
          <w:szCs w:val="24"/>
          <w:u w:val="single"/>
          <w:lang w:val="en-US" w:eastAsia="zh-CN"/>
        </w:rPr>
        <w:t xml:space="preserve">《莫城街道绿化养护考核评分细则》</w:t>
      </w:r>
      <w:r>
        <w:rPr>
          <w:rFonts w:hint="eastAsia" w:ascii="宋体" w:hAnsi="宋体"/>
          <w:b/>
          <w:i/>
          <w:iCs/>
          <w:color w:val="000000"/>
          <w:sz w:val="24"/>
          <w:szCs w:val="24"/>
          <w:u w:val="single"/>
        </w:rPr>
        <w:t xml:space="preserve">作为考核主要标准（如有最新发布的标准按照最新发布的为准），考核分数与养护经费挂钩。考核分数90分（含）以上，全额拨付当次工作经费；2、85分（含）～90分，每扣一分，扣减1000元（与90分相减）；3、85分～80分（含），每扣一分，扣减2000元（与90分相减）；4、80分以下为不合格，扣除当次全额工作经费。</w:t>
      </w:r>
      <w:r/>
    </w:p>
    <w:p>
      <w:pPr>
        <w:ind w:firstLine="482"/>
        <w:spacing w:line="440" w:lineRule="exact"/>
        <w:rPr>
          <w:rFonts w:ascii="宋体" w:hAnsi="宋体"/>
          <w:b/>
          <w:i/>
          <w:iCs/>
          <w:color w:val="000000"/>
          <w:sz w:val="24"/>
          <w:szCs w:val="24"/>
          <w:u w:val="single"/>
        </w:rPr>
      </w:pPr>
      <w:r>
        <w:rPr>
          <w:rFonts w:hint="eastAsia" w:ascii="宋体" w:hAnsi="宋体"/>
          <w:b/>
          <w:i/>
          <w:iCs/>
          <w:color w:val="000000"/>
          <w:sz w:val="24"/>
          <w:szCs w:val="24"/>
          <w:u w:val="single"/>
          <w:lang w:val="en-US" w:eastAsia="zh-CN"/>
        </w:rPr>
        <w:t xml:space="preserve">17</w:t>
      </w:r>
      <w:r>
        <w:rPr>
          <w:rFonts w:hint="eastAsia" w:ascii="宋体" w:hAnsi="宋体"/>
          <w:b/>
          <w:i/>
          <w:iCs/>
          <w:color w:val="000000"/>
          <w:sz w:val="24"/>
          <w:szCs w:val="24"/>
          <w:u w:val="single"/>
        </w:rPr>
        <w:t xml:space="preserve">、递补机制：</w:t>
      </w:r>
      <w:r/>
    </w:p>
    <w:p>
      <w:pPr>
        <w:ind w:left="360" w:firstLine="480"/>
        <w:spacing w:line="440" w:lineRule="exact"/>
        <w:rPr>
          <w:rFonts w:ascii="宋体" w:hAnsi="宋体"/>
          <w:b/>
          <w:i/>
          <w:iCs/>
          <w:color w:val="000000"/>
          <w:sz w:val="24"/>
          <w:szCs w:val="24"/>
          <w:u w:val="single"/>
        </w:rPr>
      </w:pPr>
      <w:r>
        <w:rPr>
          <w:rFonts w:hint="eastAsia" w:ascii="宋体" w:hAnsi="宋体"/>
          <w:b/>
          <w:i/>
          <w:iCs/>
          <w:color w:val="000000"/>
          <w:sz w:val="24"/>
          <w:szCs w:val="24"/>
          <w:u w:val="single"/>
        </w:rPr>
        <w:t xml:space="preserve">①合同期内连续两次街道考评月度考核低于75分或合同期内累计三次街道考评月度考核低于75分，则采购人有权解除合同，并上报上级行业管理部门备案。</w:t>
      </w:r>
      <w:r/>
    </w:p>
    <w:p>
      <w:pPr>
        <w:ind w:left="360" w:firstLine="480"/>
        <w:spacing w:line="440" w:lineRule="exact"/>
        <w:rPr>
          <w:rFonts w:ascii="宋体" w:hAnsi="宋体"/>
          <w:b/>
          <w:i/>
          <w:iCs/>
          <w:color w:val="000000"/>
          <w:sz w:val="24"/>
          <w:szCs w:val="24"/>
          <w:u w:val="single"/>
        </w:rPr>
      </w:pPr>
      <w:r>
        <w:rPr>
          <w:rFonts w:hint="eastAsia" w:ascii="宋体" w:hAnsi="宋体"/>
          <w:b/>
          <w:i/>
          <w:iCs/>
          <w:color w:val="000000"/>
          <w:sz w:val="24"/>
          <w:szCs w:val="24"/>
          <w:u w:val="single"/>
          <w:lang w:val="en-US" w:eastAsia="zh-CN"/>
        </w:rPr>
        <w:t xml:space="preserve">②</w:t>
      </w:r>
      <w:r>
        <w:rPr>
          <w:rFonts w:hint="eastAsia" w:ascii="宋体" w:hAnsi="宋体"/>
          <w:b/>
          <w:i/>
          <w:iCs/>
          <w:color w:val="000000"/>
          <w:sz w:val="24"/>
          <w:szCs w:val="24"/>
          <w:u w:val="single"/>
        </w:rPr>
        <w:t xml:space="preserve">本次招标设立第二候选人（按照综合得分排名类推），当出现上述解除合同情形的，由第二候选人递补承担剩余服务期工作内容。</w:t>
      </w:r>
      <w:r/>
    </w:p>
    <w:p>
      <w:pPr>
        <w:spacing w:line="440" w:lineRule="exact"/>
        <w:rPr>
          <w:b/>
          <w:bCs/>
          <w:color w:val="000000"/>
          <w:sz w:val="24"/>
        </w:rPr>
      </w:pPr>
      <w:r>
        <w:rPr>
          <w:rFonts w:hint="eastAsia"/>
          <w:b/>
          <w:bCs/>
          <w:color w:val="000000"/>
          <w:sz w:val="24"/>
        </w:rPr>
        <w:t xml:space="preserve">（五）绿地养护技术要求：</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1、常熟市公共绿地养护要求（详见附件</w:t>
      </w:r>
      <w:r>
        <w:rPr>
          <w:rFonts w:hint="eastAsia" w:ascii="宋体" w:hAnsi="宋体"/>
          <w:color w:val="000000"/>
          <w:sz w:val="24"/>
          <w:szCs w:val="24"/>
          <w:highlight w:val="none"/>
          <w:lang w:val="en-US" w:eastAsia="zh-CN"/>
        </w:rPr>
        <w:t xml:space="preserve">①</w:t>
      </w:r>
      <w:r>
        <w:rPr>
          <w:rFonts w:hint="eastAsia" w:ascii="宋体" w:hAnsi="宋体"/>
          <w:color w:val="000000"/>
          <w:sz w:val="24"/>
          <w:szCs w:val="24"/>
          <w:highlight w:val="none"/>
        </w:rPr>
        <w:t xml:space="preserve">）</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2、常熟市三环路外绿化属地养护考核办法（修订）（详见附件</w:t>
      </w:r>
      <w:r>
        <w:rPr>
          <w:rFonts w:hint="eastAsia" w:ascii="宋体" w:hAnsi="宋体"/>
          <w:color w:val="000000"/>
          <w:sz w:val="24"/>
          <w:szCs w:val="24"/>
          <w:highlight w:val="none"/>
          <w:lang w:val="en-US" w:eastAsia="zh-CN"/>
        </w:rPr>
        <w:t xml:space="preserve">②</w:t>
      </w:r>
      <w:r>
        <w:rPr>
          <w:rFonts w:hint="eastAsia" w:ascii="宋体" w:hAnsi="宋体"/>
          <w:color w:val="000000"/>
          <w:sz w:val="24"/>
          <w:szCs w:val="24"/>
          <w:highlight w:val="none"/>
        </w:rPr>
        <w:t xml:space="preserve">）</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3、常熟市三环路外绿化属地养护评分细则（修订）（详见附件</w:t>
      </w:r>
      <w:r>
        <w:rPr>
          <w:rFonts w:hint="eastAsia" w:ascii="宋体" w:hAnsi="宋体"/>
          <w:color w:val="000000"/>
          <w:sz w:val="24"/>
          <w:szCs w:val="24"/>
          <w:highlight w:val="none"/>
          <w:lang w:val="en-US" w:eastAsia="zh-CN"/>
        </w:rPr>
        <w:t xml:space="preserve">③</w:t>
      </w:r>
      <w:r>
        <w:rPr>
          <w:rFonts w:hint="eastAsia" w:ascii="宋体" w:hAnsi="宋体"/>
          <w:color w:val="000000"/>
          <w:sz w:val="24"/>
          <w:szCs w:val="24"/>
          <w:highlight w:val="none"/>
        </w:rPr>
        <w:t xml:space="preserve">）</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4、常熟市绿地养护质量标准（详见附件</w:t>
      </w:r>
      <w:r>
        <w:rPr>
          <w:rFonts w:hint="eastAsia" w:ascii="宋体" w:hAnsi="宋体"/>
          <w:color w:val="000000"/>
          <w:sz w:val="24"/>
          <w:szCs w:val="24"/>
          <w:highlight w:val="none"/>
          <w:lang w:val="en-US" w:eastAsia="zh-CN"/>
        </w:rPr>
        <w:t xml:space="preserve">④</w:t>
      </w:r>
      <w:r>
        <w:rPr>
          <w:rFonts w:hint="eastAsia" w:ascii="宋体" w:hAnsi="宋体"/>
          <w:color w:val="000000"/>
          <w:sz w:val="24"/>
          <w:szCs w:val="24"/>
          <w:highlight w:val="none"/>
        </w:rPr>
        <w:t xml:space="preserve">）</w:t>
      </w:r>
      <w:r/>
    </w:p>
    <w:p>
      <w:pPr>
        <w:ind w:firstLine="480"/>
        <w:spacing w:line="440" w:lineRule="exact"/>
        <w:rPr>
          <w:rFonts w:hint="eastAsia" w:ascii="宋体" w:hAnsi="宋体" w:eastAsia="宋体"/>
          <w:strike w:val="0"/>
          <w:color w:val="000000"/>
          <w:sz w:val="24"/>
          <w:szCs w:val="24"/>
          <w:highlight w:val="none"/>
          <w:lang w:eastAsia="zh-CN"/>
        </w:rPr>
      </w:pPr>
      <w:r>
        <w:rPr>
          <w:rFonts w:hint="eastAsia" w:ascii="宋体" w:hAnsi="宋体"/>
          <w:strike w:val="0"/>
          <w:color w:val="000000"/>
          <w:sz w:val="24"/>
          <w:szCs w:val="24"/>
          <w:highlight w:val="none"/>
        </w:rPr>
        <w:t xml:space="preserve">5、莫城街道绿化养护考核</w:t>
      </w:r>
      <w:r>
        <w:rPr>
          <w:rFonts w:hint="eastAsia" w:ascii="宋体" w:hAnsi="宋体"/>
          <w:strike w:val="0"/>
          <w:color w:val="000000"/>
          <w:sz w:val="24"/>
          <w:szCs w:val="24"/>
          <w:highlight w:val="none"/>
          <w:lang w:val="en-US" w:eastAsia="zh-CN"/>
        </w:rPr>
        <w:t xml:space="preserve">评分细则</w:t>
      </w:r>
      <w:r>
        <w:rPr>
          <w:rFonts w:hint="eastAsia" w:ascii="宋体" w:hAnsi="宋体"/>
          <w:strike w:val="0"/>
          <w:color w:val="000000"/>
          <w:sz w:val="24"/>
          <w:szCs w:val="24"/>
          <w:highlight w:val="none"/>
          <w:lang w:eastAsia="zh-CN"/>
        </w:rPr>
        <w:t xml:space="preserve">（</w:t>
      </w:r>
      <w:r>
        <w:rPr>
          <w:rFonts w:hint="eastAsia" w:ascii="宋体" w:hAnsi="宋体"/>
          <w:strike w:val="0"/>
          <w:color w:val="000000"/>
          <w:sz w:val="24"/>
          <w:szCs w:val="24"/>
          <w:highlight w:val="none"/>
          <w:lang w:val="en-US" w:eastAsia="zh-CN"/>
        </w:rPr>
        <w:t xml:space="preserve">参考</w:t>
      </w:r>
      <w:r>
        <w:rPr>
          <w:rFonts w:hint="eastAsia" w:ascii="宋体" w:hAnsi="宋体"/>
          <w:strike w:val="0"/>
          <w:color w:val="000000"/>
          <w:sz w:val="24"/>
          <w:szCs w:val="24"/>
          <w:highlight w:val="none"/>
          <w:lang w:eastAsia="zh-CN"/>
        </w:rPr>
        <w:t xml:space="preserve">）（</w:t>
      </w:r>
      <w:r>
        <w:rPr>
          <w:rFonts w:hint="eastAsia" w:ascii="宋体" w:hAnsi="宋体"/>
          <w:strike w:val="0"/>
          <w:color w:val="000000"/>
          <w:sz w:val="24"/>
          <w:szCs w:val="24"/>
          <w:highlight w:val="none"/>
          <w:lang w:val="en-US" w:eastAsia="zh-CN"/>
        </w:rPr>
        <w:t xml:space="preserve">详见附件⑤</w:t>
      </w:r>
      <w:r>
        <w:rPr>
          <w:rFonts w:hint="eastAsia" w:ascii="宋体" w:hAnsi="宋体"/>
          <w:strike w:val="0"/>
          <w:color w:val="000000"/>
          <w:sz w:val="24"/>
          <w:szCs w:val="24"/>
          <w:highlight w:val="none"/>
          <w:lang w:eastAsia="zh-CN"/>
        </w:rPr>
        <w:t xml:space="preserve">）</w:t>
      </w:r>
      <w:r/>
    </w:p>
    <w:p>
      <w:pPr>
        <w:spacing w:line="450" w:lineRule="exact"/>
        <w:rPr>
          <w:b/>
          <w:bCs/>
          <w:color w:val="000000"/>
          <w:sz w:val="28"/>
          <w:szCs w:val="28"/>
        </w:rPr>
      </w:pPr>
      <w:r>
        <w:rPr>
          <w:rFonts w:hint="eastAsia"/>
          <w:b/>
          <w:bCs/>
          <w:color w:val="000000"/>
          <w:sz w:val="28"/>
          <w:szCs w:val="28"/>
        </w:rPr>
        <w:t xml:space="preserve">四、报价要求：</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1、投标人须对本项目中包含的所有服务内容进行报价，不得只对其中的部分内容进行报价，否则将作无效投标处理。</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绿地养护服务费用包括养护期限内完成该项目工作所需的所有费用，包括人工费（包括人员工资、福利费、加班费、人身意外伤害险等）、设备、养护肥药、易耗品、作业服装、工具费、税费及政策性文件规定和合同所包含的所有风险、责任等各项应有费用。（项目实施过程中采购人承担的项目及费用除外）</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3、投标人在投标报价时应考虑各种风险因素，相关风险因素费用包含在投标报价中。风险因素包括但不限于遇活动、检查、燃油价格调整、税费调整等</w:t>
      </w:r>
      <w:r/>
    </w:p>
    <w:p>
      <w:pPr>
        <w:spacing w:line="450" w:lineRule="exact"/>
        <w:rPr>
          <w:b/>
          <w:bCs/>
          <w:color w:val="000000"/>
          <w:sz w:val="28"/>
          <w:szCs w:val="28"/>
        </w:rPr>
      </w:pPr>
      <w:r>
        <w:rPr>
          <w:rFonts w:hint="eastAsia"/>
          <w:b/>
          <w:bCs/>
          <w:color w:val="000000"/>
          <w:sz w:val="28"/>
          <w:szCs w:val="28"/>
        </w:rPr>
        <w:t xml:space="preserve">五、其他要求：</w:t>
      </w:r>
      <w:r/>
    </w:p>
    <w:p>
      <w:pPr>
        <w:ind w:firstLine="482"/>
        <w:spacing w:line="440" w:lineRule="exact"/>
        <w:rPr>
          <w:rFonts w:ascii="宋体" w:hAnsi="宋体"/>
          <w:b/>
          <w:bCs/>
          <w:color w:val="000000"/>
          <w:sz w:val="24"/>
          <w:szCs w:val="24"/>
        </w:rPr>
      </w:pPr>
      <w:r>
        <w:rPr>
          <w:rFonts w:hint="eastAsia" w:ascii="宋体" w:hAnsi="宋体"/>
          <w:b/>
          <w:bCs/>
          <w:color w:val="000000"/>
          <w:sz w:val="24"/>
          <w:szCs w:val="24"/>
        </w:rPr>
        <w:t xml:space="preserve">1</w:t>
      </w:r>
      <w:r>
        <w:rPr>
          <w:rFonts w:ascii="宋体" w:hAnsi="宋体"/>
          <w:b/>
          <w:bCs/>
          <w:color w:val="000000"/>
          <w:sz w:val="24"/>
          <w:szCs w:val="24"/>
        </w:rPr>
        <w:t xml:space="preserve">、实质性</w:t>
      </w:r>
      <w:r>
        <w:rPr>
          <w:rFonts w:hint="eastAsia" w:ascii="宋体" w:hAnsi="宋体"/>
          <w:b/>
          <w:bCs/>
          <w:color w:val="000000"/>
          <w:sz w:val="24"/>
          <w:szCs w:val="24"/>
        </w:rPr>
        <w:t xml:space="preserve">要求：</w:t>
      </w:r>
      <w:r>
        <w:rPr>
          <w:rFonts w:hint="eastAsia" w:ascii="宋体" w:hAnsi="宋体" w:cs="宋体"/>
          <w:b/>
          <w:bCs/>
          <w:color w:val="000000" w:themeColor="text1"/>
          <w:sz w:val="24"/>
          <w:szCs w:val="24"/>
          <w14:textFill>
            <w14:solidFill>
              <w14:schemeClr w14:val="tx1"/>
            </w14:solidFill>
          </w14:textFill>
        </w:rPr>
        <w:t xml:space="preserve">“第四章  采购需求”中，斜体且有下划线部分为实质性要求，其余的均为常规要求，</w:t>
      </w:r>
      <w:r>
        <w:rPr>
          <w:rFonts w:hint="eastAsia" w:ascii="Times New Roman" w:hAnsi="Times New Roman"/>
          <w:b/>
          <w:bCs/>
          <w:color w:val="000000" w:themeColor="text1"/>
          <w:sz w:val="24"/>
          <w:szCs w:val="24"/>
          <w14:textFill>
            <w14:solidFill>
              <w14:schemeClr w14:val="tx1"/>
            </w14:solidFill>
          </w14:textFill>
        </w:rPr>
        <w:t xml:space="preserve">任何一项</w:t>
      </w:r>
      <w:r>
        <w:rPr>
          <w:rFonts w:hint="eastAsia"/>
          <w:b/>
          <w:bCs/>
          <w:color w:val="000000" w:themeColor="text1"/>
          <w:sz w:val="24"/>
          <w14:textFill>
            <w14:solidFill>
              <w14:schemeClr w14:val="tx1"/>
            </w14:solidFill>
          </w14:textFill>
        </w:rPr>
        <w:t xml:space="preserve">实质性要求</w:t>
      </w:r>
      <w:r>
        <w:rPr>
          <w:rFonts w:hint="eastAsia" w:ascii="Times New Roman" w:hAnsi="Times New Roman"/>
          <w:b/>
          <w:bCs/>
          <w:color w:val="000000" w:themeColor="text1"/>
          <w:sz w:val="24"/>
          <w:szCs w:val="24"/>
          <w14:textFill>
            <w14:solidFill>
              <w14:schemeClr w14:val="tx1"/>
            </w14:solidFill>
          </w14:textFill>
        </w:rPr>
        <w:t xml:space="preserve">未满足的，</w:t>
      </w:r>
      <w:r>
        <w:rPr>
          <w:rFonts w:hint="eastAsia" w:ascii="Times New Roman" w:hAnsi="Times New Roman"/>
          <w:b/>
          <w:bCs/>
          <w:color w:val="000000" w:themeColor="text1"/>
          <w:sz w:val="24"/>
          <w14:textFill>
            <w14:solidFill>
              <w14:schemeClr w14:val="tx1"/>
            </w14:solidFill>
          </w14:textFill>
        </w:rPr>
        <w:t xml:space="preserve">将作无效投标处理</w:t>
      </w:r>
      <w:r>
        <w:rPr>
          <w:rFonts w:hint="eastAsia" w:ascii="宋体" w:hAnsi="宋体"/>
          <w:b/>
          <w:bCs/>
          <w:color w:val="000000"/>
          <w:sz w:val="24"/>
          <w:szCs w:val="24"/>
        </w:rPr>
        <w:t xml:space="preserve">。</w:t>
      </w:r>
      <w:r/>
    </w:p>
    <w:p>
      <w:pPr>
        <w:ind w:firstLine="480"/>
        <w:spacing w:line="440" w:lineRule="exact"/>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w:t>
      </w:r>
      <w:r>
        <w:rPr>
          <w:rFonts w:ascii="宋体" w:hAnsi="宋体"/>
          <w:color w:val="000000"/>
          <w:sz w:val="24"/>
          <w:szCs w:val="24"/>
        </w:rPr>
        <w:t xml:space="preserve">为保证项目顺利开展，投标人应针对本项目制订详细的</w:t>
      </w:r>
      <w:r>
        <w:rPr>
          <w:rFonts w:hint="eastAsia" w:ascii="宋体" w:hAnsi="宋体"/>
          <w:color w:val="000000"/>
          <w:sz w:val="24"/>
          <w:szCs w:val="24"/>
        </w:rPr>
        <w:t xml:space="preserve">实施方案、运行管理</w:t>
      </w:r>
      <w:r>
        <w:rPr>
          <w:rFonts w:ascii="宋体" w:hAnsi="宋体"/>
          <w:color w:val="000000"/>
          <w:sz w:val="24"/>
          <w:szCs w:val="24"/>
        </w:rPr>
        <w:t xml:space="preserve">方案</w:t>
      </w:r>
      <w:r>
        <w:rPr>
          <w:rFonts w:hint="eastAsia" w:ascii="宋体" w:hAnsi="宋体"/>
          <w:color w:val="000000"/>
          <w:sz w:val="24"/>
          <w:szCs w:val="24"/>
        </w:rPr>
        <w:t xml:space="preserve">、安全</w:t>
      </w:r>
      <w:r>
        <w:rPr>
          <w:rFonts w:ascii="宋体" w:hAnsi="宋体"/>
          <w:color w:val="000000"/>
          <w:sz w:val="24"/>
          <w:szCs w:val="24"/>
        </w:rPr>
        <w:t xml:space="preserve">与环境保护</w:t>
      </w:r>
      <w:r>
        <w:rPr>
          <w:rFonts w:hint="eastAsia" w:ascii="宋体" w:hAnsi="宋体"/>
          <w:color w:val="000000"/>
          <w:sz w:val="24"/>
          <w:szCs w:val="24"/>
        </w:rPr>
        <w:t xml:space="preserve">方案</w:t>
      </w:r>
      <w:r>
        <w:rPr>
          <w:rFonts w:ascii="宋体" w:hAnsi="宋体"/>
          <w:color w:val="000000"/>
          <w:sz w:val="24"/>
          <w:szCs w:val="24"/>
        </w:rPr>
        <w:t xml:space="preserve">及保证措施</w:t>
      </w:r>
      <w:r>
        <w:rPr>
          <w:rFonts w:hint="eastAsia" w:ascii="宋体" w:hAnsi="宋体"/>
          <w:color w:val="000000"/>
          <w:sz w:val="24"/>
          <w:szCs w:val="24"/>
        </w:rPr>
        <w:t xml:space="preserve">、应急处置方案、管理技术档案的内容和措施</w:t>
      </w:r>
      <w:r>
        <w:rPr>
          <w:rFonts w:ascii="宋体" w:hAnsi="宋体"/>
          <w:color w:val="000000"/>
          <w:sz w:val="24"/>
          <w:szCs w:val="24"/>
        </w:rPr>
        <w:t xml:space="preserve">。</w:t>
      </w:r>
      <w:r/>
    </w:p>
    <w:p>
      <w:pPr>
        <w:ind w:firstLine="601"/>
        <w:jc w:val="center"/>
        <w:keepLines w:val="0"/>
        <w:keepNext w:val="0"/>
        <w:pageBreakBefore w:val="0"/>
        <w:spacing w:line="360" w:lineRule="auto"/>
        <w:widowControl w:val="off"/>
        <w:rPr>
          <w:rFonts w:hint="eastAsia" w:ascii="宋体" w:hAnsi="宋体" w:eastAsia="宋体" w:cs="Times New Roman"/>
          <w:b/>
          <w:color w:val="000000"/>
          <w:sz w:val="36"/>
          <w:szCs w:val="36"/>
          <w:lang w:val="en-US" w:eastAsia="zh-CN"/>
        </w:rPr>
        <w:outlineLvl w:val="1"/>
      </w:pPr>
      <w:r>
        <w:rPr>
          <w:rFonts w:ascii="宋体" w:hAnsi="宋体" w:cs="宋体"/>
          <w:b/>
          <w:bCs/>
          <w:color w:val="000000"/>
          <w:sz w:val="24"/>
          <w:szCs w:val="24"/>
        </w:rPr>
        <w:br w:type="page" w:clear="all"/>
      </w:r>
      <w:bookmarkStart w:id="201" w:name="_Toc24391"/>
      <w:r>
        <w:rPr>
          <w:rFonts w:hint="eastAsia" w:ascii="宋体" w:hAnsi="宋体" w:eastAsia="宋体" w:cs="Times New Roman"/>
          <w:b/>
          <w:color w:val="000000"/>
          <w:sz w:val="36"/>
          <w:szCs w:val="36"/>
          <w:lang w:val="en-US" w:eastAsia="zh-CN"/>
        </w:rPr>
        <w:t xml:space="preserve">附件①常熟市公共绿地养护要求</w:t>
      </w:r>
      <w:bookmarkEnd w:id="201"/>
      <w:r/>
      <w:r/>
    </w:p>
    <w:p>
      <w:pPr>
        <w:spacing w:line="440" w:lineRule="exact"/>
        <w:rPr>
          <w:rFonts w:ascii="宋体" w:hAnsi="宋体"/>
          <w:sz w:val="24"/>
          <w:szCs w:val="24"/>
        </w:rPr>
      </w:pPr>
      <w:r>
        <w:rPr>
          <w:rFonts w:ascii="宋体" w:hAnsi="宋体"/>
          <w:b/>
          <w:sz w:val="24"/>
          <w:szCs w:val="24"/>
        </w:rPr>
        <w:t xml:space="preserve">一、总体要求</w:t>
      </w:r>
      <w:r/>
    </w:p>
    <w:p>
      <w:pPr>
        <w:ind w:firstLine="480"/>
        <w:spacing w:line="440" w:lineRule="exact"/>
        <w:rPr>
          <w:rFonts w:ascii="宋体" w:hAnsi="宋体"/>
          <w:sz w:val="24"/>
          <w:szCs w:val="24"/>
        </w:rPr>
      </w:pPr>
      <w:r>
        <w:rPr>
          <w:rFonts w:ascii="宋体" w:hAnsi="宋体"/>
          <w:sz w:val="24"/>
          <w:szCs w:val="24"/>
        </w:rPr>
        <w:t xml:space="preserve">1、绿地养护必须由具有一定养护经验的专业队伍来承担。</w:t>
      </w:r>
      <w:r/>
    </w:p>
    <w:p>
      <w:pPr>
        <w:ind w:firstLine="480"/>
        <w:spacing w:line="440" w:lineRule="exact"/>
        <w:rPr>
          <w:rFonts w:ascii="宋体" w:hAnsi="宋体"/>
          <w:sz w:val="24"/>
          <w:szCs w:val="24"/>
        </w:rPr>
      </w:pPr>
      <w:r>
        <w:rPr>
          <w:rFonts w:ascii="宋体" w:hAnsi="宋体"/>
          <w:sz w:val="24"/>
          <w:szCs w:val="24"/>
        </w:rPr>
        <w:t xml:space="preserve">2、绿地养护按照《江苏省园林绿地植物技术规定（试行）》、《常熟市绿地养护质量标准》等规定执行。</w:t>
      </w:r>
      <w:r/>
    </w:p>
    <w:p>
      <w:pPr>
        <w:ind w:firstLine="480"/>
        <w:spacing w:line="440" w:lineRule="exact"/>
        <w:rPr>
          <w:rFonts w:ascii="宋体" w:hAnsi="宋体"/>
          <w:sz w:val="24"/>
          <w:szCs w:val="24"/>
        </w:rPr>
      </w:pPr>
      <w:r>
        <w:rPr>
          <w:rFonts w:ascii="宋体" w:hAnsi="宋体"/>
          <w:sz w:val="24"/>
          <w:szCs w:val="24"/>
        </w:rPr>
        <w:t xml:space="preserve">3、养护单位应具备专业养护管理人员和专业技术工人进行作业，作业过程中无违章操作现象，无安全事故。</w:t>
      </w:r>
      <w:r/>
    </w:p>
    <w:p>
      <w:pPr>
        <w:ind w:firstLine="480"/>
        <w:spacing w:line="440" w:lineRule="exact"/>
        <w:rPr>
          <w:rFonts w:ascii="宋体" w:hAnsi="宋体"/>
          <w:sz w:val="24"/>
          <w:szCs w:val="24"/>
        </w:rPr>
      </w:pPr>
      <w:r>
        <w:rPr>
          <w:rFonts w:ascii="宋体" w:hAnsi="宋体"/>
          <w:sz w:val="24"/>
          <w:szCs w:val="24"/>
        </w:rPr>
        <w:t xml:space="preserve">4、养护单位所提供的植物材料、生产资料、机械设备和工具必须满足绿地养护的要求，并对环境无污染。</w:t>
      </w:r>
      <w:r/>
    </w:p>
    <w:p>
      <w:pPr>
        <w:ind w:firstLine="480"/>
        <w:spacing w:line="440" w:lineRule="exact"/>
        <w:rPr>
          <w:rFonts w:ascii="宋体" w:hAnsi="宋体"/>
          <w:sz w:val="24"/>
          <w:szCs w:val="24"/>
        </w:rPr>
      </w:pPr>
      <w:r>
        <w:rPr>
          <w:rFonts w:ascii="宋体" w:hAnsi="宋体"/>
          <w:sz w:val="24"/>
          <w:szCs w:val="24"/>
        </w:rPr>
        <w:t xml:space="preserve">5、养护后的绿地应符合植物生长需求，设施完善，环境整洁美观。</w:t>
      </w:r>
      <w:r/>
    </w:p>
    <w:p>
      <w:pPr>
        <w:ind w:firstLine="472"/>
        <w:spacing w:line="440" w:lineRule="exact"/>
        <w:rPr>
          <w:rFonts w:ascii="宋体" w:hAnsi="宋体"/>
          <w:sz w:val="24"/>
          <w:szCs w:val="24"/>
        </w:rPr>
      </w:pPr>
      <w:r>
        <w:rPr>
          <w:rFonts w:ascii="宋体" w:hAnsi="宋体"/>
          <w:b/>
          <w:sz w:val="24"/>
          <w:szCs w:val="24"/>
        </w:rPr>
        <w:t xml:space="preserve">二、养护要求</w:t>
      </w:r>
      <w:r/>
    </w:p>
    <w:p>
      <w:pPr>
        <w:ind w:firstLine="570"/>
        <w:spacing w:line="440" w:lineRule="exact"/>
        <w:rPr>
          <w:rFonts w:ascii="宋体" w:hAnsi="宋体"/>
          <w:sz w:val="24"/>
          <w:szCs w:val="24"/>
        </w:rPr>
      </w:pPr>
      <w:r>
        <w:rPr>
          <w:rFonts w:ascii="宋体" w:hAnsi="宋体"/>
          <w:sz w:val="24"/>
          <w:szCs w:val="24"/>
        </w:rPr>
        <w:t xml:space="preserve">（一）园林植物养护</w:t>
      </w:r>
      <w:r/>
    </w:p>
    <w:p>
      <w:pPr>
        <w:ind w:firstLine="570"/>
        <w:spacing w:line="440" w:lineRule="exact"/>
        <w:rPr>
          <w:rFonts w:ascii="宋体" w:hAnsi="宋体"/>
          <w:sz w:val="24"/>
          <w:szCs w:val="24"/>
        </w:rPr>
      </w:pPr>
      <w:r>
        <w:rPr>
          <w:rFonts w:ascii="宋体" w:hAnsi="宋体"/>
          <w:sz w:val="24"/>
          <w:szCs w:val="24"/>
        </w:rPr>
        <w:t xml:space="preserve">1、修剪</w:t>
      </w:r>
      <w:r/>
    </w:p>
    <w:p>
      <w:pPr>
        <w:ind w:firstLine="570"/>
        <w:spacing w:line="440" w:lineRule="exact"/>
        <w:rPr>
          <w:rFonts w:ascii="宋体" w:hAnsi="宋体"/>
          <w:sz w:val="24"/>
          <w:szCs w:val="24"/>
        </w:rPr>
      </w:pPr>
      <w:r>
        <w:rPr>
          <w:rFonts w:ascii="宋体" w:hAnsi="宋体"/>
          <w:sz w:val="24"/>
          <w:szCs w:val="24"/>
        </w:rPr>
        <w:t xml:space="preserve">所有乔灌木冬季修剪在植物休眠期结束前完成。</w:t>
      </w:r>
      <w:r/>
    </w:p>
    <w:p>
      <w:pPr>
        <w:ind w:firstLine="570"/>
        <w:spacing w:line="440" w:lineRule="exact"/>
        <w:rPr>
          <w:rFonts w:ascii="宋体" w:hAnsi="宋体"/>
          <w:sz w:val="24"/>
          <w:szCs w:val="24"/>
        </w:rPr>
      </w:pPr>
      <w:r>
        <w:rPr>
          <w:rFonts w:ascii="宋体" w:hAnsi="宋体"/>
          <w:sz w:val="24"/>
          <w:szCs w:val="24"/>
        </w:rPr>
        <w:t xml:space="preserve">园林乔木主要修剪过密枝、内膛枝、徒长枝、病虫枝等，无枯枝断枝；要求树型优美，及时抹芽，芽长不超过20厘米。</w:t>
      </w:r>
      <w:r/>
    </w:p>
    <w:p>
      <w:pPr>
        <w:ind w:left="-27" w:firstLine="480"/>
        <w:spacing w:line="440" w:lineRule="exact"/>
        <w:rPr>
          <w:rFonts w:ascii="宋体" w:hAnsi="宋体"/>
          <w:sz w:val="24"/>
          <w:szCs w:val="24"/>
        </w:rPr>
      </w:pPr>
      <w:r>
        <w:rPr>
          <w:rFonts w:ascii="宋体" w:hAnsi="宋体"/>
          <w:sz w:val="24"/>
          <w:szCs w:val="24"/>
        </w:rPr>
        <w:t xml:space="preserve">花灌木秋冬季修剪遵循“先上后下，先内后外，去弱留强，去老留新”的原则进行修剪，及时抹芽，芽长不超过20厘米。</w:t>
      </w:r>
      <w:r/>
    </w:p>
    <w:p>
      <w:pPr>
        <w:ind w:left="-27" w:firstLine="480"/>
        <w:spacing w:line="440" w:lineRule="exact"/>
        <w:rPr>
          <w:rFonts w:ascii="宋体" w:hAnsi="宋体"/>
          <w:sz w:val="24"/>
          <w:szCs w:val="24"/>
        </w:rPr>
      </w:pPr>
      <w:r>
        <w:rPr>
          <w:rFonts w:ascii="宋体" w:hAnsi="宋体"/>
          <w:sz w:val="24"/>
          <w:szCs w:val="24"/>
        </w:rPr>
        <w:t xml:space="preserve">绿篱、地被要及时修剪，促其分枝，保持全株枝叶丰满。球形灌木应常年保持形态完整，色块灌木应保持一定高度，常年保持完整，曲线清晰流畅，无缺株、无空洞。</w:t>
      </w:r>
      <w:r/>
    </w:p>
    <w:p>
      <w:pPr>
        <w:ind w:left="-27" w:firstLine="480"/>
        <w:spacing w:line="440" w:lineRule="exact"/>
        <w:rPr>
          <w:rFonts w:ascii="宋体" w:hAnsi="宋体"/>
          <w:sz w:val="24"/>
          <w:szCs w:val="24"/>
        </w:rPr>
      </w:pPr>
      <w:r>
        <w:rPr>
          <w:rFonts w:ascii="宋体" w:hAnsi="宋体"/>
          <w:sz w:val="24"/>
          <w:szCs w:val="24"/>
        </w:rPr>
        <w:t xml:space="preserve">草坪在生长季节，应采用条纹状交叉修剪方式，按三分之一原则适时进行修剪，修剪后高度宜为5－7公分，年修剪次数：</w:t>
      </w:r>
      <w:r>
        <w:rPr>
          <w:rFonts w:ascii="宋体" w:hAnsi="宋体"/>
          <w:sz w:val="24"/>
          <w:szCs w:val="24"/>
          <w:u w:val="single"/>
        </w:rPr>
        <w:t xml:space="preserve">冷季型约为25次 (12－3月份，2 次／月；春季4－6月份，3次／月；7－8月份，1次／月； 9－11月份，2次／月</w:t>
      </w:r>
      <w:r>
        <w:rPr>
          <w:rFonts w:ascii="宋体" w:hAnsi="宋体"/>
          <w:sz w:val="24"/>
          <w:szCs w:val="24"/>
        </w:rPr>
        <w:t xml:space="preserve">) ，暖季型约为12次，即1次/月。</w:t>
      </w:r>
      <w:r/>
    </w:p>
    <w:p>
      <w:pPr>
        <w:spacing w:line="440" w:lineRule="exact"/>
        <w:rPr>
          <w:rFonts w:ascii="宋体" w:hAnsi="宋体"/>
          <w:sz w:val="24"/>
          <w:szCs w:val="24"/>
        </w:rPr>
      </w:pPr>
      <w:r>
        <w:rPr>
          <w:rFonts w:ascii="宋体" w:hAnsi="宋体"/>
          <w:sz w:val="24"/>
          <w:szCs w:val="24"/>
        </w:rPr>
        <w:t xml:space="preserve">    所有修剪残余物要及时清理，防止滋生病虫害，保证现场整洁。</w:t>
      </w:r>
      <w:r/>
    </w:p>
    <w:p>
      <w:pPr>
        <w:ind w:firstLine="570"/>
        <w:spacing w:line="440" w:lineRule="exact"/>
        <w:rPr>
          <w:rFonts w:ascii="宋体" w:hAnsi="宋体"/>
          <w:sz w:val="24"/>
          <w:szCs w:val="24"/>
        </w:rPr>
      </w:pPr>
      <w:r>
        <w:rPr>
          <w:rFonts w:ascii="宋体" w:hAnsi="宋体"/>
          <w:sz w:val="24"/>
          <w:szCs w:val="24"/>
        </w:rPr>
        <w:t xml:space="preserve">2、抗旱及排涝</w:t>
      </w:r>
      <w:r/>
    </w:p>
    <w:p>
      <w:pPr>
        <w:ind w:firstLine="513"/>
        <w:spacing w:line="440" w:lineRule="exact"/>
        <w:rPr>
          <w:rFonts w:ascii="宋体" w:hAnsi="宋体"/>
          <w:sz w:val="24"/>
          <w:szCs w:val="24"/>
        </w:rPr>
      </w:pPr>
      <w:r>
        <w:rPr>
          <w:rFonts w:ascii="宋体" w:hAnsi="宋体"/>
          <w:sz w:val="24"/>
          <w:szCs w:val="24"/>
        </w:rPr>
        <w:t xml:space="preserve">①植物浇水应根据不同的立地条件、季节差异和生长状况及时进行，并要浇透。</w:t>
      </w:r>
      <w:r/>
    </w:p>
    <w:p>
      <w:pPr>
        <w:ind w:firstLine="720"/>
        <w:spacing w:line="440" w:lineRule="exact"/>
        <w:rPr>
          <w:rFonts w:ascii="宋体" w:hAnsi="宋体"/>
          <w:sz w:val="24"/>
          <w:szCs w:val="24"/>
        </w:rPr>
      </w:pPr>
      <w:r>
        <w:rPr>
          <w:rFonts w:ascii="宋体" w:hAnsi="宋体"/>
          <w:sz w:val="24"/>
          <w:szCs w:val="24"/>
        </w:rPr>
        <w:t xml:space="preserve">草坪、色块浇水根据每月养护要点实施。</w:t>
      </w:r>
      <w:r/>
    </w:p>
    <w:p>
      <w:pPr>
        <w:ind w:firstLine="480"/>
        <w:spacing w:line="440" w:lineRule="exact"/>
        <w:rPr>
          <w:rFonts w:ascii="宋体" w:hAnsi="宋体"/>
          <w:sz w:val="24"/>
          <w:szCs w:val="24"/>
        </w:rPr>
      </w:pPr>
      <w:r>
        <w:rPr>
          <w:rFonts w:ascii="宋体" w:hAnsi="宋体"/>
          <w:sz w:val="24"/>
          <w:szCs w:val="24"/>
        </w:rPr>
        <w:t xml:space="preserve">②抗旱期间，各养护单位应调整工作时间，合理安排抗旱浇灌时间，每天在下午5点之后与上午10点之前浇灌绿地，保证水温不对绿地植物产生不良影响；其次，要求各养护单位在各自的重要路段节点松土打孔，以增强树木的蓄水能力，延长浇灌时间，增加浇水频次，对于部分乔灌木（名贵树木及新种植树木），视天气干旱情况和植物生长情况，在浇水的同时要注重喷雾，使绿地的局部小环境保持一定湿度。</w:t>
      </w:r>
      <w:r/>
    </w:p>
    <w:p>
      <w:pPr>
        <w:ind w:firstLine="480"/>
        <w:spacing w:line="440" w:lineRule="exact"/>
        <w:rPr>
          <w:rFonts w:ascii="宋体" w:hAnsi="宋体"/>
          <w:sz w:val="24"/>
          <w:szCs w:val="24"/>
        </w:rPr>
      </w:pPr>
      <w:r>
        <w:rPr>
          <w:rFonts w:ascii="宋体" w:hAnsi="宋体"/>
          <w:sz w:val="24"/>
          <w:szCs w:val="24"/>
        </w:rPr>
        <w:t xml:space="preserve">③植物周围雨后积水应及时排除。</w:t>
      </w:r>
      <w:r/>
    </w:p>
    <w:p>
      <w:pPr>
        <w:ind w:firstLine="720"/>
        <w:spacing w:line="440" w:lineRule="exact"/>
        <w:rPr>
          <w:rFonts w:ascii="宋体" w:hAnsi="宋体"/>
          <w:sz w:val="24"/>
          <w:szCs w:val="24"/>
        </w:rPr>
      </w:pPr>
      <w:r>
        <w:rPr>
          <w:rFonts w:ascii="宋体" w:hAnsi="宋体"/>
          <w:sz w:val="24"/>
          <w:szCs w:val="24"/>
        </w:rPr>
        <w:t xml:space="preserve"> </w:t>
      </w:r>
      <w:r/>
    </w:p>
    <w:p>
      <w:pPr>
        <w:ind w:firstLine="570"/>
        <w:spacing w:line="440" w:lineRule="exact"/>
        <w:rPr>
          <w:rFonts w:ascii="宋体" w:hAnsi="宋体"/>
          <w:sz w:val="24"/>
          <w:szCs w:val="24"/>
        </w:rPr>
      </w:pPr>
      <w:r>
        <w:rPr>
          <w:rFonts w:ascii="宋体" w:hAnsi="宋体"/>
          <w:sz w:val="24"/>
          <w:szCs w:val="24"/>
        </w:rPr>
        <w:t xml:space="preserve">3、松土、除草</w:t>
      </w:r>
      <w:r/>
    </w:p>
    <w:p>
      <w:pPr>
        <w:ind w:firstLine="480"/>
        <w:spacing w:line="440" w:lineRule="exact"/>
        <w:rPr>
          <w:rFonts w:ascii="宋体" w:hAnsi="宋体"/>
          <w:sz w:val="24"/>
          <w:szCs w:val="24"/>
        </w:rPr>
      </w:pPr>
      <w:r>
        <w:rPr>
          <w:rFonts w:ascii="宋体" w:hAnsi="宋体"/>
          <w:sz w:val="24"/>
          <w:szCs w:val="24"/>
        </w:rPr>
        <w:t xml:space="preserve">树木根部周围的土壤要保持疏松，易板结的土壤在蒸腾旺季须经常松土，松土深度以不伤根系生长为限。（树穴大小：乔木类直径为树木胸径的8-10倍；灌木、球类直径为冠幅的1/2-2/3）</w:t>
      </w:r>
      <w:r/>
    </w:p>
    <w:p>
      <w:pPr>
        <w:ind w:firstLine="480"/>
        <w:spacing w:line="440" w:lineRule="exact"/>
        <w:rPr>
          <w:rFonts w:ascii="宋体" w:hAnsi="宋体"/>
          <w:sz w:val="24"/>
          <w:szCs w:val="24"/>
        </w:rPr>
      </w:pPr>
      <w:r>
        <w:rPr>
          <w:rFonts w:ascii="宋体" w:hAnsi="宋体"/>
          <w:sz w:val="24"/>
          <w:szCs w:val="24"/>
        </w:rPr>
        <w:t xml:space="preserve">草坪内的乔灌木需做树穴且及时清除杂草。</w:t>
      </w:r>
      <w:r/>
    </w:p>
    <w:p>
      <w:pPr>
        <w:ind w:firstLine="480"/>
        <w:spacing w:line="440" w:lineRule="exact"/>
        <w:rPr>
          <w:rFonts w:ascii="宋体" w:hAnsi="宋体"/>
          <w:sz w:val="24"/>
          <w:szCs w:val="24"/>
        </w:rPr>
      </w:pPr>
      <w:r>
        <w:rPr>
          <w:rFonts w:ascii="宋体" w:hAnsi="宋体"/>
          <w:sz w:val="24"/>
          <w:szCs w:val="24"/>
        </w:rPr>
        <w:t xml:space="preserve">地被植物在未覆盖前，应及时进行松土、除草以防止根系和地下茎的损伤。</w:t>
      </w:r>
      <w:r/>
    </w:p>
    <w:p>
      <w:pPr>
        <w:ind w:firstLine="480"/>
        <w:spacing w:line="440" w:lineRule="exact"/>
        <w:rPr>
          <w:rFonts w:ascii="宋体" w:hAnsi="宋体"/>
          <w:sz w:val="24"/>
          <w:szCs w:val="24"/>
        </w:rPr>
      </w:pPr>
      <w:r>
        <w:rPr>
          <w:rFonts w:ascii="宋体" w:hAnsi="宋体"/>
          <w:sz w:val="24"/>
          <w:szCs w:val="24"/>
        </w:rPr>
        <w:t xml:space="preserve">草坪杂草应及时连根清除，做到除早、除小、除净，草坪覆盖度不少于95％，集中空秃不大于1平方米。清除方法可采用人工除草、生物除草、机械除草和化学除草，采用化学除草剂必须慎重，事前须向分管科室或绿化队汇报（经同意后才能使用除草剂），不能造成药害，严禁使用灭生性除草剂。</w:t>
      </w:r>
      <w:r/>
    </w:p>
    <w:p>
      <w:pPr>
        <w:ind w:firstLine="570"/>
        <w:spacing w:line="440" w:lineRule="exact"/>
        <w:rPr>
          <w:rFonts w:ascii="宋体" w:hAnsi="宋体"/>
          <w:sz w:val="24"/>
          <w:szCs w:val="24"/>
        </w:rPr>
      </w:pPr>
      <w:r>
        <w:rPr>
          <w:rFonts w:ascii="宋体" w:hAnsi="宋体"/>
          <w:sz w:val="24"/>
          <w:szCs w:val="24"/>
        </w:rPr>
        <w:t xml:space="preserve">4、病虫害防治</w:t>
      </w:r>
      <w:r/>
    </w:p>
    <w:p>
      <w:pPr>
        <w:ind w:firstLine="480"/>
        <w:spacing w:line="440" w:lineRule="exact"/>
        <w:rPr>
          <w:rFonts w:ascii="宋体" w:hAnsi="宋体"/>
          <w:sz w:val="24"/>
          <w:szCs w:val="24"/>
        </w:rPr>
      </w:pPr>
      <w:r>
        <w:rPr>
          <w:rFonts w:ascii="宋体" w:hAnsi="宋体"/>
          <w:sz w:val="24"/>
          <w:szCs w:val="24"/>
        </w:rPr>
        <w:t xml:space="preserve">做好植物病虫害的预测、预报，及时防治、控制，用药配比正确，安全操作。发现病虫害应在2天内治理完毕，病虫害应控制在以不影响观赏效果的范围之内，其中食叶害虫危害的叶片，每株不超过5%，刺吸性害虫危害的叶片，每株不超过10%，无蛀干性害虫的活虫、活卵。用药必须符合环保要求，使用生态农药比例不少于50%。</w:t>
      </w:r>
      <w:r/>
    </w:p>
    <w:p>
      <w:pPr>
        <w:ind w:firstLine="480"/>
        <w:spacing w:line="440" w:lineRule="exact"/>
        <w:rPr>
          <w:rFonts w:ascii="宋体" w:hAnsi="宋体"/>
          <w:sz w:val="24"/>
          <w:szCs w:val="24"/>
        </w:rPr>
      </w:pPr>
      <w:r>
        <w:rPr>
          <w:rFonts w:ascii="宋体" w:hAnsi="宋体"/>
          <w:sz w:val="24"/>
          <w:szCs w:val="24"/>
        </w:rPr>
        <w:t xml:space="preserve">喷药时间应避开高温高峰时段及阴雨天气，为防止产生抗药性，应轮流使用多种药剂。</w:t>
      </w:r>
      <w:r/>
    </w:p>
    <w:p>
      <w:pPr>
        <w:ind w:firstLine="480"/>
        <w:spacing w:line="440" w:lineRule="exact"/>
        <w:rPr>
          <w:rFonts w:ascii="宋体" w:hAnsi="宋体"/>
          <w:sz w:val="24"/>
          <w:szCs w:val="24"/>
        </w:rPr>
      </w:pPr>
      <w:r>
        <w:rPr>
          <w:rFonts w:ascii="宋体" w:hAnsi="宋体"/>
          <w:sz w:val="24"/>
          <w:szCs w:val="24"/>
        </w:rPr>
        <w:t xml:space="preserve">草坪修剪后过1－2天，应喷洒一次常规抗菌剂防止病害发生，特别是在6－8月病害多发季节。</w:t>
      </w:r>
      <w:r/>
    </w:p>
    <w:p>
      <w:pPr>
        <w:ind w:firstLine="480"/>
        <w:spacing w:line="440" w:lineRule="exact"/>
        <w:rPr>
          <w:rFonts w:ascii="宋体" w:hAnsi="宋体"/>
          <w:sz w:val="24"/>
          <w:szCs w:val="24"/>
        </w:rPr>
      </w:pPr>
      <w:r>
        <w:rPr>
          <w:rFonts w:ascii="宋体" w:hAnsi="宋体"/>
          <w:sz w:val="24"/>
          <w:szCs w:val="24"/>
        </w:rPr>
        <w:t xml:space="preserve">5、施肥</w:t>
      </w:r>
      <w:r/>
    </w:p>
    <w:p>
      <w:pPr>
        <w:ind w:firstLine="480"/>
        <w:spacing w:line="440" w:lineRule="exact"/>
        <w:rPr>
          <w:rFonts w:ascii="宋体" w:hAnsi="宋体"/>
          <w:sz w:val="24"/>
          <w:szCs w:val="24"/>
        </w:rPr>
      </w:pPr>
      <w:r>
        <w:rPr>
          <w:rFonts w:ascii="宋体" w:hAnsi="宋体"/>
          <w:sz w:val="24"/>
          <w:szCs w:val="24"/>
        </w:rPr>
        <w:t xml:space="preserve">施肥应根据不同的树种、树龄、生长势和土壤理化性质而定。树木休眠期施基肥，生长期施追肥，花灌木应在花前、花后进行施肥。</w:t>
      </w:r>
      <w:r/>
    </w:p>
    <w:p>
      <w:pPr>
        <w:ind w:firstLine="480"/>
        <w:spacing w:line="440" w:lineRule="exact"/>
        <w:rPr>
          <w:rFonts w:ascii="宋体" w:hAnsi="宋体"/>
          <w:sz w:val="24"/>
          <w:szCs w:val="24"/>
        </w:rPr>
      </w:pPr>
      <w:r>
        <w:rPr>
          <w:rFonts w:ascii="宋体" w:hAnsi="宋体"/>
          <w:sz w:val="24"/>
          <w:szCs w:val="24"/>
        </w:rPr>
        <w:t xml:space="preserve">各类绿地应以施有机肥为主，有机肥应腐熟后施用。应用微量元素和根外施肥技术，推广应用复合肥料和长效缓释肥料。具体可根据每月养护要点实施。</w:t>
      </w:r>
      <w:r/>
    </w:p>
    <w:p>
      <w:pPr>
        <w:ind w:firstLine="480"/>
        <w:spacing w:line="440" w:lineRule="exact"/>
        <w:rPr>
          <w:rFonts w:ascii="宋体" w:hAnsi="宋体"/>
          <w:sz w:val="24"/>
          <w:szCs w:val="24"/>
        </w:rPr>
      </w:pPr>
      <w:r>
        <w:rPr>
          <w:rFonts w:ascii="宋体" w:hAnsi="宋体"/>
          <w:sz w:val="24"/>
          <w:szCs w:val="24"/>
        </w:rPr>
        <w:t xml:space="preserve">草坪主要施肥时期在春秋季，施肥可采用撒施和根外追肥，每次修剪后需立即施肥，不发生明显的肥害现象。1－2月，1次，结合打孔施草坪专用有机肥，130g/m</w:t>
      </w:r>
      <w:r>
        <w:rPr>
          <w:rFonts w:ascii="宋体" w:hAnsi="宋体"/>
          <w:sz w:val="24"/>
          <w:szCs w:val="24"/>
          <w:vertAlign w:val="superscript"/>
        </w:rPr>
        <w:t xml:space="preserve">2</w:t>
      </w:r>
      <w:r>
        <w:rPr>
          <w:rFonts w:ascii="宋体" w:hAnsi="宋体"/>
          <w:sz w:val="24"/>
          <w:szCs w:val="24"/>
        </w:rPr>
        <w:t xml:space="preserve">·次；3－6月，1次／月，施复合肥（N∶P∶K＝10∶5∶5 ），20g/m</w:t>
      </w:r>
      <w:r>
        <w:rPr>
          <w:rFonts w:ascii="宋体" w:hAnsi="宋体"/>
          <w:sz w:val="24"/>
          <w:szCs w:val="24"/>
          <w:vertAlign w:val="superscript"/>
        </w:rPr>
        <w:t xml:space="preserve">2</w:t>
      </w:r>
      <w:r>
        <w:rPr>
          <w:rFonts w:ascii="宋体" w:hAnsi="宋体"/>
          <w:sz w:val="24"/>
          <w:szCs w:val="24"/>
        </w:rPr>
        <w:t xml:space="preserve">·次；7－8月基本不需施肥；9－10月，1次／月，施复合肥（N∶P∶K＝10∶6∶4 ），15g/m</w:t>
      </w:r>
      <w:r>
        <w:rPr>
          <w:rFonts w:ascii="宋体" w:hAnsi="宋体"/>
          <w:sz w:val="24"/>
          <w:szCs w:val="24"/>
          <w:vertAlign w:val="superscript"/>
        </w:rPr>
        <w:t xml:space="preserve">2</w:t>
      </w:r>
      <w:r>
        <w:rPr>
          <w:rFonts w:ascii="宋体" w:hAnsi="宋体"/>
          <w:sz w:val="24"/>
          <w:szCs w:val="24"/>
        </w:rPr>
        <w:t xml:space="preserve">·次；11－12月，1次，结合中耕施用复合肥（N∶P∶K＝5∶10∶5 ），15g/m</w:t>
      </w:r>
      <w:r>
        <w:rPr>
          <w:rFonts w:ascii="宋体" w:hAnsi="宋体"/>
          <w:sz w:val="24"/>
          <w:szCs w:val="24"/>
          <w:vertAlign w:val="superscript"/>
        </w:rPr>
        <w:t xml:space="preserve">2</w:t>
      </w:r>
      <w:r>
        <w:rPr>
          <w:rFonts w:ascii="宋体" w:hAnsi="宋体"/>
          <w:sz w:val="24"/>
          <w:szCs w:val="24"/>
        </w:rPr>
        <w:t xml:space="preserve">·次。</w:t>
      </w:r>
      <w:r/>
    </w:p>
    <w:p>
      <w:pPr>
        <w:ind w:firstLine="570"/>
        <w:spacing w:line="440" w:lineRule="exact"/>
        <w:rPr>
          <w:rFonts w:ascii="宋体" w:hAnsi="宋体"/>
          <w:sz w:val="24"/>
          <w:szCs w:val="24"/>
        </w:rPr>
      </w:pPr>
      <w:r>
        <w:rPr>
          <w:rFonts w:ascii="宋体" w:hAnsi="宋体"/>
          <w:sz w:val="24"/>
          <w:szCs w:val="24"/>
        </w:rPr>
        <w:t xml:space="preserve">6、保护</w:t>
      </w:r>
      <w:r/>
    </w:p>
    <w:p>
      <w:pPr>
        <w:ind w:firstLine="480"/>
        <w:spacing w:line="440" w:lineRule="exact"/>
        <w:rPr>
          <w:rFonts w:ascii="宋体" w:hAnsi="宋体"/>
          <w:sz w:val="24"/>
          <w:szCs w:val="24"/>
        </w:rPr>
      </w:pPr>
      <w:r>
        <w:rPr>
          <w:rFonts w:ascii="宋体" w:hAnsi="宋体"/>
          <w:sz w:val="24"/>
          <w:szCs w:val="24"/>
        </w:rPr>
        <w:t xml:space="preserve">每年的初冬，均需对行道树进行抗冻处理（根际培土、主干包扎、涂白），并在树木休眠期内，进行扶正。</w:t>
      </w:r>
      <w:r/>
    </w:p>
    <w:p>
      <w:pPr>
        <w:ind w:firstLine="480"/>
        <w:spacing w:line="440" w:lineRule="exact"/>
        <w:rPr>
          <w:rFonts w:ascii="宋体" w:hAnsi="宋体"/>
          <w:sz w:val="24"/>
          <w:szCs w:val="24"/>
        </w:rPr>
      </w:pPr>
      <w:r>
        <w:rPr>
          <w:rFonts w:ascii="宋体" w:hAnsi="宋体"/>
          <w:sz w:val="24"/>
          <w:szCs w:val="24"/>
        </w:rPr>
        <w:t xml:space="preserve">台风季节，做好高大乔木抗风暴的预防工作，根据树木的实际情况，采取立支柱、绑扎、加土、扶正、疏枝等措施。一旦风暴来临，应及时检查，发现问题，妥善处理。用于支撑、固定的材料应坚固耐用美观，并采用软性材料同植物接触。</w:t>
      </w:r>
      <w:r/>
    </w:p>
    <w:p>
      <w:pPr>
        <w:ind w:firstLine="573"/>
        <w:spacing w:line="440" w:lineRule="exact"/>
        <w:rPr>
          <w:rFonts w:ascii="宋体" w:hAnsi="宋体"/>
          <w:sz w:val="24"/>
          <w:szCs w:val="24"/>
        </w:rPr>
      </w:pPr>
      <w:r>
        <w:rPr>
          <w:rFonts w:ascii="宋体" w:hAnsi="宋体"/>
          <w:sz w:val="24"/>
          <w:szCs w:val="24"/>
        </w:rPr>
        <w:t xml:space="preserve">7、补植</w:t>
      </w:r>
      <w:r/>
    </w:p>
    <w:p>
      <w:pPr>
        <w:ind w:firstLine="480"/>
        <w:spacing w:line="440" w:lineRule="exact"/>
        <w:rPr>
          <w:rFonts w:ascii="宋体" w:hAnsi="宋体"/>
          <w:sz w:val="24"/>
          <w:szCs w:val="24"/>
        </w:rPr>
      </w:pPr>
      <w:r>
        <w:rPr>
          <w:rFonts w:ascii="宋体" w:hAnsi="宋体"/>
          <w:sz w:val="24"/>
          <w:szCs w:val="24"/>
        </w:rPr>
        <w:t xml:space="preserve">发现枯枝、死枝须24小时内处理完毕；如出现乔木死亡，及时报批、倒伐和补植，对枯死的树木应连同根部在一周内挖除，并填平挖穴，并报各队、分管科室存档，由分管科室安排补植，补植完成养护3个月后，移交养护单位养护。</w:t>
      </w:r>
      <w:r/>
    </w:p>
    <w:p>
      <w:pPr>
        <w:ind w:firstLine="480"/>
        <w:spacing w:line="440" w:lineRule="exact"/>
        <w:rPr>
          <w:rFonts w:ascii="宋体" w:hAnsi="宋体"/>
          <w:sz w:val="24"/>
          <w:szCs w:val="24"/>
        </w:rPr>
      </w:pPr>
      <w:r>
        <w:rPr>
          <w:rFonts w:ascii="宋体" w:hAnsi="宋体"/>
          <w:sz w:val="24"/>
          <w:szCs w:val="24"/>
        </w:rPr>
        <w:t xml:space="preserve">8、专项养护</w:t>
      </w:r>
      <w:r/>
    </w:p>
    <w:p>
      <w:pPr>
        <w:ind w:firstLine="480"/>
        <w:spacing w:line="440" w:lineRule="exact"/>
        <w:rPr>
          <w:rFonts w:ascii="宋体" w:hAnsi="宋体"/>
          <w:sz w:val="24"/>
          <w:szCs w:val="24"/>
        </w:rPr>
      </w:pPr>
      <w:r>
        <w:rPr>
          <w:rFonts w:ascii="宋体" w:hAnsi="宋体"/>
          <w:sz w:val="24"/>
          <w:szCs w:val="24"/>
        </w:rPr>
        <w:t xml:space="preserve">球根、宿根类地被植物，经2－3年生长后，根部拥挤以致影响其正常生长时，必须按不同品种的生理习性进行分株或更新移植。</w:t>
      </w:r>
      <w:r/>
    </w:p>
    <w:p>
      <w:pPr>
        <w:ind w:firstLine="480"/>
        <w:spacing w:line="440" w:lineRule="exact"/>
        <w:rPr>
          <w:rFonts w:ascii="宋体" w:hAnsi="宋体"/>
          <w:sz w:val="24"/>
          <w:szCs w:val="24"/>
        </w:rPr>
      </w:pPr>
      <w:r>
        <w:rPr>
          <w:rFonts w:ascii="宋体" w:hAnsi="宋体"/>
          <w:sz w:val="24"/>
          <w:szCs w:val="24"/>
        </w:rPr>
        <w:t xml:space="preserve">水生植物类：各类水生植物生长不得超越原有生长范围，如有超出，则在分管科室或各绿化队的指导下进行清除；各类水生植物在冬季中须进行修剪，并及时清除残留物。</w:t>
      </w:r>
      <w:r/>
    </w:p>
    <w:p>
      <w:pPr>
        <w:ind w:firstLine="480"/>
        <w:spacing w:line="440" w:lineRule="exact"/>
        <w:rPr>
          <w:rFonts w:ascii="宋体" w:hAnsi="宋体"/>
          <w:sz w:val="24"/>
          <w:szCs w:val="24"/>
        </w:rPr>
      </w:pPr>
      <w:r>
        <w:rPr>
          <w:rFonts w:ascii="宋体" w:hAnsi="宋体"/>
          <w:sz w:val="24"/>
          <w:szCs w:val="24"/>
        </w:rPr>
        <w:t xml:space="preserve">（二）环境卫生管理及园林设施维护</w:t>
      </w:r>
      <w:r/>
    </w:p>
    <w:p>
      <w:pPr>
        <w:ind w:firstLine="480"/>
        <w:spacing w:line="440" w:lineRule="exact"/>
        <w:rPr>
          <w:rFonts w:ascii="宋体" w:hAnsi="宋体"/>
          <w:b/>
          <w:sz w:val="24"/>
          <w:szCs w:val="24"/>
        </w:rPr>
      </w:pPr>
      <w:r>
        <w:rPr>
          <w:rFonts w:ascii="宋体" w:hAnsi="宋体"/>
          <w:sz w:val="24"/>
          <w:szCs w:val="24"/>
        </w:rPr>
        <w:t xml:space="preserve">1、</w:t>
      </w:r>
      <w:r>
        <w:rPr>
          <w:rFonts w:ascii="宋体" w:hAnsi="宋体"/>
          <w:sz w:val="24"/>
          <w:szCs w:val="24"/>
        </w:rPr>
        <w:t xml:space="preserve">所有园林设施（文字景墙、特色景墙、廉石苑景墙、麻石路牙、园路、座凳、花坛、花箱、土工布、挡墙、驳岸、树穴砖等等）、各类标牌等必须保持正常运转、整洁完好无缺损、无乱涂乱画。树穴砖（或盖板）无杂草杂物、安装平整，无缺失。</w:t>
      </w:r>
      <w:r/>
    </w:p>
    <w:p>
      <w:pPr>
        <w:ind w:firstLine="480"/>
        <w:spacing w:line="440" w:lineRule="exact"/>
        <w:rPr>
          <w:rFonts w:ascii="宋体" w:hAnsi="宋体"/>
          <w:sz w:val="24"/>
          <w:szCs w:val="24"/>
        </w:rPr>
      </w:pPr>
      <w:r>
        <w:rPr>
          <w:rFonts w:ascii="宋体" w:hAnsi="宋体"/>
          <w:sz w:val="24"/>
          <w:szCs w:val="24"/>
        </w:rPr>
        <w:t xml:space="preserve">绿地内景观灯：发现人为破坏的要予以制止，及时报执法部门处理，同时通知市城市绿化管理处由路灯管理处负责维修。</w:t>
      </w:r>
      <w:r/>
    </w:p>
    <w:p>
      <w:pPr>
        <w:ind w:firstLine="480"/>
        <w:spacing w:line="440" w:lineRule="exact"/>
        <w:rPr>
          <w:rFonts w:ascii="宋体" w:hAnsi="宋体"/>
          <w:sz w:val="24"/>
          <w:szCs w:val="24"/>
        </w:rPr>
      </w:pPr>
      <w:r>
        <w:rPr>
          <w:rFonts w:ascii="宋体" w:hAnsi="宋体"/>
          <w:sz w:val="24"/>
          <w:szCs w:val="24"/>
        </w:rPr>
        <w:t xml:space="preserve">2、全</w:t>
      </w:r>
      <w:r>
        <w:rPr>
          <w:rFonts w:ascii="宋体" w:hAnsi="宋体"/>
          <w:sz w:val="24"/>
          <w:szCs w:val="24"/>
        </w:rPr>
        <w:t xml:space="preserve">天候保洁。做到环境卫生整洁、美观。绿地、园路、汀步、铺装、木栈桥、雕塑、花坛、景墙、坐凳、护栏、景石、花箱、树穴套、垃圾箱、标识、标牌等外表洁净美观、无垃圾、无污物、无杂物、无烟头、无动物便溺、无乱张贴无乱悬挂、无卫生死角等现象；园路、铺装、广场无坑洼积水、积土、污渍现象；对乱扔、乱排、乱倒现象及时制止、举报、清理。排水明暗沟及时清淤。水面保持水质清澈无异味、水位正常、无漂浮物、无大面积水草。水生植物区域内无垃圾。垃圾箱外壳保持整洁，做到日产日清，不能出现垃圾满箱现象，临时垃圾堆放点必须隐蔽、无焚烧现象等。</w:t>
      </w:r>
      <w:r/>
    </w:p>
    <w:p>
      <w:pPr>
        <w:ind w:firstLine="480"/>
        <w:spacing w:line="440" w:lineRule="exact"/>
        <w:rPr>
          <w:rFonts w:ascii="宋体" w:hAnsi="宋体"/>
          <w:sz w:val="24"/>
          <w:szCs w:val="24"/>
        </w:rPr>
      </w:pPr>
      <w:r>
        <w:rPr>
          <w:rFonts w:ascii="宋体" w:hAnsi="宋体"/>
          <w:sz w:val="24"/>
          <w:szCs w:val="24"/>
        </w:rPr>
        <w:t xml:space="preserve">3、绿色废弃物（如树枝、树叶、草屑等），重点地区随产随清，其它地区日产日清。不得堆放于绿地后侧、排水沟等引起安全隐患的地方。</w:t>
      </w:r>
      <w:r/>
    </w:p>
    <w:p>
      <w:pPr>
        <w:ind w:firstLine="480"/>
        <w:spacing w:line="440" w:lineRule="exact"/>
        <w:rPr>
          <w:rFonts w:ascii="宋体" w:hAnsi="宋体"/>
          <w:sz w:val="24"/>
          <w:szCs w:val="24"/>
        </w:rPr>
      </w:pPr>
      <w:r>
        <w:rPr>
          <w:rFonts w:ascii="宋体" w:hAnsi="宋体"/>
          <w:sz w:val="24"/>
          <w:szCs w:val="24"/>
        </w:rPr>
        <w:t xml:space="preserve">（三）绿地保护</w:t>
      </w:r>
      <w:r/>
    </w:p>
    <w:p>
      <w:pPr>
        <w:ind w:firstLine="480"/>
        <w:spacing w:line="440" w:lineRule="exact"/>
        <w:rPr>
          <w:rFonts w:ascii="宋体" w:hAnsi="宋体"/>
          <w:sz w:val="24"/>
          <w:szCs w:val="24"/>
        </w:rPr>
      </w:pPr>
      <w:r>
        <w:rPr>
          <w:rFonts w:ascii="宋体" w:hAnsi="宋体"/>
          <w:sz w:val="24"/>
          <w:szCs w:val="24"/>
        </w:rPr>
        <w:t xml:space="preserve">1、严格保护绿地。标段内需落实专人、专车全天候巡查、动态管护制度。如发现擅自移伐、乱修剪树木，擅自在绿地内搭建、开挖、占用、堆放、悬挂等占绿毁绿现象，或虽经批准但超范围、超数量、超高度等违规现象应第一时间制止，并及时上报有关行政执法部门，同时向绿化管理处汇报备案并协助处置。</w:t>
      </w:r>
      <w:r/>
    </w:p>
    <w:p>
      <w:pPr>
        <w:ind w:firstLine="480"/>
        <w:spacing w:line="440" w:lineRule="exact"/>
        <w:rPr>
          <w:rFonts w:ascii="宋体" w:hAnsi="宋体"/>
          <w:sz w:val="24"/>
          <w:szCs w:val="24"/>
        </w:rPr>
      </w:pPr>
      <w:r>
        <w:rPr>
          <w:rFonts w:ascii="宋体" w:hAnsi="宋体"/>
          <w:sz w:val="24"/>
          <w:szCs w:val="24"/>
        </w:rPr>
        <w:t xml:space="preserve">2、应安排专门地方用于养护工具、机械的安放，绿地中严禁停放工作人员任何车辆。</w:t>
      </w:r>
      <w:r/>
    </w:p>
    <w:p>
      <w:pPr>
        <w:ind w:firstLine="480"/>
        <w:spacing w:line="440" w:lineRule="exact"/>
        <w:rPr>
          <w:rFonts w:ascii="宋体" w:hAnsi="宋体"/>
          <w:sz w:val="24"/>
          <w:szCs w:val="24"/>
        </w:rPr>
      </w:pPr>
      <w:r>
        <w:rPr>
          <w:rFonts w:ascii="宋体" w:hAnsi="宋体"/>
          <w:sz w:val="24"/>
          <w:szCs w:val="24"/>
        </w:rPr>
        <w:t xml:space="preserve">3、绿地无扣绳晾晒、私自种菜、栽菜等现象。</w:t>
      </w:r>
      <w:r/>
    </w:p>
    <w:p>
      <w:pPr>
        <w:ind w:firstLine="480"/>
        <w:spacing w:line="440" w:lineRule="exact"/>
        <w:rPr>
          <w:rFonts w:ascii="宋体" w:hAnsi="宋体"/>
          <w:sz w:val="24"/>
          <w:szCs w:val="24"/>
        </w:rPr>
      </w:pPr>
      <w:r>
        <w:rPr>
          <w:rFonts w:ascii="宋体" w:hAnsi="宋体"/>
          <w:sz w:val="24"/>
          <w:szCs w:val="24"/>
        </w:rPr>
        <w:t xml:space="preserve">4、根据绿化管理处要求，及时清理和恢复被损、被占绿地。</w:t>
      </w:r>
      <w:r/>
    </w:p>
    <w:p>
      <w:pPr>
        <w:ind w:firstLine="480"/>
        <w:spacing w:line="440" w:lineRule="exact"/>
        <w:rPr>
          <w:rFonts w:ascii="宋体" w:hAnsi="宋体"/>
          <w:sz w:val="24"/>
          <w:szCs w:val="24"/>
        </w:rPr>
      </w:pPr>
      <w:r>
        <w:rPr>
          <w:rFonts w:ascii="宋体" w:hAnsi="宋体"/>
          <w:sz w:val="24"/>
          <w:szCs w:val="24"/>
        </w:rPr>
        <w:t xml:space="preserve">5、绿地中应保证一定的安全，无破坏和偷盗事件，未及时上报而造成的损失由养护单位承担。</w:t>
      </w:r>
      <w:r/>
    </w:p>
    <w:p>
      <w:pPr>
        <w:ind w:firstLine="480"/>
        <w:spacing w:line="440" w:lineRule="exact"/>
        <w:rPr>
          <w:rFonts w:ascii="宋体" w:hAnsi="宋体"/>
          <w:sz w:val="24"/>
          <w:szCs w:val="24"/>
        </w:rPr>
      </w:pPr>
      <w:r>
        <w:rPr>
          <w:rFonts w:ascii="宋体" w:hAnsi="宋体"/>
          <w:sz w:val="24"/>
          <w:szCs w:val="24"/>
        </w:rPr>
        <w:t xml:space="preserve">（四）秩序管理</w:t>
      </w:r>
      <w:r/>
    </w:p>
    <w:p>
      <w:pPr>
        <w:ind w:firstLine="480"/>
        <w:spacing w:line="440" w:lineRule="exact"/>
        <w:rPr>
          <w:rFonts w:ascii="宋体" w:hAnsi="宋体"/>
          <w:sz w:val="24"/>
          <w:szCs w:val="24"/>
        </w:rPr>
      </w:pPr>
      <w:r>
        <w:rPr>
          <w:rFonts w:ascii="宋体" w:hAnsi="宋体"/>
          <w:sz w:val="24"/>
          <w:szCs w:val="24"/>
        </w:rPr>
        <w:t xml:space="preserve">1、维护秩序：对不文明行为进行劝告。</w:t>
      </w:r>
      <w:r/>
    </w:p>
    <w:p>
      <w:pPr>
        <w:ind w:firstLine="480"/>
        <w:spacing w:line="440" w:lineRule="exact"/>
        <w:rPr>
          <w:rFonts w:ascii="宋体" w:hAnsi="宋体"/>
          <w:sz w:val="24"/>
          <w:szCs w:val="24"/>
        </w:rPr>
      </w:pPr>
      <w:r>
        <w:rPr>
          <w:rFonts w:ascii="宋体" w:hAnsi="宋体"/>
          <w:sz w:val="24"/>
          <w:szCs w:val="24"/>
        </w:rPr>
        <w:t xml:space="preserve">2、车辆停放在指定位置、整齐有序。</w:t>
      </w:r>
      <w:r/>
    </w:p>
    <w:p>
      <w:pPr>
        <w:ind w:firstLine="480"/>
        <w:spacing w:line="440" w:lineRule="exact"/>
        <w:rPr>
          <w:rFonts w:ascii="宋体" w:hAnsi="宋体"/>
          <w:sz w:val="24"/>
          <w:szCs w:val="24"/>
        </w:rPr>
      </w:pPr>
      <w:r>
        <w:rPr>
          <w:rFonts w:ascii="宋体" w:hAnsi="宋体"/>
          <w:sz w:val="24"/>
          <w:szCs w:val="24"/>
        </w:rPr>
        <w:t xml:space="preserve">（五）应急抢险</w:t>
      </w:r>
      <w:r/>
    </w:p>
    <w:p>
      <w:pPr>
        <w:ind w:firstLine="480"/>
        <w:spacing w:line="440" w:lineRule="exact"/>
        <w:rPr>
          <w:rFonts w:ascii="宋体" w:hAnsi="宋体"/>
          <w:sz w:val="24"/>
          <w:szCs w:val="24"/>
        </w:rPr>
      </w:pPr>
      <w:r>
        <w:rPr>
          <w:rFonts w:ascii="宋体" w:hAnsi="宋体"/>
          <w:sz w:val="24"/>
          <w:szCs w:val="24"/>
        </w:rPr>
        <w:t xml:space="preserve">建立应急抢险网络，做好各类突发事件应对预案。做好交通事故、110联动报警和其他不可抗拒因素引起的树木倾斜、伤人、伤物、碰线等应急处置工作以及台风、暴雪、暴雨等灾害性天气的抢险和防范工作。一旦发生，接绿化管理处或有关方面通知后，应迅速组织力量，半小时内到达现场及时处置，并及时向有关部门回复处理情况。</w:t>
      </w:r>
      <w:r/>
    </w:p>
    <w:p>
      <w:pPr>
        <w:ind w:firstLine="480"/>
        <w:spacing w:line="440" w:lineRule="exact"/>
        <w:rPr>
          <w:rFonts w:ascii="宋体" w:hAnsi="宋体"/>
          <w:sz w:val="24"/>
          <w:szCs w:val="24"/>
        </w:rPr>
      </w:pPr>
      <w:r>
        <w:rPr>
          <w:rFonts w:ascii="宋体" w:hAnsi="宋体"/>
          <w:sz w:val="24"/>
          <w:szCs w:val="24"/>
        </w:rPr>
        <w:t xml:space="preserve">（六）数字化案件处置</w:t>
      </w:r>
      <w:r/>
    </w:p>
    <w:p>
      <w:pPr>
        <w:ind w:firstLine="480"/>
        <w:spacing w:line="440" w:lineRule="exact"/>
        <w:rPr>
          <w:rFonts w:ascii="宋体" w:hAnsi="宋体"/>
          <w:sz w:val="24"/>
          <w:szCs w:val="24"/>
        </w:rPr>
      </w:pPr>
      <w:r>
        <w:rPr>
          <w:rFonts w:ascii="宋体" w:hAnsi="宋体"/>
          <w:sz w:val="24"/>
          <w:szCs w:val="24"/>
        </w:rPr>
        <w:t xml:space="preserve">1、及时处置各类数字化案件，部门交办、政协、人大提案和群众来电来访等案件，按市绿化管理处要求在规定时间内回复处置结果。</w:t>
      </w:r>
      <w:r/>
    </w:p>
    <w:p>
      <w:pPr>
        <w:ind w:firstLine="480"/>
        <w:spacing w:line="440" w:lineRule="exact"/>
        <w:rPr>
          <w:rFonts w:ascii="宋体" w:hAnsi="宋体"/>
          <w:sz w:val="24"/>
          <w:szCs w:val="24"/>
        </w:rPr>
      </w:pPr>
      <w:r>
        <w:rPr>
          <w:rFonts w:ascii="宋体" w:hAnsi="宋体"/>
          <w:sz w:val="24"/>
          <w:szCs w:val="24"/>
        </w:rPr>
        <w:t xml:space="preserve">2、绿地养护平台考核，按市绿化管理处要求在规定时间内回复处置结果。</w:t>
      </w:r>
      <w:r/>
    </w:p>
    <w:p>
      <w:pPr>
        <w:ind w:firstLine="480"/>
        <w:spacing w:line="440" w:lineRule="exact"/>
        <w:rPr>
          <w:rFonts w:ascii="宋体" w:hAnsi="宋体"/>
          <w:sz w:val="24"/>
          <w:szCs w:val="24"/>
        </w:rPr>
      </w:pPr>
      <w:r>
        <w:rPr>
          <w:rFonts w:ascii="宋体" w:hAnsi="宋体"/>
          <w:sz w:val="24"/>
          <w:szCs w:val="24"/>
        </w:rPr>
        <w:t xml:space="preserve">3、绿化微信群考核。</w:t>
      </w:r>
      <w:r/>
    </w:p>
    <w:p>
      <w:pPr>
        <w:ind w:firstLine="480"/>
        <w:spacing w:line="440" w:lineRule="exact"/>
        <w:rPr>
          <w:rFonts w:ascii="宋体" w:hAnsi="宋体"/>
          <w:sz w:val="24"/>
          <w:szCs w:val="24"/>
        </w:rPr>
      </w:pPr>
      <w:r>
        <w:rPr>
          <w:rFonts w:ascii="宋体" w:hAnsi="宋体"/>
          <w:sz w:val="24"/>
          <w:szCs w:val="24"/>
        </w:rPr>
        <w:t xml:space="preserve">（七）安全生产、综合治理及其它</w:t>
      </w:r>
      <w:r/>
    </w:p>
    <w:p>
      <w:pPr>
        <w:ind w:firstLine="480"/>
        <w:spacing w:line="440" w:lineRule="exact"/>
        <w:rPr>
          <w:rFonts w:ascii="宋体" w:hAnsi="宋体"/>
          <w:sz w:val="24"/>
          <w:szCs w:val="24"/>
        </w:rPr>
      </w:pPr>
      <w:r>
        <w:rPr>
          <w:rFonts w:ascii="宋体" w:hAnsi="宋体"/>
          <w:sz w:val="24"/>
          <w:szCs w:val="24"/>
        </w:rPr>
        <w:t xml:space="preserve">1、安全生产、综合治理的规章制度要完善，组织网络要健全，台账要齐全。</w:t>
      </w:r>
      <w:r/>
    </w:p>
    <w:p>
      <w:pPr>
        <w:ind w:firstLine="480"/>
        <w:spacing w:line="440" w:lineRule="exact"/>
        <w:rPr>
          <w:rFonts w:ascii="宋体" w:hAnsi="宋体"/>
          <w:sz w:val="24"/>
          <w:szCs w:val="24"/>
        </w:rPr>
      </w:pPr>
      <w:r>
        <w:rPr>
          <w:rFonts w:ascii="宋体" w:hAnsi="宋体"/>
          <w:sz w:val="24"/>
          <w:szCs w:val="24"/>
        </w:rPr>
        <w:t xml:space="preserve">2、对影响秩序或存在安全隐患的潜在问题要采取有效措施防控，及时处置有安全隐患、妨碍通行的树木。</w:t>
      </w:r>
      <w:r/>
    </w:p>
    <w:p>
      <w:pPr>
        <w:ind w:firstLine="480"/>
        <w:spacing w:line="440" w:lineRule="exact"/>
        <w:rPr>
          <w:rFonts w:ascii="宋体" w:hAnsi="宋体"/>
          <w:sz w:val="24"/>
          <w:szCs w:val="24"/>
        </w:rPr>
      </w:pPr>
      <w:r>
        <w:rPr>
          <w:rFonts w:ascii="宋体" w:hAnsi="宋体"/>
          <w:sz w:val="24"/>
          <w:szCs w:val="24"/>
        </w:rPr>
        <w:t xml:space="preserve">3、采取有效防火措施，按要求配备消防设施，杜绝火灾事故发生。</w:t>
      </w:r>
      <w:r/>
    </w:p>
    <w:p>
      <w:pPr>
        <w:ind w:firstLine="480"/>
        <w:spacing w:line="440" w:lineRule="exact"/>
        <w:rPr>
          <w:rFonts w:ascii="宋体" w:hAnsi="宋体"/>
          <w:sz w:val="24"/>
          <w:szCs w:val="24"/>
        </w:rPr>
      </w:pPr>
      <w:r>
        <w:rPr>
          <w:rFonts w:ascii="宋体" w:hAnsi="宋体"/>
          <w:sz w:val="24"/>
          <w:szCs w:val="24"/>
        </w:rPr>
        <w:t xml:space="preserve">4、设立管护公示牌，公示内容、规格。材质、安装点等必须报绿化管理处审批。</w:t>
      </w:r>
      <w:r/>
    </w:p>
    <w:p>
      <w:pPr>
        <w:ind w:firstLine="480"/>
        <w:spacing w:line="440" w:lineRule="exact"/>
        <w:rPr>
          <w:rFonts w:ascii="宋体" w:hAnsi="宋体"/>
          <w:sz w:val="24"/>
          <w:szCs w:val="24"/>
        </w:rPr>
      </w:pPr>
      <w:r>
        <w:rPr>
          <w:rFonts w:ascii="宋体" w:hAnsi="宋体"/>
          <w:sz w:val="24"/>
          <w:szCs w:val="24"/>
        </w:rPr>
        <w:t xml:space="preserve">5、标段内的养护管理及作业人员着装必须统一、醒目（工作服印有养护单位名称，作业人员必须穿带有反光条的工作服）。全日保洁人员（尤其是定点保洁地段）、专职养护人员（挂牌上岗）不能脱岗。作业中安全责任概由管护方自行负责。</w:t>
      </w:r>
      <w:r/>
    </w:p>
    <w:p>
      <w:pPr>
        <w:ind w:firstLine="480"/>
        <w:spacing w:line="440" w:lineRule="exact"/>
        <w:rPr>
          <w:rFonts w:ascii="宋体" w:hAnsi="宋体"/>
          <w:sz w:val="24"/>
          <w:szCs w:val="24"/>
        </w:rPr>
      </w:pPr>
      <w:r>
        <w:rPr>
          <w:rFonts w:ascii="宋体" w:hAnsi="宋体"/>
          <w:sz w:val="24"/>
          <w:szCs w:val="24"/>
        </w:rPr>
        <w:t xml:space="preserve">6、建立真实、全面、完整、系统的台账资料。如：绿地养护（病虫防治、黑麦草播种、一二年生草花播种、球根花卉种植、修剪、涂白、切边、补植、施肥、抗旱排涝、防寒等）、养护量统计（含增减）、数字化城管案例处置、雕塑、园林设施运行与维护、来电来访、应急抢险、安全生产、环境卫生管理等专类台账。</w:t>
      </w:r>
      <w:r/>
    </w:p>
    <w:p>
      <w:pPr>
        <w:ind w:firstLine="480"/>
        <w:spacing w:line="440" w:lineRule="exact"/>
        <w:rPr>
          <w:rFonts w:ascii="宋体" w:hAnsi="宋体"/>
          <w:sz w:val="24"/>
          <w:szCs w:val="24"/>
        </w:rPr>
      </w:pPr>
      <w:r>
        <w:rPr>
          <w:rFonts w:ascii="宋体" w:hAnsi="宋体"/>
          <w:sz w:val="24"/>
          <w:szCs w:val="24"/>
        </w:rPr>
        <w:t xml:space="preserve">7、每月25日前报送本月养护总结及下月计划。</w:t>
      </w:r>
      <w:r/>
    </w:p>
    <w:p>
      <w:pPr>
        <w:ind w:firstLine="480"/>
        <w:spacing w:line="440" w:lineRule="exact"/>
        <w:rPr>
          <w:rFonts w:ascii="宋体" w:hAnsi="宋体"/>
          <w:sz w:val="24"/>
          <w:szCs w:val="24"/>
        </w:rPr>
      </w:pPr>
      <w:r>
        <w:rPr>
          <w:rFonts w:ascii="宋体" w:hAnsi="宋体"/>
          <w:sz w:val="24"/>
          <w:szCs w:val="24"/>
        </w:rPr>
        <w:t xml:space="preserve">8、准时参加各类养护会议、培训、检查、考察活动。各标段项目负责人保持24小时通信畅通。</w:t>
      </w:r>
      <w:r/>
    </w:p>
    <w:p>
      <w:pPr>
        <w:jc w:val="left"/>
        <w:widowControl/>
        <w:rPr>
          <w:rFonts w:ascii="宋体" w:hAnsi="宋体"/>
          <w:sz w:val="24"/>
          <w:szCs w:val="24"/>
        </w:rPr>
      </w:pPr>
      <w:r>
        <w:rPr>
          <w:rFonts w:ascii="宋体" w:hAnsi="宋体"/>
          <w:sz w:val="24"/>
          <w:szCs w:val="24"/>
        </w:rPr>
        <w:br w:type="page" w:clear="all"/>
      </w:r>
      <w:r/>
    </w:p>
    <w:p>
      <w:pPr>
        <w:ind w:firstLine="601"/>
        <w:jc w:val="center"/>
        <w:keepLines w:val="0"/>
        <w:keepNext w:val="0"/>
        <w:pageBreakBefore w:val="0"/>
        <w:spacing w:line="360" w:lineRule="auto"/>
        <w:widowControl w:val="off"/>
        <w:rPr>
          <w:rFonts w:hint="eastAsia" w:ascii="宋体" w:hAnsi="宋体" w:eastAsia="宋体" w:cs="Times New Roman"/>
          <w:b/>
          <w:color w:val="000000"/>
          <w:sz w:val="36"/>
          <w:szCs w:val="36"/>
          <w:lang w:val="en-US" w:eastAsia="zh-CN"/>
        </w:rPr>
        <w:outlineLvl w:val="1"/>
      </w:pPr>
      <w:r/>
      <w:bookmarkStart w:id="202" w:name="_Toc9421"/>
      <w:r>
        <w:rPr>
          <w:rFonts w:hint="eastAsia" w:ascii="宋体" w:hAnsi="宋体" w:eastAsia="宋体" w:cs="Times New Roman"/>
          <w:b/>
          <w:color w:val="000000"/>
          <w:sz w:val="36"/>
          <w:szCs w:val="36"/>
          <w:lang w:val="en-US" w:eastAsia="zh-CN"/>
        </w:rPr>
        <w:t xml:space="preserve">附件②常熟市三环路外绿化属地养护考核办法（试行）</w:t>
      </w:r>
      <w:bookmarkEnd w:id="202"/>
      <w:r/>
      <w:r/>
    </w:p>
    <w:p>
      <w:pPr>
        <w:spacing w:line="360" w:lineRule="auto"/>
        <w:rPr>
          <w:rFonts w:hint="eastAsia" w:ascii="宋体" w:hAnsi="宋体"/>
          <w:color w:val="000000"/>
          <w:sz w:val="24"/>
          <w:szCs w:val="24"/>
        </w:rPr>
      </w:pPr>
      <w:r>
        <w:rPr>
          <w:rFonts w:hint="eastAsia" w:ascii="宋体" w:hAnsi="宋体"/>
          <w:color w:val="000000"/>
          <w:sz w:val="24"/>
          <w:szCs w:val="24"/>
        </w:rPr>
        <w:t xml:space="preserve">   为促进绿地养护管理工作规范化、制度化，建立绿化管养良性运行体系，确保考核工作公平、公正、透明，切实提高养护管理水平，根据《常熟市高等级公路绿色通道养护标准》和《常熟市绿化养护专项资金管理办法》相关规定，特制定本考核办法。</w:t>
      </w:r>
      <w:r/>
    </w:p>
    <w:p>
      <w:pPr>
        <w:spacing w:line="360" w:lineRule="auto"/>
        <w:rPr>
          <w:rFonts w:hint="eastAsia" w:ascii="宋体" w:hAnsi="宋体"/>
          <w:color w:val="000000"/>
          <w:sz w:val="24"/>
          <w:szCs w:val="24"/>
        </w:rPr>
      </w:pPr>
      <w:r>
        <w:rPr>
          <w:rFonts w:hint="eastAsia" w:ascii="宋体" w:hAnsi="宋体"/>
          <w:color w:val="000000"/>
          <w:sz w:val="24"/>
          <w:szCs w:val="24"/>
        </w:rPr>
        <w:t xml:space="preserve">     一、考核范围：三环路外（不含三环路）移交各镇（板块）属地各类道路、河道的绿化（含各类园林设施）养护管理工作适用本办法进行考核。</w:t>
      </w:r>
      <w:r/>
    </w:p>
    <w:p>
      <w:pPr>
        <w:ind w:firstLine="601"/>
        <w:spacing w:line="360" w:lineRule="auto"/>
        <w:rPr>
          <w:rFonts w:hint="eastAsia" w:ascii="宋体" w:hAnsi="宋体"/>
          <w:color w:val="000000"/>
          <w:sz w:val="24"/>
          <w:szCs w:val="24"/>
        </w:rPr>
      </w:pPr>
      <w:r>
        <w:rPr>
          <w:rFonts w:hint="eastAsia" w:ascii="宋体" w:hAnsi="宋体"/>
          <w:color w:val="000000"/>
          <w:sz w:val="24"/>
          <w:szCs w:val="24"/>
        </w:rPr>
        <w:t xml:space="preserve">二、考核方法：年考核不少于6次，每两个月定期考核不少于一次。定期考核由市绿委办组织人员及各镇（板块）绿化管理部门负责人进行现场考核；考核评分的结果以书面形式通报通报各镇（板块）及绿化管理部门。对每个乡镇（板块）作为一个管护段,采用抽查路段形式开展考核，抽查绿化养护总面积30%以上，抽查路段的养护得分作为结算各镇（板块）养护经费和工作经费依据。</w:t>
      </w:r>
      <w:r/>
    </w:p>
    <w:p>
      <w:pPr>
        <w:ind w:firstLine="601"/>
        <w:spacing w:line="360" w:lineRule="auto"/>
        <w:rPr>
          <w:rFonts w:hint="eastAsia" w:ascii="宋体" w:hAnsi="宋体"/>
          <w:color w:val="000000"/>
          <w:sz w:val="24"/>
          <w:szCs w:val="24"/>
        </w:rPr>
      </w:pPr>
      <w:r>
        <w:rPr>
          <w:rFonts w:hint="eastAsia" w:ascii="宋体" w:hAnsi="宋体"/>
          <w:color w:val="000000"/>
          <w:sz w:val="24"/>
          <w:szCs w:val="24"/>
        </w:rPr>
        <w:t xml:space="preserve"> 三、考核评分：</w:t>
      </w:r>
      <w:r/>
    </w:p>
    <w:p>
      <w:pPr>
        <w:spacing w:line="360" w:lineRule="auto"/>
        <w:rPr>
          <w:rFonts w:hint="eastAsia" w:ascii="宋体" w:hAnsi="宋体"/>
          <w:color w:val="000000"/>
          <w:sz w:val="24"/>
          <w:szCs w:val="24"/>
        </w:rPr>
      </w:pPr>
      <w:r>
        <w:rPr>
          <w:rFonts w:hint="eastAsia" w:ascii="宋体" w:hAnsi="宋体"/>
          <w:color w:val="000000"/>
          <w:sz w:val="24"/>
          <w:szCs w:val="24"/>
        </w:rPr>
        <w:t xml:space="preserve">    （一）养护资金类考核。指市绿委办按照《常熟市三环路外绿化属地养护评分细则》对各镇（板块）绿化属地养护段进行抽查考核评分；</w:t>
      </w:r>
      <w:r/>
    </w:p>
    <w:p>
      <w:pPr>
        <w:ind w:firstLine="601"/>
        <w:spacing w:line="360" w:lineRule="auto"/>
        <w:rPr>
          <w:rFonts w:hint="eastAsia" w:ascii="宋体" w:hAnsi="宋体"/>
          <w:color w:val="000000"/>
          <w:sz w:val="24"/>
          <w:szCs w:val="24"/>
        </w:rPr>
      </w:pPr>
      <w:r>
        <w:rPr>
          <w:rFonts w:hint="eastAsia" w:ascii="宋体" w:hAnsi="宋体"/>
          <w:color w:val="000000"/>
          <w:sz w:val="24"/>
          <w:szCs w:val="24"/>
        </w:rPr>
        <w:t xml:space="preserve">1、现场考核分占100%：</w:t>
      </w:r>
      <w:r/>
    </w:p>
    <w:p>
      <w:pPr>
        <w:ind w:firstLine="601"/>
        <w:spacing w:line="360" w:lineRule="auto"/>
        <w:rPr>
          <w:rFonts w:hint="eastAsia" w:ascii="宋体" w:hAnsi="宋体"/>
          <w:color w:val="000000"/>
          <w:sz w:val="24"/>
          <w:szCs w:val="24"/>
        </w:rPr>
      </w:pPr>
      <w:r>
        <w:rPr>
          <w:rFonts w:hint="eastAsia" w:ascii="宋体" w:hAnsi="宋体"/>
          <w:color w:val="000000"/>
          <w:sz w:val="24"/>
          <w:szCs w:val="24"/>
        </w:rPr>
        <w:t xml:space="preserve">2、直接扣分（项目）：</w:t>
      </w:r>
      <w:r/>
    </w:p>
    <w:p>
      <w:pPr>
        <w:ind w:firstLine="601"/>
        <w:spacing w:line="360" w:lineRule="auto"/>
        <w:rPr>
          <w:rFonts w:hint="eastAsia" w:ascii="宋体" w:hAnsi="宋体"/>
          <w:color w:val="000000"/>
          <w:sz w:val="24"/>
          <w:szCs w:val="24"/>
        </w:rPr>
      </w:pPr>
      <w:r>
        <w:rPr>
          <w:rFonts w:hint="eastAsia" w:ascii="宋体" w:hAnsi="宋体"/>
          <w:color w:val="000000"/>
          <w:sz w:val="24"/>
          <w:szCs w:val="24"/>
        </w:rPr>
        <w:t xml:space="preserve">（1）对巡查和考核过程中发现的问题，要求在期限内及时完成整改。对整改不到位或未按时整改的给予书面整改通知，并扣5分一次，发出书面整改通知后在规定时间内拒不完成的或整改不到位的，扣15分一次。</w:t>
      </w:r>
      <w:r/>
    </w:p>
    <w:p>
      <w:pPr>
        <w:ind w:firstLine="601"/>
        <w:spacing w:line="360" w:lineRule="auto"/>
        <w:rPr>
          <w:rFonts w:hint="eastAsia" w:ascii="宋体" w:hAnsi="宋体"/>
          <w:color w:val="000000"/>
          <w:sz w:val="24"/>
          <w:szCs w:val="24"/>
        </w:rPr>
      </w:pPr>
      <w:r>
        <w:rPr>
          <w:rFonts w:hint="eastAsia" w:ascii="宋体" w:hAnsi="宋体"/>
          <w:color w:val="000000"/>
          <w:sz w:val="24"/>
          <w:szCs w:val="24"/>
        </w:rPr>
        <w:t xml:space="preserve">（2）未按时完成市绿化部门下达的其他各类工作任务，产生一般不良影响的扣3-10分，情节严重、造成重大不良影响的扣25分。</w:t>
      </w:r>
      <w:r/>
    </w:p>
    <w:p>
      <w:pPr>
        <w:ind w:firstLine="601"/>
        <w:spacing w:line="360" w:lineRule="auto"/>
        <w:rPr>
          <w:rFonts w:hint="eastAsia" w:ascii="宋体" w:hAnsi="宋体"/>
          <w:color w:val="000000"/>
          <w:sz w:val="24"/>
          <w:szCs w:val="24"/>
        </w:rPr>
      </w:pPr>
      <w:r>
        <w:rPr>
          <w:rFonts w:hint="eastAsia" w:ascii="宋体" w:hAnsi="宋体"/>
          <w:color w:val="000000"/>
          <w:sz w:val="24"/>
          <w:szCs w:val="24"/>
        </w:rPr>
        <w:t xml:space="preserve">（3）由于管理不善，造成安全责任事故的，扣5-25分。</w:t>
      </w:r>
      <w:r/>
    </w:p>
    <w:p>
      <w:pPr>
        <w:ind w:firstLine="480"/>
        <w:spacing w:line="440" w:lineRule="exact"/>
        <w:rPr>
          <w:rFonts w:hint="eastAsia" w:ascii="宋体" w:hAnsi="宋体"/>
          <w:color w:val="auto"/>
          <w:sz w:val="24"/>
          <w:szCs w:val="24"/>
        </w:rPr>
      </w:pPr>
      <w:r>
        <w:rPr>
          <w:rFonts w:hint="eastAsia" w:ascii="宋体" w:hAnsi="宋体"/>
          <w:color w:val="000000"/>
          <w:sz w:val="24"/>
          <w:szCs w:val="24"/>
        </w:rPr>
        <w:t xml:space="preserve">3</w:t>
      </w:r>
      <w:r>
        <w:rPr>
          <w:rFonts w:hint="eastAsia" w:ascii="宋体" w:hAnsi="宋体"/>
          <w:color w:val="auto"/>
          <w:sz w:val="24"/>
          <w:szCs w:val="24"/>
        </w:rPr>
        <w:t xml:space="preserve">、考核分数、档次、养护经费挂钩：档次是指抽查考核一次为一档次。（1）考核分数90（含）以上，全额拨付对应管护段的档次养护经费；（2）低于90分的，每扣一分，扣减1000元。合同期内连续两次月度考核低于75分或合同期内一年累计三次月度考核低于75分，则甲方有权解除合同，上报上级行业管理部门备案。</w:t>
      </w:r>
      <w:r/>
    </w:p>
    <w:p>
      <w:pPr>
        <w:spacing w:line="360" w:lineRule="auto"/>
        <w:rPr>
          <w:rFonts w:hint="eastAsia" w:ascii="宋体" w:hAnsi="宋体"/>
          <w:color w:val="000000"/>
          <w:sz w:val="24"/>
          <w:szCs w:val="24"/>
        </w:rPr>
      </w:pPr>
      <w:r>
        <w:rPr>
          <w:rFonts w:hint="eastAsia" w:ascii="宋体" w:hAnsi="宋体"/>
          <w:color w:val="000000"/>
          <w:sz w:val="24"/>
          <w:szCs w:val="24"/>
        </w:rPr>
        <w:t xml:space="preserve">    （二）工作经费类考核。指市绿委办按照《常熟市三环路外绿化属地养护评分细则》对各镇（板块）绿化管理部门绿化养护管理计划编制、执行、组织考查、养护成效等情况进行考核。</w:t>
      </w:r>
      <w:r/>
    </w:p>
    <w:p>
      <w:pPr>
        <w:spacing w:line="360" w:lineRule="auto"/>
        <w:rPr>
          <w:rFonts w:hint="eastAsia" w:ascii="宋体" w:hAnsi="宋体"/>
          <w:color w:val="000000"/>
          <w:sz w:val="24"/>
          <w:szCs w:val="24"/>
        </w:rPr>
      </w:pPr>
      <w:r>
        <w:rPr>
          <w:rFonts w:hint="eastAsia" w:ascii="宋体" w:hAnsi="宋体"/>
          <w:color w:val="000000"/>
          <w:sz w:val="24"/>
          <w:szCs w:val="24"/>
        </w:rPr>
        <w:t xml:space="preserve">     1、管理考核分占20%：各镇（板块）绿化管理部门要建立日常巡查考核管理制度（考核频率不少于1次/月），参照考核办法（试行）和评分细则同步开展对养护单位进行考核，并将考核结果按期上报。以日常管理、绿地保护、巡查考核记录、动态评价、台账资料等为内容进行考核评分。</w:t>
      </w:r>
      <w:r/>
    </w:p>
    <w:p>
      <w:pPr>
        <w:ind w:firstLine="601"/>
        <w:spacing w:line="360" w:lineRule="auto"/>
        <w:rPr>
          <w:rFonts w:hint="eastAsia" w:ascii="宋体" w:hAnsi="宋体"/>
          <w:color w:val="000000"/>
          <w:sz w:val="24"/>
          <w:szCs w:val="24"/>
        </w:rPr>
      </w:pPr>
      <w:r>
        <w:rPr>
          <w:rFonts w:hint="eastAsia" w:ascii="宋体" w:hAnsi="宋体"/>
          <w:color w:val="000000"/>
          <w:sz w:val="24"/>
          <w:szCs w:val="24"/>
        </w:rPr>
        <w:t xml:space="preserve">2、养护成效占80%：指市绿委办按照《常熟市三环路外绿化属地养护评分细则》对各镇（板块）绿化属地养护段进行抽查考核的得分等同养护成效分数。</w:t>
      </w:r>
      <w:r/>
    </w:p>
    <w:p>
      <w:pPr>
        <w:ind w:firstLine="601"/>
        <w:spacing w:line="360" w:lineRule="auto"/>
        <w:rPr>
          <w:rFonts w:hint="eastAsia" w:ascii="宋体" w:hAnsi="宋体"/>
          <w:color w:val="000000"/>
          <w:sz w:val="24"/>
          <w:szCs w:val="24"/>
        </w:rPr>
      </w:pPr>
      <w:r>
        <w:rPr>
          <w:rFonts w:hint="eastAsia" w:ascii="宋体" w:hAnsi="宋体"/>
          <w:color w:val="000000"/>
          <w:sz w:val="24"/>
          <w:szCs w:val="24"/>
        </w:rPr>
        <w:t xml:space="preserve"> 3、直接扣分（项目）：</w:t>
      </w:r>
      <w:r/>
    </w:p>
    <w:p>
      <w:pPr>
        <w:spacing w:line="360" w:lineRule="auto"/>
        <w:rPr>
          <w:rFonts w:hint="eastAsia" w:ascii="宋体" w:hAnsi="宋体"/>
          <w:color w:val="000000"/>
          <w:sz w:val="24"/>
          <w:szCs w:val="24"/>
        </w:rPr>
      </w:pPr>
      <w:r>
        <w:rPr>
          <w:rFonts w:hint="eastAsia" w:ascii="宋体" w:hAnsi="宋体"/>
          <w:color w:val="000000"/>
          <w:sz w:val="24"/>
          <w:szCs w:val="24"/>
        </w:rPr>
        <w:t xml:space="preserve">未能及时有效组织开展巡查和考核工作，每月未按期上报考核结果一次扣当月工作经费0.5%，累计三次及以上扣两个月的工作经费。</w:t>
      </w:r>
      <w:r/>
    </w:p>
    <w:p>
      <w:pPr>
        <w:ind w:firstLine="601"/>
        <w:spacing w:line="360" w:lineRule="auto"/>
        <w:rPr>
          <w:rFonts w:hint="eastAsia" w:ascii="宋体" w:hAnsi="宋体"/>
          <w:color w:val="000000"/>
          <w:sz w:val="24"/>
          <w:szCs w:val="24"/>
        </w:rPr>
      </w:pPr>
      <w:r>
        <w:rPr>
          <w:rFonts w:hint="eastAsia" w:ascii="宋体" w:hAnsi="宋体"/>
          <w:color w:val="000000"/>
          <w:sz w:val="24"/>
          <w:szCs w:val="24"/>
        </w:rPr>
        <w:t xml:space="preserve">4、成效分数、档次、工作经费挂钩：档次是指抽查考核一次为一档次。（1）考核分数85分（含）以上，全额拨付档次工作经费；（2）80分（含）～85分，每扣一分，扣减档次工作经费0.5%（与85分相减）；（3）80分～75分（含），每扣一分，扣减档次工作经费0.7%（与85相减）；75分以下为不合格，扣除档次全额工作经费。</w:t>
      </w:r>
      <w:r/>
    </w:p>
    <w:p>
      <w:pPr>
        <w:ind w:firstLine="601"/>
        <w:spacing w:line="360" w:lineRule="auto"/>
        <w:rPr>
          <w:rFonts w:hint="eastAsia" w:ascii="宋体" w:hAnsi="宋体"/>
          <w:color w:val="000000"/>
          <w:sz w:val="24"/>
          <w:szCs w:val="24"/>
        </w:rPr>
      </w:pPr>
      <w:r>
        <w:rPr>
          <w:rFonts w:hint="eastAsia" w:ascii="宋体" w:hAnsi="宋体"/>
          <w:color w:val="000000"/>
          <w:sz w:val="24"/>
          <w:szCs w:val="24"/>
        </w:rPr>
        <w:t xml:space="preserve">四、养护经费和工作经费拨付：</w:t>
      </w:r>
      <w:r/>
    </w:p>
    <w:p>
      <w:pPr>
        <w:spacing w:line="360" w:lineRule="auto"/>
        <w:rPr>
          <w:rFonts w:hint="eastAsia" w:ascii="宋体" w:hAnsi="宋体"/>
          <w:color w:val="000000"/>
          <w:sz w:val="24"/>
          <w:szCs w:val="24"/>
        </w:rPr>
      </w:pPr>
      <w:r>
        <w:rPr>
          <w:rFonts w:hint="eastAsia" w:ascii="宋体" w:hAnsi="宋体"/>
          <w:color w:val="000000"/>
          <w:sz w:val="24"/>
          <w:szCs w:val="24"/>
        </w:rPr>
        <w:t xml:space="preserve">    全年养护经费和工作经费根据考核结果两个月拨付一次。其中，养护经费拨付根据市级考核得分和各镇（板块）内部考核得分综合比较，两个得分都高于85分的，以市级考核为准，两个得分中有低于85分的，采用就低原则确认最终得分，并结算。</w:t>
      </w:r>
      <w:r/>
    </w:p>
    <w:p>
      <w:pPr>
        <w:ind w:firstLine="601"/>
        <w:spacing w:line="360" w:lineRule="auto"/>
        <w:rPr>
          <w:rFonts w:hint="eastAsia" w:ascii="宋体" w:hAnsi="宋体"/>
          <w:color w:val="000000"/>
          <w:sz w:val="24"/>
          <w:szCs w:val="24"/>
        </w:rPr>
      </w:pPr>
      <w:r>
        <w:rPr>
          <w:rFonts w:hint="eastAsia" w:ascii="宋体" w:hAnsi="宋体"/>
          <w:color w:val="000000"/>
          <w:sz w:val="24"/>
          <w:szCs w:val="24"/>
        </w:rPr>
        <w:t xml:space="preserve">五、相关说明：</w:t>
      </w:r>
      <w:r/>
    </w:p>
    <w:p>
      <w:pPr>
        <w:ind w:firstLine="601"/>
        <w:spacing w:line="360" w:lineRule="auto"/>
        <w:rPr>
          <w:rFonts w:hint="eastAsia" w:ascii="宋体" w:hAnsi="宋体"/>
          <w:color w:val="000000"/>
          <w:sz w:val="24"/>
          <w:szCs w:val="24"/>
        </w:rPr>
      </w:pPr>
      <w:r>
        <w:rPr>
          <w:rFonts w:hint="eastAsia" w:ascii="宋体" w:hAnsi="宋体"/>
          <w:color w:val="000000"/>
          <w:sz w:val="24"/>
          <w:szCs w:val="24"/>
        </w:rPr>
        <w:t xml:space="preserve"> 1、各镇绿化管理部门必须按规定通过招标形式确定养护单位。招标工作由各镇绿化管理部门按照各镇权限和管理范围自行组织。</w:t>
      </w:r>
      <w:r/>
    </w:p>
    <w:p>
      <w:pPr>
        <w:ind w:firstLine="601"/>
        <w:spacing w:line="360" w:lineRule="auto"/>
        <w:rPr>
          <w:rFonts w:hint="eastAsia" w:ascii="宋体" w:hAnsi="宋体"/>
          <w:color w:val="000000"/>
          <w:sz w:val="24"/>
          <w:szCs w:val="24"/>
        </w:rPr>
      </w:pPr>
      <w:r>
        <w:rPr>
          <w:rFonts w:hint="eastAsia" w:ascii="宋体" w:hAnsi="宋体"/>
          <w:color w:val="000000"/>
          <w:sz w:val="24"/>
          <w:szCs w:val="24"/>
        </w:rPr>
        <w:t xml:space="preserve"> 2、参加乡镇绿化养护投标的单位，要具独立法人资格，具备绿化养护经验，并在技术人员、设备、资金、安全、作业人员等方面具有相应的保障和施工能力。</w:t>
      </w:r>
      <w:r/>
    </w:p>
    <w:p>
      <w:pPr>
        <w:ind w:firstLine="601"/>
        <w:spacing w:line="360" w:lineRule="auto"/>
        <w:rPr>
          <w:rFonts w:hint="eastAsia" w:ascii="宋体" w:hAnsi="宋体"/>
          <w:color w:val="000000"/>
          <w:sz w:val="24"/>
          <w:szCs w:val="24"/>
        </w:rPr>
      </w:pPr>
      <w:r>
        <w:rPr>
          <w:rFonts w:hint="eastAsia" w:ascii="宋体" w:hAnsi="宋体"/>
          <w:color w:val="000000"/>
          <w:sz w:val="24"/>
          <w:szCs w:val="24"/>
        </w:rPr>
        <w:t xml:space="preserve"> 3、工作经费主要用于聘请监理、组织招标等支出，必须按照《常熟市绿化养护专项资金管理办法》规范使用。</w:t>
      </w:r>
      <w:r/>
    </w:p>
    <w:p>
      <w:pPr>
        <w:ind w:firstLine="601"/>
        <w:spacing w:line="360" w:lineRule="auto"/>
        <w:rPr>
          <w:rFonts w:hint="eastAsia" w:ascii="宋体" w:hAnsi="宋体"/>
          <w:color w:val="000000"/>
          <w:sz w:val="24"/>
          <w:szCs w:val="24"/>
        </w:rPr>
      </w:pPr>
      <w:r>
        <w:rPr>
          <w:rFonts w:hint="eastAsia" w:ascii="宋体" w:hAnsi="宋体"/>
          <w:color w:val="000000"/>
          <w:sz w:val="24"/>
          <w:szCs w:val="24"/>
        </w:rPr>
        <w:t xml:space="preserve"> 4、如遇工程建设、道路施工等原因导致的绿地养</w:t>
      </w:r>
      <w:r>
        <w:rPr>
          <w:rFonts w:hint="eastAsia" w:ascii="宋体" w:hAnsi="宋体"/>
          <w:color w:val="000000"/>
          <w:sz w:val="24"/>
          <w:szCs w:val="24"/>
          <w:highlight w:val="none"/>
        </w:rPr>
        <w:t xml:space="preserve">护服务作业量增减，则根据所在服务年度、月度、时间（自然日）、绿化养护增减面积及中标绿化养护单价（中标总价除以总面积计算）来调整养护经费。</w:t>
      </w:r>
      <w:r/>
    </w:p>
    <w:p>
      <w:pPr>
        <w:ind w:firstLine="601"/>
        <w:spacing w:line="360" w:lineRule="auto"/>
        <w:rPr>
          <w:rFonts w:hint="eastAsia" w:ascii="宋体" w:hAnsi="宋体"/>
          <w:color w:val="000000"/>
          <w:sz w:val="24"/>
          <w:szCs w:val="24"/>
        </w:rPr>
      </w:pPr>
      <w:r>
        <w:rPr>
          <w:rFonts w:hint="eastAsia" w:ascii="宋体" w:hAnsi="宋体"/>
          <w:color w:val="000000"/>
          <w:sz w:val="24"/>
          <w:szCs w:val="24"/>
        </w:rPr>
        <w:t xml:space="preserve"> 5、执行本考核办法（试行）和《常熟市三环路外绿化属地养护评分细则》的综合评分作为与各镇（板块）、各镇（板块）与养护单位养护经费和工作经费结算依据。</w:t>
      </w:r>
      <w:r/>
    </w:p>
    <w:p>
      <w:pPr>
        <w:jc w:val="left"/>
        <w:widowControl/>
        <w:rPr>
          <w:rFonts w:ascii="宋体" w:hAnsi="宋体"/>
          <w:sz w:val="24"/>
          <w:szCs w:val="24"/>
        </w:rPr>
      </w:pPr>
      <w:r>
        <w:rPr>
          <w:rFonts w:ascii="宋体" w:hAnsi="宋体"/>
          <w:sz w:val="24"/>
          <w:szCs w:val="24"/>
        </w:rPr>
        <w:br w:type="page" w:clear="all"/>
      </w:r>
      <w:r/>
    </w:p>
    <w:p>
      <w:pPr>
        <w:ind w:firstLine="601"/>
        <w:jc w:val="center"/>
        <w:keepLines w:val="0"/>
        <w:keepNext w:val="0"/>
        <w:pageBreakBefore w:val="0"/>
        <w:spacing w:line="360" w:lineRule="auto"/>
        <w:widowControl w:val="off"/>
        <w:rPr>
          <w:rFonts w:hint="eastAsia" w:ascii="宋体" w:hAnsi="宋体" w:eastAsia="宋体" w:cs="Times New Roman"/>
          <w:b/>
          <w:color w:val="000000"/>
          <w:sz w:val="36"/>
          <w:szCs w:val="36"/>
          <w:lang w:val="en-US" w:eastAsia="zh-CN"/>
        </w:rPr>
        <w:outlineLvl w:val="1"/>
      </w:pPr>
      <w:r/>
      <w:bookmarkStart w:id="203" w:name="_Toc4684"/>
      <w:r>
        <w:rPr>
          <w:rFonts w:hint="eastAsia" w:ascii="宋体" w:hAnsi="宋体" w:eastAsia="宋体" w:cs="Times New Roman"/>
          <w:b/>
          <w:color w:val="000000"/>
          <w:sz w:val="36"/>
          <w:szCs w:val="36"/>
          <w:lang w:val="en-US" w:eastAsia="zh-CN"/>
        </w:rPr>
        <w:t xml:space="preserve">附件③常熟市三环路外绿化属地养护评分和奖惩细则</w:t>
      </w:r>
      <w:bookmarkEnd w:id="203"/>
      <w:r/>
      <w:r/>
    </w:p>
    <w:p>
      <w:pPr>
        <w:spacing w:line="400" w:lineRule="exact"/>
        <w:rPr>
          <w:rFonts w:hint="eastAsia" w:ascii="宋体" w:hAnsi="宋体"/>
          <w:color w:val="000000"/>
          <w:sz w:val="24"/>
          <w:szCs w:val="24"/>
        </w:rPr>
      </w:pPr>
      <w:r>
        <w:rPr>
          <w:rFonts w:hint="eastAsia" w:ascii="宋体" w:hAnsi="宋体"/>
          <w:color w:val="000000"/>
          <w:sz w:val="24"/>
          <w:szCs w:val="24"/>
        </w:rPr>
        <w:t xml:space="preserve">一、管理考核100分</w:t>
      </w:r>
      <w:r/>
    </w:p>
    <w:p>
      <w:pPr>
        <w:spacing w:line="400" w:lineRule="exact"/>
        <w:rPr>
          <w:rFonts w:hint="eastAsia" w:ascii="宋体" w:hAnsi="宋体"/>
          <w:color w:val="000000"/>
          <w:sz w:val="24"/>
          <w:szCs w:val="24"/>
        </w:rPr>
      </w:pPr>
      <w:r>
        <w:rPr>
          <w:rFonts w:hint="eastAsia" w:ascii="宋体" w:hAnsi="宋体"/>
          <w:color w:val="000000"/>
          <w:sz w:val="24"/>
          <w:szCs w:val="24"/>
        </w:rPr>
        <w:t xml:space="preserve"> （一）动态评价20分</w:t>
      </w:r>
      <w:r/>
    </w:p>
    <w:p>
      <w:pPr>
        <w:ind w:firstLine="601"/>
        <w:spacing w:line="400" w:lineRule="exact"/>
        <w:rPr>
          <w:rFonts w:hint="eastAsia" w:ascii="宋体" w:hAnsi="宋体"/>
          <w:color w:val="000000"/>
          <w:sz w:val="24"/>
          <w:szCs w:val="24"/>
        </w:rPr>
      </w:pPr>
      <w:r>
        <w:rPr>
          <w:rFonts w:hint="eastAsia" w:ascii="宋体" w:hAnsi="宋体"/>
          <w:color w:val="000000"/>
          <w:sz w:val="24"/>
          <w:szCs w:val="24"/>
        </w:rPr>
        <w:t xml:space="preserve"> 1、养护不当，受到上级领导点名批评并经核实的，每次扣5分；</w:t>
      </w:r>
      <w:r/>
    </w:p>
    <w:p>
      <w:pPr>
        <w:ind w:firstLine="601"/>
        <w:spacing w:line="400" w:lineRule="exact"/>
        <w:rPr>
          <w:rFonts w:hint="eastAsia" w:ascii="宋体" w:hAnsi="宋体"/>
          <w:color w:val="000000"/>
          <w:sz w:val="24"/>
          <w:szCs w:val="24"/>
        </w:rPr>
      </w:pPr>
      <w:r>
        <w:rPr>
          <w:rFonts w:hint="eastAsia" w:ascii="宋体" w:hAnsi="宋体"/>
          <w:color w:val="000000"/>
          <w:sz w:val="24"/>
          <w:szCs w:val="24"/>
        </w:rPr>
        <w:t xml:space="preserve"> 2、经媒体曝光经查实的，每次扣5分；</w:t>
      </w:r>
      <w:r/>
    </w:p>
    <w:p>
      <w:pPr>
        <w:ind w:firstLine="601"/>
        <w:spacing w:line="400" w:lineRule="exact"/>
        <w:rPr>
          <w:rFonts w:hint="eastAsia" w:ascii="宋体" w:hAnsi="宋体"/>
          <w:color w:val="000000"/>
          <w:sz w:val="24"/>
          <w:szCs w:val="24"/>
        </w:rPr>
      </w:pPr>
      <w:r>
        <w:rPr>
          <w:rFonts w:hint="eastAsia" w:ascii="宋体" w:hAnsi="宋体"/>
          <w:color w:val="000000"/>
          <w:sz w:val="24"/>
          <w:szCs w:val="24"/>
        </w:rPr>
        <w:t xml:space="preserve"> 3、群众举报查实的，每次扣2分；</w:t>
      </w:r>
      <w:r/>
    </w:p>
    <w:p>
      <w:pPr>
        <w:ind w:firstLine="601"/>
        <w:spacing w:line="400" w:lineRule="exact"/>
        <w:rPr>
          <w:rFonts w:hint="eastAsia" w:ascii="宋体" w:hAnsi="宋体"/>
          <w:color w:val="000000"/>
          <w:sz w:val="24"/>
          <w:szCs w:val="24"/>
        </w:rPr>
      </w:pPr>
      <w:r>
        <w:rPr>
          <w:rFonts w:hint="eastAsia" w:ascii="宋体" w:hAnsi="宋体"/>
          <w:color w:val="000000"/>
          <w:sz w:val="24"/>
          <w:szCs w:val="24"/>
        </w:rPr>
        <w:t xml:space="preserve">上述1—3条按每次考核累计扣分计分。</w:t>
      </w:r>
      <w:r/>
    </w:p>
    <w:p>
      <w:pPr>
        <w:spacing w:line="400" w:lineRule="exact"/>
        <w:rPr>
          <w:rFonts w:hint="eastAsia" w:ascii="宋体" w:hAnsi="宋体"/>
          <w:color w:val="000000"/>
          <w:sz w:val="24"/>
          <w:szCs w:val="24"/>
        </w:rPr>
      </w:pPr>
      <w:r>
        <w:rPr>
          <w:rFonts w:hint="eastAsia" w:ascii="宋体" w:hAnsi="宋体"/>
          <w:color w:val="000000"/>
          <w:sz w:val="24"/>
          <w:szCs w:val="24"/>
        </w:rPr>
        <w:t xml:space="preserve">（二）管理工作80分</w:t>
      </w:r>
      <w:r/>
    </w:p>
    <w:p>
      <w:pPr>
        <w:ind w:firstLine="601"/>
        <w:spacing w:line="400" w:lineRule="exact"/>
        <w:rPr>
          <w:rFonts w:hint="eastAsia" w:ascii="宋体" w:hAnsi="宋体"/>
          <w:color w:val="000000"/>
          <w:sz w:val="24"/>
          <w:szCs w:val="24"/>
        </w:rPr>
      </w:pPr>
      <w:r>
        <w:rPr>
          <w:rFonts w:hint="eastAsia" w:ascii="宋体" w:hAnsi="宋体"/>
          <w:color w:val="000000"/>
          <w:sz w:val="24"/>
          <w:szCs w:val="24"/>
        </w:rPr>
        <w:t xml:space="preserve"> 1、有科学、完善的月度养护计划，包括树木养护、草坪养护、病虫害防治、设施维护等20分（计划编制不完整，每漏一项扣2分；计划编制不科学，每项扣5分）；</w:t>
      </w:r>
      <w:r/>
    </w:p>
    <w:p>
      <w:pPr>
        <w:ind w:firstLine="601"/>
        <w:spacing w:line="400" w:lineRule="exact"/>
        <w:rPr>
          <w:rFonts w:hint="eastAsia" w:ascii="宋体" w:hAnsi="宋体"/>
          <w:color w:val="000000"/>
          <w:sz w:val="24"/>
          <w:szCs w:val="24"/>
        </w:rPr>
      </w:pPr>
      <w:r>
        <w:rPr>
          <w:rFonts w:hint="eastAsia" w:ascii="宋体" w:hAnsi="宋体"/>
          <w:color w:val="000000"/>
          <w:sz w:val="24"/>
          <w:szCs w:val="24"/>
        </w:rPr>
        <w:t xml:space="preserve"> 2、根据所核定的月度养护计划，逐项进行对照检查20分（有一项无客观原因未完成，扣2分）；</w:t>
      </w:r>
      <w:r/>
    </w:p>
    <w:p>
      <w:pPr>
        <w:ind w:firstLine="601"/>
        <w:spacing w:line="400" w:lineRule="exact"/>
        <w:rPr>
          <w:rFonts w:hint="eastAsia" w:ascii="宋体" w:hAnsi="宋体"/>
          <w:color w:val="000000"/>
          <w:sz w:val="24"/>
          <w:szCs w:val="24"/>
        </w:rPr>
      </w:pPr>
      <w:r>
        <w:rPr>
          <w:rFonts w:hint="eastAsia" w:ascii="宋体" w:hAnsi="宋体"/>
          <w:color w:val="000000"/>
          <w:sz w:val="24"/>
          <w:szCs w:val="24"/>
        </w:rPr>
        <w:t xml:space="preserve"> 3、对各养护单位进行月度考核制度，并有完整考核台账和养护档案40分（台账资料、巡查考核记录缺失扣10分；如不进行考核，则不得分，同时核减工作经费）；</w:t>
      </w:r>
      <w:r/>
    </w:p>
    <w:p>
      <w:pPr>
        <w:ind w:firstLine="601"/>
        <w:spacing w:line="400" w:lineRule="exact"/>
        <w:rPr>
          <w:rFonts w:hint="eastAsia" w:ascii="宋体" w:hAnsi="宋体"/>
          <w:color w:val="000000"/>
          <w:sz w:val="24"/>
          <w:szCs w:val="24"/>
        </w:rPr>
      </w:pPr>
      <w:r>
        <w:rPr>
          <w:rFonts w:hint="eastAsia" w:ascii="宋体" w:hAnsi="宋体"/>
          <w:color w:val="000000"/>
          <w:sz w:val="24"/>
          <w:szCs w:val="24"/>
        </w:rPr>
        <w:t xml:space="preserve"> 4、养护管理工作中，有新技术、新方法运用，取得较好效果的，加5分；</w:t>
      </w:r>
      <w:r/>
    </w:p>
    <w:p>
      <w:pPr>
        <w:ind w:firstLine="601"/>
        <w:spacing w:line="400" w:lineRule="exact"/>
        <w:rPr>
          <w:rFonts w:hint="eastAsia" w:ascii="宋体" w:hAnsi="宋体"/>
          <w:color w:val="000000"/>
          <w:sz w:val="24"/>
          <w:szCs w:val="24"/>
        </w:rPr>
      </w:pPr>
      <w:r>
        <w:rPr>
          <w:rFonts w:hint="eastAsia" w:ascii="宋体" w:hAnsi="宋体"/>
          <w:color w:val="000000"/>
          <w:sz w:val="24"/>
          <w:szCs w:val="24"/>
        </w:rPr>
        <w:t xml:space="preserve">获得加分总分不突破100分。</w:t>
      </w:r>
      <w:r/>
    </w:p>
    <w:p>
      <w:pPr>
        <w:spacing w:line="400" w:lineRule="exact"/>
        <w:rPr>
          <w:rFonts w:hint="eastAsia" w:ascii="宋体" w:hAnsi="宋体"/>
          <w:color w:val="000000"/>
          <w:sz w:val="24"/>
          <w:szCs w:val="24"/>
        </w:rPr>
      </w:pPr>
      <w:r>
        <w:rPr>
          <w:rFonts w:hint="eastAsia" w:ascii="宋体" w:hAnsi="宋体"/>
          <w:color w:val="000000"/>
          <w:sz w:val="24"/>
          <w:szCs w:val="24"/>
        </w:rPr>
        <w:t xml:space="preserve">（三）直接扣分:未按相关规定落实安全生产管理责任，发生安全生产责任事故扣100分。</w:t>
      </w:r>
      <w:r/>
    </w:p>
    <w:p>
      <w:pPr>
        <w:spacing w:line="400" w:lineRule="exact"/>
        <w:rPr>
          <w:rFonts w:hint="eastAsia" w:ascii="宋体" w:hAnsi="宋体"/>
          <w:color w:val="000000"/>
          <w:sz w:val="24"/>
          <w:szCs w:val="24"/>
        </w:rPr>
      </w:pPr>
      <w:r>
        <w:rPr>
          <w:rFonts w:hint="eastAsia" w:ascii="宋体" w:hAnsi="宋体"/>
          <w:color w:val="000000"/>
          <w:sz w:val="24"/>
          <w:szCs w:val="24"/>
        </w:rPr>
        <w:t xml:space="preserve">二、现场考核100分</w:t>
      </w:r>
      <w:r/>
    </w:p>
    <w:p>
      <w:pPr>
        <w:ind w:firstLine="601"/>
        <w:spacing w:line="400" w:lineRule="exact"/>
        <w:rPr>
          <w:rFonts w:hint="eastAsia" w:ascii="宋体" w:hAnsi="宋体"/>
          <w:color w:val="000000"/>
          <w:sz w:val="24"/>
          <w:szCs w:val="24"/>
        </w:rPr>
      </w:pPr>
      <w:r>
        <w:rPr>
          <w:rFonts w:hint="eastAsia" w:ascii="宋体" w:hAnsi="宋体"/>
          <w:color w:val="000000"/>
          <w:sz w:val="24"/>
          <w:szCs w:val="24"/>
        </w:rPr>
        <w:t xml:space="preserve">现场考核项目分8项，即植物长势、肥水管理、除草病虫防治、修剪整形、园林设施、环境卫生、护绿防火、养护人员。</w:t>
      </w:r>
      <w:r/>
    </w:p>
    <w:p>
      <w:pPr>
        <w:ind w:firstLine="601"/>
        <w:spacing w:line="400" w:lineRule="exact"/>
        <w:rPr>
          <w:rFonts w:hint="eastAsia" w:ascii="宋体" w:hAnsi="宋体"/>
          <w:color w:val="000000"/>
          <w:sz w:val="24"/>
          <w:szCs w:val="24"/>
        </w:rPr>
      </w:pPr>
      <w:r>
        <w:rPr>
          <w:rFonts w:hint="eastAsia" w:ascii="宋体" w:hAnsi="宋体"/>
          <w:color w:val="000000"/>
          <w:sz w:val="24"/>
          <w:szCs w:val="24"/>
        </w:rPr>
        <w:t xml:space="preserve">现场考核评分细则</w:t>
      </w:r>
      <w:r/>
    </w:p>
    <w:tbl>
      <w:tblPr>
        <w:tblStyle w:val="717"/>
        <w:tblW w:w="89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4"/>
        <w:gridCol w:w="1630"/>
        <w:gridCol w:w="6369"/>
      </w:tblGrid>
      <w:tr>
        <w:trPr>
          <w:jc w:val="center"/>
          <w:trHeight w:val="795"/>
        </w:trPr>
        <w:tc>
          <w:tcPr>
            <w:tcBorders>
              <w:top w:val="single" w:color="auto" w:sz="4" w:space="0"/>
              <w:left w:val="single" w:color="auto" w:sz="4" w:space="0"/>
              <w:bottom w:val="single" w:color="auto" w:sz="4" w:space="0"/>
              <w:right w:val="single" w:color="auto" w:sz="4" w:space="0"/>
            </w:tcBorders>
            <w:tcW w:w="914"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spacing w:line="400" w:lineRule="exact"/>
              <w:rPr>
                <w:rFonts w:hint="eastAsia" w:ascii="宋体" w:hAnsi="宋体"/>
                <w:color w:val="000000"/>
                <w:sz w:val="24"/>
                <w:szCs w:val="24"/>
              </w:rPr>
            </w:pPr>
            <w:r>
              <w:rPr>
                <w:rFonts w:hint="eastAsia" w:ascii="宋体" w:hAnsi="宋体"/>
                <w:color w:val="000000"/>
                <w:sz w:val="24"/>
                <w:szCs w:val="24"/>
              </w:rPr>
              <w:t xml:space="preserve"> 项目标准分</w:t>
            </w:r>
            <w:r/>
          </w:p>
        </w:tc>
        <w:tc>
          <w:tcPr>
            <w:tcBorders>
              <w:top w:val="single" w:color="auto" w:sz="4" w:space="0"/>
              <w:left w:val="single" w:color="auto" w:sz="4" w:space="0"/>
              <w:bottom w:val="single" w:color="auto" w:sz="4" w:space="0"/>
              <w:right w:val="single" w:color="auto" w:sz="4" w:space="0"/>
            </w:tcBorders>
            <w:tcW w:w="6369" w:type="dxa"/>
            <w:vAlign w:val="center"/>
            <w:textDirection w:val="lrTb"/>
            <w:noWrap w:val="false"/>
          </w:tcPr>
          <w:p>
            <w:pPr>
              <w:spacing w:line="400" w:lineRule="exact"/>
              <w:rPr>
                <w:rFonts w:hint="eastAsia" w:ascii="宋体" w:hAnsi="宋体"/>
                <w:color w:val="000000"/>
                <w:sz w:val="24"/>
                <w:szCs w:val="24"/>
              </w:rPr>
            </w:pPr>
            <w:r>
              <w:rPr>
                <w:rFonts w:hint="eastAsia" w:ascii="宋体" w:hAnsi="宋体"/>
                <w:color w:val="000000"/>
                <w:sz w:val="24"/>
                <w:szCs w:val="24"/>
              </w:rPr>
              <w:t xml:space="preserve">考核内容扣分项目</w:t>
            </w:r>
            <w:r/>
          </w:p>
        </w:tc>
      </w:tr>
      <w:tr>
        <w:trPr>
          <w:cantSplit/>
          <w:jc w:val="center"/>
          <w:trHeight w:val="657"/>
        </w:trPr>
        <w:tc>
          <w:tcPr>
            <w:tcBorders>
              <w:top w:val="none" w:color="000000" w:sz="4" w:space="0"/>
              <w:left w:val="single" w:color="auto" w:sz="4" w:space="0"/>
              <w:bottom w:val="single" w:color="auto" w:sz="4" w:space="0"/>
              <w:right w:val="single" w:color="auto" w:sz="4" w:space="0"/>
            </w:tcBorders>
            <w:tcW w:w="914" w:type="dxa"/>
            <w:vAlign w:val="center"/>
            <w:vMerge w:val="restart"/>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p>
        </w:tc>
        <w:tc>
          <w:tcPr>
            <w:tcBorders>
              <w:top w:val="none" w:color="000000" w:sz="4" w:space="0"/>
              <w:left w:val="single" w:color="auto" w:sz="4" w:space="0"/>
              <w:bottom w:val="single" w:color="auto" w:sz="4" w:space="0"/>
              <w:right w:val="single" w:color="auto" w:sz="4" w:space="0"/>
            </w:tcBorders>
            <w:tcW w:w="1630" w:type="dxa"/>
            <w:vAlign w:val="center"/>
            <w:vMerge w:val="restart"/>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植物长势</w:t>
            </w:r>
            <w:r/>
          </w:p>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（20分）</w:t>
            </w:r>
            <w:r/>
          </w:p>
        </w:tc>
        <w:tc>
          <w:tcPr>
            <w:tcBorders>
              <w:top w:val="single" w:color="auto" w:sz="4" w:space="0"/>
              <w:left w:val="single" w:color="auto" w:sz="4" w:space="0"/>
              <w:bottom w:val="single" w:color="auto" w:sz="4" w:space="0"/>
              <w:right w:val="single" w:color="auto" w:sz="4" w:space="0"/>
            </w:tcBorders>
            <w:tcW w:w="6369" w:type="dxa"/>
            <w:vAlign w:val="center"/>
            <w:textDirection w:val="lrTb"/>
            <w:noWrap w:val="false"/>
          </w:tcPr>
          <w:p>
            <w:pPr>
              <w:spacing w:line="400" w:lineRule="exact"/>
              <w:rPr>
                <w:rFonts w:hint="eastAsia" w:ascii="宋体" w:hAnsi="宋体"/>
                <w:color w:val="000000"/>
                <w:sz w:val="24"/>
                <w:szCs w:val="24"/>
              </w:rPr>
            </w:pPr>
            <w:r>
              <w:rPr>
                <w:rFonts w:hint="eastAsia" w:ascii="宋体" w:hAnsi="宋体"/>
                <w:color w:val="000000"/>
                <w:sz w:val="24"/>
                <w:szCs w:val="24"/>
              </w:rPr>
              <w:t xml:space="preserve">①植物生长不健康，影响景观效果的扣3-5分</w:t>
            </w:r>
            <w:r/>
          </w:p>
        </w:tc>
      </w:tr>
      <w:tr>
        <w:trPr>
          <w:cantSplit/>
          <w:jc w:val="center"/>
          <w:trHeight w:val="623"/>
        </w:trPr>
        <w:tc>
          <w:tcPr>
            <w:tcBorders>
              <w:top w:val="none" w:color="000000" w:sz="4" w:space="0"/>
              <w:left w:val="single" w:color="auto" w:sz="4" w:space="0"/>
              <w:bottom w:val="single" w:color="auto" w:sz="4" w:space="0"/>
              <w:right w:val="single" w:color="auto" w:sz="4" w:space="0"/>
            </w:tcBorders>
            <w:tcW w:w="914" w:type="dxa"/>
            <w:vAlign w:val="center"/>
            <w:vMerge w:val="continue"/>
            <w:textDirection w:val="lrTb"/>
            <w:noWrap w:val="false"/>
          </w:tcPr>
          <w:p>
            <w:pPr>
              <w:jc w:val="left"/>
              <w:widowControl/>
              <w:rPr>
                <w:rFonts w:ascii="宋体" w:hAnsi="宋体"/>
                <w:color w:val="000000"/>
                <w:sz w:val="24"/>
                <w:szCs w:val="24"/>
              </w:rPr>
            </w:pPr>
            <w:r>
              <w:rPr>
                <w:rFonts w:ascii="宋体" w:hAnsi="宋体"/>
                <w:color w:val="000000"/>
                <w:sz w:val="24"/>
                <w:szCs w:val="24"/>
              </w:rPr>
            </w:r>
            <w:r/>
          </w:p>
        </w:tc>
        <w:tc>
          <w:tcPr>
            <w:tcBorders>
              <w:top w:val="none" w:color="000000" w:sz="4" w:space="0"/>
              <w:left w:val="single" w:color="auto" w:sz="4" w:space="0"/>
              <w:bottom w:val="single" w:color="auto" w:sz="4" w:space="0"/>
              <w:right w:val="single" w:color="auto" w:sz="4" w:space="0"/>
            </w:tcBorders>
            <w:tcW w:w="1630" w:type="dxa"/>
            <w:vAlign w:val="center"/>
            <w:vMerge w:val="continue"/>
            <w:textDirection w:val="lrTb"/>
            <w:noWrap w:val="false"/>
          </w:tcPr>
          <w:p>
            <w:pPr>
              <w:jc w:val="left"/>
              <w:widowControl/>
              <w:rPr>
                <w:rFonts w:ascii="宋体" w:hAnsi="宋体"/>
                <w:color w:val="000000"/>
                <w:sz w:val="24"/>
                <w:szCs w:val="24"/>
              </w:rPr>
            </w:pPr>
            <w:r>
              <w:rPr>
                <w:rFonts w:ascii="宋体" w:hAnsi="宋体"/>
                <w:color w:val="000000"/>
                <w:sz w:val="24"/>
                <w:szCs w:val="24"/>
              </w:rPr>
            </w:r>
            <w:r/>
          </w:p>
        </w:tc>
        <w:tc>
          <w:tcPr>
            <w:tcBorders>
              <w:top w:val="single" w:color="auto" w:sz="4" w:space="0"/>
              <w:left w:val="single" w:color="auto" w:sz="4" w:space="0"/>
              <w:bottom w:val="single" w:color="auto" w:sz="4" w:space="0"/>
              <w:right w:val="single" w:color="auto" w:sz="4" w:space="0"/>
            </w:tcBorders>
            <w:tcW w:w="6369" w:type="dxa"/>
            <w:vAlign w:val="center"/>
            <w:textDirection w:val="lrTb"/>
            <w:noWrap w:val="false"/>
          </w:tcPr>
          <w:p>
            <w:pPr>
              <w:spacing w:line="400" w:lineRule="exact"/>
              <w:rPr>
                <w:rFonts w:hint="eastAsia" w:ascii="宋体" w:hAnsi="宋体"/>
                <w:color w:val="000000"/>
                <w:sz w:val="24"/>
                <w:szCs w:val="24"/>
              </w:rPr>
            </w:pPr>
            <w:r>
              <w:rPr>
                <w:rFonts w:hint="eastAsia" w:ascii="宋体" w:hAnsi="宋体"/>
                <w:color w:val="000000"/>
                <w:sz w:val="24"/>
                <w:szCs w:val="24"/>
              </w:rPr>
              <w:t xml:space="preserve">②未清除大面积死树的扣5-10分</w:t>
            </w:r>
            <w:r/>
          </w:p>
        </w:tc>
      </w:tr>
      <w:tr>
        <w:trPr>
          <w:cantSplit/>
          <w:jc w:val="center"/>
          <w:trHeight w:val="771"/>
        </w:trPr>
        <w:tc>
          <w:tcPr>
            <w:tcBorders>
              <w:top w:val="none" w:color="000000" w:sz="4" w:space="0"/>
              <w:left w:val="single" w:color="auto" w:sz="4" w:space="0"/>
              <w:bottom w:val="single" w:color="auto" w:sz="4" w:space="0"/>
              <w:right w:val="single" w:color="auto" w:sz="4" w:space="0"/>
            </w:tcBorders>
            <w:tcW w:w="914" w:type="dxa"/>
            <w:vAlign w:val="center"/>
            <w:vMerge w:val="continue"/>
            <w:textDirection w:val="lrTb"/>
            <w:noWrap w:val="false"/>
          </w:tcPr>
          <w:p>
            <w:pPr>
              <w:jc w:val="left"/>
              <w:widowControl/>
              <w:rPr>
                <w:rFonts w:ascii="宋体" w:hAnsi="宋体"/>
                <w:color w:val="000000"/>
                <w:sz w:val="24"/>
                <w:szCs w:val="24"/>
              </w:rPr>
            </w:pPr>
            <w:r>
              <w:rPr>
                <w:rFonts w:ascii="宋体" w:hAnsi="宋体"/>
                <w:color w:val="000000"/>
                <w:sz w:val="24"/>
                <w:szCs w:val="24"/>
              </w:rPr>
            </w:r>
            <w:r/>
          </w:p>
        </w:tc>
        <w:tc>
          <w:tcPr>
            <w:tcBorders>
              <w:top w:val="none" w:color="000000" w:sz="4" w:space="0"/>
              <w:left w:val="single" w:color="auto" w:sz="4" w:space="0"/>
              <w:bottom w:val="single" w:color="auto" w:sz="4" w:space="0"/>
              <w:right w:val="single" w:color="auto" w:sz="4" w:space="0"/>
            </w:tcBorders>
            <w:tcW w:w="1630" w:type="dxa"/>
            <w:vAlign w:val="center"/>
            <w:vMerge w:val="continue"/>
            <w:textDirection w:val="lrTb"/>
            <w:noWrap w:val="false"/>
          </w:tcPr>
          <w:p>
            <w:pPr>
              <w:jc w:val="left"/>
              <w:widowControl/>
              <w:rPr>
                <w:rFonts w:ascii="宋体" w:hAnsi="宋体"/>
                <w:color w:val="000000"/>
                <w:sz w:val="24"/>
                <w:szCs w:val="24"/>
              </w:rPr>
            </w:pPr>
            <w:r>
              <w:rPr>
                <w:rFonts w:ascii="宋体" w:hAnsi="宋体"/>
                <w:color w:val="000000"/>
                <w:sz w:val="24"/>
                <w:szCs w:val="24"/>
              </w:rPr>
            </w:r>
            <w:r/>
          </w:p>
        </w:tc>
        <w:tc>
          <w:tcPr>
            <w:tcBorders>
              <w:top w:val="single" w:color="auto" w:sz="4" w:space="0"/>
              <w:left w:val="single" w:color="auto" w:sz="4" w:space="0"/>
              <w:bottom w:val="single" w:color="auto" w:sz="4" w:space="0"/>
              <w:right w:val="single" w:color="auto" w:sz="4" w:space="0"/>
            </w:tcBorders>
            <w:tcW w:w="6369"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③绿地内乔木、灌木有倒伏未进行扶正的，扣3-10分</w:t>
            </w:r>
            <w:r/>
          </w:p>
        </w:tc>
      </w:tr>
      <w:tr>
        <w:trPr>
          <w:cantSplit/>
          <w:jc w:val="center"/>
          <w:trHeight w:val="769"/>
        </w:trPr>
        <w:tc>
          <w:tcPr>
            <w:tcBorders>
              <w:top w:val="none" w:color="000000" w:sz="4" w:space="0"/>
              <w:left w:val="single" w:color="auto" w:sz="4" w:space="0"/>
              <w:bottom w:val="single" w:color="auto" w:sz="4" w:space="0"/>
              <w:right w:val="single" w:color="auto" w:sz="4" w:space="0"/>
            </w:tcBorders>
            <w:tcW w:w="914" w:type="dxa"/>
            <w:vAlign w:val="center"/>
            <w:vMerge w:val="restart"/>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2</w:t>
            </w:r>
            <w:r/>
          </w:p>
        </w:tc>
        <w:tc>
          <w:tcPr>
            <w:tcBorders>
              <w:top w:val="none" w:color="000000" w:sz="4" w:space="0"/>
              <w:left w:val="single" w:color="auto" w:sz="4" w:space="0"/>
              <w:bottom w:val="single" w:color="auto" w:sz="4" w:space="0"/>
              <w:right w:val="single" w:color="auto" w:sz="4" w:space="0"/>
            </w:tcBorders>
            <w:tcW w:w="1630" w:type="dxa"/>
            <w:vAlign w:val="center"/>
            <w:vMerge w:val="restart"/>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肥水管理</w:t>
            </w:r>
            <w:r/>
          </w:p>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（15分）</w:t>
            </w:r>
            <w:r/>
          </w:p>
        </w:tc>
        <w:tc>
          <w:tcPr>
            <w:tcBorders>
              <w:top w:val="single" w:color="auto" w:sz="4" w:space="0"/>
              <w:left w:val="single" w:color="auto" w:sz="4" w:space="0"/>
              <w:bottom w:val="single" w:color="auto" w:sz="4" w:space="0"/>
              <w:right w:val="single" w:color="auto" w:sz="4" w:space="0"/>
            </w:tcBorders>
            <w:tcW w:w="6369"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①未排涝导致绿地内有积水或不及时浇灌，致使树木生长不良或枯死的，扣3-10分</w:t>
            </w:r>
            <w:r/>
          </w:p>
        </w:tc>
      </w:tr>
      <w:tr>
        <w:trPr>
          <w:cantSplit/>
          <w:jc w:val="center"/>
          <w:trHeight w:val="920"/>
        </w:trPr>
        <w:tc>
          <w:tcPr>
            <w:tcBorders>
              <w:top w:val="none" w:color="000000" w:sz="4" w:space="0"/>
              <w:left w:val="single" w:color="auto" w:sz="4" w:space="0"/>
              <w:bottom w:val="single" w:color="auto" w:sz="4" w:space="0"/>
              <w:right w:val="single" w:color="auto" w:sz="4" w:space="0"/>
            </w:tcBorders>
            <w:tcW w:w="914" w:type="dxa"/>
            <w:vAlign w:val="center"/>
            <w:vMerge w:val="continue"/>
            <w:textDirection w:val="lrTb"/>
            <w:noWrap w:val="false"/>
          </w:tcPr>
          <w:p>
            <w:pPr>
              <w:jc w:val="left"/>
              <w:widowControl/>
              <w:rPr>
                <w:rFonts w:ascii="宋体" w:hAnsi="宋体"/>
                <w:color w:val="000000"/>
                <w:sz w:val="24"/>
                <w:szCs w:val="24"/>
              </w:rPr>
            </w:pPr>
            <w:r>
              <w:rPr>
                <w:rFonts w:ascii="宋体" w:hAnsi="宋体"/>
                <w:color w:val="000000"/>
                <w:sz w:val="24"/>
                <w:szCs w:val="24"/>
              </w:rPr>
            </w:r>
            <w:r/>
          </w:p>
        </w:tc>
        <w:tc>
          <w:tcPr>
            <w:tcBorders>
              <w:top w:val="none" w:color="000000" w:sz="4" w:space="0"/>
              <w:left w:val="single" w:color="auto" w:sz="4" w:space="0"/>
              <w:bottom w:val="single" w:color="auto" w:sz="4" w:space="0"/>
              <w:right w:val="single" w:color="auto" w:sz="4" w:space="0"/>
            </w:tcBorders>
            <w:tcW w:w="1630" w:type="dxa"/>
            <w:vAlign w:val="center"/>
            <w:vMerge w:val="continue"/>
            <w:textDirection w:val="lrTb"/>
            <w:noWrap w:val="false"/>
          </w:tcPr>
          <w:p>
            <w:pPr>
              <w:jc w:val="left"/>
              <w:widowControl/>
              <w:rPr>
                <w:rFonts w:ascii="宋体" w:hAnsi="宋体"/>
                <w:color w:val="000000"/>
                <w:sz w:val="24"/>
                <w:szCs w:val="24"/>
              </w:rPr>
            </w:pPr>
            <w:r>
              <w:rPr>
                <w:rFonts w:ascii="宋体" w:hAnsi="宋体"/>
                <w:color w:val="000000"/>
                <w:sz w:val="24"/>
                <w:szCs w:val="24"/>
              </w:rPr>
            </w:r>
            <w:r/>
          </w:p>
        </w:tc>
        <w:tc>
          <w:tcPr>
            <w:tcBorders>
              <w:top w:val="single" w:color="auto" w:sz="4" w:space="0"/>
              <w:left w:val="single" w:color="auto" w:sz="4" w:space="0"/>
              <w:bottom w:val="single" w:color="auto" w:sz="4" w:space="0"/>
              <w:right w:val="single" w:color="auto" w:sz="4" w:space="0"/>
            </w:tcBorders>
            <w:tcW w:w="6369"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②不及时进行施肥或发生肥害致使植株枯死的，扣3-10分</w:t>
            </w:r>
            <w:r/>
          </w:p>
        </w:tc>
      </w:tr>
      <w:tr>
        <w:trPr>
          <w:cantSplit/>
          <w:jc w:val="center"/>
          <w:trHeight w:val="922"/>
        </w:trPr>
        <w:tc>
          <w:tcPr>
            <w:tcBorders>
              <w:top w:val="none" w:color="000000" w:sz="4" w:space="0"/>
              <w:left w:val="single" w:color="auto" w:sz="4" w:space="0"/>
              <w:bottom w:val="single" w:color="auto" w:sz="4" w:space="0"/>
              <w:right w:val="single" w:color="auto" w:sz="4" w:space="0"/>
            </w:tcBorders>
            <w:tcW w:w="914" w:type="dxa"/>
            <w:vAlign w:val="center"/>
            <w:vMerge w:val="restart"/>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3</w:t>
            </w:r>
            <w:r/>
          </w:p>
          <w:p>
            <w:pPr>
              <w:ind w:firstLine="601"/>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left w:val="single" w:color="auto" w:sz="4" w:space="0"/>
              <w:bottom w:val="single" w:color="auto" w:sz="4" w:space="0"/>
              <w:right w:val="single" w:color="auto" w:sz="4" w:space="0"/>
            </w:tcBorders>
            <w:tcW w:w="1630" w:type="dxa"/>
            <w:vAlign w:val="center"/>
            <w:vMerge w:val="restart"/>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除草控制、病虫害防治  （15分）</w:t>
            </w:r>
            <w:r/>
          </w:p>
          <w:p>
            <w:pPr>
              <w:ind w:firstLine="601"/>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4" w:space="0"/>
              <w:left w:val="single" w:color="auto" w:sz="4" w:space="0"/>
              <w:bottom w:val="single" w:color="auto" w:sz="4" w:space="0"/>
              <w:right w:val="single" w:color="auto" w:sz="4" w:space="0"/>
            </w:tcBorders>
            <w:tcW w:w="6369" w:type="dxa"/>
            <w:vAlign w:val="center"/>
            <w:textDirection w:val="lrTb"/>
            <w:noWrap w:val="false"/>
          </w:tcPr>
          <w:p>
            <w:pPr>
              <w:spacing w:line="400" w:lineRule="exact"/>
              <w:rPr>
                <w:rFonts w:hint="eastAsia" w:ascii="宋体" w:hAnsi="宋体"/>
                <w:color w:val="000000"/>
                <w:sz w:val="24"/>
                <w:szCs w:val="24"/>
              </w:rPr>
            </w:pPr>
            <w:r>
              <w:rPr>
                <w:rFonts w:hint="eastAsia" w:ascii="宋体" w:hAnsi="宋体"/>
                <w:color w:val="000000"/>
                <w:sz w:val="24"/>
                <w:szCs w:val="24"/>
              </w:rPr>
              <w:t xml:space="preserve">①无大型野草，无缠绕性、攀缘性杂草，绿地内杂草控制在10cm以下，超过30cm以上扣1-5分；不得采用化学药剂，使用除草剂、除虫导致药害的扣1-5分</w:t>
            </w:r>
            <w:r/>
          </w:p>
        </w:tc>
      </w:tr>
      <w:tr>
        <w:trPr>
          <w:cantSplit/>
          <w:jc w:val="center"/>
          <w:trHeight w:val="882"/>
        </w:trPr>
        <w:tc>
          <w:tcPr>
            <w:tcBorders>
              <w:top w:val="none" w:color="000000" w:sz="4" w:space="0"/>
              <w:left w:val="single" w:color="auto" w:sz="4" w:space="0"/>
              <w:bottom w:val="single" w:color="auto" w:sz="4" w:space="0"/>
              <w:right w:val="single" w:color="auto" w:sz="4" w:space="0"/>
            </w:tcBorders>
            <w:tcW w:w="914" w:type="dxa"/>
            <w:vAlign w:val="center"/>
            <w:vMerge w:val="continue"/>
            <w:textDirection w:val="lrTb"/>
            <w:noWrap w:val="false"/>
          </w:tcPr>
          <w:p>
            <w:pPr>
              <w:jc w:val="left"/>
              <w:widowControl/>
              <w:rPr>
                <w:rFonts w:ascii="宋体" w:hAnsi="宋体"/>
                <w:color w:val="000000"/>
                <w:sz w:val="24"/>
                <w:szCs w:val="24"/>
              </w:rPr>
            </w:pPr>
            <w:r>
              <w:rPr>
                <w:rFonts w:ascii="宋体" w:hAnsi="宋体"/>
                <w:color w:val="000000"/>
                <w:sz w:val="24"/>
                <w:szCs w:val="24"/>
              </w:rPr>
            </w:r>
            <w:r/>
          </w:p>
        </w:tc>
        <w:tc>
          <w:tcPr>
            <w:tcBorders>
              <w:top w:val="none" w:color="000000" w:sz="4" w:space="0"/>
              <w:left w:val="single" w:color="auto" w:sz="4" w:space="0"/>
              <w:bottom w:val="single" w:color="auto" w:sz="4" w:space="0"/>
              <w:right w:val="single" w:color="auto" w:sz="4" w:space="0"/>
            </w:tcBorders>
            <w:tcW w:w="1630" w:type="dxa"/>
            <w:vAlign w:val="center"/>
            <w:vMerge w:val="continue"/>
            <w:textDirection w:val="lrTb"/>
            <w:noWrap w:val="false"/>
          </w:tcPr>
          <w:p>
            <w:pPr>
              <w:jc w:val="left"/>
              <w:widowControl/>
              <w:rPr>
                <w:rFonts w:ascii="宋体" w:hAnsi="宋体"/>
                <w:color w:val="000000"/>
                <w:sz w:val="24"/>
                <w:szCs w:val="24"/>
              </w:rPr>
            </w:pPr>
            <w:r>
              <w:rPr>
                <w:rFonts w:ascii="宋体" w:hAnsi="宋体"/>
                <w:color w:val="000000"/>
                <w:sz w:val="24"/>
                <w:szCs w:val="24"/>
              </w:rPr>
            </w:r>
            <w:r/>
          </w:p>
        </w:tc>
        <w:tc>
          <w:tcPr>
            <w:tcBorders>
              <w:top w:val="single" w:color="auto" w:sz="4" w:space="0"/>
              <w:left w:val="single" w:color="auto" w:sz="4" w:space="0"/>
              <w:bottom w:val="single" w:color="auto" w:sz="4" w:space="0"/>
              <w:right w:val="single" w:color="auto" w:sz="4" w:space="0"/>
            </w:tcBorders>
            <w:tcW w:w="6369" w:type="dxa"/>
            <w:vAlign w:val="center"/>
            <w:textDirection w:val="lrTb"/>
            <w:noWrap w:val="false"/>
          </w:tcPr>
          <w:p>
            <w:pPr>
              <w:spacing w:line="400" w:lineRule="exact"/>
              <w:rPr>
                <w:rFonts w:hint="eastAsia" w:ascii="宋体" w:hAnsi="宋体"/>
                <w:color w:val="000000"/>
                <w:sz w:val="24"/>
                <w:szCs w:val="24"/>
              </w:rPr>
            </w:pPr>
            <w:r>
              <w:rPr>
                <w:rFonts w:hint="eastAsia" w:ascii="宋体" w:hAnsi="宋体"/>
                <w:color w:val="000000"/>
                <w:sz w:val="24"/>
                <w:szCs w:val="24"/>
              </w:rPr>
              <w:t xml:space="preserve">②发生病虫害未及时防治、未及时清理防治越冬虫蛹及有关病原体，影响植物树生长和景观效果的扣3-10分</w:t>
            </w:r>
            <w:r/>
          </w:p>
        </w:tc>
      </w:tr>
      <w:tr>
        <w:trPr>
          <w:cantSplit/>
          <w:jc w:val="center"/>
          <w:trHeight w:val="530"/>
        </w:trPr>
        <w:tc>
          <w:tcPr>
            <w:tcBorders>
              <w:top w:val="none" w:color="000000" w:sz="4" w:space="0"/>
              <w:left w:val="single" w:color="auto" w:sz="4" w:space="0"/>
              <w:bottom w:val="single" w:color="auto" w:sz="4" w:space="0"/>
              <w:right w:val="single" w:color="auto" w:sz="4" w:space="0"/>
            </w:tcBorders>
            <w:tcW w:w="914" w:type="dxa"/>
            <w:vAlign w:val="center"/>
            <w:vMerge w:val="continue"/>
            <w:textDirection w:val="lrTb"/>
            <w:noWrap w:val="false"/>
          </w:tcPr>
          <w:p>
            <w:pPr>
              <w:jc w:val="left"/>
              <w:widowControl/>
              <w:rPr>
                <w:rFonts w:ascii="宋体" w:hAnsi="宋体"/>
                <w:color w:val="000000"/>
                <w:sz w:val="24"/>
                <w:szCs w:val="24"/>
              </w:rPr>
            </w:pPr>
            <w:r>
              <w:rPr>
                <w:rFonts w:ascii="宋体" w:hAnsi="宋体"/>
                <w:color w:val="000000"/>
                <w:sz w:val="24"/>
                <w:szCs w:val="24"/>
              </w:rPr>
            </w:r>
            <w:r/>
          </w:p>
        </w:tc>
        <w:tc>
          <w:tcPr>
            <w:tcBorders>
              <w:top w:val="none" w:color="000000" w:sz="4" w:space="0"/>
              <w:left w:val="single" w:color="auto" w:sz="4" w:space="0"/>
              <w:bottom w:val="single" w:color="auto" w:sz="4" w:space="0"/>
              <w:right w:val="single" w:color="auto" w:sz="4" w:space="0"/>
            </w:tcBorders>
            <w:tcW w:w="1630" w:type="dxa"/>
            <w:vAlign w:val="center"/>
            <w:vMerge w:val="continue"/>
            <w:textDirection w:val="lrTb"/>
            <w:noWrap w:val="false"/>
          </w:tcPr>
          <w:p>
            <w:pPr>
              <w:jc w:val="left"/>
              <w:widowControl/>
              <w:rPr>
                <w:rFonts w:ascii="宋体" w:hAnsi="宋体"/>
                <w:color w:val="000000"/>
                <w:sz w:val="24"/>
                <w:szCs w:val="24"/>
              </w:rPr>
            </w:pPr>
            <w:r>
              <w:rPr>
                <w:rFonts w:ascii="宋体" w:hAnsi="宋体"/>
                <w:color w:val="000000"/>
                <w:sz w:val="24"/>
                <w:szCs w:val="24"/>
              </w:rPr>
            </w:r>
            <w:r/>
          </w:p>
        </w:tc>
        <w:tc>
          <w:tcPr>
            <w:tcBorders>
              <w:top w:val="single" w:color="auto" w:sz="4" w:space="0"/>
              <w:left w:val="single" w:color="auto" w:sz="4" w:space="0"/>
              <w:bottom w:val="single" w:color="auto" w:sz="4" w:space="0"/>
              <w:right w:val="single" w:color="auto" w:sz="4" w:space="0"/>
            </w:tcBorders>
            <w:tcW w:w="6369" w:type="dxa"/>
            <w:vAlign w:val="center"/>
            <w:textDirection w:val="lrTb"/>
            <w:noWrap w:val="false"/>
          </w:tcPr>
          <w:p>
            <w:pPr>
              <w:spacing w:line="400" w:lineRule="exact"/>
              <w:rPr>
                <w:rFonts w:hint="eastAsia" w:ascii="宋体" w:hAnsi="宋体"/>
                <w:color w:val="000000"/>
                <w:sz w:val="24"/>
                <w:szCs w:val="24"/>
              </w:rPr>
            </w:pPr>
            <w:r>
              <w:rPr>
                <w:rFonts w:hint="eastAsia" w:ascii="宋体" w:hAnsi="宋体"/>
                <w:color w:val="000000"/>
                <w:sz w:val="24"/>
                <w:szCs w:val="24"/>
              </w:rPr>
              <w:t xml:space="preserve">③冬季树木不涂白、修剪的扣3-5分；</w:t>
            </w:r>
            <w:r/>
          </w:p>
        </w:tc>
      </w:tr>
      <w:tr>
        <w:trPr>
          <w:cantSplit/>
          <w:jc w:val="center"/>
          <w:trHeight w:val="937"/>
        </w:trPr>
        <w:tc>
          <w:tcPr>
            <w:tcBorders>
              <w:top w:val="single" w:color="auto" w:sz="4" w:space="0"/>
              <w:left w:val="single" w:color="auto" w:sz="4" w:space="0"/>
              <w:bottom w:val="single" w:color="auto" w:sz="4" w:space="0"/>
              <w:right w:val="single" w:color="auto" w:sz="4" w:space="0"/>
            </w:tcBorders>
            <w:tcW w:w="914"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4</w:t>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修剪整形</w:t>
            </w:r>
            <w:r/>
          </w:p>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（5分）</w:t>
            </w:r>
            <w:r/>
          </w:p>
        </w:tc>
        <w:tc>
          <w:tcPr>
            <w:tcBorders>
              <w:top w:val="single" w:color="auto" w:sz="4" w:space="0"/>
              <w:left w:val="single" w:color="auto" w:sz="4" w:space="0"/>
              <w:bottom w:val="single" w:color="auto" w:sz="4" w:space="0"/>
              <w:right w:val="single" w:color="auto" w:sz="4" w:space="0"/>
            </w:tcBorders>
            <w:tcW w:w="6369" w:type="dxa"/>
            <w:vAlign w:val="center"/>
            <w:textDirection w:val="lrTb"/>
            <w:noWrap w:val="false"/>
          </w:tcPr>
          <w:p>
            <w:pPr>
              <w:spacing w:line="400" w:lineRule="exact"/>
              <w:rPr>
                <w:rFonts w:hint="eastAsia" w:ascii="宋体" w:hAnsi="宋体"/>
                <w:color w:val="000000"/>
                <w:sz w:val="24"/>
                <w:szCs w:val="24"/>
              </w:rPr>
            </w:pPr>
            <w:r>
              <w:rPr>
                <w:rFonts w:hint="eastAsia" w:ascii="宋体" w:hAnsi="宋体"/>
                <w:color w:val="000000"/>
                <w:sz w:val="24"/>
                <w:szCs w:val="24"/>
              </w:rPr>
              <w:t xml:space="preserve">无明显枯枝死杈，未抹芽、未修剪的 扣1-5分</w:t>
            </w:r>
            <w:r/>
          </w:p>
        </w:tc>
      </w:tr>
      <w:tr>
        <w:trPr>
          <w:cantSplit/>
          <w:jc w:val="center"/>
          <w:trHeight w:val="937"/>
        </w:trPr>
        <w:tc>
          <w:tcPr>
            <w:tcBorders>
              <w:top w:val="single" w:color="auto" w:sz="4" w:space="0"/>
              <w:left w:val="single" w:color="auto" w:sz="4" w:space="0"/>
              <w:bottom w:val="single" w:color="auto" w:sz="4" w:space="0"/>
              <w:right w:val="single" w:color="auto" w:sz="4" w:space="0"/>
            </w:tcBorders>
            <w:tcW w:w="914"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5</w:t>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园林设施 （10分）</w:t>
            </w:r>
            <w:r/>
          </w:p>
        </w:tc>
        <w:tc>
          <w:tcPr>
            <w:tcBorders>
              <w:top w:val="single" w:color="auto" w:sz="4" w:space="0"/>
              <w:left w:val="single" w:color="auto" w:sz="4" w:space="0"/>
              <w:bottom w:val="single" w:color="auto" w:sz="4" w:space="0"/>
              <w:right w:val="single" w:color="auto" w:sz="4" w:space="0"/>
            </w:tcBorders>
            <w:tcW w:w="6369" w:type="dxa"/>
            <w:vAlign w:val="center"/>
            <w:textDirection w:val="lrTb"/>
            <w:noWrap w:val="false"/>
          </w:tcPr>
          <w:p>
            <w:pPr>
              <w:spacing w:line="400" w:lineRule="exact"/>
              <w:rPr>
                <w:rFonts w:hint="eastAsia" w:ascii="宋体" w:hAnsi="宋体"/>
                <w:color w:val="000000"/>
                <w:sz w:val="24"/>
                <w:szCs w:val="24"/>
              </w:rPr>
            </w:pPr>
            <w:r>
              <w:rPr>
                <w:rFonts w:hint="eastAsia" w:ascii="宋体" w:hAnsi="宋体"/>
                <w:color w:val="000000"/>
                <w:sz w:val="24"/>
                <w:szCs w:val="24"/>
              </w:rPr>
              <w:t xml:space="preserve">园林设施破损扣1-3分/处，存在安全隐患的5-10分/处</w:t>
            </w:r>
            <w:r/>
          </w:p>
        </w:tc>
      </w:tr>
      <w:tr>
        <w:trPr>
          <w:cantSplit/>
          <w:jc w:val="center"/>
          <w:trHeight w:val="671"/>
        </w:trPr>
        <w:tc>
          <w:tcPr>
            <w:tcBorders>
              <w:top w:val="none" w:color="000000" w:sz="4" w:space="0"/>
              <w:left w:val="single" w:color="auto" w:sz="4" w:space="0"/>
              <w:bottom w:val="single" w:color="auto" w:sz="4" w:space="0"/>
              <w:right w:val="single" w:color="auto" w:sz="4" w:space="0"/>
            </w:tcBorders>
            <w:tcW w:w="914" w:type="dxa"/>
            <w:vAlign w:val="center"/>
            <w:vMerge w:val="restart"/>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6</w:t>
            </w:r>
            <w:r/>
          </w:p>
        </w:tc>
        <w:tc>
          <w:tcPr>
            <w:tcBorders>
              <w:top w:val="none" w:color="000000" w:sz="4" w:space="0"/>
              <w:left w:val="single" w:color="auto" w:sz="4" w:space="0"/>
              <w:bottom w:val="single" w:color="auto" w:sz="4" w:space="0"/>
              <w:right w:val="single" w:color="auto" w:sz="4" w:space="0"/>
            </w:tcBorders>
            <w:tcW w:w="1630" w:type="dxa"/>
            <w:vAlign w:val="center"/>
            <w:vMerge w:val="restart"/>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环境卫生</w:t>
            </w:r>
            <w:r/>
          </w:p>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（10分）</w:t>
            </w:r>
            <w:r/>
          </w:p>
        </w:tc>
        <w:tc>
          <w:tcPr>
            <w:tcBorders>
              <w:top w:val="single" w:color="auto" w:sz="4" w:space="0"/>
              <w:left w:val="single" w:color="auto" w:sz="4" w:space="0"/>
              <w:bottom w:val="single" w:color="auto" w:sz="4" w:space="0"/>
              <w:right w:val="single" w:color="auto" w:sz="4" w:space="0"/>
            </w:tcBorders>
            <w:tcW w:w="6369" w:type="dxa"/>
            <w:vAlign w:val="center"/>
            <w:textDirection w:val="lrTb"/>
            <w:noWrap w:val="false"/>
          </w:tcPr>
          <w:p>
            <w:pPr>
              <w:spacing w:line="400" w:lineRule="exact"/>
              <w:rPr>
                <w:rFonts w:hint="eastAsia" w:ascii="宋体" w:hAnsi="宋体"/>
                <w:color w:val="000000"/>
                <w:sz w:val="24"/>
                <w:szCs w:val="24"/>
              </w:rPr>
            </w:pPr>
            <w:r>
              <w:rPr>
                <w:rFonts w:hint="eastAsia" w:ascii="宋体" w:hAnsi="宋体"/>
                <w:color w:val="000000"/>
                <w:sz w:val="24"/>
                <w:szCs w:val="24"/>
              </w:rPr>
              <w:t xml:space="preserve">①绿地不整洁，有枯枝病叶及各类垃圾的扣3-5分</w:t>
            </w:r>
            <w:r/>
          </w:p>
        </w:tc>
      </w:tr>
      <w:tr>
        <w:trPr>
          <w:cantSplit/>
          <w:jc w:val="center"/>
          <w:trHeight w:val="563"/>
        </w:trPr>
        <w:tc>
          <w:tcPr>
            <w:tcBorders>
              <w:top w:val="none" w:color="000000" w:sz="4" w:space="0"/>
              <w:left w:val="single" w:color="auto" w:sz="4" w:space="0"/>
              <w:bottom w:val="single" w:color="auto" w:sz="4" w:space="0"/>
              <w:right w:val="single" w:color="auto" w:sz="4" w:space="0"/>
            </w:tcBorders>
            <w:tcW w:w="914" w:type="dxa"/>
            <w:vAlign w:val="center"/>
            <w:vMerge w:val="continue"/>
            <w:textDirection w:val="lrTb"/>
            <w:noWrap w:val="false"/>
          </w:tcPr>
          <w:p>
            <w:pPr>
              <w:jc w:val="left"/>
              <w:widowControl/>
              <w:rPr>
                <w:rFonts w:ascii="宋体" w:hAnsi="宋体"/>
                <w:color w:val="000000"/>
                <w:sz w:val="24"/>
                <w:szCs w:val="24"/>
              </w:rPr>
            </w:pPr>
            <w:r>
              <w:rPr>
                <w:rFonts w:ascii="宋体" w:hAnsi="宋体"/>
                <w:color w:val="000000"/>
                <w:sz w:val="24"/>
                <w:szCs w:val="24"/>
              </w:rPr>
            </w:r>
            <w:r/>
          </w:p>
        </w:tc>
        <w:tc>
          <w:tcPr>
            <w:tcBorders>
              <w:top w:val="none" w:color="000000" w:sz="4" w:space="0"/>
              <w:left w:val="single" w:color="auto" w:sz="4" w:space="0"/>
              <w:bottom w:val="single" w:color="auto" w:sz="4" w:space="0"/>
              <w:right w:val="single" w:color="auto" w:sz="4" w:space="0"/>
            </w:tcBorders>
            <w:tcW w:w="1630" w:type="dxa"/>
            <w:vAlign w:val="center"/>
            <w:vMerge w:val="continue"/>
            <w:textDirection w:val="lrTb"/>
            <w:noWrap w:val="false"/>
          </w:tcPr>
          <w:p>
            <w:pPr>
              <w:jc w:val="left"/>
              <w:widowControl/>
              <w:rPr>
                <w:rFonts w:ascii="宋体" w:hAnsi="宋体"/>
                <w:color w:val="000000"/>
                <w:sz w:val="24"/>
                <w:szCs w:val="24"/>
              </w:rPr>
            </w:pPr>
            <w:r>
              <w:rPr>
                <w:rFonts w:ascii="宋体" w:hAnsi="宋体"/>
                <w:color w:val="000000"/>
                <w:sz w:val="24"/>
                <w:szCs w:val="24"/>
              </w:rPr>
            </w:r>
            <w:r/>
          </w:p>
        </w:tc>
        <w:tc>
          <w:tcPr>
            <w:tcBorders>
              <w:top w:val="single" w:color="auto" w:sz="4" w:space="0"/>
              <w:left w:val="single" w:color="auto" w:sz="4" w:space="0"/>
              <w:bottom w:val="single" w:color="auto" w:sz="4" w:space="0"/>
              <w:right w:val="single" w:color="auto" w:sz="4" w:space="0"/>
            </w:tcBorders>
            <w:tcW w:w="6369" w:type="dxa"/>
            <w:vAlign w:val="center"/>
            <w:textDirection w:val="lrTb"/>
            <w:noWrap w:val="false"/>
          </w:tcPr>
          <w:p>
            <w:pPr>
              <w:spacing w:line="400" w:lineRule="exact"/>
              <w:rPr>
                <w:rFonts w:hint="eastAsia" w:ascii="宋体" w:hAnsi="宋体"/>
                <w:color w:val="000000"/>
                <w:sz w:val="24"/>
                <w:szCs w:val="24"/>
              </w:rPr>
            </w:pPr>
            <w:r>
              <w:rPr>
                <w:rFonts w:hint="eastAsia" w:ascii="宋体" w:hAnsi="宋体"/>
                <w:color w:val="000000"/>
                <w:sz w:val="24"/>
                <w:szCs w:val="24"/>
              </w:rPr>
              <w:t xml:space="preserve">②水体不清洁的扣1-3分</w:t>
            </w:r>
            <w:r/>
          </w:p>
        </w:tc>
      </w:tr>
      <w:tr>
        <w:trPr>
          <w:cantSplit/>
          <w:jc w:val="center"/>
          <w:trHeight w:val="637"/>
        </w:trPr>
        <w:tc>
          <w:tcPr>
            <w:tcBorders>
              <w:top w:val="none" w:color="000000" w:sz="4" w:space="0"/>
              <w:left w:val="single" w:color="auto" w:sz="4" w:space="0"/>
              <w:bottom w:val="single" w:color="auto" w:sz="4" w:space="0"/>
              <w:right w:val="single" w:color="auto" w:sz="4" w:space="0"/>
            </w:tcBorders>
            <w:tcW w:w="914" w:type="dxa"/>
            <w:vAlign w:val="center"/>
            <w:vMerge w:val="continue"/>
            <w:textDirection w:val="lrTb"/>
            <w:noWrap w:val="false"/>
          </w:tcPr>
          <w:p>
            <w:pPr>
              <w:jc w:val="left"/>
              <w:widowControl/>
              <w:rPr>
                <w:rFonts w:ascii="宋体" w:hAnsi="宋体"/>
                <w:color w:val="000000"/>
                <w:sz w:val="24"/>
                <w:szCs w:val="24"/>
              </w:rPr>
            </w:pPr>
            <w:r>
              <w:rPr>
                <w:rFonts w:ascii="宋体" w:hAnsi="宋体"/>
                <w:color w:val="000000"/>
                <w:sz w:val="24"/>
                <w:szCs w:val="24"/>
              </w:rPr>
            </w:r>
            <w:r/>
          </w:p>
        </w:tc>
        <w:tc>
          <w:tcPr>
            <w:tcBorders>
              <w:top w:val="none" w:color="000000" w:sz="4" w:space="0"/>
              <w:left w:val="single" w:color="auto" w:sz="4" w:space="0"/>
              <w:bottom w:val="single" w:color="auto" w:sz="4" w:space="0"/>
              <w:right w:val="single" w:color="auto" w:sz="4" w:space="0"/>
            </w:tcBorders>
            <w:tcW w:w="1630" w:type="dxa"/>
            <w:vAlign w:val="center"/>
            <w:vMerge w:val="continue"/>
            <w:textDirection w:val="lrTb"/>
            <w:noWrap w:val="false"/>
          </w:tcPr>
          <w:p>
            <w:pPr>
              <w:jc w:val="left"/>
              <w:widowControl/>
              <w:rPr>
                <w:rFonts w:ascii="宋体" w:hAnsi="宋体"/>
                <w:color w:val="000000"/>
                <w:sz w:val="24"/>
                <w:szCs w:val="24"/>
              </w:rPr>
            </w:pPr>
            <w:r>
              <w:rPr>
                <w:rFonts w:ascii="宋体" w:hAnsi="宋体"/>
                <w:color w:val="000000"/>
                <w:sz w:val="24"/>
                <w:szCs w:val="24"/>
              </w:rPr>
            </w:r>
            <w:r/>
          </w:p>
        </w:tc>
        <w:tc>
          <w:tcPr>
            <w:tcBorders>
              <w:top w:val="single" w:color="auto" w:sz="4" w:space="0"/>
              <w:left w:val="single" w:color="auto" w:sz="4" w:space="0"/>
              <w:bottom w:val="single" w:color="auto" w:sz="4" w:space="0"/>
              <w:right w:val="single" w:color="auto" w:sz="4" w:space="0"/>
            </w:tcBorders>
            <w:tcW w:w="6369" w:type="dxa"/>
            <w:vAlign w:val="center"/>
            <w:textDirection w:val="lrTb"/>
            <w:noWrap w:val="false"/>
          </w:tcPr>
          <w:p>
            <w:pPr>
              <w:spacing w:line="400" w:lineRule="exact"/>
              <w:rPr>
                <w:rFonts w:hint="eastAsia" w:ascii="宋体" w:hAnsi="宋体"/>
                <w:color w:val="000000"/>
                <w:sz w:val="24"/>
                <w:szCs w:val="24"/>
              </w:rPr>
            </w:pPr>
            <w:r>
              <w:rPr>
                <w:rFonts w:hint="eastAsia" w:ascii="宋体" w:hAnsi="宋体"/>
                <w:color w:val="000000"/>
                <w:sz w:val="24"/>
                <w:szCs w:val="24"/>
              </w:rPr>
              <w:t xml:space="preserve">③绿地辅助设施立面有涂刻、招贴现象的扣2分</w:t>
            </w:r>
            <w:r/>
          </w:p>
        </w:tc>
      </w:tr>
      <w:tr>
        <w:trPr>
          <w:cantSplit/>
          <w:jc w:val="center"/>
          <w:trHeight w:val="689"/>
        </w:trPr>
        <w:tc>
          <w:tcPr>
            <w:tcBorders>
              <w:top w:val="none" w:color="000000" w:sz="4" w:space="0"/>
              <w:left w:val="single" w:color="auto" w:sz="4" w:space="0"/>
              <w:bottom w:val="single" w:color="auto" w:sz="4" w:space="0"/>
              <w:right w:val="single" w:color="auto" w:sz="4" w:space="0"/>
            </w:tcBorders>
            <w:tcW w:w="914" w:type="dxa"/>
            <w:vAlign w:val="center"/>
            <w:vMerge w:val="restart"/>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7</w:t>
            </w:r>
            <w:r/>
          </w:p>
        </w:tc>
        <w:tc>
          <w:tcPr>
            <w:tcBorders>
              <w:top w:val="none" w:color="000000" w:sz="4" w:space="0"/>
              <w:left w:val="single" w:color="auto" w:sz="4" w:space="0"/>
              <w:bottom w:val="single" w:color="auto" w:sz="4" w:space="0"/>
              <w:right w:val="single" w:color="auto" w:sz="4" w:space="0"/>
            </w:tcBorders>
            <w:tcW w:w="1630" w:type="dxa"/>
            <w:vAlign w:val="center"/>
            <w:vMerge w:val="restart"/>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护绿防火</w:t>
            </w:r>
            <w:r/>
          </w:p>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（20分）</w:t>
            </w:r>
            <w:r/>
          </w:p>
        </w:tc>
        <w:tc>
          <w:tcPr>
            <w:tcBorders>
              <w:top w:val="single" w:color="auto" w:sz="4" w:space="0"/>
              <w:left w:val="single" w:color="auto" w:sz="4" w:space="0"/>
              <w:bottom w:val="single" w:color="auto" w:sz="4" w:space="0"/>
              <w:right w:val="single" w:color="auto" w:sz="4" w:space="0"/>
            </w:tcBorders>
            <w:tcW w:w="6369" w:type="dxa"/>
            <w:vAlign w:val="center"/>
            <w:textDirection w:val="lrTb"/>
            <w:noWrap w:val="false"/>
          </w:tcPr>
          <w:p>
            <w:pPr>
              <w:spacing w:line="400" w:lineRule="exact"/>
              <w:rPr>
                <w:rFonts w:hint="eastAsia" w:ascii="宋体" w:hAnsi="宋体"/>
                <w:color w:val="000000"/>
                <w:sz w:val="24"/>
                <w:szCs w:val="24"/>
              </w:rPr>
            </w:pPr>
            <w:r>
              <w:rPr>
                <w:rFonts w:hint="eastAsia" w:ascii="宋体" w:hAnsi="宋体"/>
                <w:color w:val="000000"/>
                <w:sz w:val="24"/>
                <w:szCs w:val="24"/>
              </w:rPr>
              <w:t xml:space="preserve">①出现占绿（种植蔬菜、杂物堆放等）、毁绿，违章搭建的，扣3-20分</w:t>
            </w:r>
            <w:r/>
          </w:p>
        </w:tc>
      </w:tr>
      <w:tr>
        <w:trPr>
          <w:cantSplit/>
          <w:jc w:val="center"/>
          <w:trHeight w:val="980"/>
        </w:trPr>
        <w:tc>
          <w:tcPr>
            <w:tcBorders>
              <w:top w:val="none" w:color="000000" w:sz="4" w:space="0"/>
              <w:left w:val="single" w:color="auto" w:sz="4" w:space="0"/>
              <w:bottom w:val="single" w:color="auto" w:sz="4" w:space="0"/>
              <w:right w:val="single" w:color="auto" w:sz="4" w:space="0"/>
            </w:tcBorders>
            <w:tcW w:w="914" w:type="dxa"/>
            <w:vAlign w:val="center"/>
            <w:vMerge w:val="continue"/>
            <w:textDirection w:val="lrTb"/>
            <w:noWrap w:val="false"/>
          </w:tcPr>
          <w:p>
            <w:pPr>
              <w:jc w:val="left"/>
              <w:widowControl/>
              <w:rPr>
                <w:rFonts w:ascii="宋体" w:hAnsi="宋体"/>
                <w:color w:val="000000"/>
                <w:sz w:val="24"/>
                <w:szCs w:val="24"/>
              </w:rPr>
            </w:pPr>
            <w:r>
              <w:rPr>
                <w:rFonts w:ascii="宋体" w:hAnsi="宋体"/>
                <w:color w:val="000000"/>
                <w:sz w:val="24"/>
                <w:szCs w:val="24"/>
              </w:rPr>
            </w:r>
            <w:r/>
          </w:p>
        </w:tc>
        <w:tc>
          <w:tcPr>
            <w:tcBorders>
              <w:top w:val="none" w:color="000000" w:sz="4" w:space="0"/>
              <w:left w:val="single" w:color="auto" w:sz="4" w:space="0"/>
              <w:bottom w:val="single" w:color="auto" w:sz="4" w:space="0"/>
              <w:right w:val="single" w:color="auto" w:sz="4" w:space="0"/>
            </w:tcBorders>
            <w:tcW w:w="1630" w:type="dxa"/>
            <w:vAlign w:val="center"/>
            <w:vMerge w:val="continue"/>
            <w:textDirection w:val="lrTb"/>
            <w:noWrap w:val="false"/>
          </w:tcPr>
          <w:p>
            <w:pPr>
              <w:jc w:val="left"/>
              <w:widowControl/>
              <w:rPr>
                <w:rFonts w:ascii="宋体" w:hAnsi="宋体"/>
                <w:color w:val="000000"/>
                <w:sz w:val="24"/>
                <w:szCs w:val="24"/>
              </w:rPr>
            </w:pPr>
            <w:r>
              <w:rPr>
                <w:rFonts w:ascii="宋体" w:hAnsi="宋体"/>
                <w:color w:val="000000"/>
                <w:sz w:val="24"/>
                <w:szCs w:val="24"/>
              </w:rPr>
            </w:r>
            <w:r/>
          </w:p>
        </w:tc>
        <w:tc>
          <w:tcPr>
            <w:tcBorders>
              <w:top w:val="single" w:color="auto" w:sz="4" w:space="0"/>
              <w:left w:val="single" w:color="auto" w:sz="4" w:space="0"/>
              <w:bottom w:val="single" w:color="auto" w:sz="4" w:space="0"/>
              <w:right w:val="single" w:color="auto" w:sz="4" w:space="0"/>
            </w:tcBorders>
            <w:tcW w:w="6369" w:type="dxa"/>
            <w:vAlign w:val="center"/>
            <w:textDirection w:val="lrTb"/>
            <w:noWrap w:val="false"/>
          </w:tcPr>
          <w:p>
            <w:pPr>
              <w:spacing w:line="400" w:lineRule="exact"/>
              <w:rPr>
                <w:rFonts w:hint="eastAsia" w:ascii="宋体" w:hAnsi="宋体"/>
                <w:color w:val="000000"/>
                <w:sz w:val="24"/>
                <w:szCs w:val="24"/>
              </w:rPr>
            </w:pPr>
            <w:r>
              <w:rPr>
                <w:rFonts w:hint="eastAsia" w:ascii="宋体" w:hAnsi="宋体"/>
                <w:color w:val="000000"/>
                <w:sz w:val="24"/>
                <w:szCs w:val="24"/>
              </w:rPr>
              <w:t xml:space="preserve">②发生火灾，未及时发现、及时处置，造成损失的，扣5-10分</w:t>
            </w:r>
            <w:r/>
          </w:p>
        </w:tc>
      </w:tr>
      <w:tr>
        <w:trPr>
          <w:cantSplit/>
          <w:jc w:val="center"/>
          <w:trHeight w:val="980"/>
        </w:trPr>
        <w:tc>
          <w:tcPr>
            <w:tcBorders>
              <w:top w:val="single" w:color="auto" w:sz="4" w:space="0"/>
              <w:left w:val="single" w:color="auto" w:sz="4" w:space="0"/>
              <w:bottom w:val="single" w:color="auto" w:sz="4" w:space="0"/>
              <w:right w:val="single" w:color="auto" w:sz="4" w:space="0"/>
            </w:tcBorders>
            <w:tcW w:w="914"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8</w:t>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养护人员</w:t>
            </w:r>
            <w:r/>
          </w:p>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（5分）</w:t>
            </w:r>
            <w:r/>
          </w:p>
        </w:tc>
        <w:tc>
          <w:tcPr>
            <w:tcBorders>
              <w:top w:val="single" w:color="auto" w:sz="4" w:space="0"/>
              <w:left w:val="single" w:color="auto" w:sz="4" w:space="0"/>
              <w:bottom w:val="single" w:color="auto" w:sz="4" w:space="0"/>
              <w:right w:val="single" w:color="auto" w:sz="4" w:space="0"/>
            </w:tcBorders>
            <w:tcW w:w="6369" w:type="dxa"/>
            <w:vAlign w:val="center"/>
            <w:textDirection w:val="lrTb"/>
            <w:noWrap w:val="false"/>
          </w:tcPr>
          <w:p>
            <w:pPr>
              <w:spacing w:line="400" w:lineRule="exact"/>
              <w:rPr>
                <w:rFonts w:hint="eastAsia" w:ascii="宋体" w:hAnsi="宋体"/>
                <w:color w:val="000000"/>
                <w:sz w:val="24"/>
                <w:szCs w:val="24"/>
              </w:rPr>
            </w:pPr>
            <w:r>
              <w:rPr>
                <w:rFonts w:hint="eastAsia" w:ascii="宋体" w:hAnsi="宋体"/>
                <w:color w:val="000000"/>
                <w:sz w:val="24"/>
                <w:szCs w:val="24"/>
              </w:rPr>
              <w:t xml:space="preserve">无故缺席或迟到现场考核的，一次扣5分</w:t>
            </w:r>
            <w:r/>
          </w:p>
        </w:tc>
      </w:tr>
    </w:tbl>
    <w:p>
      <w:pPr>
        <w:rPr>
          <w:rFonts w:hint="eastAsia" w:ascii="宋体" w:hAnsi="宋体" w:eastAsia="宋体" w:cs="Times New Roman"/>
          <w:b/>
          <w:color w:val="000000"/>
          <w:sz w:val="36"/>
          <w:szCs w:val="36"/>
          <w:lang w:val="en-US" w:eastAsia="zh-CN"/>
        </w:rPr>
      </w:pPr>
      <w:r>
        <w:rPr>
          <w:rFonts w:hint="eastAsia" w:ascii="宋体" w:hAnsi="宋体" w:eastAsia="宋体" w:cs="Times New Roman"/>
          <w:b/>
          <w:color w:val="000000"/>
          <w:sz w:val="36"/>
          <w:szCs w:val="36"/>
          <w:lang w:val="en-US" w:eastAsia="zh-CN"/>
        </w:rPr>
        <w:br w:type="page" w:clear="all"/>
      </w:r>
      <w:r/>
    </w:p>
    <w:p>
      <w:pPr>
        <w:ind w:firstLine="601"/>
        <w:jc w:val="center"/>
        <w:keepLines w:val="0"/>
        <w:keepNext w:val="0"/>
        <w:pageBreakBefore w:val="0"/>
        <w:spacing w:line="360" w:lineRule="auto"/>
        <w:widowControl w:val="off"/>
        <w:rPr>
          <w:rFonts w:hint="eastAsia" w:ascii="宋体" w:hAnsi="宋体" w:eastAsia="宋体" w:cs="Times New Roman"/>
          <w:b/>
          <w:color w:val="000000"/>
          <w:sz w:val="36"/>
          <w:szCs w:val="36"/>
          <w:lang w:val="en-US" w:eastAsia="zh-CN"/>
        </w:rPr>
        <w:outlineLvl w:val="1"/>
      </w:pPr>
      <w:r/>
      <w:bookmarkStart w:id="204" w:name="_Toc5004"/>
      <w:r>
        <w:rPr>
          <w:rFonts w:hint="eastAsia" w:ascii="宋体" w:hAnsi="宋体" w:eastAsia="宋体" w:cs="Times New Roman"/>
          <w:b/>
          <w:color w:val="000000"/>
          <w:sz w:val="36"/>
          <w:szCs w:val="36"/>
          <w:lang w:val="en-US" w:eastAsia="zh-CN"/>
        </w:rPr>
        <w:t xml:space="preserve">附件④常熟市绿地养护质量标准</w:t>
      </w:r>
      <w:bookmarkEnd w:id="204"/>
      <w:r/>
      <w:r/>
    </w:p>
    <w:tbl>
      <w:tblPr>
        <w:tblStyle w:val="717"/>
        <w:tblW w:w="92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0"/>
        <w:gridCol w:w="855"/>
        <w:gridCol w:w="3150"/>
        <w:gridCol w:w="2310"/>
        <w:gridCol w:w="2415"/>
      </w:tblGrid>
      <w:tr>
        <w:trPr>
          <w:jc w:val="center"/>
        </w:trPr>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jc w:val="center"/>
              <w:spacing w:line="320" w:lineRule="exact"/>
              <w:rPr>
                <w:spacing w:val="12"/>
                <w:sz w:val="24"/>
                <w:szCs w:val="24"/>
              </w:rPr>
            </w:pPr>
            <w:r>
              <w:rPr>
                <w:rFonts w:ascii="宋体" w:hAnsi="宋体"/>
                <w:spacing w:val="12"/>
                <w:sz w:val="24"/>
                <w:szCs w:val="24"/>
              </w:rPr>
              <w:t xml:space="preserve">序号</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20" w:lineRule="exact"/>
              <w:rPr>
                <w:spacing w:val="12"/>
                <w:sz w:val="24"/>
                <w:szCs w:val="24"/>
              </w:rPr>
            </w:pPr>
            <w:r>
              <w:rPr>
                <w:rFonts w:ascii="宋体" w:hAnsi="宋体"/>
                <w:spacing w:val="12"/>
                <w:sz w:val="24"/>
                <w:szCs w:val="24"/>
              </w:rPr>
              <w:t xml:space="preserve">内容</w:t>
            </w:r>
            <w:r/>
          </w:p>
        </w:tc>
        <w:tc>
          <w:tcPr>
            <w:tcBorders>
              <w:top w:val="single" w:color="auto" w:sz="4" w:space="0"/>
              <w:left w:val="single" w:color="auto" w:sz="4" w:space="0"/>
              <w:bottom w:val="single" w:color="auto" w:sz="4" w:space="0"/>
              <w:right w:val="single" w:color="auto" w:sz="4" w:space="0"/>
            </w:tcBorders>
            <w:tcW w:w="3150" w:type="dxa"/>
            <w:vAlign w:val="center"/>
            <w:textDirection w:val="lrTb"/>
            <w:noWrap w:val="false"/>
          </w:tcPr>
          <w:p>
            <w:pPr>
              <w:jc w:val="center"/>
              <w:spacing w:line="320" w:lineRule="exact"/>
              <w:rPr>
                <w:spacing w:val="12"/>
                <w:sz w:val="24"/>
                <w:szCs w:val="24"/>
              </w:rPr>
            </w:pPr>
            <w:r>
              <w:rPr>
                <w:rFonts w:ascii="宋体" w:hAnsi="宋体"/>
                <w:spacing w:val="12"/>
                <w:sz w:val="24"/>
                <w:szCs w:val="24"/>
              </w:rPr>
              <w:t xml:space="preserve">一级</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spacing w:line="320" w:lineRule="exact"/>
              <w:rPr>
                <w:spacing w:val="12"/>
                <w:sz w:val="24"/>
                <w:szCs w:val="24"/>
              </w:rPr>
            </w:pPr>
            <w:r>
              <w:rPr>
                <w:rFonts w:ascii="宋体" w:hAnsi="宋体"/>
                <w:spacing w:val="12"/>
                <w:sz w:val="24"/>
                <w:szCs w:val="24"/>
              </w:rPr>
              <w:t xml:space="preserve">二级</w:t>
            </w:r>
            <w:r/>
          </w:p>
        </w:tc>
        <w:tc>
          <w:tcPr>
            <w:tcBorders>
              <w:top w:val="single" w:color="auto" w:sz="4" w:space="0"/>
              <w:left w:val="single" w:color="auto" w:sz="4" w:space="0"/>
              <w:bottom w:val="single" w:color="auto" w:sz="4" w:space="0"/>
              <w:right w:val="single" w:color="auto" w:sz="4" w:space="0"/>
            </w:tcBorders>
            <w:tcW w:w="2415" w:type="dxa"/>
            <w:vAlign w:val="center"/>
            <w:textDirection w:val="lrTb"/>
            <w:noWrap w:val="false"/>
          </w:tcPr>
          <w:p>
            <w:pPr>
              <w:jc w:val="center"/>
              <w:spacing w:line="320" w:lineRule="exact"/>
              <w:rPr>
                <w:spacing w:val="12"/>
                <w:sz w:val="24"/>
                <w:szCs w:val="24"/>
              </w:rPr>
            </w:pPr>
            <w:r>
              <w:rPr>
                <w:rFonts w:ascii="宋体" w:hAnsi="宋体"/>
                <w:spacing w:val="12"/>
                <w:sz w:val="24"/>
                <w:szCs w:val="24"/>
              </w:rPr>
              <w:t xml:space="preserve">三级</w:t>
            </w:r>
            <w:r/>
          </w:p>
        </w:tc>
      </w:tr>
      <w:tr>
        <w:trPr>
          <w:jc w:val="center"/>
        </w:trPr>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jc w:val="center"/>
              <w:spacing w:line="300" w:lineRule="exact"/>
              <w:rPr>
                <w:spacing w:val="12"/>
                <w:sz w:val="24"/>
                <w:szCs w:val="24"/>
              </w:rPr>
            </w:pPr>
            <w:r>
              <w:rPr>
                <w:spacing w:val="12"/>
                <w:sz w:val="24"/>
                <w:szCs w:val="24"/>
              </w:rPr>
              <w:t xml:space="preserve">1</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00" w:lineRule="exact"/>
              <w:rPr>
                <w:b/>
                <w:bCs/>
                <w:spacing w:val="12"/>
                <w:sz w:val="24"/>
                <w:szCs w:val="24"/>
              </w:rPr>
            </w:pPr>
            <w:r>
              <w:rPr>
                <w:rFonts w:ascii="宋体" w:hAnsi="宋体"/>
                <w:b/>
                <w:bCs/>
                <w:spacing w:val="12"/>
                <w:sz w:val="24"/>
                <w:szCs w:val="24"/>
              </w:rPr>
              <w:t xml:space="preserve">群落</w:t>
            </w:r>
            <w:r/>
          </w:p>
          <w:p>
            <w:pPr>
              <w:jc w:val="center"/>
              <w:spacing w:line="300" w:lineRule="exact"/>
              <w:rPr>
                <w:b/>
                <w:bCs/>
                <w:spacing w:val="12"/>
                <w:sz w:val="24"/>
                <w:szCs w:val="24"/>
              </w:rPr>
            </w:pPr>
            <w:r>
              <w:rPr>
                <w:rFonts w:ascii="宋体" w:hAnsi="宋体"/>
                <w:b/>
                <w:bCs/>
                <w:spacing w:val="12"/>
                <w:sz w:val="24"/>
                <w:szCs w:val="24"/>
              </w:rPr>
              <w:t xml:space="preserve">结构</w:t>
            </w:r>
            <w:r/>
          </w:p>
        </w:tc>
        <w:tc>
          <w:tcPr>
            <w:tcBorders>
              <w:top w:val="single" w:color="auto" w:sz="4" w:space="0"/>
              <w:left w:val="single" w:color="auto" w:sz="4" w:space="0"/>
              <w:bottom w:val="single" w:color="auto" w:sz="4" w:space="0"/>
              <w:right w:val="single" w:color="auto" w:sz="4" w:space="0"/>
            </w:tcBorders>
            <w:tcW w:w="3150" w:type="dxa"/>
            <w:vAlign w:val="center"/>
            <w:textDirection w:val="lrTb"/>
            <w:noWrap w:val="false"/>
          </w:tcPr>
          <w:p>
            <w:pPr>
              <w:jc w:val="center"/>
              <w:spacing w:line="300" w:lineRule="exact"/>
              <w:rPr>
                <w:spacing w:val="12"/>
                <w:sz w:val="24"/>
                <w:szCs w:val="24"/>
              </w:rPr>
            </w:pPr>
            <w:r>
              <w:rPr>
                <w:rFonts w:ascii="宋体" w:hAnsi="宋体"/>
                <w:spacing w:val="12"/>
                <w:sz w:val="24"/>
                <w:szCs w:val="24"/>
              </w:rPr>
              <w:t xml:space="preserve">随着植物生长的各个时期，不断进行更新、调整、间伐，使群落结构稳定，树种配置科学合理，层次丰富，物种多样覆盖地表，黄土不裸露，生态观赏效果好。</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spacing w:line="300" w:lineRule="exact"/>
              <w:rPr>
                <w:spacing w:val="12"/>
                <w:sz w:val="24"/>
                <w:szCs w:val="24"/>
              </w:rPr>
            </w:pPr>
            <w:r>
              <w:rPr>
                <w:rFonts w:ascii="宋体" w:hAnsi="宋体"/>
                <w:spacing w:val="12"/>
                <w:sz w:val="24"/>
                <w:szCs w:val="24"/>
              </w:rPr>
              <w:t xml:space="preserve">随着植物生长的各个时期，不断进行更新与调整，使林相结构合理，有较完整的层次和不少于二层的林相结构，林下处理得当。</w:t>
            </w:r>
            <w:r/>
          </w:p>
        </w:tc>
        <w:tc>
          <w:tcPr>
            <w:tcBorders>
              <w:top w:val="single" w:color="auto" w:sz="4" w:space="0"/>
              <w:left w:val="single" w:color="auto" w:sz="4" w:space="0"/>
              <w:bottom w:val="single" w:color="auto" w:sz="4" w:space="0"/>
              <w:right w:val="single" w:color="auto" w:sz="4" w:space="0"/>
            </w:tcBorders>
            <w:tcW w:w="2415" w:type="dxa"/>
            <w:textDirection w:val="lrTb"/>
            <w:noWrap w:val="false"/>
          </w:tcPr>
          <w:p>
            <w:pPr>
              <w:spacing w:line="300" w:lineRule="exact"/>
              <w:rPr>
                <w:spacing w:val="12"/>
                <w:sz w:val="24"/>
                <w:szCs w:val="24"/>
              </w:rPr>
            </w:pPr>
            <w:r>
              <w:rPr>
                <w:rFonts w:ascii="宋体" w:hAnsi="宋体"/>
                <w:spacing w:val="12"/>
                <w:sz w:val="24"/>
                <w:szCs w:val="24"/>
              </w:rPr>
              <w:t xml:space="preserve">植物种植成片或带状，有较好的绿化效果，地表整洁。</w:t>
            </w:r>
            <w:r/>
          </w:p>
        </w:tc>
      </w:tr>
      <w:tr>
        <w:trPr>
          <w:jc w:val="center"/>
        </w:trPr>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jc w:val="center"/>
              <w:spacing w:line="300" w:lineRule="exact"/>
              <w:rPr>
                <w:spacing w:val="12"/>
                <w:sz w:val="24"/>
                <w:szCs w:val="24"/>
              </w:rPr>
            </w:pPr>
            <w:r>
              <w:rPr>
                <w:spacing w:val="12"/>
                <w:sz w:val="24"/>
                <w:szCs w:val="24"/>
              </w:rPr>
              <w:t xml:space="preserve">2</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00" w:lineRule="exact"/>
              <w:rPr>
                <w:b/>
                <w:bCs/>
                <w:spacing w:val="12"/>
                <w:sz w:val="24"/>
                <w:szCs w:val="24"/>
              </w:rPr>
            </w:pPr>
            <w:r>
              <w:rPr>
                <w:rFonts w:ascii="宋体" w:hAnsi="宋体"/>
                <w:b/>
                <w:bCs/>
                <w:spacing w:val="12"/>
                <w:sz w:val="24"/>
                <w:szCs w:val="24"/>
              </w:rPr>
              <w:t xml:space="preserve">树木</w:t>
            </w:r>
            <w:r/>
          </w:p>
          <w:p>
            <w:pPr>
              <w:jc w:val="center"/>
              <w:spacing w:line="300" w:lineRule="exact"/>
              <w:rPr>
                <w:b/>
                <w:bCs/>
                <w:spacing w:val="12"/>
                <w:sz w:val="24"/>
                <w:szCs w:val="24"/>
              </w:rPr>
            </w:pPr>
            <w:r>
              <w:rPr>
                <w:rFonts w:ascii="宋体" w:hAnsi="宋体"/>
                <w:b/>
                <w:bCs/>
                <w:spacing w:val="12"/>
                <w:sz w:val="24"/>
                <w:szCs w:val="24"/>
              </w:rPr>
              <w:t xml:space="preserve">养护</w:t>
            </w:r>
            <w:r/>
          </w:p>
        </w:tc>
        <w:tc>
          <w:tcPr>
            <w:tcBorders>
              <w:top w:val="single" w:color="auto" w:sz="4" w:space="0"/>
              <w:left w:val="single" w:color="auto" w:sz="4" w:space="0"/>
              <w:bottom w:val="single" w:color="auto" w:sz="4" w:space="0"/>
              <w:right w:val="single" w:color="auto" w:sz="4" w:space="0"/>
            </w:tcBorders>
            <w:tcW w:w="3150" w:type="dxa"/>
            <w:vAlign w:val="center"/>
            <w:textDirection w:val="lrTb"/>
            <w:noWrap w:val="false"/>
          </w:tcPr>
          <w:p>
            <w:pPr>
              <w:spacing w:line="300" w:lineRule="exact"/>
              <w:rPr>
                <w:spacing w:val="12"/>
                <w:sz w:val="24"/>
                <w:szCs w:val="24"/>
              </w:rPr>
            </w:pPr>
            <w:r>
              <w:rPr>
                <w:rFonts w:hint="eastAsia" w:ascii="宋体" w:hAnsi="宋体" w:cs="宋体"/>
                <w:spacing w:val="12"/>
                <w:sz w:val="24"/>
                <w:szCs w:val="24"/>
              </w:rPr>
              <w:t xml:space="preserve">①</w:t>
            </w:r>
            <w:r>
              <w:rPr>
                <w:rFonts w:ascii="宋体" w:hAnsi="宋体"/>
                <w:spacing w:val="12"/>
                <w:sz w:val="24"/>
                <w:szCs w:val="24"/>
              </w:rPr>
              <w:t xml:space="preserve">树木生长健壮，不歪斜。</w:t>
            </w:r>
            <w:r/>
          </w:p>
          <w:p>
            <w:pPr>
              <w:spacing w:line="300" w:lineRule="exact"/>
              <w:rPr>
                <w:spacing w:val="12"/>
                <w:sz w:val="24"/>
                <w:szCs w:val="24"/>
              </w:rPr>
            </w:pPr>
            <w:r>
              <w:rPr>
                <w:rFonts w:hint="eastAsia" w:ascii="宋体" w:hAnsi="宋体" w:cs="宋体"/>
                <w:spacing w:val="12"/>
                <w:sz w:val="24"/>
                <w:szCs w:val="24"/>
              </w:rPr>
              <w:t xml:space="preserve">②</w:t>
            </w:r>
            <w:r>
              <w:rPr>
                <w:rFonts w:ascii="宋体" w:hAnsi="宋体"/>
                <w:spacing w:val="12"/>
                <w:sz w:val="24"/>
                <w:szCs w:val="24"/>
              </w:rPr>
              <w:t xml:space="preserve">新建绿地各种植物两年内恢复正常生长。</w:t>
            </w:r>
            <w:r/>
          </w:p>
          <w:p>
            <w:pPr>
              <w:spacing w:line="300" w:lineRule="exact"/>
              <w:rPr>
                <w:spacing w:val="12"/>
                <w:sz w:val="24"/>
                <w:szCs w:val="24"/>
              </w:rPr>
            </w:pPr>
            <w:r>
              <w:rPr>
                <w:rFonts w:hint="eastAsia" w:ascii="宋体" w:hAnsi="宋体" w:cs="宋体"/>
                <w:spacing w:val="12"/>
                <w:sz w:val="24"/>
                <w:szCs w:val="24"/>
              </w:rPr>
              <w:t xml:space="preserve">③</w:t>
            </w:r>
            <w:r>
              <w:rPr>
                <w:rFonts w:ascii="宋体" w:hAnsi="宋体"/>
                <w:spacing w:val="12"/>
                <w:sz w:val="24"/>
                <w:szCs w:val="24"/>
              </w:rPr>
              <w:t xml:space="preserve">树冠完整美观，修剪科学合理，主侧枝分布均匀，数量适宜，内膛不乱，通风透气，无枯枝、死杈。</w:t>
            </w:r>
            <w:r/>
          </w:p>
          <w:p>
            <w:pPr>
              <w:spacing w:line="300" w:lineRule="exact"/>
              <w:rPr>
                <w:spacing w:val="12"/>
                <w:sz w:val="24"/>
                <w:szCs w:val="24"/>
              </w:rPr>
            </w:pPr>
            <w:r>
              <w:rPr>
                <w:rFonts w:hint="eastAsia" w:ascii="宋体" w:hAnsi="宋体" w:cs="宋体"/>
                <w:spacing w:val="12"/>
                <w:sz w:val="24"/>
                <w:szCs w:val="24"/>
              </w:rPr>
              <w:t xml:space="preserve">④</w:t>
            </w:r>
            <w:r>
              <w:rPr>
                <w:rFonts w:ascii="宋体" w:hAnsi="宋体"/>
                <w:spacing w:val="12"/>
                <w:sz w:val="24"/>
                <w:szCs w:val="24"/>
              </w:rPr>
              <w:t xml:space="preserve">花灌木按时开花结果，株形丰满，花后修剪及时。</w:t>
            </w:r>
            <w:r/>
          </w:p>
          <w:p>
            <w:pPr>
              <w:spacing w:line="300" w:lineRule="exact"/>
              <w:rPr>
                <w:spacing w:val="12"/>
                <w:sz w:val="24"/>
                <w:szCs w:val="24"/>
              </w:rPr>
            </w:pPr>
            <w:r>
              <w:rPr>
                <w:rFonts w:hint="eastAsia" w:ascii="宋体" w:hAnsi="宋体" w:cs="宋体"/>
                <w:spacing w:val="12"/>
                <w:sz w:val="24"/>
                <w:szCs w:val="24"/>
              </w:rPr>
              <w:t xml:space="preserve">⑤</w:t>
            </w:r>
            <w:r>
              <w:rPr>
                <w:rFonts w:ascii="宋体" w:hAnsi="宋体"/>
                <w:spacing w:val="12"/>
                <w:sz w:val="24"/>
                <w:szCs w:val="24"/>
              </w:rPr>
              <w:t xml:space="preserve">整形植物修剪及时，保持外型轮廓清楚，外缘枝叶紧密。</w:t>
            </w:r>
            <w:r/>
          </w:p>
          <w:p>
            <w:pPr>
              <w:spacing w:line="300" w:lineRule="exact"/>
              <w:rPr>
                <w:spacing w:val="12"/>
                <w:sz w:val="24"/>
                <w:szCs w:val="24"/>
              </w:rPr>
            </w:pPr>
            <w:r>
              <w:rPr>
                <w:rFonts w:hint="eastAsia" w:ascii="宋体" w:hAnsi="宋体" w:cs="宋体"/>
                <w:spacing w:val="12"/>
                <w:sz w:val="24"/>
                <w:szCs w:val="24"/>
              </w:rPr>
              <w:t xml:space="preserve">⑥</w:t>
            </w:r>
            <w:r>
              <w:rPr>
                <w:rFonts w:ascii="宋体" w:hAnsi="宋体"/>
                <w:spacing w:val="12"/>
                <w:sz w:val="24"/>
                <w:szCs w:val="24"/>
              </w:rPr>
              <w:t xml:space="preserve">地被植物整齐，覆盖率在</w:t>
            </w:r>
            <w:r>
              <w:rPr>
                <w:spacing w:val="12"/>
                <w:sz w:val="24"/>
                <w:szCs w:val="24"/>
              </w:rPr>
              <w:t xml:space="preserve">98%</w:t>
            </w:r>
            <w:r>
              <w:rPr>
                <w:rFonts w:ascii="宋体" w:hAnsi="宋体"/>
                <w:spacing w:val="12"/>
                <w:sz w:val="24"/>
                <w:szCs w:val="24"/>
              </w:rPr>
              <w:t xml:space="preserve">以上。</w:t>
            </w:r>
            <w:r/>
          </w:p>
          <w:p>
            <w:pPr>
              <w:spacing w:line="300" w:lineRule="exact"/>
              <w:rPr>
                <w:spacing w:val="12"/>
                <w:sz w:val="24"/>
                <w:szCs w:val="24"/>
              </w:rPr>
            </w:pPr>
            <w:r>
              <w:rPr>
                <w:rFonts w:hint="eastAsia" w:ascii="宋体" w:hAnsi="宋体" w:cs="宋体"/>
                <w:spacing w:val="12"/>
                <w:sz w:val="24"/>
                <w:szCs w:val="24"/>
              </w:rPr>
              <w:t xml:space="preserve">⑦</w:t>
            </w:r>
            <w:r>
              <w:rPr>
                <w:rFonts w:ascii="宋体" w:hAnsi="宋体"/>
                <w:spacing w:val="12"/>
                <w:sz w:val="24"/>
                <w:szCs w:val="24"/>
              </w:rPr>
              <w:t xml:space="preserve">树木存活率在</w:t>
            </w:r>
            <w:r>
              <w:rPr>
                <w:spacing w:val="12"/>
                <w:sz w:val="24"/>
                <w:szCs w:val="24"/>
              </w:rPr>
              <w:t xml:space="preserve">98%</w:t>
            </w:r>
            <w:r>
              <w:rPr>
                <w:rFonts w:ascii="宋体" w:hAnsi="宋体"/>
                <w:spacing w:val="12"/>
                <w:sz w:val="24"/>
                <w:szCs w:val="24"/>
              </w:rPr>
              <w:t xml:space="preserve">以上。</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spacing w:line="300" w:lineRule="exact"/>
              <w:rPr>
                <w:spacing w:val="12"/>
                <w:sz w:val="24"/>
                <w:szCs w:val="24"/>
              </w:rPr>
            </w:pPr>
            <w:r>
              <w:rPr>
                <w:rFonts w:hint="eastAsia" w:ascii="宋体" w:hAnsi="宋体" w:cs="宋体"/>
                <w:spacing w:val="12"/>
                <w:sz w:val="24"/>
                <w:szCs w:val="24"/>
              </w:rPr>
              <w:t xml:space="preserve">①</w:t>
            </w:r>
            <w:r>
              <w:rPr>
                <w:rFonts w:ascii="宋体" w:hAnsi="宋体"/>
                <w:spacing w:val="12"/>
                <w:sz w:val="24"/>
                <w:szCs w:val="24"/>
              </w:rPr>
              <w:t xml:space="preserve">树木生长正常，不歪斜。</w:t>
            </w:r>
            <w:r/>
          </w:p>
          <w:p>
            <w:pPr>
              <w:spacing w:line="300" w:lineRule="exact"/>
              <w:rPr>
                <w:spacing w:val="12"/>
                <w:sz w:val="24"/>
                <w:szCs w:val="24"/>
              </w:rPr>
            </w:pPr>
            <w:r>
              <w:rPr>
                <w:rFonts w:hint="eastAsia" w:ascii="宋体" w:hAnsi="宋体" w:cs="宋体"/>
                <w:spacing w:val="12"/>
                <w:sz w:val="24"/>
                <w:szCs w:val="24"/>
              </w:rPr>
              <w:t xml:space="preserve">②</w:t>
            </w:r>
            <w:r>
              <w:rPr>
                <w:rFonts w:ascii="宋体" w:hAnsi="宋体"/>
                <w:spacing w:val="12"/>
                <w:sz w:val="24"/>
                <w:szCs w:val="24"/>
              </w:rPr>
              <w:t xml:space="preserve">新建绿地各种植物三年内恢复正常生长。</w:t>
            </w:r>
            <w:r/>
          </w:p>
          <w:p>
            <w:pPr>
              <w:spacing w:line="300" w:lineRule="exact"/>
              <w:rPr>
                <w:spacing w:val="12"/>
                <w:sz w:val="24"/>
                <w:szCs w:val="24"/>
              </w:rPr>
            </w:pPr>
            <w:r>
              <w:rPr>
                <w:rFonts w:hint="eastAsia" w:ascii="宋体" w:hAnsi="宋体" w:cs="宋体"/>
                <w:spacing w:val="12"/>
                <w:sz w:val="24"/>
                <w:szCs w:val="24"/>
              </w:rPr>
              <w:t xml:space="preserve">③</w:t>
            </w:r>
            <w:r>
              <w:rPr>
                <w:rFonts w:ascii="宋体" w:hAnsi="宋体"/>
                <w:spacing w:val="12"/>
                <w:sz w:val="24"/>
                <w:szCs w:val="24"/>
              </w:rPr>
              <w:t xml:space="preserve">树冠基本完整，主侧枝匀称，数量适宜，修剪合理，内膛不乱，通风透气，无枯枝死杈。</w:t>
            </w:r>
            <w:r/>
          </w:p>
          <w:p>
            <w:pPr>
              <w:spacing w:line="300" w:lineRule="exact"/>
              <w:rPr>
                <w:spacing w:val="12"/>
                <w:sz w:val="24"/>
                <w:szCs w:val="24"/>
              </w:rPr>
            </w:pPr>
            <w:r>
              <w:rPr>
                <w:rFonts w:hint="eastAsia" w:ascii="宋体" w:hAnsi="宋体" w:cs="宋体"/>
                <w:spacing w:val="12"/>
                <w:sz w:val="24"/>
                <w:szCs w:val="24"/>
              </w:rPr>
              <w:t xml:space="preserve">④</w:t>
            </w:r>
            <w:r>
              <w:rPr>
                <w:rFonts w:ascii="宋体" w:hAnsi="宋体"/>
                <w:spacing w:val="12"/>
                <w:sz w:val="24"/>
                <w:szCs w:val="24"/>
              </w:rPr>
              <w:t xml:space="preserve">花灌木开花及时，正常，花后修剪及时。</w:t>
            </w:r>
            <w:r/>
          </w:p>
          <w:p>
            <w:pPr>
              <w:spacing w:line="300" w:lineRule="exact"/>
              <w:rPr>
                <w:spacing w:val="12"/>
                <w:sz w:val="24"/>
                <w:szCs w:val="24"/>
              </w:rPr>
            </w:pPr>
            <w:r>
              <w:rPr>
                <w:rFonts w:hint="eastAsia" w:ascii="宋体" w:hAnsi="宋体" w:cs="宋体"/>
                <w:spacing w:val="12"/>
                <w:sz w:val="24"/>
                <w:szCs w:val="24"/>
              </w:rPr>
              <w:t xml:space="preserve">⑤</w:t>
            </w:r>
            <w:r>
              <w:rPr>
                <w:rFonts w:ascii="宋体" w:hAnsi="宋体"/>
                <w:spacing w:val="12"/>
                <w:sz w:val="24"/>
                <w:szCs w:val="24"/>
              </w:rPr>
              <w:t xml:space="preserve">整形植物修剪及时，枝叶生长正常，整齐一致。</w:t>
            </w:r>
            <w:r/>
          </w:p>
          <w:p>
            <w:pPr>
              <w:spacing w:line="300" w:lineRule="exact"/>
              <w:rPr>
                <w:spacing w:val="12"/>
                <w:sz w:val="24"/>
                <w:szCs w:val="24"/>
              </w:rPr>
            </w:pPr>
            <w:r>
              <w:rPr>
                <w:rFonts w:hint="eastAsia" w:ascii="宋体" w:hAnsi="宋体" w:cs="宋体"/>
                <w:spacing w:val="12"/>
                <w:sz w:val="24"/>
                <w:szCs w:val="24"/>
              </w:rPr>
              <w:t xml:space="preserve">⑥</w:t>
            </w:r>
            <w:r>
              <w:rPr>
                <w:rFonts w:ascii="宋体" w:hAnsi="宋体"/>
                <w:spacing w:val="12"/>
                <w:sz w:val="24"/>
                <w:szCs w:val="24"/>
              </w:rPr>
              <w:t xml:space="preserve">地被植物整齐，覆盖率在</w:t>
            </w:r>
            <w:r>
              <w:rPr>
                <w:spacing w:val="12"/>
                <w:sz w:val="24"/>
                <w:szCs w:val="24"/>
              </w:rPr>
              <w:t xml:space="preserve">98%</w:t>
            </w:r>
            <w:r>
              <w:rPr>
                <w:rFonts w:ascii="宋体" w:hAnsi="宋体"/>
                <w:spacing w:val="12"/>
                <w:sz w:val="24"/>
                <w:szCs w:val="24"/>
              </w:rPr>
              <w:t xml:space="preserve">以上。</w:t>
            </w:r>
            <w:r/>
          </w:p>
          <w:p>
            <w:pPr>
              <w:spacing w:line="300" w:lineRule="exact"/>
              <w:rPr>
                <w:spacing w:val="12"/>
                <w:sz w:val="24"/>
                <w:szCs w:val="24"/>
              </w:rPr>
            </w:pPr>
            <w:r>
              <w:rPr>
                <w:rFonts w:hint="eastAsia" w:ascii="宋体" w:hAnsi="宋体" w:cs="宋体"/>
                <w:spacing w:val="12"/>
                <w:sz w:val="24"/>
                <w:szCs w:val="24"/>
              </w:rPr>
              <w:t xml:space="preserve">⑦</w:t>
            </w:r>
            <w:r>
              <w:rPr>
                <w:rFonts w:ascii="宋体" w:hAnsi="宋体"/>
                <w:spacing w:val="12"/>
                <w:sz w:val="24"/>
                <w:szCs w:val="24"/>
              </w:rPr>
              <w:t xml:space="preserve">树木存活率在</w:t>
            </w:r>
            <w:r>
              <w:rPr>
                <w:spacing w:val="12"/>
                <w:sz w:val="24"/>
                <w:szCs w:val="24"/>
              </w:rPr>
              <w:t xml:space="preserve">98%</w:t>
            </w:r>
            <w:r>
              <w:rPr>
                <w:rFonts w:ascii="宋体" w:hAnsi="宋体"/>
                <w:spacing w:val="12"/>
                <w:sz w:val="24"/>
                <w:szCs w:val="24"/>
              </w:rPr>
              <w:t xml:space="preserve">以上。</w:t>
            </w:r>
            <w:r/>
          </w:p>
        </w:tc>
        <w:tc>
          <w:tcPr>
            <w:tcBorders>
              <w:top w:val="single" w:color="auto" w:sz="4" w:space="0"/>
              <w:left w:val="single" w:color="auto" w:sz="4" w:space="0"/>
              <w:bottom w:val="single" w:color="auto" w:sz="4" w:space="0"/>
              <w:right w:val="single" w:color="auto" w:sz="4" w:space="0"/>
            </w:tcBorders>
            <w:tcW w:w="2415" w:type="dxa"/>
            <w:textDirection w:val="lrTb"/>
            <w:noWrap w:val="false"/>
          </w:tcPr>
          <w:p>
            <w:pPr>
              <w:spacing w:line="300" w:lineRule="exact"/>
              <w:rPr>
                <w:spacing w:val="12"/>
                <w:sz w:val="24"/>
                <w:szCs w:val="24"/>
              </w:rPr>
            </w:pPr>
            <w:r>
              <w:rPr>
                <w:rFonts w:hint="eastAsia" w:ascii="宋体" w:hAnsi="宋体" w:cs="宋体"/>
                <w:spacing w:val="12"/>
                <w:sz w:val="24"/>
                <w:szCs w:val="24"/>
              </w:rPr>
              <w:t xml:space="preserve">①</w:t>
            </w:r>
            <w:r>
              <w:rPr>
                <w:rFonts w:ascii="宋体" w:hAnsi="宋体"/>
                <w:spacing w:val="12"/>
                <w:sz w:val="24"/>
                <w:szCs w:val="24"/>
              </w:rPr>
              <w:t xml:space="preserve">树木生长正常，不歪斜，有绿色效果。</w:t>
            </w:r>
            <w:r/>
          </w:p>
          <w:p>
            <w:pPr>
              <w:spacing w:line="300" w:lineRule="exact"/>
              <w:rPr>
                <w:spacing w:val="12"/>
                <w:sz w:val="24"/>
                <w:szCs w:val="24"/>
              </w:rPr>
            </w:pPr>
            <w:r>
              <w:rPr>
                <w:rFonts w:hint="eastAsia" w:ascii="宋体" w:hAnsi="宋体" w:cs="宋体"/>
                <w:spacing w:val="12"/>
                <w:sz w:val="24"/>
                <w:szCs w:val="24"/>
              </w:rPr>
              <w:t xml:space="preserve">②</w:t>
            </w:r>
            <w:r>
              <w:rPr>
                <w:rFonts w:ascii="宋体" w:hAnsi="宋体"/>
                <w:spacing w:val="12"/>
                <w:sz w:val="24"/>
                <w:szCs w:val="24"/>
              </w:rPr>
              <w:t xml:space="preserve">新建绿地各种植物三年内基本恢复正常生长。</w:t>
            </w:r>
            <w:r/>
          </w:p>
          <w:p>
            <w:pPr>
              <w:spacing w:line="300" w:lineRule="exact"/>
              <w:rPr>
                <w:spacing w:val="12"/>
                <w:sz w:val="24"/>
                <w:szCs w:val="24"/>
              </w:rPr>
            </w:pPr>
            <w:r>
              <w:rPr>
                <w:rFonts w:hint="eastAsia" w:ascii="宋体" w:hAnsi="宋体" w:cs="宋体"/>
                <w:spacing w:val="12"/>
                <w:sz w:val="24"/>
                <w:szCs w:val="24"/>
              </w:rPr>
              <w:t xml:space="preserve">③</w:t>
            </w:r>
            <w:r>
              <w:rPr>
                <w:rFonts w:ascii="宋体" w:hAnsi="宋体"/>
                <w:spacing w:val="12"/>
                <w:sz w:val="24"/>
                <w:szCs w:val="24"/>
              </w:rPr>
              <w:t xml:space="preserve">树冠基本完整，修剪及时，无明显枯枝死杈。</w:t>
            </w:r>
            <w:r/>
          </w:p>
          <w:p>
            <w:pPr>
              <w:spacing w:line="300" w:lineRule="exact"/>
              <w:rPr>
                <w:spacing w:val="12"/>
                <w:sz w:val="24"/>
                <w:szCs w:val="24"/>
              </w:rPr>
            </w:pPr>
            <w:r>
              <w:rPr>
                <w:rFonts w:hint="eastAsia" w:ascii="宋体" w:hAnsi="宋体" w:cs="宋体"/>
                <w:spacing w:val="12"/>
                <w:sz w:val="24"/>
                <w:szCs w:val="24"/>
              </w:rPr>
              <w:t xml:space="preserve">④</w:t>
            </w:r>
            <w:r>
              <w:rPr>
                <w:rFonts w:ascii="宋体" w:hAnsi="宋体"/>
                <w:spacing w:val="12"/>
                <w:sz w:val="24"/>
                <w:szCs w:val="24"/>
              </w:rPr>
              <w:t xml:space="preserve">花灌木开花及时，花后修剪及时。</w:t>
            </w:r>
            <w:r/>
          </w:p>
          <w:p>
            <w:pPr>
              <w:spacing w:line="300" w:lineRule="exact"/>
              <w:rPr>
                <w:spacing w:val="12"/>
                <w:sz w:val="24"/>
                <w:szCs w:val="24"/>
              </w:rPr>
            </w:pPr>
            <w:r>
              <w:rPr>
                <w:rFonts w:hint="eastAsia" w:ascii="宋体" w:hAnsi="宋体" w:cs="宋体"/>
                <w:spacing w:val="12"/>
                <w:sz w:val="24"/>
                <w:szCs w:val="24"/>
              </w:rPr>
              <w:t xml:space="preserve">⑤</w:t>
            </w:r>
            <w:r>
              <w:rPr>
                <w:rFonts w:ascii="宋体" w:hAnsi="宋体"/>
                <w:spacing w:val="12"/>
                <w:sz w:val="24"/>
                <w:szCs w:val="24"/>
              </w:rPr>
              <w:t xml:space="preserve">整形植物及时修剪，有一定形态。</w:t>
            </w:r>
            <w:r/>
          </w:p>
          <w:p>
            <w:pPr>
              <w:spacing w:line="300" w:lineRule="exact"/>
              <w:rPr>
                <w:spacing w:val="12"/>
                <w:sz w:val="24"/>
                <w:szCs w:val="24"/>
              </w:rPr>
            </w:pPr>
            <w:r>
              <w:rPr>
                <w:rFonts w:hint="eastAsia" w:ascii="宋体" w:hAnsi="宋体" w:cs="宋体"/>
                <w:spacing w:val="12"/>
                <w:sz w:val="24"/>
                <w:szCs w:val="24"/>
              </w:rPr>
              <w:t xml:space="preserve">⑥</w:t>
            </w:r>
            <w:r>
              <w:rPr>
                <w:rFonts w:ascii="宋体" w:hAnsi="宋体"/>
                <w:spacing w:val="12"/>
                <w:sz w:val="24"/>
                <w:szCs w:val="24"/>
              </w:rPr>
              <w:t xml:space="preserve">地被植物整齐，覆盖率在</w:t>
            </w:r>
            <w:r>
              <w:rPr>
                <w:spacing w:val="12"/>
                <w:sz w:val="24"/>
                <w:szCs w:val="24"/>
              </w:rPr>
              <w:t xml:space="preserve">98%</w:t>
            </w:r>
            <w:r>
              <w:rPr>
                <w:rFonts w:ascii="宋体" w:hAnsi="宋体"/>
                <w:spacing w:val="12"/>
                <w:sz w:val="24"/>
                <w:szCs w:val="24"/>
              </w:rPr>
              <w:t xml:space="preserve">以上。</w:t>
            </w:r>
            <w:r/>
          </w:p>
          <w:p>
            <w:pPr>
              <w:spacing w:line="300" w:lineRule="exact"/>
              <w:rPr>
                <w:spacing w:val="12"/>
                <w:sz w:val="24"/>
                <w:szCs w:val="24"/>
              </w:rPr>
            </w:pPr>
            <w:r>
              <w:rPr>
                <w:rFonts w:hint="eastAsia" w:ascii="宋体" w:hAnsi="宋体" w:cs="宋体"/>
                <w:spacing w:val="12"/>
                <w:sz w:val="24"/>
                <w:szCs w:val="24"/>
              </w:rPr>
              <w:t xml:space="preserve">⑦</w:t>
            </w:r>
            <w:r>
              <w:rPr>
                <w:rFonts w:ascii="宋体" w:hAnsi="宋体"/>
                <w:spacing w:val="12"/>
                <w:sz w:val="24"/>
                <w:szCs w:val="24"/>
              </w:rPr>
              <w:t xml:space="preserve">树木存活率在</w:t>
            </w:r>
            <w:r>
              <w:rPr>
                <w:spacing w:val="12"/>
                <w:sz w:val="24"/>
                <w:szCs w:val="24"/>
              </w:rPr>
              <w:t xml:space="preserve">98%</w:t>
            </w:r>
            <w:r>
              <w:rPr>
                <w:rFonts w:ascii="宋体" w:hAnsi="宋体"/>
                <w:spacing w:val="12"/>
                <w:sz w:val="24"/>
                <w:szCs w:val="24"/>
              </w:rPr>
              <w:t xml:space="preserve">以上。</w:t>
            </w:r>
            <w:r/>
          </w:p>
        </w:tc>
      </w:tr>
      <w:tr>
        <w:trPr>
          <w:jc w:val="center"/>
        </w:trPr>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jc w:val="center"/>
              <w:spacing w:line="300" w:lineRule="exact"/>
              <w:rPr>
                <w:spacing w:val="12"/>
                <w:sz w:val="24"/>
                <w:szCs w:val="24"/>
              </w:rPr>
            </w:pPr>
            <w:r>
              <w:rPr>
                <w:spacing w:val="12"/>
                <w:sz w:val="24"/>
                <w:szCs w:val="24"/>
              </w:rPr>
              <w:t xml:space="preserve">3</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00" w:lineRule="exact"/>
              <w:rPr>
                <w:b/>
                <w:bCs/>
                <w:spacing w:val="12"/>
                <w:sz w:val="24"/>
                <w:szCs w:val="24"/>
              </w:rPr>
            </w:pPr>
            <w:r>
              <w:rPr>
                <w:rFonts w:ascii="宋体" w:hAnsi="宋体"/>
                <w:b/>
                <w:bCs/>
                <w:spacing w:val="12"/>
                <w:sz w:val="24"/>
                <w:szCs w:val="24"/>
              </w:rPr>
              <w:t xml:space="preserve">草坪</w:t>
            </w:r>
            <w:r/>
          </w:p>
          <w:p>
            <w:pPr>
              <w:jc w:val="center"/>
              <w:spacing w:line="300" w:lineRule="exact"/>
              <w:rPr>
                <w:b/>
                <w:bCs/>
                <w:spacing w:val="12"/>
                <w:sz w:val="24"/>
                <w:szCs w:val="24"/>
              </w:rPr>
            </w:pPr>
            <w:r>
              <w:rPr>
                <w:rFonts w:ascii="宋体" w:hAnsi="宋体"/>
                <w:b/>
                <w:bCs/>
                <w:spacing w:val="12"/>
                <w:sz w:val="24"/>
                <w:szCs w:val="24"/>
              </w:rPr>
              <w:t xml:space="preserve">养护</w:t>
            </w:r>
            <w:r/>
          </w:p>
        </w:tc>
        <w:tc>
          <w:tcPr>
            <w:tcBorders>
              <w:top w:val="single" w:color="auto" w:sz="4" w:space="0"/>
              <w:left w:val="single" w:color="auto" w:sz="4" w:space="0"/>
              <w:bottom w:val="single" w:color="auto" w:sz="4" w:space="0"/>
              <w:right w:val="single" w:color="auto" w:sz="4" w:space="0"/>
            </w:tcBorders>
            <w:tcW w:w="3150" w:type="dxa"/>
            <w:vAlign w:val="center"/>
            <w:textDirection w:val="lrTb"/>
            <w:noWrap w:val="false"/>
          </w:tcPr>
          <w:p>
            <w:pPr>
              <w:spacing w:line="300" w:lineRule="exact"/>
              <w:rPr>
                <w:spacing w:val="12"/>
                <w:sz w:val="24"/>
                <w:szCs w:val="24"/>
              </w:rPr>
            </w:pPr>
            <w:r>
              <w:rPr>
                <w:rFonts w:hint="eastAsia" w:ascii="宋体" w:hAnsi="宋体" w:cs="宋体"/>
                <w:spacing w:val="12"/>
                <w:sz w:val="24"/>
                <w:szCs w:val="24"/>
              </w:rPr>
              <w:t xml:space="preserve">①</w:t>
            </w:r>
            <w:r>
              <w:rPr>
                <w:rFonts w:ascii="宋体" w:hAnsi="宋体"/>
                <w:spacing w:val="12"/>
                <w:sz w:val="24"/>
                <w:szCs w:val="24"/>
              </w:rPr>
              <w:t xml:space="preserve">草种纯正，生长茂盛。</w:t>
            </w:r>
            <w:r/>
          </w:p>
          <w:p>
            <w:pPr>
              <w:spacing w:line="300" w:lineRule="exact"/>
              <w:rPr>
                <w:spacing w:val="12"/>
                <w:sz w:val="24"/>
                <w:szCs w:val="24"/>
              </w:rPr>
            </w:pPr>
            <w:r>
              <w:rPr>
                <w:rFonts w:hint="eastAsia" w:ascii="宋体" w:hAnsi="宋体" w:cs="宋体"/>
                <w:spacing w:val="12"/>
                <w:sz w:val="24"/>
                <w:szCs w:val="24"/>
              </w:rPr>
              <w:t xml:space="preserve">②</w:t>
            </w:r>
            <w:r>
              <w:rPr>
                <w:rFonts w:ascii="宋体" w:hAnsi="宋体"/>
                <w:spacing w:val="12"/>
                <w:sz w:val="24"/>
                <w:szCs w:val="24"/>
              </w:rPr>
              <w:t xml:space="preserve">颜色一致，高度一致，密度一致，质地均一。</w:t>
            </w:r>
            <w:r/>
          </w:p>
          <w:p>
            <w:pPr>
              <w:spacing w:line="300" w:lineRule="exact"/>
              <w:rPr>
                <w:spacing w:val="12"/>
                <w:sz w:val="24"/>
                <w:szCs w:val="24"/>
              </w:rPr>
            </w:pPr>
            <w:r>
              <w:rPr>
                <w:rFonts w:hint="eastAsia" w:ascii="宋体" w:hAnsi="宋体" w:cs="宋体"/>
                <w:spacing w:val="12"/>
                <w:sz w:val="24"/>
                <w:szCs w:val="24"/>
              </w:rPr>
              <w:t xml:space="preserve">③</w:t>
            </w:r>
            <w:r>
              <w:rPr>
                <w:rFonts w:ascii="宋体" w:hAnsi="宋体"/>
                <w:spacing w:val="12"/>
                <w:sz w:val="24"/>
                <w:szCs w:val="24"/>
              </w:rPr>
              <w:t xml:space="preserve">草高不超过（冷）</w:t>
            </w:r>
            <w:r>
              <w:rPr>
                <w:spacing w:val="12"/>
                <w:sz w:val="24"/>
                <w:szCs w:val="24"/>
              </w:rPr>
              <w:t xml:space="preserve">6cm</w:t>
            </w:r>
            <w:r>
              <w:rPr>
                <w:rFonts w:ascii="宋体" w:hAnsi="宋体"/>
                <w:spacing w:val="12"/>
                <w:sz w:val="24"/>
                <w:szCs w:val="24"/>
              </w:rPr>
              <w:t xml:space="preserve">，（暖）</w:t>
            </w:r>
            <w:r>
              <w:rPr>
                <w:spacing w:val="12"/>
                <w:sz w:val="24"/>
                <w:szCs w:val="24"/>
              </w:rPr>
              <w:t xml:space="preserve">3cm</w:t>
            </w:r>
            <w:r>
              <w:rPr>
                <w:rFonts w:ascii="宋体" w:hAnsi="宋体"/>
                <w:spacing w:val="12"/>
                <w:sz w:val="24"/>
                <w:szCs w:val="24"/>
              </w:rPr>
              <w:t xml:space="preserve">。</w:t>
            </w:r>
            <w:r/>
          </w:p>
          <w:p>
            <w:pPr>
              <w:spacing w:line="300" w:lineRule="exact"/>
              <w:rPr>
                <w:spacing w:val="12"/>
                <w:sz w:val="24"/>
                <w:szCs w:val="24"/>
              </w:rPr>
            </w:pPr>
            <w:r>
              <w:rPr>
                <w:rFonts w:hint="eastAsia" w:ascii="宋体" w:hAnsi="宋体" w:cs="宋体"/>
                <w:spacing w:val="12"/>
                <w:sz w:val="24"/>
                <w:szCs w:val="24"/>
              </w:rPr>
              <w:t xml:space="preserve">④</w:t>
            </w:r>
            <w:r>
              <w:rPr>
                <w:rFonts w:ascii="宋体" w:hAnsi="宋体"/>
                <w:spacing w:val="12"/>
                <w:sz w:val="24"/>
                <w:szCs w:val="24"/>
              </w:rPr>
              <w:t xml:space="preserve">草坪边缘线清晰（与路面、树穴、花坛交界处）。</w:t>
            </w:r>
            <w:r/>
          </w:p>
          <w:p>
            <w:pPr>
              <w:spacing w:line="300" w:lineRule="exact"/>
              <w:rPr>
                <w:spacing w:val="12"/>
                <w:sz w:val="24"/>
                <w:szCs w:val="24"/>
              </w:rPr>
            </w:pPr>
            <w:r>
              <w:rPr>
                <w:rFonts w:hint="eastAsia" w:ascii="宋体" w:hAnsi="宋体" w:cs="宋体"/>
                <w:spacing w:val="12"/>
                <w:sz w:val="24"/>
                <w:szCs w:val="24"/>
              </w:rPr>
              <w:t xml:space="preserve">⑤</w:t>
            </w:r>
            <w:r>
              <w:rPr>
                <w:rFonts w:ascii="宋体" w:hAnsi="宋体"/>
                <w:spacing w:val="12"/>
                <w:sz w:val="24"/>
                <w:szCs w:val="24"/>
              </w:rPr>
              <w:t xml:space="preserve">无杂草。</w:t>
            </w:r>
            <w:r/>
          </w:p>
          <w:p>
            <w:pPr>
              <w:spacing w:line="300" w:lineRule="exact"/>
              <w:rPr>
                <w:spacing w:val="12"/>
                <w:sz w:val="24"/>
                <w:szCs w:val="24"/>
              </w:rPr>
            </w:pPr>
            <w:r>
              <w:rPr>
                <w:rFonts w:hint="eastAsia" w:ascii="宋体" w:hAnsi="宋体" w:cs="宋体"/>
                <w:spacing w:val="12"/>
                <w:sz w:val="24"/>
                <w:szCs w:val="24"/>
              </w:rPr>
              <w:t xml:space="preserve">⑥</w:t>
            </w:r>
            <w:r>
              <w:rPr>
                <w:rFonts w:ascii="宋体" w:hAnsi="宋体"/>
                <w:spacing w:val="12"/>
                <w:sz w:val="24"/>
                <w:szCs w:val="24"/>
              </w:rPr>
              <w:t xml:space="preserve">草坪覆盖率在</w:t>
            </w:r>
            <w:r>
              <w:rPr>
                <w:spacing w:val="12"/>
                <w:sz w:val="24"/>
                <w:szCs w:val="24"/>
              </w:rPr>
              <w:t xml:space="preserve">98%</w:t>
            </w:r>
            <w:r>
              <w:rPr>
                <w:rFonts w:ascii="宋体" w:hAnsi="宋体"/>
                <w:spacing w:val="12"/>
                <w:sz w:val="24"/>
                <w:szCs w:val="24"/>
              </w:rPr>
              <w:t xml:space="preserve">以上，无大于</w:t>
            </w:r>
            <w:r>
              <w:rPr>
                <w:spacing w:val="12"/>
                <w:sz w:val="24"/>
                <w:szCs w:val="24"/>
              </w:rPr>
              <w:t xml:space="preserve">20×20cm</w:t>
            </w:r>
            <w:r>
              <w:rPr>
                <w:rFonts w:ascii="宋体" w:hAnsi="宋体"/>
                <w:spacing w:val="12"/>
                <w:sz w:val="24"/>
                <w:szCs w:val="24"/>
              </w:rPr>
              <w:t xml:space="preserve">的秃斑。</w:t>
            </w:r>
            <w:r/>
          </w:p>
          <w:p>
            <w:pPr>
              <w:spacing w:line="300" w:lineRule="exact"/>
              <w:rPr>
                <w:spacing w:val="12"/>
                <w:sz w:val="24"/>
                <w:szCs w:val="24"/>
              </w:rPr>
            </w:pPr>
            <w:r>
              <w:rPr>
                <w:rFonts w:hint="eastAsia" w:ascii="宋体" w:hAnsi="宋体" w:cs="宋体"/>
                <w:spacing w:val="12"/>
                <w:sz w:val="24"/>
                <w:szCs w:val="24"/>
              </w:rPr>
              <w:t xml:space="preserve">⑦</w:t>
            </w:r>
            <w:r>
              <w:rPr>
                <w:rFonts w:ascii="宋体" w:hAnsi="宋体"/>
                <w:spacing w:val="12"/>
                <w:sz w:val="24"/>
                <w:szCs w:val="24"/>
              </w:rPr>
              <w:t xml:space="preserve">绿地平整，雨后无积水。</w:t>
            </w:r>
            <w:r/>
          </w:p>
        </w:tc>
        <w:tc>
          <w:tcPr>
            <w:tcBorders>
              <w:top w:val="single" w:color="auto" w:sz="4" w:space="0"/>
              <w:left w:val="single" w:color="auto" w:sz="4" w:space="0"/>
              <w:bottom w:val="single" w:color="auto" w:sz="4" w:space="0"/>
              <w:right w:val="single" w:color="auto" w:sz="4" w:space="0"/>
            </w:tcBorders>
            <w:tcW w:w="2310" w:type="dxa"/>
            <w:textDirection w:val="lrTb"/>
            <w:noWrap w:val="false"/>
          </w:tcPr>
          <w:p>
            <w:pPr>
              <w:spacing w:line="300" w:lineRule="exact"/>
              <w:rPr>
                <w:spacing w:val="12"/>
                <w:sz w:val="24"/>
                <w:szCs w:val="24"/>
              </w:rPr>
            </w:pPr>
            <w:r>
              <w:rPr>
                <w:rFonts w:hint="eastAsia" w:ascii="宋体" w:hAnsi="宋体" w:cs="宋体"/>
                <w:spacing w:val="12"/>
                <w:sz w:val="24"/>
                <w:szCs w:val="24"/>
              </w:rPr>
              <w:t xml:space="preserve">①</w:t>
            </w:r>
            <w:r>
              <w:rPr>
                <w:rFonts w:ascii="宋体" w:hAnsi="宋体"/>
                <w:spacing w:val="12"/>
                <w:sz w:val="24"/>
                <w:szCs w:val="24"/>
              </w:rPr>
              <w:t xml:space="preserve">草种基本纯正，生长整齐。</w:t>
            </w:r>
            <w:r/>
          </w:p>
          <w:p>
            <w:pPr>
              <w:spacing w:line="300" w:lineRule="exact"/>
              <w:rPr>
                <w:spacing w:val="12"/>
                <w:sz w:val="24"/>
                <w:szCs w:val="24"/>
              </w:rPr>
            </w:pPr>
            <w:r>
              <w:rPr>
                <w:rFonts w:hint="eastAsia" w:ascii="宋体" w:hAnsi="宋体" w:cs="宋体"/>
                <w:spacing w:val="12"/>
                <w:sz w:val="24"/>
                <w:szCs w:val="24"/>
              </w:rPr>
              <w:t xml:space="preserve">②</w:t>
            </w:r>
            <w:r>
              <w:rPr>
                <w:rFonts w:ascii="宋体" w:hAnsi="宋体"/>
                <w:spacing w:val="12"/>
                <w:sz w:val="24"/>
                <w:szCs w:val="24"/>
              </w:rPr>
              <w:t xml:space="preserve">生长期草高不超过（冷）</w:t>
            </w:r>
            <w:r>
              <w:rPr>
                <w:spacing w:val="12"/>
                <w:sz w:val="24"/>
                <w:szCs w:val="24"/>
              </w:rPr>
              <w:t xml:space="preserve">6cm</w:t>
            </w:r>
            <w:r>
              <w:rPr>
                <w:rFonts w:ascii="宋体" w:hAnsi="宋体"/>
                <w:spacing w:val="12"/>
                <w:sz w:val="24"/>
                <w:szCs w:val="24"/>
              </w:rPr>
              <w:t xml:space="preserve">，（暖）</w:t>
            </w:r>
            <w:r>
              <w:rPr>
                <w:spacing w:val="12"/>
                <w:sz w:val="24"/>
                <w:szCs w:val="24"/>
              </w:rPr>
              <w:t xml:space="preserve">3.5cm</w:t>
            </w:r>
            <w:r>
              <w:rPr>
                <w:rFonts w:ascii="宋体" w:hAnsi="宋体"/>
                <w:spacing w:val="12"/>
                <w:sz w:val="24"/>
                <w:szCs w:val="24"/>
              </w:rPr>
              <w:t xml:space="preserve">。</w:t>
            </w:r>
            <w:r/>
          </w:p>
          <w:p>
            <w:pPr>
              <w:spacing w:line="300" w:lineRule="exact"/>
              <w:rPr>
                <w:spacing w:val="12"/>
                <w:sz w:val="24"/>
                <w:szCs w:val="24"/>
              </w:rPr>
            </w:pPr>
            <w:r>
              <w:rPr>
                <w:rFonts w:hint="eastAsia" w:ascii="宋体" w:hAnsi="宋体" w:cs="宋体"/>
                <w:spacing w:val="12"/>
                <w:sz w:val="24"/>
                <w:szCs w:val="24"/>
              </w:rPr>
              <w:t xml:space="preserve">③</w:t>
            </w:r>
            <w:r>
              <w:rPr>
                <w:rFonts w:ascii="宋体" w:hAnsi="宋体"/>
                <w:spacing w:val="12"/>
                <w:sz w:val="24"/>
                <w:szCs w:val="24"/>
              </w:rPr>
              <w:t xml:space="preserve">基本无杂草。</w:t>
            </w:r>
            <w:r/>
          </w:p>
          <w:p>
            <w:pPr>
              <w:spacing w:line="300" w:lineRule="exact"/>
              <w:rPr>
                <w:spacing w:val="12"/>
                <w:sz w:val="24"/>
                <w:szCs w:val="24"/>
              </w:rPr>
            </w:pPr>
            <w:r>
              <w:rPr>
                <w:rFonts w:hint="eastAsia" w:ascii="宋体" w:hAnsi="宋体" w:cs="宋体"/>
                <w:spacing w:val="12"/>
                <w:sz w:val="24"/>
                <w:szCs w:val="24"/>
              </w:rPr>
              <w:t xml:space="preserve">④</w:t>
            </w:r>
            <w:r>
              <w:rPr>
                <w:rFonts w:ascii="宋体" w:hAnsi="宋体"/>
                <w:spacing w:val="12"/>
                <w:sz w:val="24"/>
                <w:szCs w:val="24"/>
              </w:rPr>
              <w:t xml:space="preserve">草坪覆盖度</w:t>
            </w:r>
            <w:r>
              <w:rPr>
                <w:spacing w:val="12"/>
                <w:sz w:val="24"/>
                <w:szCs w:val="24"/>
              </w:rPr>
              <w:t xml:space="preserve">98%</w:t>
            </w:r>
            <w:r>
              <w:rPr>
                <w:rFonts w:ascii="宋体" w:hAnsi="宋体"/>
                <w:spacing w:val="12"/>
                <w:sz w:val="24"/>
                <w:szCs w:val="24"/>
              </w:rPr>
              <w:t xml:space="preserve">以上，无大于</w:t>
            </w:r>
            <w:r>
              <w:rPr>
                <w:spacing w:val="12"/>
                <w:sz w:val="24"/>
                <w:szCs w:val="24"/>
              </w:rPr>
              <w:t xml:space="preserve">50×50cm</w:t>
            </w:r>
            <w:r>
              <w:rPr>
                <w:rFonts w:ascii="宋体" w:hAnsi="宋体"/>
                <w:spacing w:val="12"/>
                <w:sz w:val="24"/>
                <w:szCs w:val="24"/>
              </w:rPr>
              <w:t xml:space="preserve">的秃斑。</w:t>
            </w:r>
            <w:r/>
          </w:p>
          <w:p>
            <w:pPr>
              <w:spacing w:line="300" w:lineRule="exact"/>
              <w:rPr>
                <w:spacing w:val="12"/>
                <w:sz w:val="24"/>
                <w:szCs w:val="24"/>
              </w:rPr>
            </w:pPr>
            <w:r>
              <w:rPr>
                <w:rFonts w:hint="eastAsia" w:ascii="宋体" w:hAnsi="宋体" w:cs="宋体"/>
                <w:spacing w:val="12"/>
                <w:sz w:val="24"/>
                <w:szCs w:val="24"/>
              </w:rPr>
              <w:t xml:space="preserve">⑤</w:t>
            </w:r>
            <w:r>
              <w:rPr>
                <w:rFonts w:ascii="宋体" w:hAnsi="宋体"/>
                <w:spacing w:val="12"/>
                <w:sz w:val="24"/>
                <w:szCs w:val="24"/>
              </w:rPr>
              <w:t xml:space="preserve">草坪边缘线清晰（树穴、花坛交界处）。</w:t>
            </w:r>
            <w:r/>
          </w:p>
        </w:tc>
        <w:tc>
          <w:tcPr>
            <w:tcBorders>
              <w:top w:val="single" w:color="auto" w:sz="4" w:space="0"/>
              <w:left w:val="single" w:color="auto" w:sz="4" w:space="0"/>
              <w:bottom w:val="single" w:color="auto" w:sz="4" w:space="0"/>
              <w:right w:val="single" w:color="auto" w:sz="4" w:space="0"/>
            </w:tcBorders>
            <w:tcW w:w="2415" w:type="dxa"/>
            <w:textDirection w:val="lrTb"/>
            <w:noWrap w:val="false"/>
          </w:tcPr>
          <w:p>
            <w:pPr>
              <w:spacing w:line="300" w:lineRule="exact"/>
              <w:rPr>
                <w:spacing w:val="12"/>
                <w:sz w:val="24"/>
                <w:szCs w:val="24"/>
              </w:rPr>
            </w:pPr>
            <w:r>
              <w:rPr>
                <w:rFonts w:hint="eastAsia" w:ascii="宋体" w:hAnsi="宋体" w:cs="宋体"/>
                <w:spacing w:val="12"/>
                <w:sz w:val="24"/>
                <w:szCs w:val="24"/>
              </w:rPr>
              <w:t xml:space="preserve">①</w:t>
            </w:r>
            <w:r>
              <w:rPr>
                <w:rFonts w:ascii="宋体" w:hAnsi="宋体"/>
                <w:spacing w:val="12"/>
                <w:sz w:val="24"/>
                <w:szCs w:val="24"/>
              </w:rPr>
              <w:t xml:space="preserve">草坪生长茂盛。</w:t>
            </w:r>
            <w:r/>
          </w:p>
          <w:p>
            <w:pPr>
              <w:spacing w:line="300" w:lineRule="exact"/>
              <w:rPr>
                <w:spacing w:val="12"/>
                <w:sz w:val="24"/>
                <w:szCs w:val="24"/>
              </w:rPr>
            </w:pPr>
            <w:r>
              <w:rPr>
                <w:rFonts w:hint="eastAsia" w:ascii="宋体" w:hAnsi="宋体" w:cs="宋体"/>
                <w:spacing w:val="12"/>
                <w:sz w:val="24"/>
                <w:szCs w:val="24"/>
              </w:rPr>
              <w:t xml:space="preserve">②</w:t>
            </w:r>
            <w:r>
              <w:rPr>
                <w:rFonts w:ascii="宋体" w:hAnsi="宋体"/>
                <w:spacing w:val="12"/>
                <w:sz w:val="24"/>
                <w:szCs w:val="24"/>
              </w:rPr>
              <w:t xml:space="preserve">生长期草高不超过（冷）</w:t>
            </w:r>
            <w:r>
              <w:rPr>
                <w:spacing w:val="12"/>
                <w:sz w:val="24"/>
                <w:szCs w:val="24"/>
              </w:rPr>
              <w:t xml:space="preserve">8cm</w:t>
            </w:r>
            <w:r>
              <w:rPr>
                <w:rFonts w:ascii="宋体" w:hAnsi="宋体"/>
                <w:spacing w:val="12"/>
                <w:sz w:val="24"/>
                <w:szCs w:val="24"/>
              </w:rPr>
              <w:t xml:space="preserve">，（暖）</w:t>
            </w:r>
            <w:r>
              <w:rPr>
                <w:spacing w:val="12"/>
                <w:sz w:val="24"/>
                <w:szCs w:val="24"/>
              </w:rPr>
              <w:t xml:space="preserve">4cm</w:t>
            </w:r>
            <w:r>
              <w:rPr>
                <w:rFonts w:ascii="宋体" w:hAnsi="宋体"/>
                <w:spacing w:val="12"/>
                <w:sz w:val="24"/>
                <w:szCs w:val="24"/>
              </w:rPr>
              <w:t xml:space="preserve">。</w:t>
            </w:r>
            <w:r/>
          </w:p>
          <w:p>
            <w:pPr>
              <w:spacing w:line="300" w:lineRule="exact"/>
              <w:rPr>
                <w:spacing w:val="12"/>
                <w:sz w:val="24"/>
                <w:szCs w:val="24"/>
              </w:rPr>
            </w:pPr>
            <w:r>
              <w:rPr>
                <w:rFonts w:hint="eastAsia" w:ascii="宋体" w:hAnsi="宋体" w:cs="宋体"/>
                <w:spacing w:val="12"/>
                <w:sz w:val="24"/>
                <w:szCs w:val="24"/>
              </w:rPr>
              <w:t xml:space="preserve">③</w:t>
            </w:r>
            <w:r>
              <w:rPr>
                <w:rFonts w:ascii="宋体" w:hAnsi="宋体"/>
                <w:spacing w:val="12"/>
                <w:sz w:val="24"/>
                <w:szCs w:val="24"/>
              </w:rPr>
              <w:t xml:space="preserve">基本无阔叶杂草，杂草控制高度：</w:t>
            </w:r>
            <w:r>
              <w:rPr>
                <w:spacing w:val="12"/>
                <w:sz w:val="24"/>
                <w:szCs w:val="24"/>
              </w:rPr>
              <w:t xml:space="preserve">5cm</w:t>
            </w:r>
            <w:r>
              <w:rPr>
                <w:rFonts w:ascii="宋体" w:hAnsi="宋体"/>
                <w:spacing w:val="12"/>
                <w:sz w:val="24"/>
                <w:szCs w:val="24"/>
              </w:rPr>
              <w:t xml:space="preserve">以下。</w:t>
            </w:r>
            <w:r/>
          </w:p>
          <w:p>
            <w:pPr>
              <w:spacing w:line="300" w:lineRule="exact"/>
              <w:rPr>
                <w:spacing w:val="12"/>
                <w:sz w:val="24"/>
                <w:szCs w:val="24"/>
              </w:rPr>
            </w:pPr>
            <w:r>
              <w:rPr>
                <w:rFonts w:hint="eastAsia" w:ascii="宋体" w:hAnsi="宋体" w:cs="宋体"/>
                <w:spacing w:val="12"/>
                <w:sz w:val="24"/>
                <w:szCs w:val="24"/>
              </w:rPr>
              <w:t xml:space="preserve">④</w:t>
            </w:r>
            <w:r>
              <w:rPr>
                <w:rFonts w:ascii="宋体" w:hAnsi="宋体"/>
                <w:spacing w:val="12"/>
                <w:sz w:val="24"/>
                <w:szCs w:val="24"/>
              </w:rPr>
              <w:t xml:space="preserve">草坪覆盖度</w:t>
            </w:r>
            <w:r>
              <w:rPr>
                <w:spacing w:val="12"/>
                <w:sz w:val="24"/>
                <w:szCs w:val="24"/>
              </w:rPr>
              <w:t xml:space="preserve">98%</w:t>
            </w:r>
            <w:r>
              <w:rPr>
                <w:rFonts w:ascii="宋体" w:hAnsi="宋体"/>
                <w:spacing w:val="12"/>
                <w:sz w:val="24"/>
                <w:szCs w:val="24"/>
              </w:rPr>
              <w:t xml:space="preserve">以上，集中空秃面积不超</w:t>
            </w:r>
            <w:r>
              <w:rPr>
                <w:spacing w:val="12"/>
                <w:sz w:val="24"/>
                <w:szCs w:val="24"/>
              </w:rPr>
              <w:t xml:space="preserve">1m</w:t>
            </w:r>
            <w:r>
              <w:rPr>
                <w:spacing w:val="12"/>
                <w:sz w:val="24"/>
                <w:szCs w:val="24"/>
                <w:vertAlign w:val="superscript"/>
              </w:rPr>
              <w:t xml:space="preserve">2</w:t>
            </w:r>
            <w:r>
              <w:rPr>
                <w:rFonts w:ascii="宋体" w:hAnsi="宋体"/>
                <w:spacing w:val="12"/>
                <w:sz w:val="24"/>
                <w:szCs w:val="24"/>
              </w:rPr>
              <w:t xml:space="preserve">。</w:t>
            </w:r>
            <w:r/>
          </w:p>
          <w:p>
            <w:pPr>
              <w:spacing w:line="300" w:lineRule="exact"/>
              <w:rPr>
                <w:spacing w:val="12"/>
                <w:sz w:val="24"/>
                <w:szCs w:val="24"/>
              </w:rPr>
            </w:pPr>
            <w:r>
              <w:rPr>
                <w:rFonts w:hint="eastAsia" w:ascii="宋体" w:hAnsi="宋体" w:cs="宋体"/>
                <w:spacing w:val="12"/>
                <w:sz w:val="24"/>
                <w:szCs w:val="24"/>
              </w:rPr>
              <w:t xml:space="preserve">⑤</w:t>
            </w:r>
            <w:r>
              <w:rPr>
                <w:rFonts w:ascii="宋体" w:hAnsi="宋体"/>
                <w:spacing w:val="12"/>
                <w:sz w:val="24"/>
                <w:szCs w:val="24"/>
              </w:rPr>
              <w:t xml:space="preserve">草坪与树穴交界处有边缘线。</w:t>
            </w:r>
            <w:r/>
          </w:p>
        </w:tc>
      </w:tr>
      <w:tr>
        <w:trPr>
          <w:jc w:val="center"/>
        </w:trPr>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jc w:val="center"/>
              <w:spacing w:line="300" w:lineRule="exact"/>
              <w:rPr>
                <w:spacing w:val="12"/>
                <w:sz w:val="24"/>
                <w:szCs w:val="24"/>
              </w:rPr>
            </w:pPr>
            <w:r>
              <w:rPr>
                <w:spacing w:val="12"/>
                <w:sz w:val="24"/>
                <w:szCs w:val="24"/>
              </w:rPr>
              <w:t xml:space="preserve">4</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00" w:lineRule="exact"/>
              <w:rPr>
                <w:b/>
                <w:bCs/>
                <w:spacing w:val="12"/>
                <w:sz w:val="24"/>
                <w:szCs w:val="24"/>
              </w:rPr>
            </w:pPr>
            <w:r>
              <w:rPr>
                <w:rFonts w:ascii="宋体" w:hAnsi="宋体"/>
                <w:b/>
                <w:bCs/>
                <w:spacing w:val="12"/>
                <w:sz w:val="24"/>
                <w:szCs w:val="24"/>
              </w:rPr>
              <w:t xml:space="preserve">卫生</w:t>
            </w:r>
            <w:r/>
          </w:p>
          <w:p>
            <w:pPr>
              <w:jc w:val="center"/>
              <w:spacing w:line="300" w:lineRule="exact"/>
              <w:rPr>
                <w:b/>
                <w:bCs/>
                <w:spacing w:val="12"/>
                <w:sz w:val="24"/>
                <w:szCs w:val="24"/>
              </w:rPr>
            </w:pPr>
            <w:r>
              <w:rPr>
                <w:rFonts w:ascii="宋体" w:hAnsi="宋体"/>
                <w:b/>
                <w:bCs/>
                <w:spacing w:val="12"/>
                <w:sz w:val="24"/>
                <w:szCs w:val="24"/>
              </w:rPr>
              <w:t xml:space="preserve">标准</w:t>
            </w:r>
            <w:r/>
          </w:p>
        </w:tc>
        <w:tc>
          <w:tcPr>
            <w:tcBorders>
              <w:top w:val="single" w:color="auto" w:sz="4" w:space="0"/>
              <w:left w:val="single" w:color="auto" w:sz="4" w:space="0"/>
              <w:bottom w:val="single" w:color="auto" w:sz="4" w:space="0"/>
              <w:right w:val="single" w:color="auto" w:sz="4" w:space="0"/>
            </w:tcBorders>
            <w:tcW w:w="3150" w:type="dxa"/>
            <w:vAlign w:val="center"/>
            <w:textDirection w:val="lrTb"/>
            <w:noWrap w:val="false"/>
          </w:tcPr>
          <w:p>
            <w:pPr>
              <w:spacing w:line="300" w:lineRule="exact"/>
              <w:rPr>
                <w:spacing w:val="12"/>
                <w:sz w:val="24"/>
                <w:szCs w:val="24"/>
              </w:rPr>
            </w:pPr>
            <w:r>
              <w:rPr>
                <w:rFonts w:hint="eastAsia" w:ascii="宋体" w:hAnsi="宋体" w:cs="宋体"/>
                <w:spacing w:val="12"/>
                <w:sz w:val="24"/>
                <w:szCs w:val="24"/>
              </w:rPr>
              <w:t xml:space="preserve">①</w:t>
            </w:r>
            <w:r>
              <w:rPr>
                <w:rFonts w:ascii="宋体" w:hAnsi="宋体"/>
                <w:spacing w:val="12"/>
                <w:sz w:val="24"/>
                <w:szCs w:val="24"/>
              </w:rPr>
              <w:t xml:space="preserve">绿地整洁，无枯枝病叶，无垃圾，植物叶面无陈旧积尘。</w:t>
            </w:r>
            <w:r>
              <w:rPr>
                <w:rFonts w:hint="eastAsia" w:ascii="宋体" w:hAnsi="宋体" w:cs="宋体"/>
                <w:spacing w:val="12"/>
                <w:sz w:val="24"/>
                <w:szCs w:val="24"/>
              </w:rPr>
              <w:t xml:space="preserve">②</w:t>
            </w:r>
            <w:r>
              <w:rPr>
                <w:rFonts w:ascii="宋体" w:hAnsi="宋体"/>
                <w:spacing w:val="12"/>
                <w:sz w:val="24"/>
                <w:szCs w:val="24"/>
              </w:rPr>
              <w:t xml:space="preserve">无杂物（纸屑、果壳、塑料纸、砖头石块、堆物、堆料、搭棚等）。</w:t>
            </w:r>
            <w:r/>
          </w:p>
          <w:p>
            <w:pPr>
              <w:spacing w:line="300" w:lineRule="exact"/>
              <w:rPr>
                <w:spacing w:val="12"/>
                <w:sz w:val="24"/>
                <w:szCs w:val="24"/>
              </w:rPr>
            </w:pPr>
            <w:r>
              <w:rPr>
                <w:rFonts w:hint="eastAsia" w:ascii="宋体" w:hAnsi="宋体" w:cs="宋体"/>
                <w:spacing w:val="12"/>
                <w:sz w:val="24"/>
                <w:szCs w:val="24"/>
              </w:rPr>
              <w:t xml:space="preserve">③</w:t>
            </w:r>
            <w:r>
              <w:rPr>
                <w:rFonts w:ascii="宋体" w:hAnsi="宋体"/>
                <w:spacing w:val="12"/>
                <w:sz w:val="24"/>
                <w:szCs w:val="24"/>
              </w:rPr>
              <w:t xml:space="preserve">绿化生产垃圾（树枝、树叶、草屑等）、水面杂物，重点地区随产随清，其它地区日产日清，做到巡视保洁。</w:t>
            </w:r>
            <w:r/>
          </w:p>
          <w:p>
            <w:pPr>
              <w:spacing w:line="300" w:lineRule="exact"/>
              <w:rPr>
                <w:spacing w:val="12"/>
                <w:sz w:val="24"/>
                <w:szCs w:val="24"/>
              </w:rPr>
            </w:pPr>
            <w:r>
              <w:rPr>
                <w:rFonts w:hint="eastAsia" w:ascii="宋体" w:hAnsi="宋体" w:cs="宋体"/>
                <w:spacing w:val="12"/>
                <w:sz w:val="24"/>
                <w:szCs w:val="24"/>
              </w:rPr>
              <w:t xml:space="preserve">④</w:t>
            </w:r>
            <w:r>
              <w:rPr>
                <w:rFonts w:ascii="宋体" w:hAnsi="宋体"/>
                <w:spacing w:val="12"/>
                <w:sz w:val="24"/>
                <w:szCs w:val="24"/>
              </w:rPr>
              <w:t xml:space="preserve">绿地设施整洁，立面无涂刻、招贴。</w:t>
            </w:r>
            <w:r/>
          </w:p>
          <w:p>
            <w:pPr>
              <w:spacing w:line="300" w:lineRule="exact"/>
              <w:rPr>
                <w:spacing w:val="12"/>
                <w:sz w:val="24"/>
                <w:szCs w:val="24"/>
              </w:rPr>
            </w:pPr>
            <w:r>
              <w:rPr>
                <w:rFonts w:hint="eastAsia" w:ascii="宋体" w:hAnsi="宋体" w:cs="宋体"/>
                <w:spacing w:val="12"/>
                <w:sz w:val="24"/>
                <w:szCs w:val="24"/>
              </w:rPr>
              <w:t xml:space="preserve">⑤</w:t>
            </w:r>
            <w:r>
              <w:rPr>
                <w:rFonts w:ascii="宋体" w:hAnsi="宋体"/>
                <w:spacing w:val="12"/>
                <w:sz w:val="24"/>
                <w:szCs w:val="24"/>
              </w:rPr>
              <w:t xml:space="preserve">无卫生死角。</w:t>
            </w:r>
            <w:r/>
          </w:p>
        </w:tc>
        <w:tc>
          <w:tcPr>
            <w:tcBorders>
              <w:top w:val="single" w:color="auto" w:sz="4" w:space="0"/>
              <w:left w:val="single" w:color="auto" w:sz="4" w:space="0"/>
              <w:bottom w:val="single" w:color="auto" w:sz="4" w:space="0"/>
              <w:right w:val="single" w:color="auto" w:sz="4" w:space="0"/>
            </w:tcBorders>
            <w:tcW w:w="2310" w:type="dxa"/>
            <w:textDirection w:val="lrTb"/>
            <w:noWrap w:val="false"/>
          </w:tcPr>
          <w:p>
            <w:pPr>
              <w:spacing w:line="300" w:lineRule="exact"/>
              <w:rPr>
                <w:spacing w:val="12"/>
                <w:sz w:val="24"/>
                <w:szCs w:val="24"/>
              </w:rPr>
            </w:pPr>
            <w:r>
              <w:rPr>
                <w:rFonts w:hint="eastAsia" w:ascii="宋体" w:hAnsi="宋体" w:cs="宋体"/>
                <w:spacing w:val="12"/>
                <w:sz w:val="24"/>
                <w:szCs w:val="24"/>
              </w:rPr>
              <w:t xml:space="preserve">①</w:t>
            </w:r>
            <w:r>
              <w:rPr>
                <w:rFonts w:ascii="宋体" w:hAnsi="宋体"/>
                <w:spacing w:val="12"/>
                <w:sz w:val="24"/>
                <w:szCs w:val="24"/>
              </w:rPr>
              <w:t xml:space="preserve">绿地整洁，无枯枝病叶，无垃圾，植物叶面无陈旧积尘。</w:t>
            </w:r>
            <w:r/>
          </w:p>
          <w:p>
            <w:pPr>
              <w:spacing w:line="300" w:lineRule="exact"/>
              <w:rPr>
                <w:spacing w:val="12"/>
                <w:sz w:val="24"/>
                <w:szCs w:val="24"/>
              </w:rPr>
            </w:pPr>
            <w:r>
              <w:rPr>
                <w:rFonts w:hint="eastAsia" w:ascii="宋体" w:hAnsi="宋体" w:cs="宋体"/>
                <w:spacing w:val="12"/>
                <w:sz w:val="24"/>
                <w:szCs w:val="24"/>
              </w:rPr>
              <w:t xml:space="preserve">②</w:t>
            </w:r>
            <w:r>
              <w:rPr>
                <w:rFonts w:ascii="宋体" w:hAnsi="宋体"/>
                <w:spacing w:val="12"/>
                <w:sz w:val="24"/>
                <w:szCs w:val="24"/>
              </w:rPr>
              <w:t xml:space="preserve">无杂物（纸屑、果壳、塑料纸、砖头石块、堆物、堆料、搭棚等）。</w:t>
            </w:r>
            <w:r/>
          </w:p>
          <w:p>
            <w:pPr>
              <w:spacing w:line="300" w:lineRule="exact"/>
              <w:rPr>
                <w:spacing w:val="12"/>
                <w:sz w:val="24"/>
                <w:szCs w:val="24"/>
              </w:rPr>
            </w:pPr>
            <w:r>
              <w:rPr>
                <w:rFonts w:hint="eastAsia" w:ascii="宋体" w:hAnsi="宋体" w:cs="宋体"/>
                <w:spacing w:val="12"/>
                <w:sz w:val="24"/>
                <w:szCs w:val="24"/>
              </w:rPr>
              <w:t xml:space="preserve">③</w:t>
            </w:r>
            <w:r>
              <w:rPr>
                <w:rFonts w:ascii="宋体" w:hAnsi="宋体"/>
                <w:spacing w:val="12"/>
                <w:sz w:val="24"/>
                <w:szCs w:val="24"/>
              </w:rPr>
              <w:t xml:space="preserve">绿化生产垃圾（树枝、树叶、草屑等）、水面杂物，应日产日清，做到保洁及时。</w:t>
            </w:r>
            <w:r/>
          </w:p>
          <w:p>
            <w:pPr>
              <w:spacing w:line="300" w:lineRule="exact"/>
              <w:rPr>
                <w:spacing w:val="12"/>
                <w:sz w:val="24"/>
                <w:szCs w:val="24"/>
              </w:rPr>
            </w:pPr>
            <w:r>
              <w:rPr>
                <w:rFonts w:hint="eastAsia" w:ascii="宋体" w:hAnsi="宋体" w:cs="宋体"/>
                <w:spacing w:val="12"/>
                <w:sz w:val="24"/>
                <w:szCs w:val="24"/>
              </w:rPr>
              <w:t xml:space="preserve">④</w:t>
            </w:r>
            <w:r>
              <w:rPr>
                <w:rFonts w:ascii="宋体" w:hAnsi="宋体"/>
                <w:spacing w:val="12"/>
                <w:sz w:val="24"/>
                <w:szCs w:val="24"/>
              </w:rPr>
              <w:t xml:space="preserve">绿地设施整洁，立面无涂刻、招贴。</w:t>
            </w:r>
            <w:r/>
          </w:p>
          <w:p>
            <w:pPr>
              <w:spacing w:line="300" w:lineRule="exact"/>
              <w:rPr>
                <w:spacing w:val="12"/>
                <w:sz w:val="24"/>
                <w:szCs w:val="24"/>
              </w:rPr>
            </w:pPr>
            <w:r>
              <w:rPr>
                <w:rFonts w:hint="eastAsia" w:ascii="宋体" w:hAnsi="宋体" w:cs="宋体"/>
                <w:spacing w:val="12"/>
                <w:sz w:val="24"/>
                <w:szCs w:val="24"/>
              </w:rPr>
              <w:t xml:space="preserve">⑤</w:t>
            </w:r>
            <w:r>
              <w:rPr>
                <w:rFonts w:ascii="宋体" w:hAnsi="宋体"/>
                <w:spacing w:val="12"/>
                <w:sz w:val="24"/>
                <w:szCs w:val="24"/>
              </w:rPr>
              <w:t xml:space="preserve">无卫生死角。</w:t>
            </w:r>
            <w:r/>
          </w:p>
        </w:tc>
        <w:tc>
          <w:tcPr>
            <w:tcBorders>
              <w:top w:val="single" w:color="auto" w:sz="4" w:space="0"/>
              <w:left w:val="single" w:color="auto" w:sz="4" w:space="0"/>
              <w:bottom w:val="single" w:color="auto" w:sz="4" w:space="0"/>
              <w:right w:val="single" w:color="auto" w:sz="4" w:space="0"/>
            </w:tcBorders>
            <w:tcW w:w="2415" w:type="dxa"/>
            <w:textDirection w:val="lrTb"/>
            <w:noWrap w:val="false"/>
          </w:tcPr>
          <w:p>
            <w:pPr>
              <w:spacing w:line="300" w:lineRule="exact"/>
              <w:rPr>
                <w:spacing w:val="12"/>
                <w:sz w:val="24"/>
                <w:szCs w:val="24"/>
              </w:rPr>
            </w:pPr>
            <w:r>
              <w:rPr>
                <w:rFonts w:hint="eastAsia" w:ascii="宋体" w:hAnsi="宋体" w:cs="宋体"/>
                <w:spacing w:val="12"/>
                <w:sz w:val="24"/>
                <w:szCs w:val="24"/>
              </w:rPr>
              <w:t xml:space="preserve">①</w:t>
            </w:r>
            <w:r>
              <w:rPr>
                <w:rFonts w:ascii="宋体" w:hAnsi="宋体"/>
                <w:spacing w:val="12"/>
                <w:sz w:val="24"/>
                <w:szCs w:val="24"/>
              </w:rPr>
              <w:t xml:space="preserve">绿地基本整洁，无枯枝病叶，无垃圾。</w:t>
            </w:r>
            <w:r/>
          </w:p>
          <w:p>
            <w:pPr>
              <w:spacing w:line="300" w:lineRule="exact"/>
              <w:rPr>
                <w:spacing w:val="12"/>
                <w:sz w:val="24"/>
                <w:szCs w:val="24"/>
              </w:rPr>
            </w:pPr>
            <w:r>
              <w:rPr>
                <w:spacing w:val="12"/>
                <w:sz w:val="24"/>
                <w:szCs w:val="24"/>
              </w:rPr>
              <w:t xml:space="preserve"> </w:t>
            </w:r>
            <w:r>
              <w:rPr>
                <w:rFonts w:hint="eastAsia" w:ascii="宋体" w:hAnsi="宋体" w:cs="宋体"/>
                <w:spacing w:val="12"/>
                <w:sz w:val="24"/>
                <w:szCs w:val="24"/>
              </w:rPr>
              <w:t xml:space="preserve">②</w:t>
            </w:r>
            <w:r>
              <w:rPr>
                <w:rFonts w:ascii="宋体" w:hAnsi="宋体"/>
                <w:spacing w:val="12"/>
                <w:sz w:val="24"/>
                <w:szCs w:val="24"/>
              </w:rPr>
              <w:t xml:space="preserve">无明显杂物（纸屑、果壳、塑料纸、砖头石块、堆物、堆料、搭棚等）。</w:t>
            </w:r>
            <w:r/>
          </w:p>
          <w:p>
            <w:pPr>
              <w:spacing w:line="300" w:lineRule="exact"/>
              <w:rPr>
                <w:spacing w:val="12"/>
                <w:sz w:val="24"/>
                <w:szCs w:val="24"/>
              </w:rPr>
            </w:pPr>
            <w:r>
              <w:rPr>
                <w:rFonts w:hint="eastAsia" w:ascii="宋体" w:hAnsi="宋体" w:cs="宋体"/>
                <w:spacing w:val="12"/>
                <w:sz w:val="24"/>
                <w:szCs w:val="24"/>
              </w:rPr>
              <w:t xml:space="preserve">③</w:t>
            </w:r>
            <w:r>
              <w:rPr>
                <w:rFonts w:ascii="宋体" w:hAnsi="宋体"/>
                <w:spacing w:val="12"/>
                <w:sz w:val="24"/>
                <w:szCs w:val="24"/>
              </w:rPr>
              <w:t xml:space="preserve">绿化生产垃圾（树枝、树叶、草屑等），水面杂物能日产日清，能做到保洁及时。</w:t>
            </w:r>
            <w:r/>
          </w:p>
          <w:p>
            <w:pPr>
              <w:spacing w:line="300" w:lineRule="exact"/>
              <w:rPr>
                <w:spacing w:val="12"/>
                <w:sz w:val="24"/>
                <w:szCs w:val="24"/>
              </w:rPr>
            </w:pPr>
            <w:r>
              <w:rPr>
                <w:rFonts w:hint="eastAsia" w:ascii="宋体" w:hAnsi="宋体" w:cs="宋体"/>
                <w:spacing w:val="12"/>
                <w:sz w:val="24"/>
                <w:szCs w:val="24"/>
              </w:rPr>
              <w:t xml:space="preserve">④</w:t>
            </w:r>
            <w:r>
              <w:rPr>
                <w:rFonts w:ascii="宋体" w:hAnsi="宋体"/>
                <w:spacing w:val="12"/>
                <w:sz w:val="24"/>
                <w:szCs w:val="24"/>
              </w:rPr>
              <w:t xml:space="preserve">绿地设施整洁，立面无涂刻、招贴。</w:t>
            </w:r>
            <w:r/>
          </w:p>
          <w:p>
            <w:pPr>
              <w:spacing w:line="300" w:lineRule="exact"/>
              <w:rPr>
                <w:spacing w:val="12"/>
                <w:sz w:val="24"/>
                <w:szCs w:val="24"/>
              </w:rPr>
            </w:pPr>
            <w:r>
              <w:rPr>
                <w:rFonts w:hint="eastAsia" w:ascii="宋体" w:hAnsi="宋体" w:cs="宋体"/>
                <w:spacing w:val="12"/>
                <w:sz w:val="24"/>
                <w:szCs w:val="24"/>
              </w:rPr>
              <w:t xml:space="preserve">⑤</w:t>
            </w:r>
            <w:r>
              <w:rPr>
                <w:rFonts w:ascii="宋体" w:hAnsi="宋体"/>
                <w:spacing w:val="12"/>
                <w:sz w:val="24"/>
                <w:szCs w:val="24"/>
              </w:rPr>
              <w:t xml:space="preserve">无卫生死角。</w:t>
            </w:r>
            <w:r/>
          </w:p>
          <w:p>
            <w:pPr>
              <w:spacing w:line="300" w:lineRule="exact"/>
              <w:rPr>
                <w:spacing w:val="12"/>
                <w:sz w:val="24"/>
                <w:szCs w:val="24"/>
              </w:rPr>
            </w:pPr>
            <w:r>
              <w:rPr>
                <w:spacing w:val="12"/>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jc w:val="center"/>
              <w:spacing w:line="300" w:lineRule="exact"/>
              <w:rPr>
                <w:spacing w:val="12"/>
                <w:sz w:val="24"/>
                <w:szCs w:val="24"/>
              </w:rPr>
            </w:pPr>
            <w:r>
              <w:rPr>
                <w:spacing w:val="12"/>
                <w:sz w:val="24"/>
                <w:szCs w:val="24"/>
              </w:rPr>
              <w:t xml:space="preserve">5</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00" w:lineRule="exact"/>
              <w:rPr>
                <w:b/>
                <w:bCs/>
                <w:spacing w:val="12"/>
                <w:sz w:val="24"/>
                <w:szCs w:val="24"/>
              </w:rPr>
            </w:pPr>
            <w:r>
              <w:rPr>
                <w:rFonts w:ascii="宋体" w:hAnsi="宋体"/>
                <w:b/>
                <w:bCs/>
                <w:spacing w:val="12"/>
                <w:sz w:val="24"/>
                <w:szCs w:val="24"/>
              </w:rPr>
              <w:t xml:space="preserve">灌溉与排水</w:t>
            </w:r>
            <w:r/>
          </w:p>
        </w:tc>
        <w:tc>
          <w:tcPr>
            <w:tcBorders>
              <w:top w:val="single" w:color="auto" w:sz="4" w:space="0"/>
              <w:left w:val="single" w:color="auto" w:sz="4" w:space="0"/>
              <w:bottom w:val="single" w:color="auto" w:sz="4" w:space="0"/>
              <w:right w:val="single" w:color="auto" w:sz="4" w:space="0"/>
            </w:tcBorders>
            <w:tcW w:w="3150" w:type="dxa"/>
            <w:vAlign w:val="center"/>
            <w:textDirection w:val="lrTb"/>
            <w:noWrap w:val="false"/>
          </w:tcPr>
          <w:p>
            <w:pPr>
              <w:spacing w:line="300" w:lineRule="exact"/>
              <w:rPr>
                <w:spacing w:val="12"/>
                <w:sz w:val="24"/>
                <w:szCs w:val="24"/>
              </w:rPr>
            </w:pPr>
            <w:r>
              <w:rPr>
                <w:rFonts w:hint="eastAsia" w:ascii="宋体" w:hAnsi="宋体" w:cs="宋体"/>
                <w:spacing w:val="12"/>
                <w:sz w:val="24"/>
                <w:szCs w:val="24"/>
              </w:rPr>
              <w:t xml:space="preserve">①</w:t>
            </w:r>
            <w:r>
              <w:rPr>
                <w:rFonts w:ascii="宋体" w:hAnsi="宋体"/>
                <w:spacing w:val="12"/>
                <w:sz w:val="24"/>
                <w:szCs w:val="24"/>
              </w:rPr>
              <w:t xml:space="preserve">绿地内有灌水、排水设施，灌溉用水水质符合园林植物灌溉水质要求。</w:t>
            </w:r>
            <w:r/>
          </w:p>
          <w:p>
            <w:pPr>
              <w:spacing w:line="300" w:lineRule="exact"/>
              <w:rPr>
                <w:spacing w:val="12"/>
                <w:sz w:val="24"/>
                <w:szCs w:val="24"/>
              </w:rPr>
            </w:pPr>
            <w:r>
              <w:rPr>
                <w:rFonts w:hint="eastAsia" w:ascii="宋体" w:hAnsi="宋体" w:cs="宋体"/>
                <w:spacing w:val="12"/>
                <w:sz w:val="24"/>
                <w:szCs w:val="24"/>
              </w:rPr>
              <w:t xml:space="preserve">②</w:t>
            </w:r>
            <w:r>
              <w:rPr>
                <w:rFonts w:ascii="宋体" w:hAnsi="宋体"/>
                <w:spacing w:val="12"/>
                <w:sz w:val="24"/>
                <w:szCs w:val="24"/>
              </w:rPr>
              <w:t xml:space="preserve">浇水树堰规范（直径为树木胸径的</w:t>
            </w:r>
            <w:r>
              <w:rPr>
                <w:spacing w:val="12"/>
                <w:sz w:val="24"/>
                <w:szCs w:val="24"/>
              </w:rPr>
              <w:t xml:space="preserve">10</w:t>
            </w:r>
            <w:r>
              <w:rPr>
                <w:rFonts w:ascii="宋体" w:hAnsi="宋体"/>
                <w:spacing w:val="12"/>
                <w:sz w:val="24"/>
                <w:szCs w:val="24"/>
              </w:rPr>
              <w:t xml:space="preserve">倍），浇水后无跑水、漏水现象。</w:t>
            </w:r>
            <w:r/>
          </w:p>
          <w:p>
            <w:pPr>
              <w:spacing w:line="300" w:lineRule="exact"/>
              <w:rPr>
                <w:spacing w:val="12"/>
                <w:sz w:val="24"/>
                <w:szCs w:val="24"/>
              </w:rPr>
            </w:pPr>
            <w:r>
              <w:rPr>
                <w:rFonts w:hint="eastAsia" w:ascii="宋体" w:hAnsi="宋体" w:cs="宋体"/>
                <w:spacing w:val="12"/>
                <w:sz w:val="24"/>
                <w:szCs w:val="24"/>
              </w:rPr>
              <w:t xml:space="preserve">③</w:t>
            </w:r>
            <w:r>
              <w:rPr>
                <w:rFonts w:ascii="宋体" w:hAnsi="宋体"/>
                <w:spacing w:val="12"/>
                <w:sz w:val="24"/>
                <w:szCs w:val="24"/>
              </w:rPr>
              <w:t xml:space="preserve">绿地无超过</w:t>
            </w:r>
            <w:r>
              <w:rPr>
                <w:spacing w:val="12"/>
                <w:sz w:val="24"/>
                <w:szCs w:val="24"/>
              </w:rPr>
              <w:t xml:space="preserve">12</w:t>
            </w:r>
            <w:r>
              <w:rPr>
                <w:rFonts w:ascii="宋体" w:hAnsi="宋体"/>
                <w:spacing w:val="12"/>
                <w:sz w:val="24"/>
                <w:szCs w:val="24"/>
              </w:rPr>
              <w:t xml:space="preserve">小时的积水。</w:t>
            </w:r>
            <w:r/>
          </w:p>
        </w:tc>
        <w:tc>
          <w:tcPr>
            <w:tcBorders>
              <w:top w:val="single" w:color="auto" w:sz="4" w:space="0"/>
              <w:left w:val="single" w:color="auto" w:sz="4" w:space="0"/>
              <w:bottom w:val="single" w:color="auto" w:sz="4" w:space="0"/>
              <w:right w:val="single" w:color="auto" w:sz="4" w:space="0"/>
            </w:tcBorders>
            <w:tcW w:w="2310" w:type="dxa"/>
            <w:textDirection w:val="lrTb"/>
            <w:noWrap w:val="false"/>
          </w:tcPr>
          <w:p>
            <w:pPr>
              <w:spacing w:line="300" w:lineRule="exact"/>
              <w:rPr>
                <w:spacing w:val="12"/>
                <w:sz w:val="24"/>
                <w:szCs w:val="24"/>
              </w:rPr>
            </w:pPr>
            <w:r>
              <w:rPr>
                <w:rFonts w:hint="eastAsia" w:ascii="宋体" w:hAnsi="宋体" w:cs="宋体"/>
                <w:spacing w:val="12"/>
                <w:sz w:val="24"/>
                <w:szCs w:val="24"/>
              </w:rPr>
              <w:t xml:space="preserve">①</w:t>
            </w:r>
            <w:r>
              <w:rPr>
                <w:rFonts w:ascii="宋体" w:hAnsi="宋体"/>
                <w:spacing w:val="12"/>
                <w:sz w:val="24"/>
                <w:szCs w:val="24"/>
              </w:rPr>
              <w:t xml:space="preserve">绿地内有排水设施，灌溉用水水源便利，水质符合园林植物灌溉水质要求。</w:t>
            </w:r>
            <w:r/>
          </w:p>
          <w:p>
            <w:pPr>
              <w:spacing w:line="300" w:lineRule="exact"/>
              <w:rPr>
                <w:spacing w:val="12"/>
                <w:sz w:val="24"/>
                <w:szCs w:val="24"/>
              </w:rPr>
            </w:pPr>
            <w:r>
              <w:rPr>
                <w:rFonts w:hint="eastAsia" w:ascii="宋体" w:hAnsi="宋体" w:cs="宋体"/>
                <w:spacing w:val="12"/>
                <w:sz w:val="24"/>
                <w:szCs w:val="24"/>
              </w:rPr>
              <w:t xml:space="preserve">②</w:t>
            </w:r>
            <w:r>
              <w:rPr>
                <w:rFonts w:ascii="宋体" w:hAnsi="宋体"/>
                <w:spacing w:val="12"/>
                <w:sz w:val="24"/>
                <w:szCs w:val="24"/>
              </w:rPr>
              <w:t xml:space="preserve">浇水树堰完整，浇水后无明显跑水、漏水现象。</w:t>
            </w:r>
            <w:r/>
          </w:p>
          <w:p>
            <w:pPr>
              <w:spacing w:line="300" w:lineRule="exact"/>
              <w:rPr>
                <w:spacing w:val="12"/>
                <w:sz w:val="24"/>
                <w:szCs w:val="24"/>
              </w:rPr>
            </w:pPr>
            <w:r>
              <w:rPr>
                <w:rFonts w:hint="eastAsia" w:ascii="宋体" w:hAnsi="宋体" w:cs="宋体"/>
                <w:spacing w:val="12"/>
                <w:sz w:val="24"/>
                <w:szCs w:val="24"/>
              </w:rPr>
              <w:t xml:space="preserve">③</w:t>
            </w:r>
            <w:r>
              <w:rPr>
                <w:rFonts w:ascii="宋体" w:hAnsi="宋体"/>
                <w:spacing w:val="12"/>
                <w:sz w:val="24"/>
                <w:szCs w:val="24"/>
              </w:rPr>
              <w:t xml:space="preserve">绿地无超过</w:t>
            </w:r>
            <w:r>
              <w:rPr>
                <w:spacing w:val="12"/>
                <w:sz w:val="24"/>
                <w:szCs w:val="24"/>
              </w:rPr>
              <w:t xml:space="preserve">24</w:t>
            </w:r>
            <w:r>
              <w:rPr>
                <w:rFonts w:ascii="宋体" w:hAnsi="宋体"/>
                <w:spacing w:val="12"/>
                <w:sz w:val="24"/>
                <w:szCs w:val="24"/>
              </w:rPr>
              <w:t xml:space="preserve">小时的积水。</w:t>
            </w:r>
            <w:r/>
          </w:p>
        </w:tc>
        <w:tc>
          <w:tcPr>
            <w:tcBorders>
              <w:top w:val="single" w:color="auto" w:sz="4" w:space="0"/>
              <w:left w:val="single" w:color="auto" w:sz="4" w:space="0"/>
              <w:bottom w:val="single" w:color="auto" w:sz="4" w:space="0"/>
              <w:right w:val="single" w:color="auto" w:sz="4" w:space="0"/>
            </w:tcBorders>
            <w:tcW w:w="2415" w:type="dxa"/>
            <w:textDirection w:val="lrTb"/>
            <w:noWrap w:val="false"/>
          </w:tcPr>
          <w:p>
            <w:pPr>
              <w:spacing w:line="300" w:lineRule="exact"/>
              <w:rPr>
                <w:spacing w:val="12"/>
                <w:sz w:val="24"/>
                <w:szCs w:val="24"/>
              </w:rPr>
            </w:pPr>
            <w:r>
              <w:rPr>
                <w:rFonts w:hint="eastAsia" w:ascii="宋体" w:hAnsi="宋体" w:cs="宋体"/>
                <w:spacing w:val="12"/>
                <w:sz w:val="24"/>
                <w:szCs w:val="24"/>
              </w:rPr>
              <w:t xml:space="preserve">①</w:t>
            </w:r>
            <w:r>
              <w:rPr>
                <w:rFonts w:ascii="宋体" w:hAnsi="宋体"/>
                <w:spacing w:val="12"/>
                <w:sz w:val="24"/>
                <w:szCs w:val="24"/>
              </w:rPr>
              <w:t xml:space="preserve">灌溉用水水源便利，水质符合园林植物灌溉水质要求。</w:t>
            </w:r>
            <w:r/>
          </w:p>
          <w:p>
            <w:pPr>
              <w:spacing w:line="300" w:lineRule="exact"/>
              <w:rPr>
                <w:spacing w:val="12"/>
                <w:sz w:val="24"/>
                <w:szCs w:val="24"/>
              </w:rPr>
            </w:pPr>
            <w:r>
              <w:rPr>
                <w:rFonts w:hint="eastAsia" w:ascii="宋体" w:hAnsi="宋体" w:cs="宋体"/>
                <w:spacing w:val="12"/>
                <w:sz w:val="24"/>
                <w:szCs w:val="24"/>
              </w:rPr>
              <w:t xml:space="preserve">②</w:t>
            </w:r>
            <w:r>
              <w:rPr>
                <w:rFonts w:ascii="宋体" w:hAnsi="宋体"/>
                <w:spacing w:val="12"/>
                <w:sz w:val="24"/>
                <w:szCs w:val="24"/>
              </w:rPr>
              <w:t xml:space="preserve">有浇水树堰，浇水后水不溢出绿地。</w:t>
            </w:r>
            <w:r/>
          </w:p>
          <w:p>
            <w:pPr>
              <w:spacing w:line="300" w:lineRule="exact"/>
              <w:rPr>
                <w:spacing w:val="12"/>
                <w:sz w:val="24"/>
                <w:szCs w:val="24"/>
              </w:rPr>
            </w:pPr>
            <w:r>
              <w:rPr>
                <w:rFonts w:hint="eastAsia" w:ascii="宋体" w:hAnsi="宋体" w:cs="宋体"/>
                <w:spacing w:val="12"/>
                <w:sz w:val="24"/>
                <w:szCs w:val="24"/>
              </w:rPr>
              <w:t xml:space="preserve">③</w:t>
            </w:r>
            <w:r>
              <w:rPr>
                <w:rFonts w:ascii="宋体" w:hAnsi="宋体"/>
                <w:spacing w:val="12"/>
                <w:sz w:val="24"/>
                <w:szCs w:val="24"/>
              </w:rPr>
              <w:t xml:space="preserve">无超过</w:t>
            </w:r>
            <w:r>
              <w:rPr>
                <w:spacing w:val="12"/>
                <w:sz w:val="24"/>
                <w:szCs w:val="24"/>
              </w:rPr>
              <w:t xml:space="preserve">36</w:t>
            </w:r>
            <w:r>
              <w:rPr>
                <w:rFonts w:ascii="宋体" w:hAnsi="宋体"/>
                <w:spacing w:val="12"/>
                <w:sz w:val="24"/>
                <w:szCs w:val="24"/>
              </w:rPr>
              <w:t xml:space="preserve">小时的积水。</w:t>
            </w:r>
            <w:r/>
          </w:p>
        </w:tc>
      </w:tr>
      <w:tr>
        <w:trPr>
          <w:jc w:val="center"/>
        </w:trPr>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jc w:val="center"/>
              <w:spacing w:line="300" w:lineRule="exact"/>
              <w:rPr>
                <w:spacing w:val="12"/>
                <w:sz w:val="24"/>
                <w:szCs w:val="24"/>
              </w:rPr>
            </w:pPr>
            <w:r>
              <w:rPr>
                <w:spacing w:val="12"/>
                <w:sz w:val="24"/>
                <w:szCs w:val="24"/>
              </w:rPr>
              <w:t xml:space="preserve">6</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00" w:lineRule="exact"/>
              <w:rPr>
                <w:b/>
                <w:bCs/>
                <w:spacing w:val="12"/>
                <w:sz w:val="24"/>
                <w:szCs w:val="24"/>
              </w:rPr>
            </w:pPr>
            <w:r>
              <w:rPr>
                <w:rFonts w:ascii="宋体" w:hAnsi="宋体"/>
                <w:b/>
                <w:bCs/>
                <w:spacing w:val="12"/>
                <w:sz w:val="24"/>
                <w:szCs w:val="24"/>
              </w:rPr>
              <w:t xml:space="preserve">杂草</w:t>
            </w:r>
            <w:r/>
          </w:p>
          <w:p>
            <w:pPr>
              <w:jc w:val="center"/>
              <w:spacing w:line="300" w:lineRule="exact"/>
              <w:rPr>
                <w:b/>
                <w:bCs/>
                <w:spacing w:val="12"/>
                <w:sz w:val="24"/>
                <w:szCs w:val="24"/>
              </w:rPr>
            </w:pPr>
            <w:r>
              <w:rPr>
                <w:rFonts w:ascii="宋体" w:hAnsi="宋体"/>
                <w:b/>
                <w:bCs/>
                <w:spacing w:val="12"/>
                <w:sz w:val="24"/>
                <w:szCs w:val="24"/>
              </w:rPr>
              <w:t xml:space="preserve">控制</w:t>
            </w:r>
            <w:r/>
          </w:p>
        </w:tc>
        <w:tc>
          <w:tcPr>
            <w:tcBorders>
              <w:top w:val="single" w:color="auto" w:sz="4" w:space="0"/>
              <w:left w:val="single" w:color="auto" w:sz="4" w:space="0"/>
              <w:bottom w:val="single" w:color="auto" w:sz="4" w:space="0"/>
              <w:right w:val="single" w:color="auto" w:sz="4" w:space="0"/>
            </w:tcBorders>
            <w:tcW w:w="3150" w:type="dxa"/>
            <w:textDirection w:val="lrTb"/>
            <w:noWrap w:val="false"/>
          </w:tcPr>
          <w:p>
            <w:pPr>
              <w:spacing w:line="300" w:lineRule="exact"/>
              <w:rPr>
                <w:spacing w:val="12"/>
                <w:sz w:val="24"/>
                <w:szCs w:val="24"/>
              </w:rPr>
            </w:pPr>
            <w:r>
              <w:rPr>
                <w:rFonts w:ascii="宋体" w:hAnsi="宋体"/>
                <w:spacing w:val="12"/>
                <w:sz w:val="24"/>
                <w:szCs w:val="24"/>
              </w:rPr>
              <w:t xml:space="preserve">无大型野草，无缠绕性、攀缘性杂草，基本无杂草。</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spacing w:line="300" w:lineRule="exact"/>
              <w:rPr>
                <w:spacing w:val="12"/>
                <w:sz w:val="24"/>
                <w:szCs w:val="24"/>
              </w:rPr>
            </w:pPr>
            <w:r>
              <w:rPr>
                <w:rFonts w:ascii="宋体" w:hAnsi="宋体"/>
                <w:spacing w:val="12"/>
                <w:sz w:val="24"/>
                <w:szCs w:val="24"/>
              </w:rPr>
              <w:t xml:space="preserve">无大型野草，无缠绕性、攀缘性杂草，路边及零星区域的杂草控制在</w:t>
            </w:r>
            <w:r>
              <w:rPr>
                <w:spacing w:val="12"/>
                <w:sz w:val="24"/>
                <w:szCs w:val="24"/>
              </w:rPr>
              <w:t xml:space="preserve">5cm</w:t>
            </w:r>
            <w:r>
              <w:rPr>
                <w:rFonts w:ascii="宋体" w:hAnsi="宋体"/>
                <w:spacing w:val="12"/>
                <w:sz w:val="24"/>
                <w:szCs w:val="24"/>
              </w:rPr>
              <w:t xml:space="preserve">以下，并不得蔓延到路面、花树坛，不影响景观效果。</w:t>
            </w:r>
            <w:r/>
          </w:p>
        </w:tc>
        <w:tc>
          <w:tcPr>
            <w:tcBorders>
              <w:top w:val="single" w:color="auto" w:sz="4" w:space="0"/>
              <w:left w:val="single" w:color="auto" w:sz="4" w:space="0"/>
              <w:bottom w:val="single" w:color="auto" w:sz="4" w:space="0"/>
              <w:right w:val="single" w:color="auto" w:sz="4" w:space="0"/>
            </w:tcBorders>
            <w:tcW w:w="2415" w:type="dxa"/>
            <w:textDirection w:val="lrTb"/>
            <w:noWrap w:val="false"/>
          </w:tcPr>
          <w:p>
            <w:pPr>
              <w:spacing w:line="300" w:lineRule="exact"/>
              <w:rPr>
                <w:spacing w:val="12"/>
                <w:sz w:val="24"/>
                <w:szCs w:val="24"/>
              </w:rPr>
            </w:pPr>
            <w:r>
              <w:rPr>
                <w:rFonts w:ascii="宋体" w:hAnsi="宋体"/>
                <w:spacing w:val="12"/>
                <w:sz w:val="24"/>
                <w:szCs w:val="24"/>
              </w:rPr>
              <w:t xml:space="preserve">无缠绕性、攀缘性杂草，控制杂草高度以不影响景观效果为度。</w:t>
            </w:r>
            <w:r/>
          </w:p>
        </w:tc>
      </w:tr>
      <w:tr>
        <w:trPr>
          <w:jc w:val="center"/>
        </w:trPr>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jc w:val="center"/>
              <w:spacing w:line="300" w:lineRule="exact"/>
              <w:rPr>
                <w:spacing w:val="12"/>
                <w:sz w:val="24"/>
                <w:szCs w:val="24"/>
              </w:rPr>
            </w:pPr>
            <w:r>
              <w:rPr>
                <w:spacing w:val="12"/>
                <w:sz w:val="24"/>
                <w:szCs w:val="24"/>
              </w:rPr>
              <w:t xml:space="preserve">7</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00" w:lineRule="exact"/>
              <w:rPr>
                <w:b/>
                <w:bCs/>
                <w:spacing w:val="12"/>
                <w:sz w:val="24"/>
                <w:szCs w:val="24"/>
              </w:rPr>
            </w:pPr>
            <w:r>
              <w:rPr>
                <w:rFonts w:ascii="宋体" w:hAnsi="宋体"/>
                <w:b/>
                <w:bCs/>
                <w:spacing w:val="12"/>
                <w:sz w:val="24"/>
                <w:szCs w:val="24"/>
              </w:rPr>
              <w:t xml:space="preserve">病虫害控制</w:t>
            </w:r>
            <w:r/>
          </w:p>
        </w:tc>
        <w:tc>
          <w:tcPr>
            <w:tcBorders>
              <w:top w:val="single" w:color="auto" w:sz="4" w:space="0"/>
              <w:left w:val="single" w:color="auto" w:sz="4" w:space="0"/>
              <w:bottom w:val="single" w:color="auto" w:sz="4" w:space="0"/>
              <w:right w:val="single" w:color="auto" w:sz="4" w:space="0"/>
            </w:tcBorders>
            <w:tcW w:w="3150" w:type="dxa"/>
            <w:vAlign w:val="center"/>
            <w:textDirection w:val="lrTb"/>
            <w:noWrap w:val="false"/>
          </w:tcPr>
          <w:p>
            <w:pPr>
              <w:spacing w:line="300" w:lineRule="exact"/>
              <w:rPr>
                <w:spacing w:val="12"/>
                <w:sz w:val="24"/>
                <w:szCs w:val="24"/>
              </w:rPr>
            </w:pPr>
            <w:r>
              <w:rPr>
                <w:rFonts w:hint="eastAsia" w:ascii="宋体" w:hAnsi="宋体" w:cs="宋体"/>
                <w:spacing w:val="12"/>
                <w:sz w:val="24"/>
                <w:szCs w:val="24"/>
              </w:rPr>
              <w:t xml:space="preserve">①</w:t>
            </w:r>
            <w:r>
              <w:rPr>
                <w:rFonts w:ascii="宋体" w:hAnsi="宋体"/>
                <w:spacing w:val="12"/>
                <w:sz w:val="24"/>
                <w:szCs w:val="24"/>
              </w:rPr>
              <w:t xml:space="preserve">有病虫害控制措施。</w:t>
            </w:r>
            <w:r/>
          </w:p>
          <w:p>
            <w:pPr>
              <w:spacing w:line="300" w:lineRule="exact"/>
              <w:rPr>
                <w:spacing w:val="12"/>
                <w:sz w:val="24"/>
                <w:szCs w:val="24"/>
              </w:rPr>
            </w:pPr>
            <w:r>
              <w:rPr>
                <w:rFonts w:hint="eastAsia" w:ascii="宋体" w:hAnsi="宋体" w:cs="宋体"/>
                <w:spacing w:val="12"/>
                <w:sz w:val="24"/>
                <w:szCs w:val="24"/>
              </w:rPr>
              <w:t xml:space="preserve">②</w:t>
            </w:r>
            <w:r>
              <w:rPr>
                <w:rFonts w:ascii="宋体" w:hAnsi="宋体"/>
                <w:spacing w:val="12"/>
                <w:sz w:val="24"/>
                <w:szCs w:val="24"/>
              </w:rPr>
              <w:t xml:space="preserve">基本无病虫危害迹象。</w:t>
            </w:r>
            <w:r/>
          </w:p>
          <w:p>
            <w:pPr>
              <w:spacing w:line="300" w:lineRule="exact"/>
              <w:rPr>
                <w:spacing w:val="12"/>
                <w:sz w:val="24"/>
                <w:szCs w:val="24"/>
              </w:rPr>
            </w:pPr>
            <w:r>
              <w:rPr>
                <w:rFonts w:hint="eastAsia" w:ascii="宋体" w:hAnsi="宋体" w:cs="宋体"/>
                <w:spacing w:val="12"/>
                <w:sz w:val="24"/>
                <w:szCs w:val="24"/>
              </w:rPr>
              <w:t xml:space="preserve">③</w:t>
            </w:r>
            <w:r>
              <w:rPr>
                <w:rFonts w:ascii="宋体" w:hAnsi="宋体"/>
                <w:spacing w:val="12"/>
                <w:sz w:val="24"/>
                <w:szCs w:val="24"/>
              </w:rPr>
              <w:t xml:space="preserve">食叶、刺吸性害虫危害的叶片控制在每株不超过</w:t>
            </w:r>
            <w:r>
              <w:rPr>
                <w:spacing w:val="12"/>
                <w:sz w:val="24"/>
                <w:szCs w:val="24"/>
              </w:rPr>
              <w:t xml:space="preserve">5-10%</w:t>
            </w:r>
            <w:r>
              <w:rPr>
                <w:rFonts w:ascii="宋体" w:hAnsi="宋体"/>
                <w:spacing w:val="12"/>
                <w:sz w:val="24"/>
                <w:szCs w:val="24"/>
              </w:rPr>
              <w:t xml:space="preserve">。</w:t>
            </w:r>
            <w:r>
              <w:rPr>
                <w:rFonts w:hint="eastAsia" w:ascii="宋体" w:hAnsi="宋体" w:cs="宋体"/>
                <w:spacing w:val="12"/>
                <w:sz w:val="24"/>
                <w:szCs w:val="24"/>
              </w:rPr>
              <w:t xml:space="preserve">④</w:t>
            </w:r>
            <w:r>
              <w:rPr>
                <w:rFonts w:ascii="宋体" w:hAnsi="宋体"/>
                <w:spacing w:val="12"/>
                <w:sz w:val="24"/>
                <w:szCs w:val="24"/>
              </w:rPr>
              <w:t xml:space="preserve">蛀干性害虫危害的株数在</w:t>
            </w:r>
            <w:r>
              <w:rPr>
                <w:spacing w:val="12"/>
                <w:sz w:val="24"/>
                <w:szCs w:val="24"/>
              </w:rPr>
              <w:t xml:space="preserve">3%</w:t>
            </w:r>
            <w:r>
              <w:rPr>
                <w:rFonts w:ascii="宋体" w:hAnsi="宋体"/>
                <w:spacing w:val="12"/>
                <w:sz w:val="24"/>
                <w:szCs w:val="24"/>
              </w:rPr>
              <w:t xml:space="preserve">以下。</w:t>
            </w:r>
            <w:r/>
          </w:p>
        </w:tc>
        <w:tc>
          <w:tcPr>
            <w:tcBorders>
              <w:top w:val="single" w:color="auto" w:sz="4" w:space="0"/>
              <w:left w:val="single" w:color="auto" w:sz="4" w:space="0"/>
              <w:bottom w:val="single" w:color="auto" w:sz="4" w:space="0"/>
              <w:right w:val="single" w:color="auto" w:sz="4" w:space="0"/>
            </w:tcBorders>
            <w:tcW w:w="2310" w:type="dxa"/>
            <w:textDirection w:val="lrTb"/>
            <w:noWrap w:val="false"/>
          </w:tcPr>
          <w:p>
            <w:pPr>
              <w:spacing w:line="300" w:lineRule="exact"/>
              <w:rPr>
                <w:spacing w:val="12"/>
                <w:sz w:val="24"/>
                <w:szCs w:val="24"/>
              </w:rPr>
            </w:pPr>
            <w:r>
              <w:rPr>
                <w:rFonts w:hint="eastAsia" w:ascii="宋体" w:hAnsi="宋体" w:cs="宋体"/>
                <w:spacing w:val="12"/>
                <w:sz w:val="24"/>
                <w:szCs w:val="24"/>
              </w:rPr>
              <w:t xml:space="preserve">①</w:t>
            </w:r>
            <w:r>
              <w:rPr>
                <w:rFonts w:ascii="宋体" w:hAnsi="宋体"/>
                <w:spacing w:val="12"/>
                <w:sz w:val="24"/>
                <w:szCs w:val="24"/>
              </w:rPr>
              <w:t xml:space="preserve">有病虫害控制措施。</w:t>
            </w:r>
            <w:r>
              <w:rPr>
                <w:rFonts w:hint="eastAsia" w:ascii="宋体" w:hAnsi="宋体" w:cs="宋体"/>
                <w:spacing w:val="12"/>
                <w:sz w:val="24"/>
                <w:szCs w:val="24"/>
              </w:rPr>
              <w:t xml:space="preserve">②</w:t>
            </w:r>
            <w:r>
              <w:rPr>
                <w:rFonts w:ascii="宋体" w:hAnsi="宋体"/>
                <w:spacing w:val="12"/>
                <w:sz w:val="24"/>
                <w:szCs w:val="24"/>
              </w:rPr>
              <w:t xml:space="preserve">无明显病虫危害迹象。</w:t>
            </w:r>
            <w:r/>
          </w:p>
          <w:p>
            <w:pPr>
              <w:spacing w:line="300" w:lineRule="exact"/>
              <w:rPr>
                <w:spacing w:val="12"/>
                <w:sz w:val="24"/>
                <w:szCs w:val="24"/>
              </w:rPr>
            </w:pPr>
            <w:r>
              <w:rPr>
                <w:rFonts w:hint="eastAsia" w:ascii="宋体" w:hAnsi="宋体" w:cs="宋体"/>
                <w:spacing w:val="12"/>
                <w:sz w:val="24"/>
                <w:szCs w:val="24"/>
              </w:rPr>
              <w:t xml:space="preserve">③</w:t>
            </w:r>
            <w:r>
              <w:rPr>
                <w:rFonts w:ascii="宋体" w:hAnsi="宋体"/>
                <w:spacing w:val="12"/>
                <w:sz w:val="24"/>
                <w:szCs w:val="24"/>
              </w:rPr>
              <w:t xml:space="preserve">食叶、刺吸性害虫危害的叶片控制在每株不超过</w:t>
            </w:r>
            <w:r>
              <w:rPr>
                <w:spacing w:val="12"/>
                <w:sz w:val="24"/>
                <w:szCs w:val="24"/>
              </w:rPr>
              <w:t xml:space="preserve">10-15%</w:t>
            </w:r>
            <w:r>
              <w:rPr>
                <w:rFonts w:ascii="宋体" w:hAnsi="宋体"/>
                <w:spacing w:val="12"/>
                <w:sz w:val="24"/>
                <w:szCs w:val="24"/>
              </w:rPr>
              <w:t xml:space="preserve">。</w:t>
            </w:r>
            <w:r/>
          </w:p>
          <w:p>
            <w:pPr>
              <w:spacing w:line="300" w:lineRule="exact"/>
              <w:rPr>
                <w:spacing w:val="12"/>
                <w:sz w:val="24"/>
                <w:szCs w:val="24"/>
              </w:rPr>
            </w:pPr>
            <w:r>
              <w:rPr>
                <w:rFonts w:hint="eastAsia" w:ascii="宋体" w:hAnsi="宋体" w:cs="宋体"/>
                <w:spacing w:val="12"/>
                <w:sz w:val="24"/>
                <w:szCs w:val="24"/>
              </w:rPr>
              <w:t xml:space="preserve">④</w:t>
            </w:r>
            <w:r>
              <w:rPr>
                <w:rFonts w:ascii="宋体" w:hAnsi="宋体"/>
                <w:spacing w:val="12"/>
                <w:sz w:val="24"/>
                <w:szCs w:val="24"/>
              </w:rPr>
              <w:t xml:space="preserve">蛀干性害虫危害的株数在</w:t>
            </w:r>
            <w:r>
              <w:rPr>
                <w:spacing w:val="12"/>
                <w:sz w:val="24"/>
                <w:szCs w:val="24"/>
              </w:rPr>
              <w:t xml:space="preserve">5%</w:t>
            </w:r>
            <w:r>
              <w:rPr>
                <w:rFonts w:ascii="宋体" w:hAnsi="宋体"/>
                <w:spacing w:val="12"/>
                <w:sz w:val="24"/>
                <w:szCs w:val="24"/>
              </w:rPr>
              <w:t xml:space="preserve">以下。</w:t>
            </w:r>
            <w:r/>
          </w:p>
        </w:tc>
        <w:tc>
          <w:tcPr>
            <w:tcBorders>
              <w:top w:val="single" w:color="auto" w:sz="4" w:space="0"/>
              <w:left w:val="single" w:color="auto" w:sz="4" w:space="0"/>
              <w:bottom w:val="single" w:color="auto" w:sz="4" w:space="0"/>
              <w:right w:val="single" w:color="auto" w:sz="4" w:space="0"/>
            </w:tcBorders>
            <w:tcW w:w="2415" w:type="dxa"/>
            <w:textDirection w:val="lrTb"/>
            <w:noWrap w:val="false"/>
          </w:tcPr>
          <w:p>
            <w:pPr>
              <w:spacing w:line="300" w:lineRule="exact"/>
              <w:rPr>
                <w:spacing w:val="12"/>
                <w:sz w:val="24"/>
                <w:szCs w:val="24"/>
              </w:rPr>
            </w:pPr>
            <w:r>
              <w:rPr>
                <w:rFonts w:hint="eastAsia" w:ascii="宋体" w:hAnsi="宋体" w:cs="宋体"/>
                <w:spacing w:val="12"/>
                <w:sz w:val="24"/>
                <w:szCs w:val="24"/>
              </w:rPr>
              <w:t xml:space="preserve">①</w:t>
            </w:r>
            <w:r>
              <w:rPr>
                <w:rFonts w:ascii="宋体" w:hAnsi="宋体"/>
                <w:spacing w:val="12"/>
                <w:sz w:val="24"/>
                <w:szCs w:val="24"/>
              </w:rPr>
              <w:t xml:space="preserve">有病虫害控制措施。</w:t>
            </w:r>
            <w:r/>
          </w:p>
          <w:p>
            <w:pPr>
              <w:spacing w:line="300" w:lineRule="exact"/>
              <w:rPr>
                <w:spacing w:val="12"/>
                <w:sz w:val="24"/>
                <w:szCs w:val="24"/>
              </w:rPr>
            </w:pPr>
            <w:r>
              <w:rPr>
                <w:rFonts w:hint="eastAsia" w:ascii="宋体" w:hAnsi="宋体" w:cs="宋体"/>
                <w:spacing w:val="12"/>
                <w:sz w:val="24"/>
                <w:szCs w:val="24"/>
              </w:rPr>
              <w:t xml:space="preserve">②</w:t>
            </w:r>
            <w:r>
              <w:rPr>
                <w:rFonts w:ascii="宋体" w:hAnsi="宋体"/>
                <w:spacing w:val="12"/>
                <w:sz w:val="24"/>
                <w:szCs w:val="24"/>
              </w:rPr>
              <w:t xml:space="preserve">无因病虫害而引起断枝倒伏现象。</w:t>
            </w:r>
            <w:r/>
          </w:p>
          <w:p>
            <w:pPr>
              <w:spacing w:line="300" w:lineRule="exact"/>
              <w:rPr>
                <w:spacing w:val="12"/>
                <w:sz w:val="24"/>
                <w:szCs w:val="24"/>
              </w:rPr>
            </w:pPr>
            <w:r>
              <w:rPr>
                <w:rFonts w:hint="eastAsia" w:ascii="宋体" w:hAnsi="宋体" w:cs="宋体"/>
                <w:spacing w:val="12"/>
                <w:sz w:val="24"/>
                <w:szCs w:val="24"/>
              </w:rPr>
              <w:t xml:space="preserve">③</w:t>
            </w:r>
            <w:r>
              <w:rPr>
                <w:rFonts w:ascii="宋体" w:hAnsi="宋体"/>
                <w:spacing w:val="12"/>
                <w:sz w:val="24"/>
                <w:szCs w:val="24"/>
              </w:rPr>
              <w:t xml:space="preserve">食叶、刺吸性害虫危害的叶片控制在每株不超过</w:t>
            </w:r>
            <w:r>
              <w:rPr>
                <w:spacing w:val="12"/>
                <w:sz w:val="24"/>
                <w:szCs w:val="24"/>
              </w:rPr>
              <w:t xml:space="preserve">15-20%</w:t>
            </w:r>
            <w:r>
              <w:rPr>
                <w:rFonts w:ascii="宋体" w:hAnsi="宋体"/>
                <w:spacing w:val="12"/>
                <w:sz w:val="24"/>
                <w:szCs w:val="24"/>
              </w:rPr>
              <w:t xml:space="preserve">。</w:t>
            </w:r>
            <w:r/>
          </w:p>
          <w:p>
            <w:pPr>
              <w:spacing w:line="300" w:lineRule="exact"/>
              <w:rPr>
                <w:spacing w:val="12"/>
                <w:sz w:val="24"/>
                <w:szCs w:val="24"/>
              </w:rPr>
            </w:pPr>
            <w:r>
              <w:rPr>
                <w:rFonts w:hint="eastAsia" w:ascii="宋体" w:hAnsi="宋体" w:cs="宋体"/>
                <w:spacing w:val="12"/>
                <w:sz w:val="24"/>
                <w:szCs w:val="24"/>
              </w:rPr>
              <w:t xml:space="preserve">④</w:t>
            </w:r>
            <w:r>
              <w:rPr>
                <w:rFonts w:ascii="宋体" w:hAnsi="宋体"/>
                <w:spacing w:val="12"/>
                <w:sz w:val="24"/>
                <w:szCs w:val="24"/>
              </w:rPr>
              <w:t xml:space="preserve">蛀干性害虫危害的株数在</w:t>
            </w:r>
            <w:r>
              <w:rPr>
                <w:spacing w:val="12"/>
                <w:sz w:val="24"/>
                <w:szCs w:val="24"/>
              </w:rPr>
              <w:t xml:space="preserve">8%</w:t>
            </w:r>
            <w:r>
              <w:rPr>
                <w:rFonts w:ascii="宋体" w:hAnsi="宋体"/>
                <w:spacing w:val="12"/>
                <w:sz w:val="24"/>
                <w:szCs w:val="24"/>
              </w:rPr>
              <w:t xml:space="preserve">以下。</w:t>
            </w:r>
            <w:r/>
          </w:p>
          <w:p>
            <w:pPr>
              <w:spacing w:line="300" w:lineRule="exact"/>
              <w:rPr>
                <w:spacing w:val="12"/>
                <w:sz w:val="24"/>
                <w:szCs w:val="24"/>
              </w:rPr>
            </w:pPr>
            <w:r>
              <w:rPr>
                <w:spacing w:val="12"/>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jc w:val="center"/>
              <w:spacing w:line="300" w:lineRule="exact"/>
              <w:rPr>
                <w:spacing w:val="12"/>
                <w:sz w:val="24"/>
                <w:szCs w:val="24"/>
              </w:rPr>
            </w:pPr>
            <w:r>
              <w:rPr>
                <w:spacing w:val="12"/>
                <w:sz w:val="24"/>
                <w:szCs w:val="24"/>
              </w:rPr>
              <w:t xml:space="preserve">8</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00" w:lineRule="exact"/>
              <w:rPr>
                <w:b/>
                <w:bCs/>
                <w:spacing w:val="12"/>
                <w:sz w:val="24"/>
                <w:szCs w:val="24"/>
              </w:rPr>
            </w:pPr>
            <w:r>
              <w:rPr>
                <w:rFonts w:ascii="宋体" w:hAnsi="宋体"/>
                <w:b/>
                <w:bCs/>
                <w:spacing w:val="12"/>
                <w:sz w:val="24"/>
                <w:szCs w:val="24"/>
              </w:rPr>
              <w:t xml:space="preserve">设施</w:t>
            </w:r>
            <w:r/>
          </w:p>
          <w:p>
            <w:pPr>
              <w:jc w:val="center"/>
              <w:spacing w:line="300" w:lineRule="exact"/>
              <w:rPr>
                <w:b/>
                <w:bCs/>
                <w:spacing w:val="12"/>
                <w:sz w:val="24"/>
                <w:szCs w:val="24"/>
              </w:rPr>
            </w:pPr>
            <w:r>
              <w:rPr>
                <w:rFonts w:ascii="宋体" w:hAnsi="宋体"/>
                <w:b/>
                <w:bCs/>
                <w:spacing w:val="12"/>
                <w:sz w:val="24"/>
                <w:szCs w:val="24"/>
              </w:rPr>
              <w:t xml:space="preserve">维护</w:t>
            </w:r>
            <w:r/>
          </w:p>
        </w:tc>
        <w:tc>
          <w:tcPr>
            <w:tcBorders>
              <w:top w:val="single" w:color="auto" w:sz="4" w:space="0"/>
              <w:left w:val="single" w:color="auto" w:sz="4" w:space="0"/>
              <w:bottom w:val="single" w:color="auto" w:sz="4" w:space="0"/>
              <w:right w:val="single" w:color="auto" w:sz="4" w:space="0"/>
            </w:tcBorders>
            <w:tcW w:w="3150" w:type="dxa"/>
            <w:vAlign w:val="center"/>
            <w:textDirection w:val="lrTb"/>
            <w:noWrap w:val="false"/>
          </w:tcPr>
          <w:p>
            <w:pPr>
              <w:spacing w:line="300" w:lineRule="exact"/>
              <w:rPr>
                <w:spacing w:val="12"/>
                <w:sz w:val="24"/>
                <w:szCs w:val="24"/>
              </w:rPr>
            </w:pPr>
            <w:r>
              <w:rPr>
                <w:rFonts w:hint="eastAsia" w:ascii="宋体" w:hAnsi="宋体" w:cs="宋体"/>
                <w:spacing w:val="12"/>
                <w:sz w:val="24"/>
                <w:szCs w:val="24"/>
              </w:rPr>
              <w:t xml:space="preserve">①</w:t>
            </w:r>
            <w:r>
              <w:rPr>
                <w:rFonts w:ascii="宋体" w:hAnsi="宋体"/>
                <w:spacing w:val="12"/>
                <w:sz w:val="24"/>
                <w:szCs w:val="24"/>
              </w:rPr>
              <w:t xml:space="preserve">树木支撑桩位扎缚规范统一。</w:t>
            </w:r>
            <w:r/>
          </w:p>
          <w:p>
            <w:pPr>
              <w:spacing w:line="300" w:lineRule="exact"/>
              <w:rPr>
                <w:spacing w:val="12"/>
                <w:sz w:val="24"/>
                <w:szCs w:val="24"/>
              </w:rPr>
            </w:pPr>
            <w:r>
              <w:rPr>
                <w:rFonts w:hint="eastAsia" w:ascii="宋体" w:hAnsi="宋体" w:cs="宋体"/>
                <w:spacing w:val="12"/>
                <w:sz w:val="24"/>
                <w:szCs w:val="24"/>
              </w:rPr>
              <w:t xml:space="preserve">②</w:t>
            </w:r>
            <w:r>
              <w:rPr>
                <w:rFonts w:ascii="宋体" w:hAnsi="宋体"/>
                <w:spacing w:val="12"/>
                <w:sz w:val="24"/>
                <w:szCs w:val="24"/>
              </w:rPr>
              <w:t xml:space="preserve">建筑小品、辅助设施完整、安全、规范，有问题及时上报。</w:t>
            </w:r>
            <w:r/>
          </w:p>
          <w:p>
            <w:pPr>
              <w:spacing w:line="300" w:lineRule="exact"/>
              <w:rPr>
                <w:spacing w:val="12"/>
                <w:sz w:val="24"/>
                <w:szCs w:val="24"/>
              </w:rPr>
            </w:pPr>
            <w:r>
              <w:rPr>
                <w:rFonts w:hint="eastAsia" w:ascii="宋体" w:hAnsi="宋体" w:cs="宋体"/>
                <w:spacing w:val="12"/>
                <w:sz w:val="24"/>
                <w:szCs w:val="24"/>
              </w:rPr>
              <w:t xml:space="preserve">③</w:t>
            </w:r>
            <w:r>
              <w:rPr>
                <w:rFonts w:ascii="宋体" w:hAnsi="宋体"/>
                <w:spacing w:val="12"/>
                <w:sz w:val="24"/>
                <w:szCs w:val="24"/>
              </w:rPr>
              <w:t xml:space="preserve">硬地卫生，不积水，无沉积垃圾杂物。</w:t>
            </w:r>
            <w:r/>
          </w:p>
          <w:p>
            <w:pPr>
              <w:spacing w:line="300" w:lineRule="exact"/>
              <w:rPr>
                <w:spacing w:val="12"/>
                <w:sz w:val="24"/>
                <w:szCs w:val="24"/>
              </w:rPr>
            </w:pPr>
            <w:r>
              <w:rPr>
                <w:rFonts w:hint="eastAsia" w:ascii="宋体" w:hAnsi="宋体" w:cs="宋体"/>
                <w:spacing w:val="12"/>
                <w:sz w:val="24"/>
                <w:szCs w:val="24"/>
              </w:rPr>
              <w:t xml:space="preserve">④</w:t>
            </w:r>
            <w:r>
              <w:rPr>
                <w:rFonts w:ascii="宋体" w:hAnsi="宋体"/>
                <w:spacing w:val="12"/>
                <w:sz w:val="24"/>
                <w:szCs w:val="24"/>
              </w:rPr>
              <w:t xml:space="preserve">设施完善率</w:t>
            </w:r>
            <w:r>
              <w:rPr>
                <w:spacing w:val="12"/>
                <w:sz w:val="24"/>
                <w:szCs w:val="24"/>
              </w:rPr>
              <w:t xml:space="preserve">98%</w:t>
            </w:r>
            <w:r>
              <w:rPr>
                <w:rFonts w:ascii="宋体" w:hAnsi="宋体"/>
                <w:spacing w:val="12"/>
                <w:sz w:val="24"/>
                <w:szCs w:val="24"/>
              </w:rPr>
              <w:t xml:space="preserve">以上。</w:t>
            </w:r>
            <w:r/>
          </w:p>
        </w:tc>
        <w:tc>
          <w:tcPr>
            <w:tcBorders>
              <w:top w:val="single" w:color="auto" w:sz="4" w:space="0"/>
              <w:left w:val="single" w:color="auto" w:sz="4" w:space="0"/>
              <w:bottom w:val="single" w:color="auto" w:sz="4" w:space="0"/>
              <w:right w:val="single" w:color="auto" w:sz="4" w:space="0"/>
            </w:tcBorders>
            <w:tcW w:w="2310" w:type="dxa"/>
            <w:textDirection w:val="lrTb"/>
            <w:noWrap w:val="false"/>
          </w:tcPr>
          <w:p>
            <w:pPr>
              <w:spacing w:line="300" w:lineRule="exact"/>
              <w:rPr>
                <w:spacing w:val="12"/>
                <w:sz w:val="24"/>
                <w:szCs w:val="24"/>
              </w:rPr>
            </w:pPr>
            <w:r>
              <w:rPr>
                <w:rFonts w:hint="eastAsia" w:ascii="宋体" w:hAnsi="宋体" w:cs="宋体"/>
                <w:spacing w:val="12"/>
                <w:sz w:val="24"/>
                <w:szCs w:val="24"/>
              </w:rPr>
              <w:t xml:space="preserve">①</w:t>
            </w:r>
            <w:r>
              <w:rPr>
                <w:rFonts w:ascii="宋体" w:hAnsi="宋体"/>
                <w:spacing w:val="12"/>
                <w:sz w:val="24"/>
                <w:szCs w:val="24"/>
              </w:rPr>
              <w:t xml:space="preserve">树木支撑规范，扎缚有效。</w:t>
            </w:r>
            <w:r/>
          </w:p>
          <w:p>
            <w:pPr>
              <w:spacing w:line="300" w:lineRule="exact"/>
              <w:rPr>
                <w:spacing w:val="12"/>
                <w:sz w:val="24"/>
                <w:szCs w:val="24"/>
              </w:rPr>
            </w:pPr>
            <w:r>
              <w:rPr>
                <w:rFonts w:hint="eastAsia" w:ascii="宋体" w:hAnsi="宋体" w:cs="宋体"/>
                <w:spacing w:val="12"/>
                <w:sz w:val="24"/>
                <w:szCs w:val="24"/>
              </w:rPr>
              <w:t xml:space="preserve">②</w:t>
            </w:r>
            <w:r>
              <w:rPr>
                <w:rFonts w:ascii="宋体" w:hAnsi="宋体"/>
                <w:spacing w:val="12"/>
                <w:sz w:val="24"/>
                <w:szCs w:val="24"/>
              </w:rPr>
              <w:t xml:space="preserve">建筑小品、辅助设施整洁无损，安全，有问题及时上报。</w:t>
            </w:r>
            <w:r/>
          </w:p>
          <w:p>
            <w:pPr>
              <w:spacing w:line="300" w:lineRule="exact"/>
              <w:rPr>
                <w:spacing w:val="12"/>
                <w:sz w:val="24"/>
                <w:szCs w:val="24"/>
              </w:rPr>
            </w:pPr>
            <w:r>
              <w:rPr>
                <w:rFonts w:hint="eastAsia" w:ascii="宋体" w:hAnsi="宋体" w:cs="宋体"/>
                <w:spacing w:val="12"/>
                <w:sz w:val="24"/>
                <w:szCs w:val="24"/>
              </w:rPr>
              <w:t xml:space="preserve">③</w:t>
            </w:r>
            <w:r>
              <w:rPr>
                <w:rFonts w:ascii="宋体" w:hAnsi="宋体"/>
                <w:spacing w:val="12"/>
                <w:sz w:val="24"/>
                <w:szCs w:val="24"/>
              </w:rPr>
              <w:t xml:space="preserve">硬地卫生，无沉积垃圾杂物。</w:t>
            </w:r>
            <w:r/>
          </w:p>
          <w:p>
            <w:pPr>
              <w:spacing w:line="300" w:lineRule="exact"/>
              <w:rPr>
                <w:spacing w:val="12"/>
                <w:sz w:val="24"/>
                <w:szCs w:val="24"/>
              </w:rPr>
            </w:pPr>
            <w:r>
              <w:rPr>
                <w:rFonts w:hint="eastAsia" w:ascii="宋体" w:hAnsi="宋体" w:cs="宋体"/>
                <w:spacing w:val="12"/>
                <w:sz w:val="24"/>
                <w:szCs w:val="24"/>
              </w:rPr>
              <w:t xml:space="preserve">④</w:t>
            </w:r>
            <w:r>
              <w:rPr>
                <w:rFonts w:ascii="宋体" w:hAnsi="宋体"/>
                <w:spacing w:val="12"/>
                <w:sz w:val="24"/>
                <w:szCs w:val="24"/>
              </w:rPr>
              <w:t xml:space="preserve">设施完善率</w:t>
            </w:r>
            <w:r>
              <w:rPr>
                <w:spacing w:val="12"/>
                <w:sz w:val="24"/>
                <w:szCs w:val="24"/>
              </w:rPr>
              <w:t xml:space="preserve">95%</w:t>
            </w:r>
            <w:r>
              <w:rPr>
                <w:rFonts w:ascii="宋体" w:hAnsi="宋体"/>
                <w:spacing w:val="12"/>
                <w:sz w:val="24"/>
                <w:szCs w:val="24"/>
              </w:rPr>
              <w:t xml:space="preserve">。</w:t>
            </w:r>
            <w:r/>
          </w:p>
        </w:tc>
        <w:tc>
          <w:tcPr>
            <w:tcBorders>
              <w:top w:val="single" w:color="auto" w:sz="4" w:space="0"/>
              <w:left w:val="single" w:color="auto" w:sz="4" w:space="0"/>
              <w:bottom w:val="single" w:color="auto" w:sz="4" w:space="0"/>
              <w:right w:val="single" w:color="auto" w:sz="4" w:space="0"/>
            </w:tcBorders>
            <w:tcW w:w="2415" w:type="dxa"/>
            <w:textDirection w:val="lrTb"/>
            <w:noWrap w:val="false"/>
          </w:tcPr>
          <w:p>
            <w:pPr>
              <w:spacing w:line="300" w:lineRule="exact"/>
              <w:rPr>
                <w:spacing w:val="12"/>
                <w:sz w:val="24"/>
                <w:szCs w:val="24"/>
              </w:rPr>
            </w:pPr>
            <w:r>
              <w:rPr>
                <w:rFonts w:hint="eastAsia" w:ascii="宋体" w:hAnsi="宋体" w:cs="宋体"/>
                <w:spacing w:val="12"/>
                <w:sz w:val="24"/>
                <w:szCs w:val="24"/>
              </w:rPr>
              <w:t xml:space="preserve">①</w:t>
            </w:r>
            <w:r>
              <w:rPr>
                <w:rFonts w:ascii="宋体" w:hAnsi="宋体"/>
                <w:spacing w:val="12"/>
                <w:sz w:val="24"/>
                <w:szCs w:val="24"/>
              </w:rPr>
              <w:t xml:space="preserve">园林设施基本完整，有问题及时上报。</w:t>
            </w:r>
            <w:r/>
          </w:p>
          <w:p>
            <w:pPr>
              <w:spacing w:line="300" w:lineRule="exact"/>
              <w:rPr>
                <w:spacing w:val="12"/>
                <w:sz w:val="24"/>
                <w:szCs w:val="24"/>
              </w:rPr>
            </w:pPr>
            <w:r>
              <w:rPr>
                <w:rFonts w:hint="eastAsia" w:ascii="宋体" w:hAnsi="宋体" w:cs="宋体"/>
                <w:spacing w:val="12"/>
                <w:sz w:val="24"/>
                <w:szCs w:val="24"/>
              </w:rPr>
              <w:t xml:space="preserve">②</w:t>
            </w:r>
            <w:r>
              <w:rPr>
                <w:rFonts w:ascii="宋体" w:hAnsi="宋体"/>
                <w:spacing w:val="12"/>
                <w:sz w:val="24"/>
                <w:szCs w:val="24"/>
              </w:rPr>
              <w:t xml:space="preserve">设施完善率</w:t>
            </w:r>
            <w:r>
              <w:rPr>
                <w:spacing w:val="12"/>
                <w:sz w:val="24"/>
                <w:szCs w:val="24"/>
              </w:rPr>
              <w:t xml:space="preserve">90%</w:t>
            </w:r>
            <w:r>
              <w:rPr>
                <w:rFonts w:ascii="宋体" w:hAnsi="宋体"/>
                <w:spacing w:val="12"/>
                <w:sz w:val="24"/>
                <w:szCs w:val="24"/>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jc w:val="center"/>
              <w:spacing w:line="300" w:lineRule="exact"/>
              <w:rPr>
                <w:spacing w:val="12"/>
                <w:sz w:val="24"/>
                <w:szCs w:val="24"/>
              </w:rPr>
            </w:pPr>
            <w:r>
              <w:rPr>
                <w:spacing w:val="12"/>
                <w:sz w:val="24"/>
                <w:szCs w:val="24"/>
              </w:rPr>
              <w:t xml:space="preserve">10</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00" w:lineRule="exact"/>
              <w:rPr>
                <w:b/>
                <w:bCs/>
                <w:spacing w:val="12"/>
                <w:sz w:val="24"/>
                <w:szCs w:val="24"/>
              </w:rPr>
            </w:pPr>
            <w:r>
              <w:rPr>
                <w:rFonts w:ascii="宋体" w:hAnsi="宋体"/>
                <w:b/>
                <w:bCs/>
                <w:spacing w:val="12"/>
                <w:sz w:val="24"/>
                <w:szCs w:val="24"/>
              </w:rPr>
              <w:t xml:space="preserve">管理</w:t>
            </w:r>
            <w:r/>
          </w:p>
          <w:p>
            <w:pPr>
              <w:jc w:val="center"/>
              <w:spacing w:line="300" w:lineRule="exact"/>
              <w:rPr>
                <w:b/>
                <w:bCs/>
                <w:spacing w:val="12"/>
                <w:sz w:val="24"/>
                <w:szCs w:val="24"/>
              </w:rPr>
            </w:pPr>
            <w:r>
              <w:rPr>
                <w:rFonts w:ascii="宋体" w:hAnsi="宋体"/>
                <w:b/>
                <w:bCs/>
                <w:spacing w:val="12"/>
                <w:sz w:val="24"/>
                <w:szCs w:val="24"/>
              </w:rPr>
              <w:t xml:space="preserve">标准</w:t>
            </w:r>
            <w:r/>
          </w:p>
        </w:tc>
        <w:tc>
          <w:tcPr>
            <w:tcBorders>
              <w:top w:val="single" w:color="auto" w:sz="4" w:space="0"/>
              <w:left w:val="single" w:color="auto" w:sz="4" w:space="0"/>
              <w:bottom w:val="single" w:color="auto" w:sz="4" w:space="0"/>
              <w:right w:val="single" w:color="auto" w:sz="4" w:space="0"/>
            </w:tcBorders>
            <w:tcW w:w="3150" w:type="dxa"/>
            <w:vAlign w:val="center"/>
            <w:textDirection w:val="lrTb"/>
            <w:noWrap w:val="false"/>
          </w:tcPr>
          <w:p>
            <w:pPr>
              <w:spacing w:line="300" w:lineRule="exact"/>
              <w:rPr>
                <w:spacing w:val="12"/>
                <w:sz w:val="24"/>
                <w:szCs w:val="24"/>
              </w:rPr>
            </w:pPr>
            <w:r>
              <w:rPr>
                <w:rFonts w:hint="eastAsia" w:ascii="宋体" w:hAnsi="宋体" w:cs="宋体"/>
                <w:spacing w:val="12"/>
                <w:sz w:val="24"/>
                <w:szCs w:val="24"/>
              </w:rPr>
              <w:t xml:space="preserve">①</w:t>
            </w:r>
            <w:r>
              <w:rPr>
                <w:rFonts w:ascii="宋体" w:hAnsi="宋体"/>
                <w:spacing w:val="12"/>
                <w:sz w:val="24"/>
                <w:szCs w:val="24"/>
              </w:rPr>
              <w:t xml:space="preserve">绿地管理制度全面落实，档案资料完整、详尽，工作人员统一着装。</w:t>
            </w:r>
            <w:r/>
          </w:p>
          <w:p>
            <w:pPr>
              <w:spacing w:line="300" w:lineRule="exact"/>
              <w:rPr>
                <w:spacing w:val="12"/>
                <w:sz w:val="24"/>
                <w:szCs w:val="24"/>
              </w:rPr>
            </w:pPr>
            <w:r>
              <w:rPr>
                <w:rFonts w:hint="eastAsia" w:ascii="宋体" w:hAnsi="宋体" w:cs="宋体"/>
                <w:spacing w:val="12"/>
                <w:sz w:val="24"/>
                <w:szCs w:val="24"/>
              </w:rPr>
              <w:t xml:space="preserve">②</w:t>
            </w:r>
            <w:r>
              <w:rPr>
                <w:rFonts w:ascii="宋体" w:hAnsi="宋体"/>
                <w:spacing w:val="12"/>
                <w:sz w:val="24"/>
                <w:szCs w:val="24"/>
              </w:rPr>
              <w:t xml:space="preserve">根据绿地质量标准，制订养护管理技术措施及年度养护计划。</w:t>
            </w:r>
            <w:r/>
          </w:p>
          <w:p>
            <w:pPr>
              <w:spacing w:line="300" w:lineRule="exact"/>
              <w:rPr>
                <w:spacing w:val="12"/>
                <w:sz w:val="24"/>
                <w:szCs w:val="24"/>
              </w:rPr>
            </w:pPr>
            <w:r>
              <w:rPr>
                <w:rFonts w:hint="eastAsia" w:ascii="宋体" w:hAnsi="宋体" w:cs="宋体"/>
                <w:spacing w:val="12"/>
                <w:sz w:val="24"/>
                <w:szCs w:val="24"/>
              </w:rPr>
              <w:t xml:space="preserve">③</w:t>
            </w:r>
            <w:r>
              <w:rPr>
                <w:rFonts w:ascii="宋体" w:hAnsi="宋体"/>
                <w:spacing w:val="12"/>
                <w:sz w:val="24"/>
                <w:szCs w:val="24"/>
              </w:rPr>
              <w:t xml:space="preserve">加强对职工的培训，提高职工的技术素质。</w:t>
            </w:r>
            <w:r/>
          </w:p>
          <w:p>
            <w:pPr>
              <w:spacing w:line="300" w:lineRule="exact"/>
              <w:rPr>
                <w:spacing w:val="12"/>
                <w:sz w:val="24"/>
                <w:szCs w:val="24"/>
              </w:rPr>
            </w:pPr>
            <w:r>
              <w:rPr>
                <w:rFonts w:hint="eastAsia" w:ascii="宋体" w:hAnsi="宋体" w:cs="宋体"/>
                <w:spacing w:val="12"/>
                <w:sz w:val="24"/>
                <w:szCs w:val="24"/>
              </w:rPr>
              <w:t xml:space="preserve">④</w:t>
            </w:r>
            <w:r>
              <w:rPr>
                <w:rFonts w:ascii="宋体" w:hAnsi="宋体"/>
                <w:spacing w:val="12"/>
                <w:sz w:val="24"/>
                <w:szCs w:val="24"/>
              </w:rPr>
              <w:t xml:space="preserve">无违章占绿，无违法建设。</w:t>
            </w:r>
            <w:r/>
          </w:p>
          <w:p>
            <w:pPr>
              <w:spacing w:line="300" w:lineRule="exact"/>
              <w:rPr>
                <w:spacing w:val="12"/>
                <w:sz w:val="24"/>
                <w:szCs w:val="24"/>
              </w:rPr>
            </w:pPr>
            <w:r>
              <w:rPr>
                <w:rFonts w:hint="eastAsia" w:ascii="宋体" w:hAnsi="宋体" w:cs="宋体"/>
                <w:spacing w:val="12"/>
                <w:sz w:val="24"/>
                <w:szCs w:val="24"/>
              </w:rPr>
              <w:t xml:space="preserve">⑤</w:t>
            </w:r>
            <w:r>
              <w:rPr>
                <w:rFonts w:ascii="宋体" w:hAnsi="宋体"/>
                <w:spacing w:val="12"/>
                <w:sz w:val="24"/>
                <w:szCs w:val="24"/>
              </w:rPr>
              <w:t xml:space="preserve">秩序良好，无乱堆乱放、晾晒衣物现象。</w:t>
            </w:r>
            <w:r/>
          </w:p>
          <w:p>
            <w:pPr>
              <w:spacing w:line="300" w:lineRule="exact"/>
              <w:rPr>
                <w:spacing w:val="12"/>
                <w:sz w:val="24"/>
                <w:szCs w:val="24"/>
              </w:rPr>
            </w:pPr>
            <w:r>
              <w:rPr>
                <w:rFonts w:hint="eastAsia" w:ascii="宋体" w:hAnsi="宋体" w:cs="宋体"/>
                <w:spacing w:val="12"/>
                <w:sz w:val="24"/>
                <w:szCs w:val="24"/>
              </w:rPr>
              <w:t xml:space="preserve">⑥</w:t>
            </w:r>
            <w:r>
              <w:rPr>
                <w:rFonts w:ascii="宋体" w:hAnsi="宋体"/>
                <w:spacing w:val="12"/>
                <w:sz w:val="24"/>
                <w:szCs w:val="24"/>
              </w:rPr>
              <w:t xml:space="preserve">有紧急抢险预案措施。</w:t>
            </w:r>
            <w:r/>
          </w:p>
          <w:p>
            <w:pPr>
              <w:spacing w:line="300" w:lineRule="exact"/>
              <w:rPr>
                <w:spacing w:val="12"/>
                <w:sz w:val="24"/>
                <w:szCs w:val="24"/>
              </w:rPr>
            </w:pPr>
            <w:r>
              <w:rPr>
                <w:rFonts w:hint="eastAsia" w:ascii="宋体" w:hAnsi="宋体" w:cs="宋体"/>
                <w:spacing w:val="12"/>
                <w:sz w:val="24"/>
                <w:szCs w:val="24"/>
              </w:rPr>
              <w:t xml:space="preserve">⑦</w:t>
            </w:r>
            <w:r>
              <w:rPr>
                <w:rFonts w:ascii="宋体" w:hAnsi="宋体"/>
                <w:spacing w:val="12"/>
                <w:sz w:val="24"/>
                <w:szCs w:val="24"/>
              </w:rPr>
              <w:t xml:space="preserve">对被破坏或其他原因引起的绿地损坏及时上报。</w:t>
            </w:r>
            <w:r/>
          </w:p>
          <w:p>
            <w:pPr>
              <w:spacing w:line="300" w:lineRule="exact"/>
              <w:rPr>
                <w:spacing w:val="12"/>
                <w:sz w:val="24"/>
                <w:szCs w:val="24"/>
              </w:rPr>
            </w:pPr>
            <w:r>
              <w:rPr>
                <w:rFonts w:hint="eastAsia" w:ascii="宋体" w:hAnsi="宋体" w:cs="宋体"/>
                <w:spacing w:val="12"/>
                <w:sz w:val="24"/>
                <w:szCs w:val="24"/>
              </w:rPr>
              <w:t xml:space="preserve">⑧</w:t>
            </w:r>
            <w:r>
              <w:rPr>
                <w:rFonts w:ascii="宋体" w:hAnsi="宋体"/>
                <w:spacing w:val="12"/>
                <w:sz w:val="24"/>
                <w:szCs w:val="24"/>
              </w:rPr>
              <w:t xml:space="preserve">按照有关安全生产操作规程组织作业。</w:t>
            </w:r>
            <w:r/>
          </w:p>
        </w:tc>
        <w:tc>
          <w:tcPr>
            <w:tcBorders>
              <w:top w:val="single" w:color="auto" w:sz="4" w:space="0"/>
              <w:left w:val="single" w:color="auto" w:sz="4" w:space="0"/>
              <w:bottom w:val="single" w:color="auto" w:sz="4" w:space="0"/>
              <w:right w:val="single" w:color="auto" w:sz="4" w:space="0"/>
            </w:tcBorders>
            <w:tcW w:w="2310" w:type="dxa"/>
            <w:textDirection w:val="lrTb"/>
            <w:noWrap w:val="false"/>
          </w:tcPr>
          <w:p>
            <w:pPr>
              <w:spacing w:line="300" w:lineRule="exact"/>
              <w:rPr>
                <w:spacing w:val="12"/>
                <w:sz w:val="24"/>
                <w:szCs w:val="24"/>
              </w:rPr>
            </w:pPr>
            <w:r>
              <w:rPr>
                <w:rFonts w:hint="eastAsia" w:ascii="宋体" w:hAnsi="宋体" w:cs="宋体"/>
                <w:spacing w:val="12"/>
                <w:sz w:val="24"/>
                <w:szCs w:val="24"/>
              </w:rPr>
              <w:t xml:space="preserve">①</w:t>
            </w:r>
            <w:r>
              <w:rPr>
                <w:rFonts w:ascii="宋体" w:hAnsi="宋体"/>
                <w:spacing w:val="12"/>
                <w:sz w:val="24"/>
                <w:szCs w:val="24"/>
              </w:rPr>
              <w:t xml:space="preserve">绿地管理制度全面落实，档案资料完整、详尽，工作人员统一着装。</w:t>
            </w:r>
            <w:r/>
          </w:p>
          <w:p>
            <w:pPr>
              <w:spacing w:line="300" w:lineRule="exact"/>
              <w:rPr>
                <w:spacing w:val="12"/>
                <w:sz w:val="24"/>
                <w:szCs w:val="24"/>
              </w:rPr>
            </w:pPr>
            <w:r>
              <w:rPr>
                <w:rFonts w:hint="eastAsia" w:ascii="宋体" w:hAnsi="宋体" w:cs="宋体"/>
                <w:spacing w:val="12"/>
                <w:sz w:val="24"/>
                <w:szCs w:val="24"/>
              </w:rPr>
              <w:t xml:space="preserve">②</w:t>
            </w:r>
            <w:r>
              <w:rPr>
                <w:rFonts w:ascii="宋体" w:hAnsi="宋体"/>
                <w:spacing w:val="12"/>
                <w:sz w:val="24"/>
                <w:szCs w:val="24"/>
              </w:rPr>
              <w:t xml:space="preserve">根据绿地质量标准，制订养护管理技术措施及年度养护计划。</w:t>
            </w:r>
            <w:r/>
          </w:p>
          <w:p>
            <w:pPr>
              <w:spacing w:line="300" w:lineRule="exact"/>
              <w:rPr>
                <w:spacing w:val="12"/>
                <w:sz w:val="24"/>
                <w:szCs w:val="24"/>
              </w:rPr>
            </w:pPr>
            <w:r>
              <w:rPr>
                <w:rFonts w:hint="eastAsia" w:ascii="宋体" w:hAnsi="宋体" w:cs="宋体"/>
                <w:spacing w:val="12"/>
                <w:sz w:val="24"/>
                <w:szCs w:val="24"/>
              </w:rPr>
              <w:t xml:space="preserve">③</w:t>
            </w:r>
            <w:r>
              <w:rPr>
                <w:rFonts w:ascii="宋体" w:hAnsi="宋体"/>
                <w:spacing w:val="12"/>
                <w:sz w:val="24"/>
                <w:szCs w:val="24"/>
              </w:rPr>
              <w:t xml:space="preserve">加强对职工的培训，提高职工的技术素质。</w:t>
            </w:r>
            <w:r/>
          </w:p>
          <w:p>
            <w:pPr>
              <w:spacing w:line="300" w:lineRule="exact"/>
              <w:rPr>
                <w:spacing w:val="12"/>
                <w:sz w:val="24"/>
                <w:szCs w:val="24"/>
              </w:rPr>
            </w:pPr>
            <w:r>
              <w:rPr>
                <w:rFonts w:hint="eastAsia" w:ascii="宋体" w:hAnsi="宋体" w:cs="宋体"/>
                <w:spacing w:val="12"/>
                <w:sz w:val="24"/>
                <w:szCs w:val="24"/>
              </w:rPr>
              <w:t xml:space="preserve">④</w:t>
            </w:r>
            <w:r>
              <w:rPr>
                <w:rFonts w:ascii="宋体" w:hAnsi="宋体"/>
                <w:spacing w:val="12"/>
                <w:sz w:val="24"/>
                <w:szCs w:val="24"/>
              </w:rPr>
              <w:t xml:space="preserve">无违章占绿，无违法建设。</w:t>
            </w:r>
            <w:r/>
          </w:p>
          <w:p>
            <w:pPr>
              <w:spacing w:line="300" w:lineRule="exact"/>
              <w:rPr>
                <w:spacing w:val="12"/>
                <w:sz w:val="24"/>
                <w:szCs w:val="24"/>
              </w:rPr>
            </w:pPr>
            <w:r>
              <w:rPr>
                <w:rFonts w:hint="eastAsia" w:ascii="宋体" w:hAnsi="宋体" w:cs="宋体"/>
                <w:spacing w:val="12"/>
                <w:sz w:val="24"/>
                <w:szCs w:val="24"/>
              </w:rPr>
              <w:t xml:space="preserve">⑤</w:t>
            </w:r>
            <w:r>
              <w:rPr>
                <w:rFonts w:ascii="宋体" w:hAnsi="宋体"/>
                <w:spacing w:val="12"/>
                <w:sz w:val="24"/>
                <w:szCs w:val="24"/>
              </w:rPr>
              <w:t xml:space="preserve">秩序良好，无乱堆乱放、晾晒衣物现象。</w:t>
            </w:r>
            <w:r/>
          </w:p>
          <w:p>
            <w:pPr>
              <w:spacing w:line="300" w:lineRule="exact"/>
              <w:rPr>
                <w:spacing w:val="12"/>
                <w:sz w:val="24"/>
                <w:szCs w:val="24"/>
              </w:rPr>
            </w:pPr>
            <w:r>
              <w:rPr>
                <w:rFonts w:hint="eastAsia" w:ascii="宋体" w:hAnsi="宋体" w:cs="宋体"/>
                <w:spacing w:val="12"/>
                <w:sz w:val="24"/>
                <w:szCs w:val="24"/>
              </w:rPr>
              <w:t xml:space="preserve">⑥</w:t>
            </w:r>
            <w:r>
              <w:rPr>
                <w:rFonts w:ascii="宋体" w:hAnsi="宋体"/>
                <w:spacing w:val="12"/>
                <w:sz w:val="24"/>
                <w:szCs w:val="24"/>
              </w:rPr>
              <w:t xml:space="preserve">有紧急抢险预案措施。</w:t>
            </w:r>
            <w:r/>
          </w:p>
          <w:p>
            <w:pPr>
              <w:spacing w:line="300" w:lineRule="exact"/>
              <w:rPr>
                <w:spacing w:val="12"/>
                <w:sz w:val="24"/>
                <w:szCs w:val="24"/>
              </w:rPr>
            </w:pPr>
            <w:r>
              <w:rPr>
                <w:rFonts w:hint="eastAsia" w:ascii="宋体" w:hAnsi="宋体" w:cs="宋体"/>
                <w:spacing w:val="12"/>
                <w:sz w:val="24"/>
                <w:szCs w:val="24"/>
              </w:rPr>
              <w:t xml:space="preserve">⑦</w:t>
            </w:r>
            <w:r>
              <w:rPr>
                <w:rFonts w:ascii="宋体" w:hAnsi="宋体"/>
                <w:spacing w:val="12"/>
                <w:sz w:val="24"/>
                <w:szCs w:val="24"/>
              </w:rPr>
              <w:t xml:space="preserve">对被破坏或其他原因引起的绿地损坏及时上报。</w:t>
            </w:r>
            <w:r/>
          </w:p>
          <w:p>
            <w:pPr>
              <w:spacing w:line="300" w:lineRule="exact"/>
              <w:rPr>
                <w:spacing w:val="12"/>
                <w:sz w:val="24"/>
                <w:szCs w:val="24"/>
              </w:rPr>
            </w:pPr>
            <w:r>
              <w:rPr>
                <w:rFonts w:hint="eastAsia" w:ascii="宋体" w:hAnsi="宋体" w:cs="宋体"/>
                <w:spacing w:val="12"/>
                <w:sz w:val="24"/>
                <w:szCs w:val="24"/>
              </w:rPr>
              <w:t xml:space="preserve">⑧</w:t>
            </w:r>
            <w:r>
              <w:rPr>
                <w:rFonts w:ascii="宋体" w:hAnsi="宋体"/>
                <w:spacing w:val="12"/>
                <w:sz w:val="24"/>
                <w:szCs w:val="24"/>
              </w:rPr>
              <w:t xml:space="preserve">按照有关安全生产操作规程组织作业。</w:t>
            </w:r>
            <w:r/>
          </w:p>
        </w:tc>
        <w:tc>
          <w:tcPr>
            <w:tcBorders>
              <w:top w:val="single" w:color="auto" w:sz="4" w:space="0"/>
              <w:left w:val="single" w:color="auto" w:sz="4" w:space="0"/>
              <w:bottom w:val="single" w:color="auto" w:sz="4" w:space="0"/>
              <w:right w:val="single" w:color="auto" w:sz="4" w:space="0"/>
            </w:tcBorders>
            <w:tcW w:w="2415" w:type="dxa"/>
            <w:textDirection w:val="lrTb"/>
            <w:noWrap w:val="false"/>
          </w:tcPr>
          <w:p>
            <w:pPr>
              <w:spacing w:line="300" w:lineRule="exact"/>
              <w:rPr>
                <w:spacing w:val="12"/>
                <w:sz w:val="24"/>
                <w:szCs w:val="24"/>
              </w:rPr>
            </w:pPr>
            <w:r>
              <w:rPr>
                <w:rFonts w:hint="eastAsia" w:ascii="宋体" w:hAnsi="宋体" w:cs="宋体"/>
                <w:spacing w:val="12"/>
                <w:sz w:val="24"/>
                <w:szCs w:val="24"/>
              </w:rPr>
              <w:t xml:space="preserve">①</w:t>
            </w:r>
            <w:r>
              <w:rPr>
                <w:rFonts w:ascii="宋体" w:hAnsi="宋体"/>
                <w:spacing w:val="12"/>
                <w:sz w:val="24"/>
                <w:szCs w:val="24"/>
              </w:rPr>
              <w:t xml:space="preserve">绿地管理制度全面落实，档案资料完整、详尽，工作人员统一着装。</w:t>
            </w:r>
            <w:r/>
          </w:p>
          <w:p>
            <w:pPr>
              <w:spacing w:line="300" w:lineRule="exact"/>
              <w:rPr>
                <w:spacing w:val="12"/>
                <w:sz w:val="24"/>
                <w:szCs w:val="24"/>
              </w:rPr>
            </w:pPr>
            <w:r>
              <w:rPr>
                <w:rFonts w:hint="eastAsia" w:ascii="宋体" w:hAnsi="宋体" w:cs="宋体"/>
                <w:spacing w:val="12"/>
                <w:sz w:val="24"/>
                <w:szCs w:val="24"/>
              </w:rPr>
              <w:t xml:space="preserve">②</w:t>
            </w:r>
            <w:r>
              <w:rPr>
                <w:rFonts w:ascii="宋体" w:hAnsi="宋体"/>
                <w:spacing w:val="12"/>
                <w:sz w:val="24"/>
                <w:szCs w:val="24"/>
              </w:rPr>
              <w:t xml:space="preserve">根据绿地质量标准，制订养护管理技术措施及年度养护计划。</w:t>
            </w:r>
            <w:r/>
          </w:p>
          <w:p>
            <w:pPr>
              <w:spacing w:line="300" w:lineRule="exact"/>
              <w:rPr>
                <w:spacing w:val="12"/>
                <w:sz w:val="24"/>
                <w:szCs w:val="24"/>
              </w:rPr>
            </w:pPr>
            <w:r>
              <w:rPr>
                <w:rFonts w:hint="eastAsia" w:ascii="宋体" w:hAnsi="宋体" w:cs="宋体"/>
                <w:spacing w:val="12"/>
                <w:sz w:val="24"/>
                <w:szCs w:val="24"/>
              </w:rPr>
              <w:t xml:space="preserve">③</w:t>
            </w:r>
            <w:r>
              <w:rPr>
                <w:rFonts w:ascii="宋体" w:hAnsi="宋体"/>
                <w:spacing w:val="12"/>
                <w:sz w:val="24"/>
                <w:szCs w:val="24"/>
              </w:rPr>
              <w:t xml:space="preserve">加强对职工的培训，提高职工的技术素质。</w:t>
            </w:r>
            <w:r/>
          </w:p>
          <w:p>
            <w:pPr>
              <w:spacing w:line="300" w:lineRule="exact"/>
              <w:rPr>
                <w:spacing w:val="12"/>
                <w:sz w:val="24"/>
                <w:szCs w:val="24"/>
              </w:rPr>
            </w:pPr>
            <w:r>
              <w:rPr>
                <w:rFonts w:hint="eastAsia" w:ascii="宋体" w:hAnsi="宋体" w:cs="宋体"/>
                <w:spacing w:val="12"/>
                <w:sz w:val="24"/>
                <w:szCs w:val="24"/>
              </w:rPr>
              <w:t xml:space="preserve">④</w:t>
            </w:r>
            <w:r>
              <w:rPr>
                <w:rFonts w:ascii="宋体" w:hAnsi="宋体"/>
                <w:spacing w:val="12"/>
                <w:sz w:val="24"/>
                <w:szCs w:val="24"/>
              </w:rPr>
              <w:t xml:space="preserve">无违章占绿，无违法建设。</w:t>
            </w:r>
            <w:r/>
          </w:p>
          <w:p>
            <w:pPr>
              <w:spacing w:line="300" w:lineRule="exact"/>
              <w:rPr>
                <w:spacing w:val="12"/>
                <w:sz w:val="24"/>
                <w:szCs w:val="24"/>
              </w:rPr>
            </w:pPr>
            <w:r>
              <w:rPr>
                <w:rFonts w:hint="eastAsia" w:ascii="宋体" w:hAnsi="宋体" w:cs="宋体"/>
                <w:spacing w:val="12"/>
                <w:sz w:val="24"/>
                <w:szCs w:val="24"/>
              </w:rPr>
              <w:t xml:space="preserve">⑤</w:t>
            </w:r>
            <w:r>
              <w:rPr>
                <w:rFonts w:ascii="宋体" w:hAnsi="宋体"/>
                <w:spacing w:val="12"/>
                <w:sz w:val="24"/>
                <w:szCs w:val="24"/>
              </w:rPr>
              <w:t xml:space="preserve">秩序良好，无乱堆乱放、晾晒衣物现象。</w:t>
            </w:r>
            <w:r/>
          </w:p>
          <w:p>
            <w:pPr>
              <w:spacing w:line="300" w:lineRule="exact"/>
              <w:rPr>
                <w:spacing w:val="12"/>
                <w:sz w:val="24"/>
                <w:szCs w:val="24"/>
              </w:rPr>
            </w:pPr>
            <w:r>
              <w:rPr>
                <w:rFonts w:hint="eastAsia" w:ascii="宋体" w:hAnsi="宋体" w:cs="宋体"/>
                <w:spacing w:val="12"/>
                <w:sz w:val="24"/>
                <w:szCs w:val="24"/>
              </w:rPr>
              <w:t xml:space="preserve">⑥</w:t>
            </w:r>
            <w:r>
              <w:rPr>
                <w:rFonts w:ascii="宋体" w:hAnsi="宋体"/>
                <w:spacing w:val="12"/>
                <w:sz w:val="24"/>
                <w:szCs w:val="24"/>
              </w:rPr>
              <w:t xml:space="preserve">有紧急抢险预案措施。</w:t>
            </w:r>
            <w:r/>
          </w:p>
          <w:p>
            <w:pPr>
              <w:spacing w:line="300" w:lineRule="exact"/>
              <w:rPr>
                <w:spacing w:val="12"/>
                <w:sz w:val="24"/>
                <w:szCs w:val="24"/>
              </w:rPr>
            </w:pPr>
            <w:r>
              <w:rPr>
                <w:rFonts w:hint="eastAsia" w:ascii="宋体" w:hAnsi="宋体" w:cs="宋体"/>
                <w:spacing w:val="12"/>
                <w:sz w:val="24"/>
                <w:szCs w:val="24"/>
              </w:rPr>
              <w:t xml:space="preserve">⑦</w:t>
            </w:r>
            <w:r>
              <w:rPr>
                <w:rFonts w:ascii="宋体" w:hAnsi="宋体"/>
                <w:spacing w:val="12"/>
                <w:sz w:val="24"/>
                <w:szCs w:val="24"/>
              </w:rPr>
              <w:t xml:space="preserve">对被破坏或其他原因引起的绿地损坏及时上报。</w:t>
            </w:r>
            <w:r/>
          </w:p>
          <w:p>
            <w:pPr>
              <w:spacing w:line="300" w:lineRule="exact"/>
              <w:rPr>
                <w:spacing w:val="12"/>
                <w:sz w:val="24"/>
                <w:szCs w:val="24"/>
              </w:rPr>
            </w:pPr>
            <w:r>
              <w:rPr>
                <w:rFonts w:hint="eastAsia" w:ascii="宋体" w:hAnsi="宋体" w:cs="宋体"/>
                <w:spacing w:val="12"/>
                <w:sz w:val="24"/>
                <w:szCs w:val="24"/>
              </w:rPr>
              <w:t xml:space="preserve">⑧</w:t>
            </w:r>
            <w:r>
              <w:rPr>
                <w:rFonts w:ascii="宋体" w:hAnsi="宋体"/>
                <w:spacing w:val="12"/>
                <w:sz w:val="24"/>
                <w:szCs w:val="24"/>
              </w:rPr>
              <w:t xml:space="preserve">按照有关安全生产操作规程组织作业。</w:t>
            </w:r>
            <w:r/>
          </w:p>
        </w:tc>
      </w:tr>
    </w:tbl>
    <w:p>
      <w:pPr>
        <w:rPr>
          <w:rFonts w:ascii="宋体" w:hAnsi="宋体" w:cs="宋体"/>
          <w:b/>
          <w:bCs/>
          <w:color w:val="000000"/>
          <w:sz w:val="24"/>
          <w:szCs w:val="24"/>
        </w:rPr>
      </w:pPr>
      <w:r>
        <w:rPr>
          <w:rFonts w:ascii="宋体" w:hAnsi="宋体" w:cs="宋体"/>
          <w:b/>
          <w:bCs/>
          <w:color w:val="000000"/>
          <w:sz w:val="24"/>
          <w:szCs w:val="24"/>
        </w:rPr>
        <w:br w:type="page" w:clear="all"/>
      </w:r>
      <w:r/>
    </w:p>
    <w:p>
      <w:pPr>
        <w:ind w:firstLine="601"/>
        <w:jc w:val="center"/>
        <w:keepLines w:val="0"/>
        <w:keepNext w:val="0"/>
        <w:pageBreakBefore w:val="0"/>
        <w:spacing w:line="360" w:lineRule="auto"/>
        <w:widowControl w:val="off"/>
        <w:rPr>
          <w:rFonts w:hint="eastAsia" w:ascii="宋体" w:hAnsi="宋体" w:eastAsia="宋体" w:cs="Times New Roman"/>
          <w:b/>
          <w:color w:val="000000"/>
          <w:sz w:val="36"/>
          <w:szCs w:val="36"/>
          <w:lang w:val="en-US" w:eastAsia="zh-CN"/>
        </w:rPr>
        <w:outlineLvl w:val="1"/>
      </w:pPr>
      <w:r/>
      <w:bookmarkStart w:id="205" w:name="_Toc26304"/>
      <w:r>
        <w:rPr>
          <w:rFonts w:hint="eastAsia" w:ascii="宋体" w:hAnsi="宋体" w:eastAsia="宋体" w:cs="Times New Roman"/>
          <w:b/>
          <w:color w:val="000000"/>
          <w:sz w:val="36"/>
          <w:szCs w:val="36"/>
          <w:lang w:val="en-US" w:eastAsia="zh-CN"/>
        </w:rPr>
        <w:t xml:space="preserve">附件⑤莫城街道绿化养护考核评分细则（参考）</w:t>
      </w:r>
      <w:bookmarkEnd w:id="205"/>
      <w:r/>
      <w:r/>
    </w:p>
    <w:p>
      <w:pPr>
        <w:jc w:val="both"/>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r>
      <w:r/>
    </w:p>
    <w:tbl>
      <w:tblPr>
        <w:tblStyle w:val="717"/>
        <w:tblW w:w="1013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56"/>
        <w:gridCol w:w="1107"/>
        <w:gridCol w:w="565"/>
        <w:gridCol w:w="5909"/>
        <w:gridCol w:w="1085"/>
        <w:gridCol w:w="1017"/>
      </w:tblGrid>
      <w:tr>
        <w:trPr>
          <w:trHeight w:val="312"/>
        </w:trPr>
        <w:tc>
          <w:tcPr>
            <w:shd w:val="clear" w:color="auto" w:fill="auto"/>
            <w:tcBorders>
              <w:top w:val="single" w:color="000000" w:sz="4" w:space="0"/>
              <w:left w:val="single" w:color="000000" w:sz="4" w:space="0"/>
              <w:bottom w:val="single" w:color="000000" w:sz="4" w:space="0"/>
              <w:right w:val="none" w:color="000000" w:sz="4" w:space="0"/>
            </w:tcBorders>
            <w:tcW w:w="45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号</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7581"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                                                  考核单位</w:t>
            </w:r>
            <w:r/>
          </w:p>
          <w:p>
            <w:pPr>
              <w:ind w:firstLine="240"/>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评分项目</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609"/>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110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植物养护技术考核</w:t>
            </w:r>
            <w:r/>
          </w:p>
        </w:tc>
        <w:tc>
          <w:tcPr>
            <w:shd w:val="clear" w:color="auto" w:fill="auto"/>
            <w:tcBorders>
              <w:top w:val="none" w:color="000000" w:sz="4" w:space="0"/>
              <w:left w:val="single" w:color="000000" w:sz="4" w:space="0"/>
              <w:bottom w:val="single" w:color="000000" w:sz="4" w:space="0"/>
              <w:right w:val="single" w:color="000000" w:sz="4" w:space="0"/>
            </w:tcBorders>
            <w:tcW w:w="56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65</w:t>
            </w:r>
            <w:r/>
          </w:p>
        </w:tc>
        <w:tc>
          <w:tcPr>
            <w:shd w:val="clear" w:color="auto" w:fill="auto"/>
            <w:tcBorders>
              <w:top w:val="none" w:color="000000" w:sz="4" w:space="0"/>
              <w:left w:val="single" w:color="000000" w:sz="4" w:space="0"/>
              <w:bottom w:val="single" w:color="000000" w:sz="4" w:space="0"/>
              <w:right w:val="none" w:color="000000" w:sz="4" w:space="0"/>
            </w:tcBorders>
            <w:tcW w:w="590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按照每月病虫害防治要点、有针对性的及时进行防治（15）</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737"/>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4" w:space="0"/>
              <w:bottom w:val="single" w:color="000000" w:sz="4" w:space="0"/>
              <w:right w:val="single" w:color="000000" w:sz="4" w:space="0"/>
            </w:tcBorders>
            <w:tcW w:w="110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single" w:color="000000" w:sz="4" w:space="0"/>
              <w:bottom w:val="single" w:color="000000" w:sz="4" w:space="0"/>
              <w:right w:val="single" w:color="000000" w:sz="4" w:space="0"/>
            </w:tcBorders>
            <w:tcW w:w="565"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none" w:color="000000" w:sz="4" w:space="0"/>
            </w:tcBorders>
            <w:tcW w:w="590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枯死断枝、徒长枝、去蘖、抹芽、影响交通视线、存在安全隐患等的树木修剪(15)</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723"/>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4" w:space="0"/>
              <w:bottom w:val="single" w:color="000000" w:sz="4" w:space="0"/>
              <w:right w:val="single" w:color="000000" w:sz="4" w:space="0"/>
            </w:tcBorders>
            <w:tcW w:w="110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single" w:color="000000" w:sz="4" w:space="0"/>
              <w:bottom w:val="single" w:color="000000" w:sz="4" w:space="0"/>
              <w:right w:val="single" w:color="000000" w:sz="4" w:space="0"/>
            </w:tcBorders>
            <w:tcW w:w="565"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none" w:color="000000" w:sz="4" w:space="0"/>
            </w:tcBorders>
            <w:tcW w:w="590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色块线条平整、切边到位，球类圆整、饱满，色块、灌木高度统一，曲线流畅（10）</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766"/>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4" w:space="0"/>
              <w:bottom w:val="single" w:color="000000" w:sz="4" w:space="0"/>
              <w:right w:val="single" w:color="000000" w:sz="4" w:space="0"/>
            </w:tcBorders>
            <w:tcW w:w="110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single" w:color="000000" w:sz="4" w:space="0"/>
              <w:bottom w:val="single" w:color="000000" w:sz="4" w:space="0"/>
              <w:right w:val="single" w:color="000000" w:sz="4" w:space="0"/>
            </w:tcBorders>
            <w:tcW w:w="565"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none" w:color="000000" w:sz="4" w:space="0"/>
            </w:tcBorders>
            <w:tcW w:w="590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草坪修剪及时、修剪平整且高度合理范围内，杂草控制得当，整体景观效果良好（15）</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4" w:space="0"/>
              <w:bottom w:val="single" w:color="000000" w:sz="4" w:space="0"/>
              <w:right w:val="single" w:color="000000" w:sz="4" w:space="0"/>
            </w:tcBorders>
            <w:tcW w:w="110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single" w:color="000000" w:sz="4" w:space="0"/>
              <w:bottom w:val="single" w:color="000000" w:sz="4" w:space="0"/>
              <w:right w:val="single" w:color="000000" w:sz="4" w:space="0"/>
            </w:tcBorders>
            <w:tcW w:w="565"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none" w:color="000000" w:sz="4" w:space="0"/>
            </w:tcBorders>
            <w:tcW w:w="590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养护范围内无大面积死株、杂株，死树根清理到位，树木扶正，支撑梳理（10）</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66"/>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养护人员考核</w:t>
            </w:r>
            <w:r/>
          </w:p>
        </w:tc>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none" w:color="000000" w:sz="4" w:space="0"/>
            </w:tcBorders>
            <w:tcW w:w="590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养护人数、统一着装、绿地安全隐患未上报</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38"/>
        </w:trPr>
        <w:tc>
          <w:tcPr>
            <w:shd w:val="clear" w:color="auto" w:fill="auto"/>
            <w:tcBorders>
              <w:top w:val="single" w:color="000000" w:sz="4" w:space="0"/>
              <w:left w:val="single" w:color="000000" w:sz="4" w:space="0"/>
              <w:bottom w:val="non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none" w:color="000000" w:sz="4" w:space="0"/>
              <w:right w:val="single" w:color="000000" w:sz="4" w:space="0"/>
            </w:tcBorders>
            <w:tcW w:w="11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绿地保洁考核</w:t>
            </w:r>
            <w:r/>
          </w:p>
        </w:tc>
        <w:tc>
          <w:tcPr>
            <w:shd w:val="clear" w:color="auto" w:fill="auto"/>
            <w:tcBorders>
              <w:top w:val="single" w:color="000000" w:sz="4" w:space="0"/>
              <w:left w:val="single" w:color="000000" w:sz="4" w:space="0"/>
              <w:bottom w:val="none" w:color="000000" w:sz="4" w:space="0"/>
              <w:right w:val="single" w:color="000000" w:sz="4" w:space="0"/>
            </w:tcBorders>
            <w:tcW w:w="5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none" w:color="000000" w:sz="4" w:space="0"/>
            </w:tcBorders>
            <w:tcW w:w="590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各类垃圾、绿色废弃物、落叶、水面保洁</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723"/>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绿地保护考核</w:t>
            </w:r>
            <w:r/>
          </w:p>
        </w:tc>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none" w:color="000000" w:sz="4" w:space="0"/>
            </w:tcBorders>
            <w:tcW w:w="590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绿地破坏或占用未上报、绿地内有焚烧现象、有农作物现象、使用剧毒农药现象</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37"/>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90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秩序管理、应急抢险、数字化案件、安全生产综合治理、媒体曝光等</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09"/>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日常养护</w:t>
            </w:r>
            <w:r/>
          </w:p>
        </w:tc>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none" w:color="000000" w:sz="4" w:space="0"/>
              <w:left w:val="none" w:color="000000" w:sz="4" w:space="0"/>
              <w:bottom w:val="none" w:color="000000" w:sz="4" w:space="0"/>
              <w:right w:val="none" w:color="000000" w:sz="4" w:space="0"/>
            </w:tcBorders>
            <w:tcW w:w="590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日常养护工作及时、到位，养护问题处理、回复及时，无重大养护问题、事故，能积极配合业主、监理单位工作</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总分</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524"/>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758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平均分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0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481"/>
        </w:trPr>
        <w:tc>
          <w:tcPr>
            <w:gridSpan w:val="6"/>
            <w:shd w:val="clear" w:color="auto" w:fill="auto"/>
            <w:tcBorders>
              <w:top w:val="single" w:color="000000" w:sz="4" w:space="0"/>
              <w:left w:val="none" w:color="000000" w:sz="4" w:space="0"/>
              <w:bottom w:val="none" w:color="000000" w:sz="4" w:space="0"/>
              <w:right w:val="none" w:color="000000" w:sz="4" w:space="0"/>
            </w:tcBorders>
            <w:tcW w:w="1013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备注：评分项目中有造成不良影响的为不合格               日期：        制表：</w:t>
            </w:r>
            <w:r/>
          </w:p>
        </w:tc>
      </w:tr>
    </w:tbl>
    <w:p>
      <w:pPr>
        <w:jc w:val="both"/>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spacing w:line="400" w:lineRule="exact"/>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注：以上考核细则供参考，具体以签订合同为准。</w:t>
      </w:r>
      <w:r/>
    </w:p>
    <w:p>
      <w:pPr>
        <w:spacing w:line="400" w:lineRule="exact"/>
        <w:rPr>
          <w:rFonts w:hint="default" w:ascii="宋体" w:hAnsi="宋体"/>
          <w:color w:val="000000"/>
          <w:sz w:val="24"/>
          <w:szCs w:val="24"/>
          <w:lang w:val="en-US" w:eastAsia="zh-CN"/>
        </w:rPr>
      </w:pPr>
      <w:r>
        <w:rPr>
          <w:rFonts w:hint="default" w:ascii="宋体" w:hAnsi="宋体"/>
          <w:color w:val="000000"/>
          <w:sz w:val="24"/>
          <w:szCs w:val="24"/>
          <w:lang w:val="en-US" w:eastAsia="zh-CN"/>
        </w:rPr>
      </w:r>
      <w:r/>
    </w:p>
    <w:p>
      <w:pPr>
        <w:rPr>
          <w:rFonts w:hint="eastAsia" w:ascii="黑体" w:hAnsi="Courier New" w:eastAsia="黑体" w:cs="Courier New"/>
          <w:bCs/>
          <w:color w:val="000000" w:themeColor="text1"/>
          <w:sz w:val="44"/>
          <w:szCs w:val="21"/>
          <w14:textFill>
            <w14:solidFill>
              <w14:schemeClr w14:val="tx1"/>
            </w14:solidFill>
          </w14:textFill>
        </w:rPr>
      </w:pPr>
      <w:r>
        <w:rPr>
          <w:rFonts w:hint="eastAsia" w:ascii="黑体" w:hAnsi="Courier New" w:eastAsia="黑体" w:cs="Courier New"/>
          <w:bCs/>
          <w:color w:val="000000" w:themeColor="text1"/>
          <w:sz w:val="44"/>
          <w:szCs w:val="21"/>
          <w14:textFill>
            <w14:solidFill>
              <w14:schemeClr w14:val="tx1"/>
            </w14:solidFill>
          </w14:textFill>
        </w:rPr>
        <w:br w:type="page" w:clear="all"/>
      </w:r>
      <w:r/>
    </w:p>
    <w:p>
      <w:pPr>
        <w:ind w:firstLine="880"/>
        <w:jc w:val="center"/>
        <w:spacing w:before="240" w:after="240" w:line="440" w:lineRule="exact"/>
        <w:rPr>
          <w:rFonts w:ascii="黑体" w:hAnsi="Courier New" w:eastAsia="黑体" w:cs="Courier New"/>
          <w:bCs/>
          <w:color w:val="000000" w:themeColor="text1"/>
          <w:sz w:val="44"/>
          <w:szCs w:val="21"/>
          <w14:textFill>
            <w14:solidFill>
              <w14:schemeClr w14:val="tx1"/>
            </w14:solidFill>
          </w14:textFill>
        </w:rPr>
        <w:outlineLvl w:val="0"/>
      </w:pPr>
      <w:r/>
      <w:bookmarkStart w:id="206" w:name="_Toc3006"/>
      <w:r>
        <w:rPr>
          <w:rFonts w:hint="eastAsia" w:ascii="黑体" w:hAnsi="Courier New" w:eastAsia="黑体" w:cs="Courier New"/>
          <w:bCs/>
          <w:color w:val="000000" w:themeColor="text1"/>
          <w:sz w:val="44"/>
          <w:szCs w:val="21"/>
          <w14:textFill>
            <w14:solidFill>
              <w14:schemeClr w14:val="tx1"/>
            </w14:solidFill>
          </w14:textFill>
        </w:rPr>
        <w:t xml:space="preserve">第五章  评标方法与评标标准</w:t>
      </w:r>
      <w:bookmarkEnd w:id="206"/>
      <w:r/>
      <w:r/>
    </w:p>
    <w:p>
      <w:pPr>
        <w:keepLines w:val="0"/>
        <w:keepNext w:val="0"/>
        <w:pageBreakBefore w:val="0"/>
        <w:spacing w:line="440" w:lineRule="exact"/>
        <w:widowControl w:val="off"/>
        <w:rPr>
          <w:b/>
          <w:bCs/>
          <w:color w:val="000000" w:themeColor="text1"/>
          <w:sz w:val="28"/>
          <w14:textFill>
            <w14:solidFill>
              <w14:schemeClr w14:val="tx1"/>
            </w14:solidFill>
          </w14:textFill>
        </w:rPr>
      </w:pPr>
      <w:r/>
      <w:bookmarkStart w:id="207" w:name="_Toc17476"/>
      <w:r/>
      <w:bookmarkStart w:id="208" w:name="_Toc698"/>
      <w:r/>
      <w:bookmarkStart w:id="209" w:name="_Toc16264"/>
      <w:r>
        <w:rPr>
          <w:rFonts w:hint="eastAsia"/>
          <w:b/>
          <w:bCs/>
          <w:color w:val="000000" w:themeColor="text1"/>
          <w:sz w:val="28"/>
          <w14:textFill>
            <w14:solidFill>
              <w14:schemeClr w14:val="tx1"/>
            </w14:solidFill>
          </w14:textFill>
        </w:rPr>
        <w:t xml:space="preserve">一、评标办法：</w:t>
      </w:r>
      <w:bookmarkEnd w:id="207"/>
      <w:r/>
      <w:bookmarkEnd w:id="208"/>
      <w:r/>
      <w:bookmarkEnd w:id="209"/>
      <w:r/>
      <w:r/>
    </w:p>
    <w:p>
      <w:pPr>
        <w:ind w:firstLine="420"/>
        <w:spacing w:line="48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、评标办法采用</w:t>
      </w:r>
      <w:r>
        <w:rPr>
          <w:rFonts w:hint="eastAsia" w:ascii="宋体" w:hAnsi="宋体"/>
          <w:b/>
          <w:color w:val="000000" w:themeColor="text1"/>
          <w:sz w:val="24"/>
          <w:szCs w:val="24"/>
          <w14:textFill>
            <w14:solidFill>
              <w14:schemeClr w14:val="tx1"/>
            </w14:solidFill>
          </w14:textFill>
        </w:rPr>
        <w:t xml:space="preserve">综合评分法</w:t>
      </w:r>
      <w:r>
        <w:rPr>
          <w:rFonts w:hint="eastAsia" w:ascii="宋体" w:hAnsi="宋体"/>
          <w:color w:val="000000" w:themeColor="text1"/>
          <w:sz w:val="24"/>
          <w:szCs w:val="24"/>
          <w14:textFill>
            <w14:solidFill>
              <w14:schemeClr w14:val="tx1"/>
            </w14:solidFill>
          </w14:textFill>
        </w:rPr>
        <w:t xml:space="preserve">。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spacing w:line="480" w:lineRule="exact"/>
        <w:rPr>
          <w:b/>
          <w:bCs/>
          <w:color w:val="000000" w:themeColor="text1"/>
          <w:sz w:val="28"/>
          <w14:textFill>
            <w14:solidFill>
              <w14:schemeClr w14:val="tx1"/>
            </w14:solidFill>
          </w14:textFill>
        </w:rPr>
      </w:pPr>
      <w:r>
        <w:rPr>
          <w:b/>
          <w:bCs/>
          <w:color w:val="000000" w:themeColor="text1"/>
          <w:sz w:val="28"/>
          <w14:textFill>
            <w14:solidFill>
              <w14:schemeClr w14:val="tx1"/>
            </w14:solidFill>
          </w14:textFill>
        </w:rPr>
        <w:t xml:space="preserve">二、评分标准：</w:t>
      </w:r>
      <w:r/>
    </w:p>
    <w:p>
      <w:pPr>
        <w:ind w:firstLine="482"/>
        <w:keepLines w:val="0"/>
        <w:keepNext w:val="0"/>
        <w:pageBreakBefore w:val="0"/>
        <w:spacing w:line="440" w:lineRule="exact"/>
        <w:widowControl w:val="off"/>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1、投标报价20分</w:t>
      </w:r>
      <w:r/>
    </w:p>
    <w:p>
      <w:pPr>
        <w:ind w:firstLine="482"/>
        <w:keepLines w:val="0"/>
        <w:keepNext w:val="0"/>
        <w:pageBreakBefore w:val="0"/>
        <w:spacing w:line="440" w:lineRule="exact"/>
        <w:widowControl w:val="off"/>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所有有效投标人中，投标</w:t>
      </w:r>
      <w:r>
        <w:rPr>
          <w:rFonts w:hint="eastAsia" w:ascii="宋体" w:hAnsi="宋体"/>
          <w:color w:val="000000" w:themeColor="text1"/>
          <w:sz w:val="24"/>
          <w:szCs w:val="24"/>
          <w:lang w:val="en-US" w:eastAsia="zh-CN"/>
          <w14:textFill>
            <w14:solidFill>
              <w14:schemeClr w14:val="tx1"/>
            </w14:solidFill>
          </w14:textFill>
        </w:rPr>
        <w:t xml:space="preserve">报价最低</w:t>
      </w:r>
      <w:r>
        <w:rPr>
          <w:rFonts w:hint="eastAsia" w:ascii="宋体" w:hAnsi="宋体"/>
          <w:color w:val="000000" w:themeColor="text1"/>
          <w:sz w:val="24"/>
          <w:szCs w:val="24"/>
          <w14:textFill>
            <w14:solidFill>
              <w14:schemeClr w14:val="tx1"/>
            </w14:solidFill>
          </w14:textFill>
        </w:rPr>
        <w:t xml:space="preserve">的为评标</w:t>
      </w:r>
      <w:r>
        <w:rPr>
          <w:rFonts w:hint="eastAsia" w:ascii="宋体" w:hAnsi="宋体"/>
          <w:color w:val="000000" w:themeColor="text1"/>
          <w:sz w:val="24"/>
          <w:szCs w:val="24"/>
          <w:lang w:val="en-US" w:eastAsia="zh-CN"/>
          <w14:textFill>
            <w14:solidFill>
              <w14:schemeClr w14:val="tx1"/>
            </w14:solidFill>
          </w14:textFill>
        </w:rPr>
        <w:t xml:space="preserve">基准价</w:t>
      </w:r>
      <w:r>
        <w:rPr>
          <w:rFonts w:hint="eastAsia" w:ascii="宋体" w:hAnsi="宋体"/>
          <w:color w:val="000000" w:themeColor="text1"/>
          <w:sz w:val="24"/>
          <w:szCs w:val="24"/>
          <w14:textFill>
            <w14:solidFill>
              <w14:schemeClr w14:val="tx1"/>
            </w14:solidFill>
          </w14:textFill>
        </w:rPr>
        <w:t xml:space="preserve">，其投标报价得分20分；其他投标人投标报价得分=</w:t>
      </w:r>
      <w:r>
        <w:rPr>
          <w:rFonts w:hint="eastAsia" w:ascii="宋体" w:hAnsi="宋体"/>
          <w:color w:val="000000" w:themeColor="text1"/>
          <w:sz w:val="24"/>
          <w:szCs w:val="24"/>
          <w:lang w:val="en-US" w:eastAsia="zh-CN"/>
          <w14:textFill>
            <w14:solidFill>
              <w14:schemeClr w14:val="tx1"/>
            </w14:solidFill>
          </w14:textFill>
        </w:rPr>
        <w:t xml:space="preserve">评标基准价</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lang w:val="en-US" w:eastAsia="zh-CN"/>
          <w14:textFill>
            <w14:solidFill>
              <w14:schemeClr w14:val="tx1"/>
            </w14:solidFill>
          </w14:textFill>
        </w:rPr>
        <w:t xml:space="preserve">投标报价</w:t>
      </w:r>
      <w:r>
        <w:rPr>
          <w:rFonts w:hint="eastAsia" w:ascii="宋体" w:hAnsi="宋体"/>
          <w:color w:val="000000" w:themeColor="text1"/>
          <w:sz w:val="24"/>
          <w:szCs w:val="24"/>
          <w14:textFill>
            <w14:solidFill>
              <w14:schemeClr w14:val="tx1"/>
            </w14:solidFill>
          </w14:textFill>
        </w:rPr>
        <w:t xml:space="preserve">×20分。</w:t>
      </w:r>
      <w:r/>
    </w:p>
    <w:p>
      <w:pPr>
        <w:ind w:firstLine="482"/>
        <w:keepLines w:val="0"/>
        <w:keepNext w:val="0"/>
        <w:pageBreakBefore w:val="0"/>
        <w:spacing w:line="440" w:lineRule="exact"/>
        <w:widowControl w:val="off"/>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人的投标报价明显低于其他通过符合性审查投标人的报价，有可能影响服务质量或者不能诚信履约的，评标委员会可要求其在合理的时间内提供书面说明，必要时提交相关证明材料；投标人不能证明其投标报价合理性的，评标委员会可将其作为无效投标处理。</w:t>
      </w:r>
      <w:r/>
    </w:p>
    <w:p>
      <w:pPr>
        <w:ind w:firstLine="480"/>
        <w:spacing w:line="400" w:lineRule="exact"/>
        <w:rPr>
          <w:rFonts w:ascii="宋体" w:hAnsi="宋体"/>
          <w:b/>
          <w:color w:val="000000"/>
          <w:sz w:val="24"/>
          <w:szCs w:val="24"/>
        </w:rPr>
      </w:pPr>
      <w:r>
        <w:rPr>
          <w:rFonts w:hint="eastAsia" w:ascii="宋体" w:hAnsi="宋体"/>
          <w:b/>
          <w:color w:val="000000"/>
          <w:sz w:val="24"/>
          <w:szCs w:val="24"/>
        </w:rPr>
        <w:t xml:space="preserve">2、养护作业服务</w:t>
      </w:r>
      <w:r>
        <w:rPr>
          <w:rFonts w:hint="eastAsia" w:ascii="宋体" w:hAnsi="宋体"/>
          <w:b/>
          <w:color w:val="000000"/>
          <w:sz w:val="24"/>
          <w:szCs w:val="24"/>
          <w:lang w:val="en-US" w:eastAsia="zh-CN"/>
        </w:rPr>
        <w:t xml:space="preserve">68</w:t>
      </w:r>
      <w:r>
        <w:rPr>
          <w:rFonts w:hint="eastAsia" w:ascii="宋体" w:hAnsi="宋体"/>
          <w:b/>
          <w:color w:val="000000"/>
          <w:sz w:val="24"/>
          <w:szCs w:val="24"/>
        </w:rPr>
        <w:t xml:space="preserve">分</w:t>
      </w:r>
      <w:r/>
    </w:p>
    <w:tbl>
      <w:tblPr>
        <w:tblStyle w:val="717"/>
        <w:tblW w:w="10975" w:type="dxa"/>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1"/>
        <w:gridCol w:w="1052"/>
        <w:gridCol w:w="1241"/>
        <w:gridCol w:w="791"/>
        <w:gridCol w:w="7050"/>
      </w:tblGrid>
      <w:tr>
        <w:trPr>
          <w:trHeight w:val="344"/>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序号</w:t>
            </w:r>
            <w:r/>
          </w:p>
        </w:tc>
        <w:tc>
          <w:tcPr>
            <w:gridSpan w:val="2"/>
            <w:tcBorders>
              <w:top w:val="single" w:color="000000" w:sz="4" w:space="0"/>
              <w:left w:val="single" w:color="000000" w:sz="4" w:space="0"/>
              <w:bottom w:val="single" w:color="000000" w:sz="4" w:space="0"/>
              <w:right w:val="single" w:color="000000" w:sz="4" w:space="0"/>
            </w:tcBorders>
            <w:tcW w:w="2293"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评审因素</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权值</w:t>
            </w:r>
            <w:r/>
          </w:p>
        </w:tc>
        <w:tc>
          <w:tcPr>
            <w:tcBorders>
              <w:top w:val="single" w:color="000000" w:sz="4" w:space="0"/>
              <w:left w:val="single" w:color="000000" w:sz="4" w:space="0"/>
              <w:bottom w:val="single" w:color="000000" w:sz="4" w:space="0"/>
              <w:right w:val="single" w:color="000000" w:sz="4" w:space="0"/>
            </w:tcBorders>
            <w:tcW w:w="7050"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评分标准</w:t>
            </w:r>
            <w:r/>
          </w:p>
        </w:tc>
      </w:tr>
      <w:tr>
        <w:trPr>
          <w:trHeight w:val="566"/>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gridSpan w:val="2"/>
            <w:tcBorders>
              <w:top w:val="single" w:color="000000" w:sz="4" w:space="0"/>
              <w:left w:val="single" w:color="000000" w:sz="4" w:space="0"/>
              <w:bottom w:val="single" w:color="000000" w:sz="4" w:space="0"/>
              <w:right w:val="single" w:color="000000" w:sz="4" w:space="0"/>
            </w:tcBorders>
            <w:tcW w:w="2293"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服务响应情况</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lang w:val="en-US" w:eastAsia="zh-CN"/>
              </w:rPr>
              <w:t xml:space="preserve">10</w:t>
            </w:r>
            <w:r>
              <w:rPr>
                <w:rFonts w:hint="eastAsia" w:ascii="宋体" w:hAnsi="宋体"/>
                <w:color w:val="000000"/>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7050" w:type="dxa"/>
            <w:vAlign w:val="center"/>
            <w:textDirection w:val="lrTb"/>
            <w:noWrap w:val="false"/>
          </w:tcPr>
          <w:p>
            <w:pPr>
              <w:spacing w:line="400" w:lineRule="exact"/>
              <w:rPr>
                <w:rFonts w:ascii="宋体" w:hAnsi="宋体"/>
                <w:color w:val="000000"/>
                <w:sz w:val="24"/>
                <w:szCs w:val="24"/>
              </w:rPr>
            </w:pPr>
            <w:r>
              <w:rPr>
                <w:rFonts w:hint="eastAsia" w:ascii="宋体" w:hAnsi="宋体"/>
                <w:sz w:val="24"/>
                <w:szCs w:val="24"/>
              </w:rPr>
              <w:t xml:space="preserve">投标人承诺提供的服务全部满足招标文件要求</w:t>
            </w:r>
            <w:r>
              <w:rPr>
                <w:rFonts w:hint="eastAsia" w:ascii="宋体" w:hAnsi="宋体"/>
                <w:sz w:val="24"/>
                <w:szCs w:val="24"/>
                <w:lang w:eastAsia="zh-CN"/>
              </w:rPr>
              <w:t xml:space="preserve">（</w:t>
            </w:r>
            <w:r>
              <w:rPr>
                <w:rFonts w:hint="eastAsia" w:ascii="宋体" w:hAnsi="宋体"/>
                <w:sz w:val="24"/>
                <w:szCs w:val="24"/>
                <w:lang w:val="en-US" w:eastAsia="zh-CN"/>
              </w:rPr>
              <w:t xml:space="preserve">25条</w:t>
            </w:r>
            <w:r>
              <w:rPr>
                <w:rFonts w:hint="eastAsia" w:ascii="宋体" w:hAnsi="宋体"/>
                <w:sz w:val="24"/>
                <w:szCs w:val="24"/>
                <w:lang w:eastAsia="zh-CN"/>
              </w:rPr>
              <w:t xml:space="preserve">）</w:t>
            </w:r>
            <w:r>
              <w:rPr>
                <w:rFonts w:hint="eastAsia" w:ascii="宋体" w:hAnsi="宋体"/>
                <w:sz w:val="24"/>
                <w:szCs w:val="24"/>
              </w:rPr>
              <w:t xml:space="preserve">的得基本分</w:t>
            </w:r>
            <w:r>
              <w:rPr>
                <w:rFonts w:hint="eastAsia" w:ascii="宋体" w:hAnsi="宋体"/>
                <w:sz w:val="24"/>
                <w:szCs w:val="24"/>
                <w:lang w:val="en-US" w:eastAsia="zh-CN"/>
              </w:rPr>
              <w:t xml:space="preserve">10</w:t>
            </w:r>
            <w:r>
              <w:rPr>
                <w:rFonts w:hint="eastAsia" w:ascii="宋体" w:hAnsi="宋体"/>
                <w:sz w:val="24"/>
                <w:szCs w:val="24"/>
              </w:rPr>
              <w:t xml:space="preserve">分。实质性条款，不得偏离，否则按废标处理；其余为一般性条款，有不利于采购人的偏离，每条扣0.4分。</w:t>
            </w:r>
            <w:r/>
          </w:p>
        </w:tc>
      </w:tr>
      <w:tr>
        <w:trPr>
          <w:trHeight w:val="616"/>
        </w:trPr>
        <w:tc>
          <w:tcPr>
            <w:tcBorders>
              <w:top w:val="none" w:color="000000" w:sz="4" w:space="0"/>
              <w:left w:val="single" w:color="000000" w:sz="4" w:space="0"/>
              <w:bottom w:val="single" w:color="000000" w:sz="4" w:space="0"/>
              <w:right w:val="single" w:color="000000" w:sz="4" w:space="0"/>
            </w:tcBorders>
            <w:tcW w:w="841" w:type="dxa"/>
            <w:vAlign w:val="center"/>
            <w:vMerge w:val="restart"/>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2</w:t>
            </w:r>
            <w:r/>
          </w:p>
        </w:tc>
        <w:tc>
          <w:tcPr>
            <w:tcBorders>
              <w:top w:val="none" w:color="000000" w:sz="4" w:space="0"/>
              <w:left w:val="single" w:color="000000" w:sz="4" w:space="0"/>
              <w:bottom w:val="single" w:color="000000" w:sz="4" w:space="0"/>
              <w:right w:val="single" w:color="000000" w:sz="4" w:space="0"/>
            </w:tcBorders>
            <w:tcW w:w="1052" w:type="dxa"/>
            <w:vAlign w:val="center"/>
            <w:vMerge w:val="restart"/>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技术人员配备</w:t>
            </w:r>
            <w:r/>
          </w:p>
          <w:p>
            <w:pPr>
              <w:jc w:val="center"/>
              <w:spacing w:line="400" w:lineRule="exac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项目负责人</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4分</w:t>
            </w:r>
            <w:r/>
          </w:p>
        </w:tc>
        <w:tc>
          <w:tcPr>
            <w:tcBorders>
              <w:top w:val="single" w:color="000000" w:sz="4" w:space="0"/>
              <w:left w:val="single" w:color="000000" w:sz="4" w:space="0"/>
              <w:bottom w:val="single" w:color="000000" w:sz="4" w:space="0"/>
              <w:right w:val="single" w:color="000000" w:sz="4" w:space="0"/>
            </w:tcBorders>
            <w:tcW w:w="7050" w:type="dxa"/>
            <w:vAlign w:val="center"/>
            <w:textDirection w:val="lrTb"/>
            <w:noWrap w:val="false"/>
          </w:tcPr>
          <w:p>
            <w:pP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项目负责人为本单位职工，</w:t>
            </w:r>
            <w:r>
              <w:rPr>
                <w:rFonts w:hint="eastAsia" w:ascii="宋体" w:hAnsi="宋体"/>
                <w:color w:val="000000"/>
                <w:sz w:val="24"/>
                <w:szCs w:val="24"/>
                <w:highlight w:val="none"/>
                <w:lang w:val="en-US" w:eastAsia="zh-CN"/>
              </w:rPr>
              <w:t xml:space="preserve">具有中级工程师（或以上）职称</w:t>
            </w:r>
            <w:r>
              <w:rPr>
                <w:rFonts w:hint="eastAsia" w:ascii="宋体" w:hAnsi="宋体"/>
                <w:color w:val="000000"/>
                <w:sz w:val="24"/>
                <w:szCs w:val="24"/>
                <w:highlight w:val="none"/>
              </w:rPr>
              <w:t xml:space="preserve">的得4分。</w:t>
            </w:r>
            <w:r/>
          </w:p>
          <w:p>
            <w:pPr>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注：投标文件中需提供人员相关证书及投标人为其缴纳的近三个月中任意一个月的社保证明。</w:t>
            </w:r>
            <w:r/>
          </w:p>
        </w:tc>
      </w:tr>
      <w:tr>
        <w:trPr>
          <w:trHeight w:val="1616"/>
        </w:trPr>
        <w:tc>
          <w:tcPr>
            <w:tcBorders>
              <w:top w:val="none" w:color="000000" w:sz="4" w:space="0"/>
              <w:left w:val="single" w:color="000000" w:sz="4" w:space="0"/>
              <w:bottom w:val="single" w:color="000000" w:sz="4" w:space="0"/>
              <w:right w:val="single" w:color="000000" w:sz="4" w:space="0"/>
            </w:tcBorders>
            <w:tcW w:w="841" w:type="dxa"/>
            <w:vAlign w:val="center"/>
            <w:vMerge w:val="continue"/>
            <w:textDirection w:val="lrTb"/>
            <w:noWrap w:val="false"/>
          </w:tcPr>
          <w:p>
            <w:pPr>
              <w:jc w:val="left"/>
              <w:spacing w:line="400" w:lineRule="exact"/>
              <w:rPr>
                <w:rFonts w:ascii="宋体" w:hAnsi="宋体"/>
                <w:bCs/>
                <w:color w:val="000000"/>
                <w:sz w:val="24"/>
                <w:szCs w:val="24"/>
              </w:rPr>
            </w:pPr>
            <w:r>
              <w:rPr>
                <w:rFonts w:ascii="宋体" w:hAnsi="宋体"/>
                <w:bCs/>
                <w:color w:val="000000"/>
                <w:sz w:val="24"/>
                <w:szCs w:val="24"/>
              </w:rPr>
            </w:r>
            <w:r/>
          </w:p>
        </w:tc>
        <w:tc>
          <w:tcPr>
            <w:tcBorders>
              <w:top w:val="none" w:color="000000" w:sz="4" w:space="0"/>
              <w:left w:val="single" w:color="000000" w:sz="4" w:space="0"/>
              <w:bottom w:val="single" w:color="000000" w:sz="4" w:space="0"/>
              <w:right w:val="single" w:color="000000" w:sz="4" w:space="0"/>
            </w:tcBorders>
            <w:tcW w:w="1052" w:type="dxa"/>
            <w:vAlign w:val="center"/>
            <w:vMerge w:val="continue"/>
            <w:textDirection w:val="lrTb"/>
            <w:noWrap w:val="false"/>
          </w:tcPr>
          <w:p>
            <w:pPr>
              <w:jc w:val="left"/>
              <w:spacing w:line="400" w:lineRule="exact"/>
              <w:rPr>
                <w:rFonts w:ascii="宋体" w:hAnsi="宋体"/>
                <w:bCs/>
                <w:color w:val="000000"/>
                <w:sz w:val="24"/>
                <w:szCs w:val="24"/>
              </w:rPr>
            </w:pPr>
            <w:r>
              <w:rPr>
                <w:rFonts w:ascii="宋体" w:hAnsi="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技术人员</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spacing w:line="400" w:lineRule="exact"/>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7050" w:type="dxa"/>
            <w:vAlign w:val="center"/>
            <w:textDirection w:val="lrTb"/>
            <w:noWrap w:val="false"/>
          </w:tcPr>
          <w:p>
            <w:pP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技术人员为本单位职工，</w:t>
            </w:r>
            <w:r>
              <w:rPr>
                <w:rFonts w:hint="eastAsia" w:ascii="宋体" w:hAnsi="宋体"/>
                <w:color w:val="000000"/>
                <w:sz w:val="24"/>
                <w:szCs w:val="24"/>
                <w:highlight w:val="none"/>
                <w:lang w:val="en-US" w:eastAsia="zh-CN"/>
              </w:rPr>
              <w:t xml:space="preserve">具有助理工程师（或以上）职称</w:t>
            </w:r>
            <w:r>
              <w:rPr>
                <w:rFonts w:hint="eastAsia" w:ascii="宋体" w:hAnsi="宋体"/>
                <w:color w:val="000000"/>
                <w:sz w:val="24"/>
                <w:szCs w:val="24"/>
                <w:highlight w:val="none"/>
              </w:rPr>
              <w:t xml:space="preserve">的得2分。</w:t>
            </w:r>
            <w:r/>
          </w:p>
          <w:p>
            <w:pPr>
              <w:spacing w:line="400" w:lineRule="exact"/>
              <w:rPr>
                <w:rFonts w:ascii="宋体" w:hAnsi="宋体"/>
                <w:color w:val="000000"/>
                <w:sz w:val="24"/>
                <w:szCs w:val="24"/>
                <w:highlight w:val="none"/>
              </w:rPr>
            </w:pPr>
            <w:r>
              <w:rPr>
                <w:rFonts w:hint="eastAsia" w:ascii="宋体" w:hAnsi="宋体"/>
                <w:b/>
                <w:color w:val="000000"/>
                <w:sz w:val="24"/>
                <w:szCs w:val="24"/>
                <w:highlight w:val="none"/>
              </w:rPr>
              <w:t xml:space="preserve">注：投标文件中需提供人员相关证书及投标人为其缴纳的近三个月中任意一个月的社保证明。</w:t>
            </w:r>
            <w:r/>
          </w:p>
        </w:tc>
      </w:tr>
      <w:tr>
        <w:trPr>
          <w:trHeight w:val="812"/>
        </w:trPr>
        <w:tc>
          <w:tcPr>
            <w:tcBorders>
              <w:top w:val="none" w:color="000000" w:sz="4" w:space="0"/>
              <w:left w:val="single" w:color="000000" w:sz="4" w:space="0"/>
              <w:right w:val="single" w:color="000000" w:sz="4" w:space="0"/>
            </w:tcBorders>
            <w:tcW w:w="841" w:type="dxa"/>
            <w:vAlign w:val="center"/>
            <w:vMerge w:val="restart"/>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3</w:t>
            </w:r>
            <w:r/>
          </w:p>
        </w:tc>
        <w:tc>
          <w:tcPr>
            <w:tcBorders>
              <w:top w:val="none" w:color="000000" w:sz="4" w:space="0"/>
              <w:left w:val="single" w:color="000000" w:sz="4" w:space="0"/>
              <w:right w:val="single" w:color="000000" w:sz="4" w:space="0"/>
            </w:tcBorders>
            <w:tcW w:w="1052" w:type="dxa"/>
            <w:vAlign w:val="center"/>
            <w:vMerge w:val="restart"/>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车辆机械</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场地</w:t>
            </w:r>
            <w:r>
              <w:rPr>
                <w:rFonts w:hint="eastAsia" w:ascii="宋体" w:hAnsi="宋体"/>
                <w:color w:val="000000"/>
                <w:sz w:val="24"/>
                <w:szCs w:val="24"/>
              </w:rPr>
              <w:t xml:space="preserve">配备</w:t>
            </w:r>
            <w:r/>
          </w:p>
        </w:tc>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车辆配备</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spacing w:line="400" w:lineRule="exact"/>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10</w:t>
            </w:r>
            <w:r>
              <w:rPr>
                <w:rFonts w:hint="eastAsia" w:ascii="宋体" w:hAnsi="宋体"/>
                <w:color w:val="000000"/>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7050" w:type="dxa"/>
            <w:vAlign w:val="center"/>
            <w:textDirection w:val="lrTb"/>
            <w:noWrap w:val="false"/>
          </w:tcPr>
          <w:p>
            <w:pP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根据项目需求，</w:t>
            </w:r>
            <w:r>
              <w:rPr>
                <w:rFonts w:hint="eastAsia" w:ascii="宋体" w:hAnsi="宋体"/>
                <w:color w:val="000000"/>
                <w:sz w:val="24"/>
                <w:szCs w:val="24"/>
                <w:highlight w:val="none"/>
                <w:lang w:val="en-US" w:eastAsia="zh-CN"/>
              </w:rPr>
              <w:t xml:space="preserve">配备</w:t>
            </w:r>
            <w:r>
              <w:rPr>
                <w:rFonts w:hint="eastAsia" w:ascii="宋体" w:hAnsi="宋体"/>
                <w:color w:val="000000"/>
                <w:sz w:val="24"/>
                <w:szCs w:val="24"/>
                <w:highlight w:val="none"/>
              </w:rPr>
              <w:t xml:space="preserve">相应的车辆：</w:t>
            </w:r>
            <w:r/>
          </w:p>
          <w:p>
            <w:pPr>
              <w:numPr>
                <w:ilvl w:val="0"/>
                <w:numId w:val="5"/>
              </w:numPr>
              <w:spacing w:line="400" w:lineRule="exact"/>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每配备1辆洒水车（≥3T）的得1分，最高得3分；</w:t>
            </w:r>
            <w:r/>
          </w:p>
          <w:p>
            <w:pPr>
              <w:spacing w:line="400" w:lineRule="exact"/>
              <w:rPr>
                <w:rFonts w:hint="default"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2）每配备1辆</w:t>
            </w:r>
            <w:r>
              <w:rPr>
                <w:rFonts w:hint="eastAsia" w:ascii="Times New Roman" w:hAnsi="Times New Roman"/>
                <w:sz w:val="24"/>
                <w:szCs w:val="24"/>
                <w:highlight w:val="none"/>
              </w:rPr>
              <w:t xml:space="preserve">自卸货车</w:t>
            </w:r>
            <w:r>
              <w:rPr>
                <w:rFonts w:hint="eastAsia" w:ascii="Times New Roman" w:hAnsi="Times New Roman"/>
                <w:sz w:val="24"/>
                <w:szCs w:val="24"/>
                <w:highlight w:val="none"/>
                <w:lang w:eastAsia="zh-CN"/>
              </w:rPr>
              <w:t xml:space="preserve">（</w:t>
            </w:r>
            <w:r>
              <w:rPr>
                <w:rFonts w:hint="eastAsia" w:ascii="Times New Roman" w:hAnsi="Times New Roman"/>
                <w:sz w:val="24"/>
                <w:szCs w:val="24"/>
                <w:highlight w:val="none"/>
                <w:lang w:val="en-US" w:eastAsia="zh-CN"/>
              </w:rPr>
              <w:t xml:space="preserve">或普通货车</w:t>
            </w:r>
            <w:r>
              <w:rPr>
                <w:rFonts w:hint="eastAsia" w:ascii="Times New Roman" w:hAnsi="Times New Roman"/>
                <w:sz w:val="24"/>
                <w:szCs w:val="24"/>
                <w:highlight w:val="none"/>
                <w:lang w:eastAsia="zh-CN"/>
              </w:rPr>
              <w:t xml:space="preserve">）</w:t>
            </w:r>
            <w:r>
              <w:rPr>
                <w:rFonts w:hint="eastAsia" w:ascii="Times New Roman" w:hAnsi="Times New Roman"/>
                <w:sz w:val="24"/>
                <w:szCs w:val="24"/>
                <w:highlight w:val="none"/>
              </w:rPr>
              <w:t xml:space="preserve">的得</w:t>
            </w:r>
            <w:r>
              <w:rPr>
                <w:rFonts w:hint="eastAsia" w:ascii="Times New Roman" w:hAnsi="Times New Roman"/>
                <w:sz w:val="24"/>
                <w:szCs w:val="24"/>
                <w:highlight w:val="none"/>
                <w:lang w:val="en-US" w:eastAsia="zh-CN"/>
              </w:rPr>
              <w:t xml:space="preserve">1</w:t>
            </w:r>
            <w:r>
              <w:rPr>
                <w:rFonts w:hint="eastAsia" w:ascii="Times New Roman" w:hAnsi="Times New Roman"/>
                <w:sz w:val="24"/>
                <w:szCs w:val="24"/>
                <w:highlight w:val="none"/>
              </w:rPr>
              <w:t xml:space="preserve">分</w:t>
            </w:r>
            <w:r>
              <w:rPr>
                <w:rFonts w:hint="eastAsia" w:ascii="Times New Roman" w:hAnsi="Times New Roman"/>
                <w:sz w:val="24"/>
                <w:szCs w:val="24"/>
                <w:highlight w:val="none"/>
                <w:lang w:eastAsia="zh-CN"/>
              </w:rPr>
              <w:t xml:space="preserve">，</w:t>
            </w:r>
            <w:r>
              <w:rPr>
                <w:rFonts w:hint="eastAsia" w:ascii="Times New Roman" w:hAnsi="Times New Roman"/>
                <w:sz w:val="24"/>
                <w:szCs w:val="24"/>
                <w:highlight w:val="none"/>
                <w:lang w:val="en-US" w:eastAsia="zh-CN"/>
              </w:rPr>
              <w:t xml:space="preserve">最高得2分；</w:t>
            </w:r>
            <w:r/>
          </w:p>
          <w:p>
            <w:pPr>
              <w:spacing w:line="400" w:lineRule="exact"/>
              <w:rPr>
                <w:rFonts w:hint="eastAsia" w:ascii="Times New Roman" w:hAnsi="Times New Roman"/>
                <w:sz w:val="24"/>
                <w:szCs w:val="24"/>
                <w:highlight w:val="none"/>
              </w:rPr>
            </w:pPr>
            <w:r>
              <w:rPr>
                <w:rFonts w:hint="eastAsia" w:ascii="宋体" w:hAnsi="宋体"/>
                <w:color w:val="000000"/>
                <w:sz w:val="24"/>
                <w:szCs w:val="24"/>
                <w:highlight w:val="none"/>
                <w:lang w:val="en-US" w:eastAsia="zh-CN"/>
              </w:rPr>
              <w:t xml:space="preserve">3）每配备1辆</w:t>
            </w:r>
            <w:r>
              <w:rPr>
                <w:rFonts w:hint="eastAsia" w:ascii="Times New Roman" w:hAnsi="Times New Roman"/>
                <w:sz w:val="24"/>
                <w:szCs w:val="24"/>
                <w:highlight w:val="none"/>
              </w:rPr>
              <w:t xml:space="preserve">登高车的得</w:t>
            </w:r>
            <w:r>
              <w:rPr>
                <w:rFonts w:hint="eastAsia" w:ascii="Times New Roman" w:hAnsi="Times New Roman"/>
                <w:sz w:val="24"/>
                <w:szCs w:val="24"/>
                <w:highlight w:val="none"/>
                <w:lang w:val="en-US" w:eastAsia="zh-CN"/>
              </w:rPr>
              <w:t xml:space="preserve">1.5</w:t>
            </w:r>
            <w:r>
              <w:rPr>
                <w:rFonts w:hint="eastAsia" w:ascii="Times New Roman" w:hAnsi="Times New Roman"/>
                <w:sz w:val="24"/>
                <w:szCs w:val="24"/>
                <w:highlight w:val="none"/>
              </w:rPr>
              <w:t xml:space="preserve">分；</w:t>
            </w:r>
            <w:r/>
          </w:p>
          <w:p>
            <w:pPr>
              <w:spacing w:line="400" w:lineRule="exact"/>
              <w:rPr>
                <w:rFonts w:hint="default"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4）每配备1辆垃圾压缩车的得1.5分；</w:t>
            </w:r>
            <w:r/>
          </w:p>
          <w:p>
            <w:pPr>
              <w:spacing w:line="400" w:lineRule="exac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5）每配备1辆</w:t>
            </w:r>
            <w:r>
              <w:rPr>
                <w:rFonts w:hint="eastAsia" w:ascii="Times New Roman" w:hAnsi="Times New Roman"/>
                <w:sz w:val="24"/>
                <w:szCs w:val="24"/>
                <w:highlight w:val="none"/>
              </w:rPr>
              <w:t xml:space="preserve">巡检车的得</w:t>
            </w:r>
            <w:r>
              <w:rPr>
                <w:rFonts w:hint="eastAsia" w:ascii="Times New Roman" w:hAnsi="Times New Roman"/>
                <w:sz w:val="24"/>
                <w:szCs w:val="24"/>
                <w:highlight w:val="none"/>
                <w:lang w:val="en-US" w:eastAsia="zh-CN"/>
              </w:rPr>
              <w:t xml:space="preserve">1</w:t>
            </w:r>
            <w:r>
              <w:rPr>
                <w:rFonts w:hint="eastAsia" w:ascii="Times New Roman" w:hAnsi="Times New Roman"/>
                <w:sz w:val="24"/>
                <w:szCs w:val="24"/>
                <w:highlight w:val="none"/>
              </w:rPr>
              <w:t xml:space="preserve">分</w:t>
            </w:r>
            <w:r>
              <w:rPr>
                <w:rFonts w:hint="eastAsia" w:ascii="Times New Roman" w:hAnsi="Times New Roman"/>
                <w:sz w:val="24"/>
                <w:szCs w:val="24"/>
                <w:highlight w:val="none"/>
                <w:lang w:eastAsia="zh-CN"/>
              </w:rPr>
              <w:t xml:space="preserve">；</w:t>
            </w:r>
            <w:r/>
          </w:p>
          <w:p>
            <w:pPr>
              <w:spacing w:line="400" w:lineRule="exact"/>
              <w:rPr>
                <w:rFonts w:hint="default"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6）每配备1辆</w:t>
            </w:r>
            <w:r>
              <w:rPr>
                <w:rFonts w:hint="eastAsia" w:ascii="Times New Roman" w:hAnsi="Times New Roman"/>
                <w:sz w:val="24"/>
                <w:szCs w:val="24"/>
                <w:highlight w:val="none"/>
              </w:rPr>
              <w:t xml:space="preserve">小型/中型普通客车</w:t>
            </w:r>
            <w:r>
              <w:rPr>
                <w:rFonts w:hint="eastAsia" w:ascii="Times New Roman" w:hAnsi="Times New Roman"/>
                <w:sz w:val="24"/>
                <w:szCs w:val="24"/>
                <w:highlight w:val="none"/>
                <w:lang w:val="en-US" w:eastAsia="zh-CN"/>
              </w:rPr>
              <w:t xml:space="preserve">的得1分。</w:t>
            </w:r>
            <w:r/>
          </w:p>
          <w:p>
            <w:pPr>
              <w:spacing w:line="400" w:lineRule="exact"/>
              <w:rPr>
                <w:rFonts w:hint="default" w:ascii="宋体" w:hAnsi="宋体"/>
                <w:b/>
                <w:bCs/>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注：</w:t>
            </w:r>
            <w:r>
              <w:rPr>
                <w:rFonts w:hint="eastAsia" w:ascii="宋体" w:hAnsi="宋体" w:eastAsia="宋体" w:cs="Times New Roman"/>
                <w:b/>
                <w:bCs/>
                <w:color w:val="000000"/>
                <w:sz w:val="24"/>
                <w:szCs w:val="24"/>
                <w:highlight w:val="none"/>
                <w:lang w:val="en-US" w:eastAsia="zh-CN"/>
              </w:rPr>
              <w:t xml:space="preserve">1）配备车辆</w:t>
            </w:r>
            <w:r>
              <w:rPr>
                <w:rFonts w:hint="eastAsia" w:ascii="宋体" w:hAnsi="宋体"/>
                <w:b/>
                <w:bCs/>
                <w:color w:val="000000"/>
                <w:sz w:val="24"/>
                <w:szCs w:val="24"/>
                <w:highlight w:val="none"/>
                <w:lang w:val="en-US" w:eastAsia="zh-CN"/>
              </w:rPr>
              <w:t xml:space="preserve">为投标人自有的，需在投标文件中提供机动车行驶证、产权证明、车辆彩色照片，缺一不可，否则不得分。</w:t>
            </w:r>
            <w:r/>
          </w:p>
          <w:p>
            <w:pPr>
              <w:spacing w:line="400" w:lineRule="exact"/>
              <w:rPr>
                <w:rFonts w:hint="default" w:ascii="宋体" w:hAnsi="宋体"/>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2）</w:t>
            </w:r>
            <w:r>
              <w:rPr>
                <w:rFonts w:hint="eastAsia" w:ascii="宋体" w:hAnsi="宋体" w:eastAsia="宋体" w:cs="Times New Roman"/>
                <w:b/>
                <w:bCs/>
                <w:color w:val="000000"/>
                <w:sz w:val="24"/>
                <w:szCs w:val="24"/>
                <w:highlight w:val="none"/>
                <w:lang w:val="en-US" w:eastAsia="zh-CN"/>
              </w:rPr>
              <w:t xml:space="preserve">配备车辆为投标人租赁的，需在投标文件中提供租赁合同（租赁期限须覆盖本项目整个服务期）、机动车行驶证、产权证明、车辆彩色照片，缺一不可，否则不得分。</w:t>
            </w:r>
            <w:r/>
          </w:p>
        </w:tc>
      </w:tr>
      <w:tr>
        <w:trPr>
          <w:trHeight w:val="1616"/>
        </w:trPr>
        <w:tc>
          <w:tcPr>
            <w:tcBorders>
              <w:left w:val="single" w:color="000000" w:sz="4" w:space="0"/>
              <w:right w:val="single" w:color="000000" w:sz="4" w:space="0"/>
            </w:tcBorders>
            <w:tcW w:w="841" w:type="dxa"/>
            <w:vAlign w:val="center"/>
            <w:vMerge w:val="continue"/>
            <w:textDirection w:val="lrTb"/>
            <w:noWrap w:val="false"/>
          </w:tcPr>
          <w:p>
            <w:pPr>
              <w:jc w:val="left"/>
              <w:spacing w:line="400" w:lineRule="exact"/>
              <w:rPr>
                <w:rFonts w:ascii="宋体" w:hAnsi="宋体"/>
                <w:bCs/>
                <w:color w:val="000000"/>
                <w:sz w:val="24"/>
                <w:szCs w:val="24"/>
              </w:rPr>
            </w:pPr>
            <w:r>
              <w:rPr>
                <w:rFonts w:ascii="宋体" w:hAnsi="宋体"/>
                <w:bCs/>
                <w:color w:val="000000"/>
                <w:sz w:val="24"/>
                <w:szCs w:val="24"/>
              </w:rPr>
            </w:r>
            <w:r/>
          </w:p>
        </w:tc>
        <w:tc>
          <w:tcPr>
            <w:tcBorders>
              <w:left w:val="single" w:color="000000" w:sz="4" w:space="0"/>
              <w:right w:val="single" w:color="000000" w:sz="4" w:space="0"/>
            </w:tcBorders>
            <w:tcW w:w="1052" w:type="dxa"/>
            <w:vAlign w:val="center"/>
            <w:vMerge w:val="continue"/>
            <w:textDirection w:val="lrTb"/>
            <w:noWrap w:val="false"/>
          </w:tcPr>
          <w:p>
            <w:pPr>
              <w:jc w:val="left"/>
              <w:spacing w:line="400" w:lineRule="exact"/>
              <w:rPr>
                <w:rFonts w:ascii="宋体" w:hAnsi="宋体"/>
                <w:bCs/>
                <w:color w:val="000000"/>
                <w:sz w:val="24"/>
                <w:szCs w:val="24"/>
              </w:rPr>
            </w:pPr>
            <w:r>
              <w:rPr>
                <w:rFonts w:ascii="宋体" w:hAnsi="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小型机械设备配备</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spacing w:line="400" w:lineRule="exact"/>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12</w:t>
            </w:r>
            <w:r>
              <w:rPr>
                <w:rFonts w:hint="eastAsia" w:ascii="宋体" w:hAnsi="宋体"/>
                <w:color w:val="000000"/>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7050" w:type="dxa"/>
            <w:vAlign w:val="center"/>
            <w:textDirection w:val="lrTb"/>
            <w:noWrap w:val="false"/>
          </w:tcPr>
          <w:p>
            <w:pPr>
              <w:spacing w:line="40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1）每配备1</w:t>
            </w:r>
            <w:r>
              <w:rPr>
                <w:rFonts w:hint="eastAsia" w:ascii="宋体" w:hAnsi="宋体"/>
                <w:color w:val="000000"/>
                <w:sz w:val="24"/>
                <w:szCs w:val="24"/>
                <w:highlight w:val="none"/>
              </w:rPr>
              <w:t xml:space="preserve">套完整</w:t>
            </w:r>
            <w:r>
              <w:rPr>
                <w:rFonts w:hint="eastAsia" w:ascii="宋体" w:hAnsi="宋体"/>
                <w:color w:val="000000"/>
                <w:sz w:val="24"/>
                <w:szCs w:val="24"/>
                <w:highlight w:val="none"/>
                <w:lang w:val="en-US" w:eastAsia="zh-CN"/>
              </w:rPr>
              <w:t xml:space="preserve">小型机械</w:t>
            </w:r>
            <w:r>
              <w:rPr>
                <w:rFonts w:hint="eastAsia" w:ascii="宋体" w:hAnsi="宋体"/>
                <w:color w:val="000000"/>
                <w:sz w:val="24"/>
                <w:szCs w:val="24"/>
                <w:highlight w:val="none"/>
              </w:rPr>
              <w:t xml:space="preserve">设备</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1套完整的小型机械设备包括但不限于</w:t>
            </w: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种机械：草坪机、割灌机、油锯、绿篱机、水泵、药水机、粉碎机，数量为每种1台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的得</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分，每多配套1套完整设备的加2分，最多加</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分；本项</w:t>
            </w:r>
            <w:r>
              <w:rPr>
                <w:rFonts w:hint="eastAsia" w:ascii="宋体" w:hAnsi="宋体"/>
                <w:color w:val="000000"/>
                <w:sz w:val="24"/>
                <w:szCs w:val="24"/>
                <w:highlight w:val="none"/>
                <w:lang w:val="en-US" w:eastAsia="zh-CN"/>
              </w:rPr>
              <w:t xml:space="preserve">小项</w:t>
            </w:r>
            <w:r>
              <w:rPr>
                <w:rFonts w:hint="eastAsia" w:ascii="宋体" w:hAnsi="宋体"/>
                <w:color w:val="000000"/>
                <w:sz w:val="24"/>
                <w:szCs w:val="24"/>
                <w:highlight w:val="none"/>
              </w:rPr>
              <w:t xml:space="preserve">最多得</w:t>
            </w:r>
            <w:r>
              <w:rPr>
                <w:rFonts w:hint="eastAsia" w:ascii="宋体" w:hAnsi="宋体"/>
                <w:color w:val="000000"/>
                <w:sz w:val="24"/>
                <w:szCs w:val="24"/>
                <w:highlight w:val="none"/>
                <w:lang w:val="en-US" w:eastAsia="zh-CN"/>
              </w:rPr>
              <w:t xml:space="preserve">8</w:t>
            </w:r>
            <w:r>
              <w:rPr>
                <w:rFonts w:hint="eastAsia" w:ascii="宋体" w:hAnsi="宋体"/>
                <w:color w:val="000000"/>
                <w:sz w:val="24"/>
                <w:szCs w:val="24"/>
                <w:highlight w:val="none"/>
              </w:rPr>
              <w:t xml:space="preserve">分。</w:t>
            </w:r>
            <w:r/>
          </w:p>
          <w:p>
            <w:pPr>
              <w:spacing w:line="400" w:lineRule="exact"/>
              <w:rPr>
                <w:rFonts w:hint="eastAsia"/>
                <w:color w:val="auto"/>
                <w:sz w:val="24"/>
                <w:highlight w:val="none"/>
                <w:lang w:val="en-US" w:eastAsia="zh-CN"/>
              </w:rPr>
            </w:pPr>
            <w:r>
              <w:rPr>
                <w:rFonts w:hint="eastAsia" w:ascii="宋体" w:hAnsi="宋体"/>
                <w:color w:val="000000"/>
                <w:sz w:val="24"/>
                <w:szCs w:val="24"/>
                <w:highlight w:val="none"/>
                <w:lang w:val="en-US" w:eastAsia="zh-CN"/>
              </w:rPr>
              <w:t xml:space="preserve">2）每配备一台</w:t>
            </w:r>
            <w:r>
              <w:rPr>
                <w:color w:val="auto"/>
                <w:sz w:val="24"/>
                <w:highlight w:val="none"/>
              </w:rPr>
              <w:t xml:space="preserve">喷雾机</w:t>
            </w:r>
            <w:r>
              <w:rPr>
                <w:rFonts w:hint="eastAsia"/>
                <w:color w:val="auto"/>
                <w:sz w:val="24"/>
                <w:highlight w:val="none"/>
              </w:rPr>
              <w:t xml:space="preserve">/喷雾器</w:t>
            </w:r>
            <w:r>
              <w:rPr>
                <w:rFonts w:hint="eastAsia"/>
                <w:color w:val="auto"/>
                <w:sz w:val="24"/>
                <w:highlight w:val="none"/>
                <w:lang w:val="en-US" w:eastAsia="zh-CN"/>
              </w:rPr>
              <w:t xml:space="preserve">得0.5分，最多得2分。</w:t>
            </w:r>
            <w:r/>
          </w:p>
          <w:p>
            <w:pPr>
              <w:spacing w:line="400" w:lineRule="exact"/>
              <w:rPr>
                <w:rFonts w:hint="default"/>
                <w:color w:val="auto"/>
                <w:sz w:val="24"/>
                <w:highlight w:val="none"/>
                <w:lang w:val="en-US" w:eastAsia="zh-CN"/>
              </w:rPr>
            </w:pPr>
            <w:r>
              <w:rPr>
                <w:rFonts w:hint="eastAsia"/>
                <w:color w:val="auto"/>
                <w:sz w:val="24"/>
                <w:highlight w:val="none"/>
                <w:lang w:val="en-US" w:eastAsia="zh-CN"/>
              </w:rPr>
              <w:t xml:space="preserve">3）每配备一辆电动三轮垃圾清运车/电动三轮保洁车（单桶或双桶）的得0.5分，最多得2分。</w:t>
            </w:r>
            <w:r/>
          </w:p>
          <w:p>
            <w:pPr>
              <w:spacing w:line="400" w:lineRule="exact"/>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注：1）配置机械设备为投标人自有的，需提供设备发票，否则不得分；</w:t>
            </w:r>
            <w:r/>
          </w:p>
          <w:p>
            <w:pPr>
              <w:numPr>
                <w:ilvl w:val="0"/>
                <w:numId w:val="0"/>
              </w:numPr>
              <w:spacing w:line="400" w:lineRule="exact"/>
              <w:rPr>
                <w:rFonts w:hint="default" w:ascii="宋体" w:hAnsi="宋体"/>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2）</w:t>
            </w:r>
            <w:r>
              <w:rPr>
                <w:rFonts w:hint="eastAsia" w:ascii="宋体" w:hAnsi="宋体" w:eastAsia="宋体" w:cs="Times New Roman"/>
                <w:b/>
                <w:bCs/>
                <w:color w:val="000000"/>
                <w:sz w:val="24"/>
                <w:szCs w:val="24"/>
                <w:highlight w:val="none"/>
                <w:lang w:val="en-US" w:eastAsia="zh-CN"/>
              </w:rPr>
              <w:t xml:space="preserve">配置机械设备为投标人租赁的，需提供租赁合同（</w:t>
            </w:r>
            <w:r>
              <w:rPr>
                <w:rFonts w:hint="eastAsia" w:eastAsia="宋体" w:cs="Times New Roman"/>
                <w:b/>
                <w:bCs/>
                <w:sz w:val="24"/>
                <w:szCs w:val="24"/>
                <w:highlight w:val="none"/>
                <w:lang w:val="en-US" w:eastAsia="zh-CN"/>
              </w:rPr>
              <w:t xml:space="preserve">租赁</w:t>
            </w:r>
            <w:r>
              <w:rPr>
                <w:rFonts w:eastAsia="宋体" w:cs="Times New Roman"/>
                <w:b/>
                <w:bCs/>
                <w:sz w:val="24"/>
                <w:szCs w:val="24"/>
                <w:highlight w:val="none"/>
              </w:rPr>
              <w:t xml:space="preserve">期限须覆盖本项目整个服务期</w:t>
            </w:r>
            <w:r>
              <w:rPr>
                <w:rFonts w:hint="eastAsia" w:ascii="宋体" w:hAnsi="宋体" w:eastAsia="宋体" w:cs="Times New Roman"/>
                <w:b/>
                <w:bCs/>
                <w:color w:val="000000"/>
                <w:sz w:val="24"/>
                <w:szCs w:val="24"/>
                <w:highlight w:val="none"/>
                <w:lang w:val="en-US" w:eastAsia="zh-CN"/>
              </w:rPr>
              <w:t xml:space="preserve">）及设备发票，缺一不可，否则不得分</w:t>
            </w:r>
            <w:r>
              <w:rPr>
                <w:rFonts w:hint="eastAsia" w:ascii="宋体" w:hAnsi="宋体" w:cs="Times New Roman"/>
                <w:b/>
                <w:bCs/>
                <w:color w:val="000000"/>
                <w:sz w:val="24"/>
                <w:szCs w:val="24"/>
                <w:highlight w:val="none"/>
                <w:lang w:val="en-US" w:eastAsia="zh-CN"/>
              </w:rPr>
              <w:t xml:space="preserve">。</w:t>
            </w:r>
            <w:r/>
          </w:p>
        </w:tc>
      </w:tr>
      <w:tr>
        <w:trPr>
          <w:trHeight w:val="1616"/>
        </w:trPr>
        <w:tc>
          <w:tcPr>
            <w:tcBorders>
              <w:left w:val="single" w:color="000000" w:sz="4" w:space="0"/>
              <w:bottom w:val="single" w:color="000000" w:sz="4" w:space="0"/>
              <w:right w:val="single" w:color="000000" w:sz="4" w:space="0"/>
            </w:tcBorders>
            <w:tcW w:w="841" w:type="dxa"/>
            <w:vAlign w:val="center"/>
            <w:vMerge w:val="continue"/>
            <w:textDirection w:val="lrTb"/>
            <w:noWrap w:val="false"/>
          </w:tcPr>
          <w:p>
            <w:pPr>
              <w:jc w:val="left"/>
              <w:spacing w:line="400" w:lineRule="exact"/>
              <w:rPr>
                <w:rFonts w:ascii="宋体" w:hAnsi="宋体"/>
                <w:bCs/>
                <w:color w:val="000000"/>
                <w:sz w:val="24"/>
                <w:szCs w:val="24"/>
              </w:rPr>
            </w:pPr>
            <w:r>
              <w:rPr>
                <w:rFonts w:ascii="宋体" w:hAnsi="宋体"/>
                <w:bCs/>
                <w:color w:val="000000"/>
                <w:sz w:val="24"/>
                <w:szCs w:val="24"/>
              </w:rPr>
            </w:r>
            <w:r/>
          </w:p>
        </w:tc>
        <w:tc>
          <w:tcPr>
            <w:tcBorders>
              <w:left w:val="single" w:color="000000" w:sz="4" w:space="0"/>
              <w:bottom w:val="single" w:color="000000" w:sz="4" w:space="0"/>
              <w:right w:val="single" w:color="000000" w:sz="4" w:space="0"/>
            </w:tcBorders>
            <w:tcW w:w="1052" w:type="dxa"/>
            <w:vAlign w:val="center"/>
            <w:vMerge w:val="continue"/>
            <w:textDirection w:val="lrTb"/>
            <w:noWrap w:val="false"/>
          </w:tcPr>
          <w:p>
            <w:pPr>
              <w:jc w:val="left"/>
              <w:spacing w:line="400" w:lineRule="exact"/>
              <w:rPr>
                <w:rFonts w:ascii="宋体" w:hAnsi="宋体"/>
                <w:bCs/>
                <w:color w:val="000000"/>
                <w:sz w:val="24"/>
                <w:szCs w:val="24"/>
              </w:rPr>
            </w:pPr>
            <w:r>
              <w:rPr>
                <w:rFonts w:ascii="宋体" w:hAnsi="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spacing w:line="400" w:lineRule="exact"/>
              <w:rPr>
                <w:rFonts w:hint="default"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树枝加工末端处理</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spacing w:line="400" w:lineRule="exact"/>
              <w:rPr>
                <w:rFonts w:hint="default"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2分</w:t>
            </w:r>
            <w:r/>
          </w:p>
        </w:tc>
        <w:tc>
          <w:tcPr>
            <w:tcBorders>
              <w:top w:val="single" w:color="000000" w:sz="4" w:space="0"/>
              <w:left w:val="single" w:color="000000" w:sz="4" w:space="0"/>
              <w:bottom w:val="single" w:color="000000" w:sz="4" w:space="0"/>
              <w:right w:val="single" w:color="000000" w:sz="4" w:space="0"/>
            </w:tcBorders>
            <w:tcW w:w="7050" w:type="dxa"/>
            <w:vAlign w:val="center"/>
            <w:textDirection w:val="lrTb"/>
            <w:noWrap w:val="false"/>
          </w:tcPr>
          <w:p>
            <w:pPr>
              <w:spacing w:line="400" w:lineRule="exact"/>
              <w:rPr>
                <w:rFonts w:hint="default"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投标人自行进行树枝加工处理或委托进行树枝加工处理的得2分。</w:t>
            </w:r>
            <w:r/>
          </w:p>
          <w:p>
            <w:pPr>
              <w:spacing w:line="400" w:lineRule="exact"/>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注：（1）、自行加工处理的需提供购置（或租赁）场地证明、场地照片、处理树枝照片、处理后的销售合同及发票。</w:t>
            </w:r>
            <w:r/>
          </w:p>
          <w:p>
            <w:pPr>
              <w:ind w:firstLine="480"/>
              <w:spacing w:line="400" w:lineRule="exact"/>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（2）、委托加工处理的需提供①委托协议，②被委托方的购置（或租赁）场地证明、场地照片、处理树枝照片、处理后的销售合同及发票。</w:t>
            </w:r>
            <w:r/>
          </w:p>
        </w:tc>
      </w:tr>
      <w:tr>
        <w:trPr>
          <w:trHeight w:val="671"/>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4</w:t>
            </w:r>
            <w:r/>
          </w:p>
        </w:tc>
        <w:tc>
          <w:tcPr>
            <w:gridSpan w:val="2"/>
            <w:tcBorders>
              <w:top w:val="single" w:color="000000" w:sz="4" w:space="0"/>
              <w:left w:val="single" w:color="000000" w:sz="4" w:space="0"/>
              <w:bottom w:val="single" w:color="000000" w:sz="4" w:space="0"/>
              <w:right w:val="single" w:color="000000" w:sz="4" w:space="0"/>
            </w:tcBorders>
            <w:tcW w:w="2293"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管理目标设想、内部规章制度及人员培训方案</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6分</w:t>
            </w:r>
            <w:r/>
          </w:p>
        </w:tc>
        <w:tc>
          <w:tcPr>
            <w:tcBorders>
              <w:top w:val="single" w:color="000000" w:sz="4" w:space="0"/>
              <w:left w:val="single" w:color="000000" w:sz="4" w:space="0"/>
              <w:bottom w:val="single" w:color="000000" w:sz="4" w:space="0"/>
              <w:right w:val="single" w:color="000000" w:sz="4" w:space="0"/>
            </w:tcBorders>
            <w:tcW w:w="7050" w:type="dxa"/>
            <w:vAlign w:val="center"/>
            <w:textDirection w:val="lrTb"/>
            <w:noWrap w:val="false"/>
          </w:tcPr>
          <w:p>
            <w:pPr>
              <w:spacing w:line="400" w:lineRule="exact"/>
              <w:rPr>
                <w:rFonts w:ascii="宋体" w:hAnsi="宋体"/>
                <w:color w:val="000000"/>
                <w:sz w:val="24"/>
                <w:szCs w:val="24"/>
              </w:rPr>
            </w:pPr>
            <w:r>
              <w:rPr>
                <w:rFonts w:hint="eastAsia" w:ascii="宋体" w:hAnsi="宋体"/>
                <w:color w:val="000000"/>
                <w:sz w:val="24"/>
                <w:szCs w:val="24"/>
              </w:rPr>
              <w:t xml:space="preserve">根据投标人绿地养护服务管理目标、整体设想和内部规章制度、人员培训方案，包括但不限于：</w:t>
            </w:r>
            <w:r/>
          </w:p>
          <w:p>
            <w:pPr>
              <w:spacing w:line="400" w:lineRule="exact"/>
              <w:rPr>
                <w:rFonts w:ascii="宋体" w:hAnsi="宋体"/>
                <w:color w:val="000000"/>
                <w:sz w:val="24"/>
                <w:szCs w:val="24"/>
              </w:rPr>
            </w:pPr>
            <w:r>
              <w:rPr>
                <w:rFonts w:hint="eastAsia" w:ascii="宋体" w:hAnsi="宋体"/>
                <w:color w:val="000000"/>
                <w:sz w:val="24"/>
                <w:szCs w:val="24"/>
              </w:rPr>
              <w:t xml:space="preserve">1、绿地养护服务管理目标符合本项目实际情况且合理完善的得2分；</w:t>
            </w:r>
            <w:r/>
          </w:p>
          <w:p>
            <w:pPr>
              <w:spacing w:line="400" w:lineRule="exact"/>
              <w:rPr>
                <w:rFonts w:ascii="宋体" w:hAnsi="宋体"/>
                <w:color w:val="000000"/>
                <w:sz w:val="24"/>
                <w:szCs w:val="24"/>
              </w:rPr>
            </w:pPr>
            <w:r>
              <w:rPr>
                <w:rFonts w:hint="eastAsia" w:ascii="宋体" w:hAnsi="宋体"/>
                <w:color w:val="000000"/>
                <w:sz w:val="24"/>
                <w:szCs w:val="24"/>
              </w:rPr>
              <w:t xml:space="preserve">2、整体设想和内部规章制度符合本项目实际情况且合理完善的得2分；</w:t>
            </w:r>
            <w:r/>
          </w:p>
          <w:p>
            <w:pPr>
              <w:spacing w:line="400" w:lineRule="exact"/>
              <w:rPr>
                <w:rFonts w:ascii="宋体" w:hAnsi="宋体"/>
                <w:color w:val="000000"/>
                <w:sz w:val="24"/>
                <w:szCs w:val="24"/>
              </w:rPr>
            </w:pPr>
            <w:r>
              <w:rPr>
                <w:rFonts w:hint="eastAsia" w:ascii="宋体" w:hAnsi="宋体"/>
                <w:color w:val="000000"/>
                <w:sz w:val="24"/>
                <w:szCs w:val="24"/>
              </w:rPr>
              <w:t xml:space="preserve">3、人员培训方案符合本项目实际情况且合理完善的得2分；</w:t>
            </w:r>
            <w:r/>
          </w:p>
          <w:p>
            <w:pPr>
              <w:spacing w:line="400" w:lineRule="exact"/>
              <w:rPr>
                <w:rFonts w:ascii="宋体" w:hAnsi="宋体"/>
                <w:sz w:val="24"/>
                <w:szCs w:val="24"/>
              </w:rPr>
            </w:pPr>
            <w:r>
              <w:rPr>
                <w:rFonts w:hint="eastAsia" w:ascii="宋体" w:hAnsi="宋体"/>
                <w:b/>
                <w:color w:val="000000"/>
                <w:sz w:val="24"/>
                <w:szCs w:val="24"/>
              </w:rPr>
              <w:t xml:space="preserve">注：存在缺项或者不符合采购人需求的，每项对应扣分。</w:t>
            </w:r>
            <w:r/>
          </w:p>
        </w:tc>
      </w:tr>
      <w:tr>
        <w:trPr>
          <w:trHeight w:val="535"/>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5</w:t>
            </w:r>
            <w:r/>
          </w:p>
        </w:tc>
        <w:tc>
          <w:tcPr>
            <w:gridSpan w:val="2"/>
            <w:tcBorders>
              <w:top w:val="single" w:color="000000" w:sz="4" w:space="0"/>
              <w:left w:val="single" w:color="000000" w:sz="4" w:space="0"/>
              <w:bottom w:val="single" w:color="000000" w:sz="4" w:space="0"/>
              <w:right w:val="single" w:color="000000" w:sz="4" w:space="0"/>
            </w:tcBorders>
            <w:tcW w:w="2293"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绿化养护技术方案</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16分</w:t>
            </w:r>
            <w:r/>
          </w:p>
        </w:tc>
        <w:tc>
          <w:tcPr>
            <w:tcBorders>
              <w:top w:val="single" w:color="000000" w:sz="4" w:space="0"/>
              <w:left w:val="single" w:color="000000" w:sz="4" w:space="0"/>
              <w:bottom w:val="single" w:color="000000" w:sz="4" w:space="0"/>
              <w:right w:val="single" w:color="000000" w:sz="4" w:space="0"/>
            </w:tcBorders>
            <w:tcW w:w="7050" w:type="dxa"/>
            <w:vAlign w:val="center"/>
            <w:textDirection w:val="lrTb"/>
            <w:noWrap w:val="false"/>
          </w:tcPr>
          <w:p>
            <w:pPr>
              <w:spacing w:line="400" w:lineRule="exact"/>
              <w:rPr>
                <w:rFonts w:ascii="宋体" w:hAnsi="宋体"/>
                <w:color w:val="000000"/>
                <w:sz w:val="24"/>
                <w:szCs w:val="24"/>
              </w:rPr>
            </w:pPr>
            <w:r>
              <w:rPr>
                <w:rFonts w:hint="eastAsia" w:ascii="宋体" w:hAnsi="宋体"/>
                <w:color w:val="000000"/>
                <w:sz w:val="24"/>
                <w:szCs w:val="24"/>
              </w:rPr>
              <w:t xml:space="preserve">根据投标人提供的绿化养护技术方案，包括但不限于：</w:t>
            </w:r>
            <w:r/>
          </w:p>
          <w:p>
            <w:pPr>
              <w:spacing w:line="400" w:lineRule="exact"/>
              <w:rPr>
                <w:rFonts w:ascii="宋体" w:hAnsi="宋体"/>
                <w:color w:val="000000"/>
                <w:sz w:val="24"/>
                <w:szCs w:val="24"/>
              </w:rPr>
            </w:pPr>
            <w:r>
              <w:rPr>
                <w:rFonts w:hint="eastAsia" w:ascii="宋体" w:hAnsi="宋体"/>
                <w:color w:val="000000"/>
                <w:sz w:val="24"/>
                <w:szCs w:val="24"/>
              </w:rPr>
              <w:t xml:space="preserve">1、养护计划，2分；</w:t>
            </w:r>
            <w:r/>
          </w:p>
          <w:p>
            <w:pPr>
              <w:spacing w:line="400" w:lineRule="exact"/>
              <w:rPr>
                <w:rFonts w:ascii="宋体" w:hAnsi="宋体"/>
                <w:color w:val="000000"/>
                <w:sz w:val="24"/>
                <w:szCs w:val="24"/>
              </w:rPr>
            </w:pPr>
            <w:r>
              <w:rPr>
                <w:rFonts w:hint="eastAsia" w:ascii="宋体" w:hAnsi="宋体"/>
                <w:color w:val="000000"/>
                <w:sz w:val="24"/>
                <w:szCs w:val="24"/>
              </w:rPr>
              <w:t xml:space="preserve">2、植物养护、景观树造型，2分；</w:t>
            </w:r>
            <w:r/>
          </w:p>
          <w:p>
            <w:pPr>
              <w:spacing w:line="400" w:lineRule="exact"/>
              <w:rPr>
                <w:rFonts w:ascii="宋体" w:hAnsi="宋体"/>
                <w:color w:val="000000"/>
                <w:sz w:val="24"/>
                <w:szCs w:val="24"/>
              </w:rPr>
            </w:pPr>
            <w:r>
              <w:rPr>
                <w:rFonts w:hint="eastAsia" w:ascii="宋体" w:hAnsi="宋体"/>
                <w:color w:val="000000"/>
                <w:sz w:val="24"/>
                <w:szCs w:val="24"/>
              </w:rPr>
              <w:t xml:space="preserve">3、设施维护，2分；</w:t>
            </w:r>
            <w:r/>
          </w:p>
          <w:p>
            <w:pPr>
              <w:spacing w:line="400" w:lineRule="exact"/>
              <w:rPr>
                <w:rFonts w:ascii="宋体" w:hAnsi="宋体"/>
                <w:color w:val="000000"/>
                <w:sz w:val="24"/>
                <w:szCs w:val="24"/>
              </w:rPr>
            </w:pPr>
            <w:r>
              <w:rPr>
                <w:rFonts w:hint="eastAsia" w:ascii="宋体" w:hAnsi="宋体"/>
                <w:color w:val="000000"/>
                <w:sz w:val="24"/>
                <w:szCs w:val="24"/>
              </w:rPr>
              <w:t xml:space="preserve">4、病虫害防治，2分；</w:t>
            </w:r>
            <w:r/>
          </w:p>
          <w:p>
            <w:pPr>
              <w:spacing w:line="400" w:lineRule="exact"/>
              <w:rPr>
                <w:rFonts w:ascii="宋体" w:hAnsi="宋体"/>
                <w:color w:val="000000"/>
                <w:sz w:val="24"/>
                <w:szCs w:val="24"/>
              </w:rPr>
            </w:pPr>
            <w:r>
              <w:rPr>
                <w:rFonts w:hint="eastAsia" w:ascii="宋体" w:hAnsi="宋体"/>
                <w:color w:val="000000"/>
                <w:sz w:val="24"/>
                <w:szCs w:val="24"/>
              </w:rPr>
              <w:t xml:space="preserve">5、树木修剪，2分；</w:t>
            </w:r>
            <w:r/>
          </w:p>
          <w:p>
            <w:pPr>
              <w:spacing w:line="400" w:lineRule="exact"/>
              <w:rPr>
                <w:rFonts w:ascii="宋体" w:hAnsi="宋体"/>
                <w:color w:val="000000"/>
                <w:sz w:val="24"/>
                <w:szCs w:val="24"/>
              </w:rPr>
            </w:pPr>
            <w:r>
              <w:rPr>
                <w:rFonts w:hint="eastAsia" w:ascii="宋体" w:hAnsi="宋体"/>
                <w:color w:val="000000"/>
                <w:sz w:val="24"/>
                <w:szCs w:val="24"/>
              </w:rPr>
              <w:t xml:space="preserve">6、抗旱排涝，2分；</w:t>
            </w:r>
            <w:r/>
          </w:p>
          <w:p>
            <w:pPr>
              <w:spacing w:line="400" w:lineRule="exact"/>
              <w:rPr>
                <w:rFonts w:ascii="宋体" w:hAnsi="宋体"/>
                <w:color w:val="000000"/>
                <w:sz w:val="24"/>
                <w:szCs w:val="24"/>
              </w:rPr>
            </w:pPr>
            <w:r>
              <w:rPr>
                <w:rFonts w:hint="eastAsia" w:ascii="宋体" w:hAnsi="宋体"/>
                <w:color w:val="000000"/>
                <w:sz w:val="24"/>
                <w:szCs w:val="24"/>
              </w:rPr>
              <w:t xml:space="preserve">7、安全作业，2分；</w:t>
            </w:r>
            <w:r/>
          </w:p>
          <w:p>
            <w:pPr>
              <w:spacing w:line="400" w:lineRule="exact"/>
              <w:rPr>
                <w:rFonts w:hint="eastAsia" w:ascii="宋体" w:hAnsi="宋体"/>
                <w:color w:val="000000"/>
                <w:sz w:val="24"/>
                <w:szCs w:val="24"/>
              </w:rPr>
            </w:pPr>
            <w:r>
              <w:rPr>
                <w:rFonts w:hint="eastAsia" w:ascii="宋体" w:hAnsi="宋体"/>
                <w:color w:val="000000"/>
                <w:sz w:val="24"/>
                <w:szCs w:val="24"/>
              </w:rPr>
              <w:t xml:space="preserve">8、绿地保洁等养护方案及质量保证措施，2分；</w:t>
            </w:r>
            <w:r/>
          </w:p>
          <w:p>
            <w:pPr>
              <w:spacing w:line="400" w:lineRule="exact"/>
              <w:rPr>
                <w:rFonts w:ascii="宋体" w:hAnsi="宋体"/>
                <w:color w:val="000000"/>
                <w:sz w:val="24"/>
                <w:szCs w:val="24"/>
              </w:rPr>
            </w:pPr>
            <w:r>
              <w:rPr>
                <w:rFonts w:hint="eastAsia" w:ascii="宋体" w:hAnsi="宋体"/>
                <w:b/>
                <w:color w:val="000000"/>
                <w:sz w:val="24"/>
                <w:szCs w:val="24"/>
              </w:rPr>
              <w:t xml:space="preserve">注：存在缺项或者不符合采购人需求的，每项对应扣分。</w:t>
            </w:r>
            <w:r/>
          </w:p>
        </w:tc>
      </w:tr>
      <w:tr>
        <w:trPr>
          <w:trHeight w:val="448"/>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6</w:t>
            </w:r>
            <w:r/>
          </w:p>
        </w:tc>
        <w:tc>
          <w:tcPr>
            <w:gridSpan w:val="2"/>
            <w:tcBorders>
              <w:top w:val="single" w:color="000000" w:sz="4" w:space="0"/>
              <w:left w:val="single" w:color="000000" w:sz="4" w:space="0"/>
              <w:bottom w:val="single" w:color="000000" w:sz="4" w:space="0"/>
              <w:right w:val="single" w:color="000000" w:sz="4" w:space="0"/>
            </w:tcBorders>
            <w:tcW w:w="2293" w:type="dxa"/>
            <w:vAlign w:val="center"/>
            <w:textDirection w:val="lrTb"/>
            <w:noWrap w:val="false"/>
          </w:tcPr>
          <w:p>
            <w:pPr>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绿化养护应急方案</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spacing w:line="400" w:lineRule="exact"/>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7050" w:type="dxa"/>
            <w:vAlign w:val="center"/>
            <w:textDirection w:val="lrTb"/>
            <w:noWrap w:val="false"/>
          </w:tcPr>
          <w:p>
            <w:pP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根据投标人提供的绿地养护服务应急方案，包括但不限于：</w:t>
            </w:r>
            <w:r/>
          </w:p>
          <w:p>
            <w:pP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1、一般突发事件应急措施，2分；</w:t>
            </w:r>
            <w:r/>
          </w:p>
          <w:p>
            <w:pP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2、抗台防汛等恶劣天气的应急措施2分；</w:t>
            </w:r>
            <w:r/>
          </w:p>
          <w:p>
            <w:pPr>
              <w:spacing w:line="400" w:lineRule="exact"/>
              <w:rPr>
                <w:rFonts w:hint="default"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3、迎检保障措施方案，2分。</w:t>
            </w:r>
            <w:r/>
          </w:p>
          <w:p>
            <w:pPr>
              <w:spacing w:line="400" w:lineRule="exact"/>
              <w:rPr>
                <w:rFonts w:ascii="宋体" w:hAnsi="宋体"/>
                <w:color w:val="000000"/>
                <w:sz w:val="24"/>
                <w:szCs w:val="24"/>
                <w:highlight w:val="none"/>
              </w:rPr>
            </w:pPr>
            <w:r>
              <w:rPr>
                <w:rFonts w:hint="eastAsia" w:ascii="宋体" w:hAnsi="宋体"/>
                <w:b/>
                <w:color w:val="000000"/>
                <w:sz w:val="24"/>
                <w:szCs w:val="24"/>
                <w:highlight w:val="none"/>
              </w:rPr>
              <w:t xml:space="preserve">注：存在缺项或者不符合采购人需求的，每项对应扣分。</w:t>
            </w:r>
            <w:r/>
          </w:p>
        </w:tc>
      </w:tr>
    </w:tbl>
    <w:p>
      <w:pPr>
        <w:ind w:firstLine="480"/>
        <w:spacing w:line="400" w:lineRule="exact"/>
        <w:rPr>
          <w:rFonts w:ascii="宋体" w:hAnsi="宋体"/>
          <w:b/>
          <w:bCs/>
          <w:color w:val="000000"/>
          <w:sz w:val="24"/>
          <w:szCs w:val="24"/>
          <w:highlight w:val="none"/>
        </w:rPr>
      </w:pPr>
      <w:r>
        <w:rPr>
          <w:rFonts w:hint="eastAsia" w:ascii="宋体" w:hAnsi="宋体"/>
          <w:b/>
          <w:color w:val="000000"/>
          <w:sz w:val="24"/>
          <w:szCs w:val="24"/>
          <w:highlight w:val="none"/>
        </w:rPr>
        <w:t xml:space="preserve">3、</w:t>
      </w:r>
      <w:r>
        <w:rPr>
          <w:rFonts w:hint="eastAsia" w:ascii="宋体" w:hAnsi="宋体"/>
          <w:b/>
          <w:color w:val="000000"/>
          <w:sz w:val="24"/>
          <w:szCs w:val="24"/>
          <w:highlight w:val="none"/>
          <w:lang w:val="en-US" w:eastAsia="zh-CN"/>
        </w:rPr>
        <w:t xml:space="preserve">综合实力12</w:t>
      </w:r>
      <w:r>
        <w:rPr>
          <w:rFonts w:hint="eastAsia" w:ascii="宋体" w:hAnsi="宋体"/>
          <w:b/>
          <w:color w:val="000000"/>
          <w:sz w:val="24"/>
          <w:szCs w:val="24"/>
          <w:highlight w:val="none"/>
        </w:rPr>
        <w:t xml:space="preserve">分</w:t>
      </w:r>
      <w:r/>
    </w:p>
    <w:tbl>
      <w:tblPr>
        <w:tblStyle w:val="717"/>
        <w:tblW w:w="1095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2298"/>
        <w:gridCol w:w="790"/>
        <w:gridCol w:w="7050"/>
      </w:tblGrid>
      <w:tr>
        <w:trPr>
          <w:trHeight w:val="618"/>
        </w:trPr>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298" w:type="dxa"/>
            <w:vAlign w:val="center"/>
            <w:textDirection w:val="lrTb"/>
            <w:noWrap w:val="false"/>
          </w:tcPr>
          <w:p>
            <w:pPr>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权值</w:t>
            </w:r>
            <w:r/>
          </w:p>
        </w:tc>
        <w:tc>
          <w:tcPr>
            <w:tcBorders>
              <w:top w:val="single" w:color="000000" w:sz="4" w:space="0"/>
              <w:left w:val="single" w:color="000000" w:sz="4" w:space="0"/>
              <w:bottom w:val="single" w:color="000000" w:sz="4" w:space="0"/>
              <w:right w:val="single" w:color="000000" w:sz="4" w:space="0"/>
            </w:tcBorders>
            <w:tcW w:w="7050" w:type="dxa"/>
            <w:vAlign w:val="center"/>
            <w:textDirection w:val="lrTb"/>
            <w:noWrap w:val="false"/>
          </w:tcPr>
          <w:p>
            <w:pPr>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评分标准</w:t>
            </w:r>
            <w:r/>
          </w:p>
        </w:tc>
      </w:tr>
      <w:tr>
        <w:trPr>
          <w:trHeight w:val="2272"/>
        </w:trPr>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spacing w:line="400" w:lineRule="exact"/>
              <w:rPr>
                <w:rFonts w:ascii="宋体" w:hAnsi="宋体"/>
                <w:color w:val="000000"/>
                <w:sz w:val="24"/>
                <w:szCs w:val="24"/>
                <w:highlight w:val="none"/>
              </w:rPr>
            </w:pPr>
            <w:r/>
            <w:bookmarkStart w:id="210" w:name="OLE_LINK1"/>
            <w:r>
              <w:rPr>
                <w:rFonts w:hint="eastAsia" w:ascii="宋体" w:hAnsi="宋体"/>
                <w:color w:val="000000"/>
                <w:sz w:val="24"/>
                <w:szCs w:val="24"/>
                <w:highlight w:val="none"/>
              </w:rPr>
              <w:t xml:space="preserve">1</w:t>
            </w:r>
            <w:bookmarkEnd w:id="210"/>
            <w:r/>
            <w:r/>
          </w:p>
        </w:tc>
        <w:tc>
          <w:tcPr>
            <w:tcBorders>
              <w:top w:val="single" w:color="000000" w:sz="4" w:space="0"/>
              <w:left w:val="single" w:color="000000" w:sz="4" w:space="0"/>
              <w:bottom w:val="single" w:color="000000" w:sz="4" w:space="0"/>
              <w:right w:val="single" w:color="000000" w:sz="4" w:space="0"/>
            </w:tcBorders>
            <w:tcW w:w="2298" w:type="dxa"/>
            <w:vAlign w:val="center"/>
            <w:textDirection w:val="lrTb"/>
            <w:noWrap w:val="false"/>
          </w:tcPr>
          <w:p>
            <w:pPr>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业绩情况</w:t>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spacing w:line="400" w:lineRule="exact"/>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7050" w:type="dxa"/>
            <w:vAlign w:val="center"/>
            <w:textDirection w:val="lrTb"/>
            <w:noWrap w:val="false"/>
          </w:tcPr>
          <w:p>
            <w:pP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根据投标人自202</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年1月1日（以合同签订时间为准）</w:t>
            </w:r>
            <w:r>
              <w:rPr>
                <w:rFonts w:hint="eastAsia" w:ascii="宋体" w:hAnsi="宋体"/>
                <w:color w:val="000000"/>
                <w:sz w:val="24"/>
                <w:szCs w:val="24"/>
                <w:highlight w:val="none"/>
                <w:lang w:val="en-US" w:eastAsia="zh-CN"/>
              </w:rPr>
              <w:t xml:space="preserve">至今的年度绿化养护项目</w:t>
            </w:r>
            <w:r>
              <w:rPr>
                <w:rFonts w:hint="eastAsia" w:ascii="宋体" w:hAnsi="宋体"/>
                <w:color w:val="000000"/>
                <w:sz w:val="24"/>
                <w:szCs w:val="24"/>
                <w:highlight w:val="none"/>
              </w:rPr>
              <w:t xml:space="preserve">（绿化施工附带的绿化养护除外）进行评定，每提供一个得</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分，最高得</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分。未提供业绩证明材料的不得分。</w:t>
            </w:r>
            <w:r/>
          </w:p>
          <w:p>
            <w:pPr>
              <w:spacing w:line="400" w:lineRule="exact"/>
              <w:rPr>
                <w:rFonts w:ascii="宋体" w:hAnsi="宋体"/>
                <w:bCs/>
                <w:color w:val="000000"/>
                <w:sz w:val="24"/>
                <w:szCs w:val="24"/>
                <w:highlight w:val="none"/>
              </w:rPr>
            </w:pPr>
            <w:r>
              <w:rPr>
                <w:rFonts w:hint="eastAsia" w:ascii="宋体" w:hAnsi="宋体"/>
                <w:b/>
                <w:bCs/>
                <w:color w:val="000000"/>
                <w:sz w:val="24"/>
                <w:szCs w:val="24"/>
                <w:highlight w:val="none"/>
              </w:rPr>
              <w:t xml:space="preserve">注：投标文件中需提供业绩合同扫描件，未提供的不得分。</w:t>
            </w:r>
            <w:r/>
          </w:p>
        </w:tc>
      </w:tr>
      <w:tr>
        <w:trPr>
          <w:trHeight w:val="1303"/>
        </w:trPr>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spacing w:line="400" w:lineRule="exact"/>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2298" w:type="dxa"/>
            <w:vAlign w:val="center"/>
            <w:textDirection w:val="lrTb"/>
            <w:noWrap w:val="false"/>
          </w:tcPr>
          <w:p>
            <w:pPr>
              <w:jc w:val="center"/>
              <w:spacing w:line="400" w:lineRule="exac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业绩反馈</w:t>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spacing w:line="400" w:lineRule="exact"/>
              <w:rPr>
                <w:rFonts w:hint="default"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3分</w:t>
            </w:r>
            <w:r/>
          </w:p>
        </w:tc>
        <w:tc>
          <w:tcPr>
            <w:tcBorders>
              <w:top w:val="single" w:color="000000" w:sz="4" w:space="0"/>
              <w:left w:val="single" w:color="000000" w:sz="4" w:space="0"/>
              <w:bottom w:val="single" w:color="000000" w:sz="4" w:space="0"/>
              <w:right w:val="single" w:color="000000" w:sz="4" w:space="0"/>
            </w:tcBorders>
            <w:tcW w:w="7050" w:type="dxa"/>
            <w:vAlign w:val="center"/>
            <w:textDirection w:val="lrTb"/>
            <w:noWrap w:val="false"/>
          </w:tcPr>
          <w:p>
            <w:pPr>
              <w:jc w:val="left"/>
              <w:keepLines w:val="0"/>
              <w:keepNext w:val="0"/>
              <w:pageBreakBefore w:val="0"/>
              <w:spacing w:line="360" w:lineRule="exact"/>
              <w:widowControl w:val="off"/>
              <w:rPr>
                <w:rFonts w:hint="eastAsia" w:ascii="宋体" w:hAnsi="宋体"/>
                <w:b/>
                <w:bCs/>
                <w:color w:val="000000"/>
                <w:sz w:val="24"/>
                <w:szCs w:val="24"/>
                <w:highlight w:val="none"/>
              </w:rPr>
            </w:pPr>
            <w:r>
              <w:rPr>
                <w:rFonts w:hint="eastAsia" w:ascii="Times New Roman" w:hAnsi="Times New Roman"/>
                <w:color w:val="auto"/>
                <w:sz w:val="24"/>
                <w:highlight w:val="none"/>
                <w:lang w:val="zh-CN"/>
              </w:rPr>
              <w:t xml:space="preserve">根据投标人提供的与上述业绩相对应的客户评价表进行</w:t>
            </w:r>
            <w:r>
              <w:rPr>
                <w:rFonts w:hint="eastAsia" w:ascii="Times New Roman" w:hAnsi="Times New Roman"/>
                <w:color w:val="auto"/>
                <w:sz w:val="24"/>
                <w:highlight w:val="none"/>
                <w:lang w:val="en-US" w:eastAsia="zh-CN"/>
              </w:rPr>
              <w:t xml:space="preserve">评定</w:t>
            </w:r>
            <w:r>
              <w:rPr>
                <w:rFonts w:hint="eastAsia" w:ascii="Times New Roman" w:hAnsi="Times New Roman"/>
                <w:color w:val="auto"/>
                <w:sz w:val="24"/>
                <w:highlight w:val="none"/>
                <w:lang w:val="zh-CN"/>
              </w:rPr>
              <w:t xml:space="preserve">，每提供一份评价为优良（或满意）的得1</w:t>
            </w:r>
            <w:r>
              <w:rPr>
                <w:rFonts w:hint="eastAsia" w:ascii="Times New Roman" w:hAnsi="Times New Roman"/>
                <w:color w:val="auto"/>
                <w:sz w:val="24"/>
                <w:highlight w:val="none"/>
                <w:lang w:val="en-US" w:eastAsia="zh-CN"/>
              </w:rPr>
              <w:t xml:space="preserve">.5</w:t>
            </w:r>
            <w:r>
              <w:rPr>
                <w:rFonts w:hint="eastAsia" w:ascii="Times New Roman" w:hAnsi="Times New Roman"/>
                <w:color w:val="auto"/>
                <w:sz w:val="24"/>
                <w:highlight w:val="none"/>
                <w:lang w:val="zh-CN"/>
              </w:rPr>
              <w:t xml:space="preserve">分，最多得</w:t>
            </w:r>
            <w:r>
              <w:rPr>
                <w:rFonts w:hint="eastAsia" w:ascii="Times New Roman" w:hAnsi="Times New Roman"/>
                <w:color w:val="auto"/>
                <w:sz w:val="24"/>
                <w:highlight w:val="none"/>
                <w:lang w:val="en-US" w:eastAsia="zh-CN"/>
              </w:rPr>
              <w:t xml:space="preserve">3</w:t>
            </w:r>
            <w:r>
              <w:rPr>
                <w:rFonts w:hint="eastAsia" w:ascii="Times New Roman" w:hAnsi="Times New Roman"/>
                <w:color w:val="auto"/>
                <w:sz w:val="24"/>
                <w:highlight w:val="none"/>
                <w:lang w:val="zh-CN"/>
              </w:rPr>
              <w:t xml:space="preserve">分。评价一般或以下的不得分。</w:t>
            </w:r>
            <w:r/>
          </w:p>
        </w:tc>
      </w:tr>
      <w:tr>
        <w:trPr>
          <w:trHeight w:val="1125"/>
        </w:trPr>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spacing w:line="400" w:lineRule="exact"/>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2298" w:type="dxa"/>
            <w:vAlign w:val="center"/>
            <w:textDirection w:val="lrTb"/>
            <w:noWrap w:val="false"/>
          </w:tcPr>
          <w:p>
            <w:pPr>
              <w:jc w:val="center"/>
              <w:spacing w:line="400" w:lineRule="exact"/>
              <w:rPr>
                <w:rFonts w:hint="eastAsia" w:ascii="宋体" w:hAnsi="宋体" w:eastAsia="宋体"/>
                <w:color w:val="000000"/>
                <w:sz w:val="24"/>
                <w:szCs w:val="24"/>
                <w:lang w:val="en-US" w:eastAsia="zh-CN"/>
              </w:rPr>
            </w:pPr>
            <w:r>
              <w:rPr>
                <w:rFonts w:hint="eastAsia" w:ascii="宋体" w:hAnsi="宋体"/>
                <w:color w:val="000000"/>
                <w:sz w:val="24"/>
                <w:szCs w:val="24"/>
              </w:rPr>
              <w:t xml:space="preserve">商务条件响应性</w:t>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spacing w:line="400" w:lineRule="exact"/>
              <w:rPr>
                <w:rFonts w:hint="eastAsia" w:ascii="宋体" w:hAnsi="宋体"/>
                <w:color w:val="000000"/>
                <w:sz w:val="24"/>
                <w:szCs w:val="24"/>
                <w:highlight w:val="yellow"/>
                <w:lang w:val="en-US" w:eastAsia="zh-CN"/>
              </w:rPr>
            </w:pPr>
            <w:r>
              <w:rPr>
                <w:rFonts w:ascii="宋体" w:hAnsi="宋体"/>
                <w:color w:val="000000"/>
                <w:sz w:val="24"/>
                <w:szCs w:val="24"/>
              </w:rPr>
              <w:t xml:space="preserve">5</w:t>
            </w:r>
            <w:r>
              <w:rPr>
                <w:rFonts w:hint="eastAsia" w:ascii="宋体" w:hAnsi="宋体"/>
                <w:color w:val="000000"/>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7050" w:type="dxa"/>
            <w:vAlign w:val="center"/>
            <w:textDirection w:val="lrTb"/>
            <w:noWrap w:val="false"/>
          </w:tcPr>
          <w:p>
            <w:pPr>
              <w:spacing w:line="400" w:lineRule="exact"/>
              <w:rPr>
                <w:rFonts w:hint="eastAsia" w:ascii="宋体" w:hAnsi="宋体"/>
                <w:b/>
                <w:bCs/>
                <w:color w:val="000000"/>
                <w:sz w:val="24"/>
                <w:szCs w:val="24"/>
              </w:rPr>
            </w:pPr>
            <w:r>
              <w:rPr>
                <w:rFonts w:hint="eastAsia" w:ascii="宋体" w:hAnsi="宋体"/>
                <w:color w:val="000000"/>
                <w:sz w:val="24"/>
                <w:szCs w:val="24"/>
              </w:rPr>
              <w:t xml:space="preserve">投标人对招标文件中合同条款等商务条件</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20条</w:t>
            </w:r>
            <w:r>
              <w:rPr>
                <w:rFonts w:hint="eastAsia" w:ascii="宋体" w:hAnsi="宋体"/>
                <w:color w:val="000000"/>
                <w:sz w:val="24"/>
                <w:szCs w:val="24"/>
                <w:lang w:eastAsia="zh-CN"/>
              </w:rPr>
              <w:t xml:space="preserve">）</w:t>
            </w:r>
            <w:r>
              <w:rPr>
                <w:rFonts w:hint="eastAsia" w:ascii="宋体" w:hAnsi="宋体"/>
                <w:color w:val="000000"/>
                <w:sz w:val="24"/>
                <w:szCs w:val="24"/>
              </w:rPr>
              <w:t xml:space="preserve">完全响应的得</w:t>
            </w:r>
            <w:r>
              <w:rPr>
                <w:rFonts w:ascii="宋体" w:hAnsi="宋体"/>
                <w:color w:val="000000"/>
                <w:sz w:val="24"/>
                <w:szCs w:val="24"/>
              </w:rPr>
              <w:t xml:space="preserve">5</w:t>
            </w:r>
            <w:r>
              <w:rPr>
                <w:rFonts w:hint="eastAsia" w:ascii="宋体" w:hAnsi="宋体"/>
                <w:color w:val="000000"/>
                <w:sz w:val="24"/>
                <w:szCs w:val="24"/>
              </w:rPr>
              <w:t xml:space="preserve">分；有不利于采购人的偏离条款，每条扣0.25分。</w:t>
            </w:r>
            <w:r/>
          </w:p>
        </w:tc>
      </w:tr>
    </w:tbl>
    <w:p>
      <w:pPr>
        <w:ind w:firstLine="562"/>
        <w:spacing w:line="440" w:lineRule="exact"/>
        <w:rPr>
          <w:b/>
          <w:bCs/>
          <w:color w:val="000000" w:themeColor="text1"/>
          <w:sz w:val="28"/>
          <w14:textFill>
            <w14:solidFill>
              <w14:schemeClr w14:val="tx1"/>
            </w14:solidFill>
          </w14:textFill>
        </w:rPr>
      </w:pPr>
      <w:r>
        <w:rPr>
          <w:rFonts w:hint="eastAsia"/>
          <w:b/>
          <w:bCs/>
          <w:color w:val="000000" w:themeColor="text1"/>
          <w:sz w:val="28"/>
          <w14:textFill>
            <w14:solidFill>
              <w14:schemeClr w14:val="tx1"/>
            </w14:solidFill>
          </w14:textFill>
        </w:rPr>
        <w:t xml:space="preserve">三、政府采购政策：</w:t>
      </w:r>
      <w:r/>
    </w:p>
    <w:p>
      <w:pPr>
        <w:ind w:firstLine="480"/>
        <w:spacing w:line="440" w:lineRule="exact"/>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1、落实政府采购政策需满足的资格要求：</w:t>
      </w:r>
      <w:r/>
    </w:p>
    <w:p>
      <w:pPr>
        <w:ind w:firstLine="482"/>
        <w:spacing w:line="440" w:lineRule="exact"/>
        <w:rPr>
          <w:color w:val="000000" w:themeColor="text1"/>
          <w:sz w:val="24"/>
          <w14:textFill>
            <w14:solidFill>
              <w14:schemeClr w14:val="tx1"/>
            </w14:solidFill>
          </w14:textFill>
        </w:rPr>
      </w:pPr>
      <w:r>
        <w:rPr>
          <w:rFonts w:hint="eastAsia"/>
          <w:b/>
          <w:bCs/>
          <w:color w:val="000000" w:themeColor="text1"/>
          <w:sz w:val="24"/>
          <w14:textFill>
            <w14:solidFill>
              <w14:schemeClr w14:val="tx1"/>
            </w14:solidFill>
          </w14:textFill>
        </w:rPr>
        <w:t xml:space="preserve">（1）</w:t>
      </w:r>
      <w:r>
        <w:rPr>
          <w:b/>
          <w:bCs/>
          <w:color w:val="000000" w:themeColor="text1"/>
          <w:sz w:val="24"/>
          <w:szCs w:val="24"/>
          <w14:textFill>
            <w14:solidFill>
              <w14:schemeClr w14:val="tx1"/>
            </w14:solidFill>
          </w14:textFill>
        </w:rPr>
        <w:t xml:space="preserve">本项目专门面向中小企业采购，所属行业为</w:t>
      </w:r>
      <w:r>
        <w:rPr>
          <w:rFonts w:hint="eastAsia"/>
          <w:b/>
          <w:bCs/>
          <w:color w:val="000000" w:themeColor="text1"/>
          <w:sz w:val="24"/>
          <w:szCs w:val="24"/>
          <w14:textFill>
            <w14:solidFill>
              <w14:schemeClr w14:val="tx1"/>
            </w14:solidFill>
          </w14:textFill>
        </w:rPr>
        <w:t xml:space="preserve">其他未列明行业</w:t>
      </w:r>
      <w:r>
        <w:rPr>
          <w:b/>
          <w:bCs/>
          <w:color w:val="000000" w:themeColor="text1"/>
          <w:sz w:val="24"/>
          <w:szCs w:val="24"/>
          <w14:textFill>
            <w14:solidFill>
              <w14:schemeClr w14:val="tx1"/>
            </w14:solidFill>
          </w14:textFill>
        </w:rPr>
        <w:t xml:space="preserve">。</w:t>
      </w:r>
      <w:r/>
    </w:p>
    <w:p>
      <w:pPr>
        <w:ind w:firstLine="480"/>
        <w:spacing w:line="440" w:lineRule="exact"/>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（2）在投标文件中须提供《中小企业声明函》。（填报严格按工信部联企业〔2011〕300号通知中的《中小企业划型标准规定》进行）</w:t>
      </w:r>
      <w:r/>
    </w:p>
    <w:p>
      <w:pPr>
        <w:ind w:firstLine="480"/>
        <w:spacing w:line="440" w:lineRule="exact"/>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ind w:firstLine="480"/>
        <w:spacing w:line="44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w:t>
      </w:r>
      <w:r>
        <w:rPr>
          <w:color w:val="000000" w:themeColor="text1"/>
          <w:sz w:val="24"/>
          <w:szCs w:val="24"/>
          <w14:textFill>
            <w14:solidFill>
              <w14:schemeClr w14:val="tx1"/>
            </w14:solidFill>
          </w14:textFill>
        </w:rPr>
        <w:t xml:space="preserve">4</w:t>
      </w:r>
      <w:r>
        <w:rPr>
          <w:rFonts w:hint="eastAsia"/>
          <w:color w:val="000000" w:themeColor="text1"/>
          <w:sz w:val="24"/>
          <w:szCs w:val="24"/>
          <w14:textFill>
            <w14:solidFill>
              <w14:schemeClr w14:val="tx1"/>
            </w14:solidFill>
          </w14:textFill>
        </w:rPr>
        <w:t xml:space="preserve">）本项目专门面向中小企业采购应符合下列情形</w:t>
      </w:r>
      <w:r>
        <w:rPr>
          <w:color w:val="000000" w:themeColor="text1"/>
          <w:sz w:val="24"/>
          <w:szCs w:val="24"/>
          <w14:textFill>
            <w14:solidFill>
              <w14:schemeClr w14:val="tx1"/>
            </w14:solidFill>
          </w14:textFill>
        </w:rPr>
        <w:t xml:space="preserve">：</w:t>
      </w:r>
      <w:r>
        <w:rPr>
          <w:rFonts w:hint="eastAsia"/>
          <w:color w:val="000000" w:themeColor="text1"/>
          <w:sz w:val="24"/>
          <w:szCs w:val="24"/>
          <w14:textFill>
            <w14:solidFill>
              <w14:schemeClr w14:val="tx1"/>
            </w14:solidFill>
          </w14:textFill>
        </w:rPr>
        <w:t xml:space="preserve">供应商提供的货物由中小企业制造，即货物由中小企业生产且使用该中小企业商号或者注册商标。如既有中小企业制造货物，也有大型企业制造货物的则不予认定。</w:t>
      </w:r>
      <w:r/>
    </w:p>
    <w:p>
      <w:pPr>
        <w:ind w:firstLine="480"/>
        <w:spacing w:line="44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w:t>
      </w:r>
      <w:r>
        <w:rPr>
          <w:color w:val="000000" w:themeColor="text1"/>
          <w:sz w:val="24"/>
          <w:szCs w:val="24"/>
          <w14:textFill>
            <w14:solidFill>
              <w14:schemeClr w14:val="tx1"/>
            </w14:solidFill>
          </w14:textFill>
        </w:rPr>
        <w:t xml:space="preserve">5</w:t>
      </w:r>
      <w:r>
        <w:rPr>
          <w:rFonts w:hint="eastAsia"/>
          <w:color w:val="000000" w:themeColor="text1"/>
          <w:sz w:val="24"/>
          <w:szCs w:val="24"/>
          <w14:textFill>
            <w14:solidFill>
              <w14:schemeClr w14:val="tx1"/>
            </w14:solidFill>
          </w14:textFill>
        </w:rPr>
        <w:t xml:space="preserve">）</w:t>
      </w:r>
      <w:r>
        <w:rPr>
          <w:color w:val="000000" w:themeColor="text1"/>
          <w:sz w:val="24"/>
          <w:szCs w:val="24"/>
          <w14:textFill>
            <w14:solidFill>
              <w14:schemeClr w14:val="tx1"/>
            </w14:solidFill>
          </w14:textFill>
        </w:rPr>
        <w:t xml:space="preserve">享受政府采购支持政策的残疾人福利性单位应当同时满足以下条件：</w:t>
      </w:r>
      <w:r/>
    </w:p>
    <w:p>
      <w:pPr>
        <w:ind w:firstLine="480"/>
        <w:spacing w:line="440" w:lineRule="exact"/>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安置的残疾人占本单位在职职工人数的比例不低于25%（含25%），并且安置的残疾人人数不少于10人（含10人）；依法与安置的每位残疾人签订了一年以上（含一年）的劳动合同或服务协议；</w:t>
      </w:r>
      <w:r/>
    </w:p>
    <w:p>
      <w:pPr>
        <w:ind w:firstLine="480"/>
        <w:spacing w:line="440" w:lineRule="exact"/>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ind w:firstLine="480"/>
        <w:spacing w:line="440" w:lineRule="exact"/>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提供本单位制造的货物、承担的工程或者服务，或者提供其他残疾人福利性单位制造的货物（不包括使用非残疾人福利性单位注册商标的货物）。</w:t>
      </w:r>
      <w:r/>
    </w:p>
    <w:p>
      <w:pPr>
        <w:ind w:firstLine="480"/>
        <w:spacing w:line="440" w:lineRule="exact"/>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80"/>
        <w:spacing w:line="44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w:t>
      </w:r>
      <w:r>
        <w:rPr>
          <w:color w:val="000000" w:themeColor="text1"/>
          <w:sz w:val="24"/>
          <w:szCs w:val="24"/>
          <w14:textFill>
            <w14:solidFill>
              <w14:schemeClr w14:val="tx1"/>
            </w14:solidFill>
          </w14:textFill>
        </w:rPr>
        <w:t xml:space="preserve">6</w:t>
      </w:r>
      <w:r>
        <w:rPr>
          <w:rFonts w:hint="eastAsia"/>
          <w:color w:val="000000" w:themeColor="text1"/>
          <w:sz w:val="24"/>
          <w:szCs w:val="24"/>
          <w14:textFill>
            <w14:solidFill>
              <w14:schemeClr w14:val="tx1"/>
            </w14:solidFill>
          </w14:textFill>
        </w:rPr>
        <w:t xml:space="preserve">）</w:t>
      </w:r>
      <w:r>
        <w:rPr>
          <w:color w:val="000000" w:themeColor="text1"/>
          <w:sz w:val="24"/>
          <w:szCs w:val="24"/>
          <w14:textFill>
            <w14:solidFill>
              <w14:schemeClr w14:val="tx1"/>
            </w14:solidFill>
          </w14:textFill>
        </w:rPr>
        <w:t xml:space="preserve">中标、成交供应商享受中小企业扶持政策或者为残疾人福利性单位的，应当随中标、成交结果同时公告其《中小企业声明函》或《残疾人福利性单位声明函》，接受社会监督。若供应商提供的上述声明函为虚假声明则视同提供虚假材料，按</w:t>
      </w:r>
      <w:r>
        <w:rPr>
          <w:rFonts w:hint="eastAsia"/>
          <w:color w:val="000000" w:themeColor="text1"/>
          <w:sz w:val="24"/>
          <w:szCs w:val="24"/>
          <w14:textFill>
            <w14:solidFill>
              <w14:schemeClr w14:val="tx1"/>
            </w14:solidFill>
          </w14:textFill>
        </w:rPr>
        <w:t xml:space="preserve">“</w:t>
      </w:r>
      <w:r>
        <w:rPr>
          <w:color w:val="000000" w:themeColor="text1"/>
          <w:sz w:val="24"/>
          <w:szCs w:val="24"/>
          <w14:textFill>
            <w14:solidFill>
              <w14:schemeClr w14:val="tx1"/>
            </w14:solidFill>
          </w14:textFill>
        </w:rPr>
        <w:t xml:space="preserve">政府采购法</w:t>
      </w:r>
      <w:r>
        <w:rPr>
          <w:rFonts w:hint="eastAsia"/>
          <w:color w:val="000000" w:themeColor="text1"/>
          <w:sz w:val="24"/>
          <w:szCs w:val="24"/>
          <w14:textFill>
            <w14:solidFill>
              <w14:schemeClr w14:val="tx1"/>
            </w14:solidFill>
          </w14:textFill>
        </w:rPr>
        <w:t xml:space="preserve">”</w:t>
      </w:r>
      <w:r>
        <w:rPr>
          <w:color w:val="000000" w:themeColor="text1"/>
          <w:sz w:val="24"/>
          <w:szCs w:val="24"/>
          <w14:textFill>
            <w14:solidFill>
              <w14:schemeClr w14:val="tx1"/>
            </w14:solidFill>
          </w14:textFill>
        </w:rPr>
        <w:t xml:space="preserve">相关规定处理并报请政府监管部门给予行政处罚。</w:t>
      </w:r>
      <w:r/>
    </w:p>
    <w:p>
      <w:pPr>
        <w:ind w:firstLine="480"/>
        <w:jc w:val="center"/>
        <w:spacing w:before="240" w:after="240" w:line="440" w:lineRule="exact"/>
        <w:rPr>
          <w:rFonts w:ascii="黑体" w:hAnsi="Courier New" w:eastAsia="黑体" w:cs="Courier New"/>
          <w:bCs/>
          <w:color w:val="000000" w:themeColor="text1"/>
          <w:sz w:val="44"/>
          <w:szCs w:val="21"/>
          <w14:textFill>
            <w14:solidFill>
              <w14:schemeClr w14:val="tx1"/>
            </w14:solidFill>
          </w14:textFill>
        </w:rPr>
        <w:outlineLvl w:val="0"/>
      </w:pPr>
      <w:r>
        <w:rPr>
          <w:color w:val="000000" w:themeColor="text1"/>
          <w:sz w:val="24"/>
          <w:szCs w:val="24"/>
          <w14:textFill>
            <w14:solidFill>
              <w14:schemeClr w14:val="tx1"/>
            </w14:solidFill>
          </w14:textFill>
        </w:rPr>
        <w:br w:type="page" w:clear="all"/>
      </w:r>
      <w:bookmarkStart w:id="211" w:name="_Toc5797"/>
      <w:r>
        <w:rPr>
          <w:rFonts w:hint="eastAsia" w:ascii="黑体" w:hAnsi="Courier New" w:eastAsia="黑体" w:cs="Courier New"/>
          <w:bCs/>
          <w:color w:val="000000" w:themeColor="text1"/>
          <w:sz w:val="44"/>
          <w:szCs w:val="21"/>
          <w14:textFill>
            <w14:solidFill>
              <w14:schemeClr w14:val="tx1"/>
            </w14:solidFill>
          </w14:textFill>
        </w:rPr>
        <w:t xml:space="preserve">第六章  投标</w:t>
      </w:r>
      <w:bookmarkEnd w:id="197"/>
      <w:r/>
      <w:bookmarkEnd w:id="198"/>
      <w:r/>
      <w:bookmarkEnd w:id="199"/>
      <w:r>
        <w:rPr>
          <w:rFonts w:hint="eastAsia" w:ascii="黑体" w:hAnsi="Courier New" w:eastAsia="黑体" w:cs="Courier New"/>
          <w:bCs/>
          <w:color w:val="000000" w:themeColor="text1"/>
          <w:sz w:val="44"/>
          <w:szCs w:val="21"/>
          <w14:textFill>
            <w14:solidFill>
              <w14:schemeClr w14:val="tx1"/>
            </w14:solidFill>
          </w14:textFill>
        </w:rPr>
        <w:t xml:space="preserve">文件格式</w:t>
      </w:r>
      <w:bookmarkEnd w:id="211"/>
      <w:r>
        <w:rPr>
          <w:rFonts w:hint="eastAsia" w:ascii="黑体" w:hAnsi="Courier New" w:eastAsia="黑体" w:cs="Courier New"/>
          <w:bCs/>
          <w:color w:val="000000" w:themeColor="text1"/>
          <w:sz w:val="44"/>
          <w:szCs w:val="21"/>
          <w14:textFill>
            <w14:solidFill>
              <w14:schemeClr w14:val="tx1"/>
            </w14:solidFill>
          </w14:textFill>
        </w:rPr>
        <w:t xml:space="preserve"> </w:t>
      </w:r>
      <w:r/>
    </w:p>
    <w:p>
      <w:pPr>
        <w:ind w:firstLine="1446"/>
        <w:jc w:val="center"/>
        <w:rPr>
          <w:rFonts w:ascii="宋体" w:hAnsi="宋体"/>
          <w:b/>
          <w:color w:val="000000" w:themeColor="text1"/>
          <w:sz w:val="72"/>
          <w:szCs w:val="21"/>
          <w14:textFill>
            <w14:solidFill>
              <w14:schemeClr w14:val="tx1"/>
            </w14:solidFill>
          </w14:textFill>
        </w:rPr>
      </w:pPr>
      <w:r/>
      <w:bookmarkStart w:id="212" w:name="_Hlt26671244"/>
      <w:r/>
      <w:bookmarkEnd w:id="212"/>
      <w:r/>
      <w:bookmarkStart w:id="213" w:name="_Hlt26955039"/>
      <w:r/>
      <w:bookmarkEnd w:id="213"/>
      <w:r/>
      <w:bookmarkStart w:id="214" w:name="_Toc120614282"/>
      <w:r/>
      <w:bookmarkStart w:id="215" w:name="_Toc26554094"/>
      <w:r/>
      <w:bookmarkStart w:id="216" w:name="_Toc49090576"/>
      <w:r/>
      <w:r/>
    </w:p>
    <w:p>
      <w:pPr>
        <w:jc w:val="center"/>
        <w:rPr>
          <w:rFonts w:ascii="宋体" w:hAnsi="宋体"/>
          <w:b/>
          <w:color w:val="000000" w:themeColor="text1"/>
          <w:sz w:val="72"/>
          <w:szCs w:val="21"/>
          <w14:textFill>
            <w14:solidFill>
              <w14:schemeClr w14:val="tx1"/>
            </w14:solidFill>
          </w14:textFill>
        </w:rPr>
      </w:pPr>
      <w:r>
        <w:rPr>
          <w:rFonts w:hint="eastAsia" w:ascii="宋体" w:hAnsi="宋体"/>
          <w:b/>
          <w:color w:val="000000" w:themeColor="text1"/>
          <w:sz w:val="72"/>
          <w:szCs w:val="21"/>
          <w14:textFill>
            <w14:solidFill>
              <w14:schemeClr w14:val="tx1"/>
            </w14:solidFill>
          </w14:textFill>
        </w:rPr>
        <w:t xml:space="preserve">投  标  文  件</w:t>
      </w:r>
      <w:r/>
    </w:p>
    <w:p>
      <w:pPr>
        <w:ind w:firstLine="1446"/>
        <w:jc w:val="center"/>
        <w:rPr>
          <w:rFonts w:ascii="宋体" w:hAnsi="宋体"/>
          <w:b/>
          <w:color w:val="000000" w:themeColor="text1"/>
          <w:sz w:val="72"/>
          <w:szCs w:val="21"/>
          <w14:textFill>
            <w14:solidFill>
              <w14:schemeClr w14:val="tx1"/>
            </w14:solidFill>
          </w14:textFill>
        </w:rPr>
      </w:pPr>
      <w:r>
        <w:rPr>
          <w:rFonts w:ascii="宋体" w:hAnsi="宋体"/>
          <w:b/>
          <w:color w:val="000000" w:themeColor="text1"/>
          <w:sz w:val="72"/>
          <w:szCs w:val="21"/>
          <w14:textFill>
            <w14:solidFill>
              <w14:schemeClr w14:val="tx1"/>
            </w14:solidFill>
          </w14:textFill>
        </w:rPr>
      </w:r>
      <w:r/>
    </w:p>
    <w:p>
      <w:pPr>
        <w:ind w:firstLine="1446"/>
        <w:jc w:val="center"/>
        <w:rPr>
          <w:rFonts w:ascii="宋体" w:hAnsi="宋体"/>
          <w:b/>
          <w:color w:val="000000" w:themeColor="text1"/>
          <w:sz w:val="72"/>
          <w:szCs w:val="21"/>
          <w14:textFill>
            <w14:solidFill>
              <w14:schemeClr w14:val="tx1"/>
            </w14:solidFill>
          </w14:textFill>
        </w:rPr>
      </w:pPr>
      <w:r>
        <w:rPr>
          <w:rFonts w:ascii="宋体" w:hAnsi="宋体"/>
          <w:b/>
          <w:color w:val="000000" w:themeColor="text1"/>
          <w:sz w:val="72"/>
          <w:szCs w:val="21"/>
          <w14:textFill>
            <w14:solidFill>
              <w14:schemeClr w14:val="tx1"/>
            </w14:solidFill>
          </w14:textFill>
        </w:rPr>
      </w:r>
      <w:r/>
    </w:p>
    <w:p>
      <w:pPr>
        <w:ind w:firstLine="723"/>
        <w:jc w:val="center"/>
        <w:rPr>
          <w:rFonts w:ascii="宋体" w:hAnsi="宋体"/>
          <w:b/>
          <w:color w:val="000000" w:themeColor="text1"/>
          <w:sz w:val="36"/>
          <w:szCs w:val="21"/>
          <w14:textFill>
            <w14:solidFill>
              <w14:schemeClr w14:val="tx1"/>
            </w14:solidFill>
          </w14:textFill>
        </w:rPr>
      </w:pPr>
      <w:r>
        <w:rPr>
          <w:rFonts w:ascii="宋体" w:hAnsi="宋体"/>
          <w:b/>
          <w:color w:val="000000" w:themeColor="text1"/>
          <w:sz w:val="36"/>
          <w:szCs w:val="21"/>
          <w14:textFill>
            <w14:solidFill>
              <w14:schemeClr w14:val="tx1"/>
            </w14:solidFill>
          </w14:textFill>
        </w:rPr>
      </w:r>
      <w:r/>
    </w:p>
    <w:p>
      <w:pPr>
        <w:ind w:firstLine="723"/>
        <w:jc w:val="center"/>
        <w:rPr>
          <w:rFonts w:ascii="宋体" w:hAnsi="宋体"/>
          <w:b/>
          <w:color w:val="000000" w:themeColor="text1"/>
          <w:sz w:val="36"/>
          <w:szCs w:val="21"/>
          <w14:textFill>
            <w14:solidFill>
              <w14:schemeClr w14:val="tx1"/>
            </w14:solidFill>
          </w14:textFill>
        </w:rPr>
      </w:pPr>
      <w:r>
        <w:rPr>
          <w:rFonts w:ascii="宋体" w:hAnsi="宋体"/>
          <w:b/>
          <w:color w:val="000000" w:themeColor="text1"/>
          <w:sz w:val="36"/>
          <w:szCs w:val="21"/>
          <w14:textFill>
            <w14:solidFill>
              <w14:schemeClr w14:val="tx1"/>
            </w14:solidFill>
          </w14:textFill>
        </w:rPr>
      </w:r>
      <w:r/>
    </w:p>
    <w:p>
      <w:pPr>
        <w:ind w:firstLine="723"/>
        <w:jc w:val="center"/>
        <w:rPr>
          <w:rFonts w:ascii="宋体" w:hAnsi="宋体"/>
          <w:b/>
          <w:color w:val="000000" w:themeColor="text1"/>
          <w:sz w:val="36"/>
          <w:szCs w:val="21"/>
          <w14:textFill>
            <w14:solidFill>
              <w14:schemeClr w14:val="tx1"/>
            </w14:solidFill>
          </w14:textFill>
        </w:rPr>
      </w:pPr>
      <w:r>
        <w:rPr>
          <w:rFonts w:ascii="宋体" w:hAnsi="宋体"/>
          <w:b/>
          <w:color w:val="000000" w:themeColor="text1"/>
          <w:sz w:val="36"/>
          <w:szCs w:val="21"/>
          <w14:textFill>
            <w14:solidFill>
              <w14:schemeClr w14:val="tx1"/>
            </w14:solidFill>
          </w14:textFill>
        </w:rPr>
      </w:r>
      <w:r/>
    </w:p>
    <w:p>
      <w:pPr>
        <w:ind w:firstLine="803"/>
        <w:spacing w:line="480" w:lineRule="exact"/>
        <w:rPr>
          <w:rFonts w:ascii="宋体" w:hAnsi="宋体"/>
          <w:b/>
          <w:color w:val="000000" w:themeColor="text1"/>
          <w:sz w:val="40"/>
          <w14:textFill>
            <w14:solidFill>
              <w14:schemeClr w14:val="tx1"/>
            </w14:solidFill>
          </w14:textFill>
        </w:rPr>
      </w:pPr>
      <w:r>
        <w:rPr>
          <w:rFonts w:hint="eastAsia" w:ascii="宋体" w:hAnsi="宋体"/>
          <w:b/>
          <w:color w:val="000000" w:themeColor="text1"/>
          <w:sz w:val="40"/>
          <w14:textFill>
            <w14:solidFill>
              <w14:schemeClr w14:val="tx1"/>
            </w14:solidFill>
          </w14:textFill>
        </w:rPr>
        <w:t xml:space="preserve">项 目 名 称：</w:t>
      </w:r>
      <w:r>
        <w:rPr>
          <w:rFonts w:hint="eastAsia" w:ascii="宋体" w:hAnsi="宋体"/>
          <w:b/>
          <w:color w:val="000000" w:themeColor="text1"/>
          <w:sz w:val="36"/>
          <w:szCs w:val="24"/>
          <w14:textFill>
            <w14:solidFill>
              <w14:schemeClr w14:val="tx1"/>
            </w14:solidFill>
          </w14:textFill>
        </w:rPr>
        <w:t xml:space="preserve">莫城街道2025-2026年度三环外区域（市级移交属地管护区域）绿化养护</w:t>
      </w:r>
      <w:r/>
    </w:p>
    <w:p>
      <w:pPr>
        <w:ind w:firstLine="803"/>
        <w:spacing w:line="480" w:lineRule="exact"/>
        <w:rPr>
          <w:rFonts w:ascii="宋体" w:hAnsi="宋体"/>
          <w:b/>
          <w:color w:val="000000" w:themeColor="text1"/>
          <w:sz w:val="40"/>
          <w14:textFill>
            <w14:solidFill>
              <w14:schemeClr w14:val="tx1"/>
            </w14:solidFill>
          </w14:textFill>
        </w:rPr>
      </w:pPr>
      <w:r>
        <w:rPr>
          <w:rFonts w:ascii="宋体" w:hAnsi="宋体"/>
          <w:b/>
          <w:color w:val="000000" w:themeColor="text1"/>
          <w:sz w:val="40"/>
          <w14:textFill>
            <w14:solidFill>
              <w14:schemeClr w14:val="tx1"/>
            </w14:solidFill>
          </w14:textFill>
        </w:rPr>
      </w:r>
      <w:r/>
    </w:p>
    <w:p>
      <w:pPr>
        <w:ind w:firstLine="803"/>
        <w:spacing w:line="480" w:lineRule="exact"/>
        <w:rPr>
          <w:rFonts w:hint="eastAsia" w:ascii="宋体" w:hAnsi="宋体" w:eastAsia="宋体"/>
          <w:b/>
          <w:color w:val="000000" w:themeColor="text1"/>
          <w:sz w:val="40"/>
          <w:u w:val="single"/>
          <w:lang w:eastAsia="zh-CN"/>
          <w14:textFill>
            <w14:solidFill>
              <w14:schemeClr w14:val="tx1"/>
            </w14:solidFill>
          </w14:textFill>
        </w:rPr>
      </w:pPr>
      <w:r>
        <w:rPr>
          <w:rFonts w:hint="eastAsia" w:ascii="宋体" w:hAnsi="宋体"/>
          <w:b/>
          <w:color w:val="000000" w:themeColor="text1"/>
          <w:sz w:val="40"/>
          <w14:textFill>
            <w14:solidFill>
              <w14:schemeClr w14:val="tx1"/>
            </w14:solidFill>
          </w14:textFill>
        </w:rPr>
        <w:t xml:space="preserve">项 目 编 号：</w:t>
      </w:r>
      <w:r>
        <w:rPr>
          <w:rFonts w:hint="eastAsia" w:ascii="宋体" w:hAnsi="宋体"/>
          <w:b/>
          <w:color w:val="000000" w:themeColor="text1"/>
          <w:sz w:val="36"/>
          <w:szCs w:val="24"/>
          <w:lang w:eastAsia="zh-CN"/>
          <w14:textFill>
            <w14:solidFill>
              <w14:schemeClr w14:val="tx1"/>
            </w14:solidFill>
          </w14:textFill>
        </w:rPr>
        <w:t xml:space="preserve">JSZC-320581-SZXY-G2024-0064</w:t>
      </w:r>
      <w:r/>
    </w:p>
    <w:p>
      <w:pPr>
        <w:ind w:firstLine="803"/>
        <w:spacing w:line="480" w:lineRule="exact"/>
        <w:rPr>
          <w:rFonts w:ascii="宋体" w:hAnsi="宋体"/>
          <w:b/>
          <w:color w:val="000000" w:themeColor="text1"/>
          <w:sz w:val="40"/>
          <w14:textFill>
            <w14:solidFill>
              <w14:schemeClr w14:val="tx1"/>
            </w14:solidFill>
          </w14:textFill>
        </w:rPr>
      </w:pPr>
      <w:r>
        <w:rPr>
          <w:rFonts w:ascii="宋体" w:hAnsi="宋体"/>
          <w:b/>
          <w:color w:val="000000" w:themeColor="text1"/>
          <w:sz w:val="40"/>
          <w14:textFill>
            <w14:solidFill>
              <w14:schemeClr w14:val="tx1"/>
            </w14:solidFill>
          </w14:textFill>
        </w:rPr>
      </w:r>
      <w:r/>
    </w:p>
    <w:p>
      <w:pPr>
        <w:ind w:firstLine="803"/>
        <w:spacing w:line="480" w:lineRule="exact"/>
        <w:rPr>
          <w:rFonts w:ascii="宋体" w:hAnsi="宋体"/>
          <w:b/>
          <w:color w:val="000000" w:themeColor="text1"/>
          <w:sz w:val="40"/>
          <w14:textFill>
            <w14:solidFill>
              <w14:schemeClr w14:val="tx1"/>
            </w14:solidFill>
          </w14:textFill>
        </w:rPr>
      </w:pPr>
      <w:r>
        <w:rPr>
          <w:rFonts w:ascii="宋体" w:hAnsi="宋体"/>
          <w:b/>
          <w:color w:val="000000" w:themeColor="text1"/>
          <w:sz w:val="40"/>
          <w14:textFill>
            <w14:solidFill>
              <w14:schemeClr w14:val="tx1"/>
            </w14:solidFill>
          </w14:textFill>
        </w:rPr>
      </w:r>
      <w:r/>
    </w:p>
    <w:p>
      <w:pPr>
        <w:ind w:firstLine="803"/>
        <w:spacing w:line="480" w:lineRule="exact"/>
        <w:rPr>
          <w:rFonts w:ascii="宋体" w:hAnsi="宋体"/>
          <w:b/>
          <w:color w:val="000000" w:themeColor="text1"/>
          <w:sz w:val="40"/>
          <w14:textFill>
            <w14:solidFill>
              <w14:schemeClr w14:val="tx1"/>
            </w14:solidFill>
          </w14:textFill>
        </w:rPr>
      </w:pPr>
      <w:r>
        <w:rPr>
          <w:rFonts w:ascii="宋体" w:hAnsi="宋体"/>
          <w:b/>
          <w:color w:val="000000" w:themeColor="text1"/>
          <w:sz w:val="40"/>
          <w14:textFill>
            <w14:solidFill>
              <w14:schemeClr w14:val="tx1"/>
            </w14:solidFill>
          </w14:textFill>
        </w:rPr>
      </w:r>
      <w:r/>
    </w:p>
    <w:p>
      <w:pPr>
        <w:ind w:firstLine="803"/>
        <w:spacing w:line="480" w:lineRule="exact"/>
        <w:rPr>
          <w:rFonts w:ascii="宋体" w:hAnsi="宋体"/>
          <w:b/>
          <w:color w:val="000000" w:themeColor="text1"/>
          <w:sz w:val="40"/>
          <w14:textFill>
            <w14:solidFill>
              <w14:schemeClr w14:val="tx1"/>
            </w14:solidFill>
          </w14:textFill>
        </w:rPr>
      </w:pPr>
      <w:r>
        <w:rPr>
          <w:rFonts w:ascii="宋体" w:hAnsi="宋体"/>
          <w:b/>
          <w:color w:val="000000" w:themeColor="text1"/>
          <w:sz w:val="40"/>
          <w14:textFill>
            <w14:solidFill>
              <w14:schemeClr w14:val="tx1"/>
            </w14:solidFill>
          </w14:textFill>
        </w:rPr>
      </w:r>
      <w:r/>
    </w:p>
    <w:p>
      <w:pPr>
        <w:ind w:firstLine="803"/>
        <w:spacing w:line="480" w:lineRule="exact"/>
        <w:rPr>
          <w:rFonts w:ascii="宋体" w:hAnsi="宋体"/>
          <w:b/>
          <w:color w:val="000000" w:themeColor="text1"/>
          <w:sz w:val="40"/>
          <w14:textFill>
            <w14:solidFill>
              <w14:schemeClr w14:val="tx1"/>
            </w14:solidFill>
          </w14:textFill>
        </w:rPr>
      </w:pPr>
      <w:r>
        <w:rPr>
          <w:rFonts w:ascii="宋体" w:hAnsi="宋体"/>
          <w:b/>
          <w:color w:val="000000" w:themeColor="text1"/>
          <w:sz w:val="40"/>
          <w14:textFill>
            <w14:solidFill>
              <w14:schemeClr w14:val="tx1"/>
            </w14:solidFill>
          </w14:textFill>
        </w:rPr>
      </w:r>
      <w:r/>
    </w:p>
    <w:p>
      <w:pPr>
        <w:ind w:firstLine="803"/>
        <w:spacing w:line="480" w:lineRule="exact"/>
        <w:rPr>
          <w:rFonts w:ascii="宋体" w:hAnsi="宋体"/>
          <w:b/>
          <w:color w:val="000000" w:themeColor="text1"/>
          <w:sz w:val="40"/>
          <w14:textFill>
            <w14:solidFill>
              <w14:schemeClr w14:val="tx1"/>
            </w14:solidFill>
          </w14:textFill>
        </w:rPr>
      </w:pPr>
      <w:r>
        <w:rPr>
          <w:rFonts w:ascii="宋体" w:hAnsi="宋体"/>
          <w:b/>
          <w:color w:val="000000" w:themeColor="text1"/>
          <w:sz w:val="40"/>
          <w14:textFill>
            <w14:solidFill>
              <w14:schemeClr w14:val="tx1"/>
            </w14:solidFill>
          </w14:textFill>
        </w:rPr>
      </w:r>
      <w:r/>
    </w:p>
    <w:p>
      <w:pPr>
        <w:ind w:firstLine="803"/>
        <w:spacing w:line="480" w:lineRule="exact"/>
        <w:rPr>
          <w:rFonts w:ascii="宋体" w:hAnsi="宋体"/>
          <w:b/>
          <w:color w:val="000000" w:themeColor="text1"/>
          <w:sz w:val="40"/>
          <w14:textFill>
            <w14:solidFill>
              <w14:schemeClr w14:val="tx1"/>
            </w14:solidFill>
          </w14:textFill>
        </w:rPr>
      </w:pPr>
      <w:r>
        <w:rPr>
          <w:rFonts w:ascii="宋体" w:hAnsi="宋体"/>
          <w:b/>
          <w:color w:val="000000" w:themeColor="text1"/>
          <w:sz w:val="40"/>
          <w14:textFill>
            <w14:solidFill>
              <w14:schemeClr w14:val="tx1"/>
            </w14:solidFill>
          </w14:textFill>
        </w:rPr>
      </w:r>
      <w:r/>
    </w:p>
    <w:p>
      <w:pPr>
        <w:ind w:firstLine="803"/>
        <w:spacing w:line="480" w:lineRule="exact"/>
        <w:rPr>
          <w:rFonts w:ascii="宋体" w:hAnsi="宋体"/>
          <w:b/>
          <w:color w:val="000000" w:themeColor="text1"/>
          <w:sz w:val="40"/>
          <w14:textFill>
            <w14:solidFill>
              <w14:schemeClr w14:val="tx1"/>
            </w14:solidFill>
          </w14:textFill>
        </w:rPr>
      </w:pPr>
      <w:r>
        <w:rPr>
          <w:rFonts w:ascii="宋体" w:hAnsi="宋体"/>
          <w:b/>
          <w:color w:val="000000" w:themeColor="text1"/>
          <w:sz w:val="40"/>
          <w14:textFill>
            <w14:solidFill>
              <w14:schemeClr w14:val="tx1"/>
            </w14:solidFill>
          </w14:textFill>
        </w:rPr>
      </w:r>
      <w:r/>
    </w:p>
    <w:p>
      <w:pPr>
        <w:jc w:val="center"/>
        <w:spacing w:line="480" w:lineRule="exact"/>
        <w:rPr>
          <w:rFonts w:ascii="宋体" w:hAnsi="宋体"/>
          <w:b/>
          <w:color w:val="000000" w:themeColor="text1"/>
          <w:sz w:val="40"/>
          <w:u w:val="single"/>
          <w14:textFill>
            <w14:solidFill>
              <w14:schemeClr w14:val="tx1"/>
            </w14:solidFill>
          </w14:textFill>
        </w:rPr>
      </w:pPr>
      <w:r>
        <w:rPr>
          <w:rFonts w:hint="eastAsia" w:ascii="宋体" w:hAnsi="宋体"/>
          <w:b/>
          <w:color w:val="000000" w:themeColor="text1"/>
          <w:sz w:val="40"/>
          <w14:textFill>
            <w14:solidFill>
              <w14:schemeClr w14:val="tx1"/>
            </w14:solidFill>
          </w14:textFill>
        </w:rPr>
        <w:t xml:space="preserve">投标人名称 ：</w:t>
      </w:r>
      <w:r>
        <w:rPr>
          <w:rFonts w:hint="eastAsia" w:ascii="宋体" w:hAnsi="宋体"/>
          <w:b/>
          <w:color w:val="000000" w:themeColor="text1"/>
          <w:sz w:val="40"/>
          <w:u w:val="single"/>
          <w14:textFill>
            <w14:solidFill>
              <w14:schemeClr w14:val="tx1"/>
            </w14:solidFill>
          </w14:textFill>
        </w:rPr>
        <w:t xml:space="preserve">（加盖CA电子公章）</w:t>
      </w:r>
      <w:r/>
    </w:p>
    <w:p>
      <w:pPr>
        <w:ind w:firstLine="803"/>
        <w:jc w:val="center"/>
        <w:spacing w:line="480" w:lineRule="exact"/>
        <w:rPr>
          <w:rFonts w:ascii="宋体" w:hAnsi="宋体"/>
          <w:b/>
          <w:color w:val="000000" w:themeColor="text1"/>
          <w:sz w:val="40"/>
          <w14:textFill>
            <w14:solidFill>
              <w14:schemeClr w14:val="tx1"/>
            </w14:solidFill>
          </w14:textFill>
        </w:rPr>
      </w:pPr>
      <w:r>
        <w:rPr>
          <w:rFonts w:ascii="宋体" w:hAnsi="宋体"/>
          <w:b/>
          <w:color w:val="000000" w:themeColor="text1"/>
          <w:sz w:val="40"/>
          <w14:textFill>
            <w14:solidFill>
              <w14:schemeClr w14:val="tx1"/>
            </w14:solidFill>
          </w14:textFill>
        </w:rPr>
      </w:r>
      <w:r/>
    </w:p>
    <w:p>
      <w:pPr>
        <w:jc w:val="center"/>
        <w:spacing w:line="480" w:lineRule="exact"/>
        <w:rPr>
          <w:rFonts w:ascii="宋体" w:hAnsi="宋体"/>
          <w:b/>
          <w:color w:val="000000" w:themeColor="text1"/>
          <w:sz w:val="40"/>
          <w:u w:val="single"/>
          <w14:textFill>
            <w14:solidFill>
              <w14:schemeClr w14:val="tx1"/>
            </w14:solidFill>
          </w14:textFill>
        </w:rPr>
      </w:pPr>
      <w:r>
        <w:rPr>
          <w:rFonts w:hint="eastAsia" w:ascii="宋体" w:hAnsi="宋体"/>
          <w:b/>
          <w:color w:val="000000" w:themeColor="text1"/>
          <w:sz w:val="40"/>
          <w14:textFill>
            <w14:solidFill>
              <w14:schemeClr w14:val="tx1"/>
            </w14:solidFill>
          </w14:textFill>
        </w:rPr>
        <w:t xml:space="preserve">日      期 ：</w:t>
      </w:r>
      <w:r>
        <w:rPr>
          <w:rFonts w:hint="eastAsia" w:ascii="宋体" w:hAnsi="宋体"/>
          <w:b/>
          <w:color w:val="000000" w:themeColor="text1"/>
          <w:sz w:val="36"/>
          <w:szCs w:val="24"/>
          <w14:textFill>
            <w14:solidFill>
              <w14:schemeClr w14:val="tx1"/>
            </w14:solidFill>
          </w14:textFill>
        </w:rPr>
        <w:t xml:space="preserve">202</w:t>
      </w:r>
      <w:r>
        <w:rPr>
          <w:rFonts w:ascii="宋体" w:hAnsi="宋体"/>
          <w:b/>
          <w:color w:val="000000" w:themeColor="text1"/>
          <w:sz w:val="36"/>
          <w:szCs w:val="24"/>
          <w14:textFill>
            <w14:solidFill>
              <w14:schemeClr w14:val="tx1"/>
            </w14:solidFill>
          </w14:textFill>
        </w:rPr>
        <w:t xml:space="preserve">4</w:t>
      </w:r>
      <w:r>
        <w:rPr>
          <w:b/>
          <w:color w:val="000000" w:themeColor="text1"/>
          <w:sz w:val="40"/>
          <w:szCs w:val="40"/>
          <w14:textFill>
            <w14:solidFill>
              <w14:schemeClr w14:val="tx1"/>
            </w14:solidFill>
          </w14:textFill>
        </w:rPr>
        <w:t xml:space="preserve">年</w:t>
      </w:r>
      <w:r>
        <w:rPr>
          <w:rFonts w:hint="eastAsia"/>
          <w:b/>
          <w:color w:val="000000" w:themeColor="text1"/>
          <w:sz w:val="40"/>
          <w:szCs w:val="40"/>
          <w14:textFill>
            <w14:solidFill>
              <w14:schemeClr w14:val="tx1"/>
            </w14:solidFill>
          </w14:textFill>
        </w:rPr>
        <w:t xml:space="preserve">   </w:t>
      </w:r>
      <w:r>
        <w:rPr>
          <w:b/>
          <w:color w:val="000000" w:themeColor="text1"/>
          <w:sz w:val="40"/>
          <w:szCs w:val="40"/>
          <w14:textFill>
            <w14:solidFill>
              <w14:schemeClr w14:val="tx1"/>
            </w14:solidFill>
          </w14:textFill>
        </w:rPr>
        <w:t xml:space="preserve">月     日</w:t>
      </w:r>
      <w:r/>
    </w:p>
    <w:p>
      <w:pPr>
        <w:spacing w:line="44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p>
      <w:pPr>
        <w:ind w:firstLine="643"/>
        <w:jc w:val="left"/>
        <w:widowControl/>
        <w:rPr>
          <w:rFonts w:ascii="宋体" w:hAnsi="宋体"/>
          <w:b/>
          <w:bCs/>
          <w:color w:val="000000" w:themeColor="text1"/>
          <w:sz w:val="32"/>
          <w:szCs w:val="32"/>
          <w14:textFill>
            <w14:solidFill>
              <w14:schemeClr w14:val="tx1"/>
            </w14:solidFill>
          </w14:textFill>
        </w:rPr>
      </w:pPr>
      <w:r>
        <w:rPr>
          <w:rFonts w:ascii="宋体" w:hAnsi="宋体"/>
          <w:b/>
          <w:bCs/>
          <w:color w:val="000000" w:themeColor="text1"/>
          <w:sz w:val="32"/>
          <w:szCs w:val="32"/>
          <w14:textFill>
            <w14:solidFill>
              <w14:schemeClr w14:val="tx1"/>
            </w14:solidFill>
          </w14:textFill>
        </w:rPr>
        <w:br w:type="page" w:clear="all"/>
      </w:r>
      <w:r/>
    </w:p>
    <w:p>
      <w:pPr>
        <w:ind w:firstLine="643"/>
        <w:jc w:val="center"/>
        <w:spacing w:line="440" w:lineRule="exact"/>
        <w:rPr>
          <w:rFonts w:ascii="宋体" w:hAnsi="宋体"/>
          <w:b/>
          <w:bCs/>
          <w:color w:val="000000" w:themeColor="text1"/>
          <w:sz w:val="32"/>
          <w:szCs w:val="32"/>
          <w14:textFill>
            <w14:solidFill>
              <w14:schemeClr w14:val="tx1"/>
            </w14:solidFill>
          </w14:textFill>
        </w:rPr>
      </w:pPr>
      <w:r>
        <w:rPr>
          <w:rFonts w:hint="eastAsia" w:ascii="宋体" w:hAnsi="宋体"/>
          <w:b/>
          <w:bCs/>
          <w:color w:val="000000" w:themeColor="text1"/>
          <w:sz w:val="32"/>
          <w:szCs w:val="32"/>
          <w14:textFill>
            <w14:solidFill>
              <w14:schemeClr w14:val="tx1"/>
            </w14:solidFill>
          </w14:textFill>
        </w:rPr>
        <w:t xml:space="preserve">投标文件目录</w:t>
      </w:r>
      <w:r/>
    </w:p>
    <w:p>
      <w:pPr>
        <w:ind w:firstLine="482"/>
        <w:spacing w:line="440" w:lineRule="exact"/>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一、基本目录</w:t>
      </w:r>
      <w:r/>
    </w:p>
    <w:p>
      <w:pPr>
        <w:ind w:firstLine="72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1、开标一览表（格式见附件）</w:t>
      </w:r>
      <w:r/>
    </w:p>
    <w:p>
      <w:pPr>
        <w:ind w:firstLine="482"/>
        <w:spacing w:line="440" w:lineRule="exact"/>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二、资格审查内容</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rPr>
          <w:rFonts w:hint="eastAsia" w:ascii="宋体" w:hAnsi="宋体" w:cs="宋体"/>
          <w:color w:val="000000" w:themeColor="text1"/>
          <w:sz w:val="24"/>
          <w:szCs w:val="24"/>
          <w14:textFill>
            <w14:solidFill>
              <w14:schemeClr w14:val="tx1"/>
            </w14:solidFill>
          </w14:textFill>
        </w:rPr>
        <w:t xml:space="preserve">满足《中华人民共和国政府采购法》第二十二条规定，并提供下列材料：</w:t>
      </w:r>
      <w:r/>
    </w:p>
    <w:p>
      <w:pPr>
        <w:ind w:firstLine="72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 法人或者其他组织的营业执照等证明文件；</w:t>
      </w:r>
      <w:r/>
    </w:p>
    <w:p>
      <w:pPr>
        <w:ind w:firstLine="72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1.2 202</w:t>
      </w:r>
      <w:r>
        <w:rPr>
          <w:rFonts w:hint="eastAsia" w:ascii="宋体" w:hAnsi="宋体" w:cs="宋体"/>
          <w:color w:val="000000" w:themeColor="text1"/>
          <w:sz w:val="24"/>
          <w:lang w:val="en-US" w:eastAsia="zh-CN"/>
          <w14:textFill>
            <w14:solidFill>
              <w14:schemeClr w14:val="tx1"/>
            </w14:solidFill>
          </w14:textFill>
        </w:rPr>
        <w:t xml:space="preserve">3</w:t>
      </w:r>
      <w:r>
        <w:rPr>
          <w:rFonts w:hint="eastAsia" w:ascii="宋体" w:hAnsi="宋体" w:cs="宋体"/>
          <w:color w:val="000000" w:themeColor="text1"/>
          <w:sz w:val="24"/>
          <w14:textFill>
            <w14:solidFill>
              <w14:schemeClr w14:val="tx1"/>
            </w14:solidFill>
          </w14:textFill>
        </w:rPr>
        <w:t xml:space="preserve">年度至今任意一期的财务报告（财务报表）或金融机构（中介机构）出具的资信证明</w:t>
      </w:r>
      <w:r>
        <w:rPr>
          <w:rFonts w:hint="eastAsia" w:ascii="宋体" w:hAnsi="宋体" w:cs="宋体"/>
          <w:color w:val="000000" w:themeColor="text1"/>
          <w:sz w:val="24"/>
          <w:szCs w:val="24"/>
          <w14:textFill>
            <w14:solidFill>
              <w14:schemeClr w14:val="tx1"/>
            </w14:solidFill>
          </w14:textFill>
        </w:rPr>
        <w:t xml:space="preserve">；</w:t>
      </w:r>
      <w:r/>
    </w:p>
    <w:p>
      <w:pPr>
        <w:ind w:firstLine="72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1.3 具备履行合同所必需的设备和专业技术能力的书面声明（格式见附件）</w:t>
      </w:r>
      <w:r/>
    </w:p>
    <w:p>
      <w:pPr>
        <w:ind w:firstLine="72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1.4 依法缴纳税收和社会保障资金的相关材料（提供投标截止时间前一年内至少一个月依法缴纳税收及缴纳社会保障资金的证明材料</w:t>
      </w:r>
      <w:r>
        <w:rPr>
          <w:rFonts w:hint="eastAsia" w:ascii="宋体" w:hAnsi="宋体" w:cs="宋体"/>
          <w:color w:val="000000" w:themeColor="text1"/>
          <w:sz w:val="24"/>
          <w:szCs w:val="24"/>
          <w14:textFill>
            <w14:solidFill>
              <w14:schemeClr w14:val="tx1"/>
            </w14:solidFill>
          </w14:textFill>
        </w:rPr>
        <w:t xml:space="preserve">，如投标人缴纳税收的凭据、缴纳社会保险的专用收据或社会保险缴纳清单</w:t>
      </w:r>
      <w:r>
        <w:rPr>
          <w:rFonts w:hint="eastAsia" w:ascii="宋体" w:hAnsi="宋体" w:cs="宋体"/>
          <w:color w:val="000000" w:themeColor="text1"/>
          <w:sz w:val="24"/>
          <w14:textFill>
            <w14:solidFill>
              <w14:schemeClr w14:val="tx1"/>
            </w14:solidFill>
          </w14:textFill>
        </w:rPr>
        <w:t xml:space="preserve">。投标人依法享受免缴税收、社会保障资金的提供证明材料。）</w:t>
      </w:r>
      <w:r/>
    </w:p>
    <w:p>
      <w:pPr>
        <w:ind w:firstLine="72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1.5 参加政府采购活动前 3 年内在经营活动中没有重大违法记录的书面声明（格式见附件）</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2、中小企业声明函（格式见附件）或残疾人福利性单位声明函（格式见附件）或省级以上监狱管理局、戒毒管理局（含新疆生产建设兵团）出具的属于监狱企业的证明文件。</w:t>
      </w:r>
      <w:r/>
    </w:p>
    <w:p>
      <w:pPr>
        <w:ind w:firstLine="482"/>
        <w:spacing w:line="440" w:lineRule="exact"/>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三、符合性审查内容</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1、投标函（格式见附件）</w:t>
      </w:r>
      <w:r/>
    </w:p>
    <w:p>
      <w:pPr>
        <w:ind w:firstLine="480"/>
        <w:spacing w:line="400" w:lineRule="exact"/>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2、法人授权书（格式见附件</w:t>
      </w:r>
      <w:r>
        <w:rPr>
          <w:rFonts w:hint="eastAsia" w:ascii="宋体" w:hAnsi="宋体" w:cs="宋体"/>
          <w:color w:val="000000" w:themeColor="text1"/>
          <w:sz w:val="24"/>
          <w:lang w:eastAsia="zh-CN"/>
          <w14:textFill>
            <w14:solidFill>
              <w14:schemeClr w14:val="tx1"/>
            </w14:solidFill>
          </w14:textFill>
        </w:rPr>
        <w:t xml:space="preserve">，</w:t>
      </w:r>
      <w:r>
        <w:rPr>
          <w:rFonts w:hint="eastAsia" w:ascii="Times New Roman" w:hAnsi="Times New Roman"/>
          <w:color w:val="000000" w:themeColor="text1"/>
          <w:sz w:val="24"/>
          <w:szCs w:val="24"/>
          <w14:textFill>
            <w14:solidFill>
              <w14:schemeClr w14:val="tx1"/>
            </w14:solidFill>
          </w14:textFill>
        </w:rPr>
        <w:t xml:space="preserve">如法定代表人参加投标，“法人授权书”可不提供，但需提供法人代表人身份证正反面扫描件</w:t>
      </w:r>
      <w:r>
        <w:rPr>
          <w:rFonts w:hint="eastAsia" w:ascii="宋体" w:hAnsi="宋体" w:cs="宋体"/>
          <w:color w:val="000000" w:themeColor="text1"/>
          <w:sz w:val="24"/>
          <w14:textFill>
            <w14:solidFill>
              <w14:schemeClr w14:val="tx1"/>
            </w14:solidFill>
          </w14:textFill>
        </w:rPr>
        <w:t xml:space="preserve">）</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3、实质性要求响应及偏离表（格式见附件）</w:t>
      </w:r>
      <w:r/>
    </w:p>
    <w:p>
      <w:pPr>
        <w:ind w:firstLine="480"/>
        <w:spacing w:line="440" w:lineRule="exact"/>
        <w:rPr>
          <w:rFonts w:hint="eastAsia" w:ascii="宋体" w:hAnsi="宋体" w:cs="宋体"/>
          <w:b/>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4</w:t>
      </w:r>
      <w:r>
        <w:rPr>
          <w:rFonts w:hint="eastAsia" w:ascii="宋体" w:hAnsi="宋体" w:cs="宋体"/>
          <w:color w:val="000000" w:themeColor="text1"/>
          <w:sz w:val="24"/>
          <w14:textFill>
            <w14:solidFill>
              <w14:schemeClr w14:val="tx1"/>
            </w14:solidFill>
          </w14:textFill>
        </w:rPr>
        <w:t xml:space="preserve">、报价明细表（格式见附件）</w:t>
      </w:r>
      <w:r/>
    </w:p>
    <w:p>
      <w:pPr>
        <w:ind w:firstLine="482"/>
        <w:spacing w:line="440" w:lineRule="exact"/>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四、综合评审文件</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1、项目服务要求响应及偏离表（格式见附件）</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2、项目方案（格式见附件）</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3、人员配置情况（格式见附件）</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4、养护车辆配备一览表（格式见附件）</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5、设备工具一览表（格式详见附件）</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6、业绩一览表（格式详见附件）</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7、商务要求响应及偏离表（格式详见附件）</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8、其他</w:t>
      </w:r>
      <w:r/>
    </w:p>
    <w:p>
      <w:pPr>
        <w:ind w:firstLine="482"/>
        <w:spacing w:line="440" w:lineRule="exact"/>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备注：针对“二、资格审查内容”和“三、符合性审查内容”，投标人必须在投标文件中提供相关材料，若有缺失或无效的，将导致其投标无效。</w:t>
      </w:r>
      <w:r/>
    </w:p>
    <w:p>
      <w:pPr>
        <w:ind w:firstLine="482"/>
        <w:jc w:val="center"/>
        <w:spacing w:line="440" w:lineRule="exact"/>
        <w:rPr>
          <w:rFonts w:ascii="Times New Roman" w:hAnsi="Times New Roman"/>
          <w:b/>
          <w:bCs/>
          <w:color w:val="000000" w:themeColor="text1"/>
          <w:sz w:val="28"/>
          <w:szCs w:val="28"/>
          <w14:textFill>
            <w14:solidFill>
              <w14:schemeClr w14:val="tx1"/>
            </w14:solidFill>
          </w14:textFill>
        </w:rPr>
        <w:outlineLvl w:val="1"/>
      </w:pPr>
      <w:r>
        <w:rPr>
          <w:rFonts w:hint="eastAsia" w:ascii="宋体" w:hAnsi="宋体"/>
          <w:b/>
          <w:color w:val="000000" w:themeColor="text1"/>
          <w:sz w:val="24"/>
          <w:szCs w:val="24"/>
          <w14:textFill>
            <w14:solidFill>
              <w14:schemeClr w14:val="tx1"/>
            </w14:solidFill>
          </w14:textFill>
        </w:rPr>
        <w:br w:type="page" w:clear="all"/>
      </w:r>
      <w:bookmarkStart w:id="217" w:name="_Toc18232"/>
      <w:r>
        <w:rPr>
          <w:rFonts w:hint="eastAsia" w:ascii="Times New Roman" w:hAnsi="Times New Roman"/>
          <w:b/>
          <w:bCs/>
          <w:color w:val="000000" w:themeColor="text1"/>
          <w:sz w:val="28"/>
          <w:szCs w:val="28"/>
          <w14:textFill>
            <w14:solidFill>
              <w14:schemeClr w14:val="tx1"/>
            </w14:solidFill>
          </w14:textFill>
        </w:rPr>
        <w:t xml:space="preserve">附件1 开标一览表</w:t>
      </w:r>
      <w:bookmarkEnd w:id="217"/>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spacing w:line="44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投标人全称（加盖CA电子签章）：</w:t>
      </w:r>
      <w:r/>
    </w:p>
    <w:p>
      <w:pPr>
        <w:ind w:firstLine="482"/>
        <w:spacing w:line="440" w:lineRule="exact"/>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项目名称：莫城街道2025-2026年度三环外区域（市级移交属地管护区域）绿化养护</w:t>
      </w:r>
      <w:r/>
    </w:p>
    <w:p>
      <w:pPr>
        <w:ind w:firstLine="482"/>
        <w:spacing w:line="440" w:lineRule="exact"/>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项目编号：</w:t>
      </w:r>
      <w:r>
        <w:rPr>
          <w:rFonts w:hint="eastAsia" w:ascii="宋体" w:hAnsi="宋体"/>
          <w:color w:val="000000" w:themeColor="text1"/>
          <w:sz w:val="24"/>
          <w:szCs w:val="24"/>
          <w:lang w:eastAsia="zh-CN"/>
          <w14:textFill>
            <w14:solidFill>
              <w14:schemeClr w14:val="tx1"/>
            </w14:solidFill>
          </w14:textFill>
        </w:rPr>
        <w:t xml:space="preserve">JSZC-320581-SZXY-G2024-0064</w:t>
      </w:r>
      <w:bookmarkEnd w:id="192"/>
      <w:bookmarkEnd w:id="193"/>
      <w:bookmarkEnd w:id="214"/>
      <w:bookmarkEnd w:id="215"/>
      <w:bookmarkEnd w:id="216"/>
      <w:r/>
    </w:p>
    <w:tbl>
      <w:tblPr>
        <w:tblStyle w:val="746"/>
        <w:tblpPr w:horzAnchor="page" w:tblpX="1318" w:vertAnchor="text" w:tblpY="279" w:leftFromText="180" w:topFromText="0" w:rightFromText="180" w:bottomFromText="0"/>
        <w:tblW w:w="96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24"/>
        <w:gridCol w:w="4745"/>
      </w:tblGrid>
      <w:tr>
        <w:trPr>
          <w:trHeight w:val="812"/>
        </w:trPr>
        <w:tc>
          <w:tcPr>
            <w:tcW w:w="4924"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项目名称</w:t>
            </w:r>
            <w:r/>
          </w:p>
        </w:tc>
        <w:tc>
          <w:tcPr>
            <w:tcW w:w="4745"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投标总报价</w:t>
            </w:r>
            <w:r/>
          </w:p>
        </w:tc>
      </w:tr>
      <w:tr>
        <w:trPr>
          <w:trHeight w:val="986"/>
        </w:trPr>
        <w:tc>
          <w:tcPr>
            <w:tcW w:w="4924" w:type="dxa"/>
            <w:vAlign w:val="center"/>
            <w:textDirection w:val="lrTb"/>
            <w:noWrap w:val="false"/>
          </w:tcPr>
          <w:p>
            <w:pPr>
              <w:jc w:val="center"/>
              <w:rPr>
                <w:rFonts w:ascii="宋体" w:hAnsi="宋体"/>
                <w:b/>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莫城街道2025-2026年度三环外区域（市级移交属地管护区域）绿化养护</w:t>
            </w:r>
            <w:r/>
          </w:p>
        </w:tc>
        <w:tc>
          <w:tcPr>
            <w:tcW w:w="4745" w:type="dxa"/>
            <w:vAlign w:val="center"/>
            <w:textDirection w:val="lrTb"/>
            <w:noWrap w:val="false"/>
          </w:tcPr>
          <w:p>
            <w:pPr>
              <w:rPr>
                <w:rFonts w:ascii="宋体" w:hAnsi="宋体"/>
                <w:b/>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小写：          （元人民币）</w:t>
            </w:r>
            <w:r/>
          </w:p>
        </w:tc>
      </w:tr>
      <w:tr>
        <w:trPr>
          <w:trHeight w:val="1015"/>
        </w:trPr>
        <w:tc>
          <w:tcPr>
            <w:tcW w:w="4924" w:type="dxa"/>
            <w:vAlign w:val="center"/>
            <w:textDirection w:val="lrTb"/>
            <w:noWrap w:val="false"/>
          </w:tcPr>
          <w:p>
            <w:pPr>
              <w:jc w:val="center"/>
              <w:rPr>
                <w:rFonts w:ascii="宋体" w:hAnsi="宋体"/>
                <w:b/>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投标报价</w:t>
            </w:r>
            <w:r/>
          </w:p>
        </w:tc>
        <w:tc>
          <w:tcPr>
            <w:tcW w:w="4745" w:type="dxa"/>
            <w:vAlign w:val="center"/>
            <w:textDirection w:val="lrTb"/>
            <w:noWrap w:val="false"/>
          </w:tcPr>
          <w:p>
            <w:pPr>
              <w:rPr>
                <w:rFonts w:ascii="宋体" w:hAnsi="宋体"/>
                <w:b/>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大写金额：</w:t>
            </w:r>
            <w:r/>
          </w:p>
        </w:tc>
      </w:tr>
    </w:tbl>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jc w:val="center"/>
        <w:spacing w:line="440" w:lineRule="exact"/>
        <w:rPr>
          <w:rFonts w:ascii="Times New Roman" w:hAnsi="Times New Roman"/>
          <w:b/>
          <w:bCs/>
          <w:color w:val="000000" w:themeColor="text1"/>
          <w:sz w:val="28"/>
          <w:szCs w:val="28"/>
          <w14:textFill>
            <w14:solidFill>
              <w14:schemeClr w14:val="tx1"/>
            </w14:solidFill>
          </w14:textFill>
        </w:rPr>
        <w:outlineLvl w:val="1"/>
      </w:pPr>
      <w:r>
        <w:rPr>
          <w:rFonts w:hint="eastAsia" w:ascii="宋体" w:hAnsi="宋体"/>
          <w:b/>
          <w:color w:val="000000" w:themeColor="text1"/>
          <w:sz w:val="24"/>
          <w:szCs w:val="24"/>
          <w14:textFill>
            <w14:solidFill>
              <w14:schemeClr w14:val="tx1"/>
            </w14:solidFill>
          </w14:textFill>
        </w:rPr>
        <w:br w:type="page" w:clear="all"/>
      </w:r>
      <w:bookmarkStart w:id="218" w:name="_Toc17626"/>
      <w:r>
        <w:rPr>
          <w:rFonts w:hint="eastAsia" w:ascii="Times New Roman" w:hAnsi="Times New Roman"/>
          <w:b/>
          <w:bCs/>
          <w:color w:val="000000" w:themeColor="text1"/>
          <w:sz w:val="28"/>
          <w:szCs w:val="28"/>
          <w14:textFill>
            <w14:solidFill>
              <w14:schemeClr w14:val="tx1"/>
            </w14:solidFill>
          </w14:textFill>
        </w:rPr>
        <w:t xml:space="preserve">附件2 报价明细表</w:t>
      </w:r>
      <w:bookmarkEnd w:id="218"/>
      <w:r/>
      <w:r/>
    </w:p>
    <w:tbl>
      <w:tblPr>
        <w:tblStyle w:val="717"/>
        <w:tblW w:w="9497"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1"/>
        <w:gridCol w:w="1341"/>
        <w:gridCol w:w="1452"/>
        <w:gridCol w:w="1229"/>
        <w:gridCol w:w="932"/>
        <w:gridCol w:w="967"/>
        <w:gridCol w:w="2235"/>
      </w:tblGrid>
      <w:tr>
        <w:trPr>
          <w:cantSplit/>
          <w:trHeight w:val="448"/>
        </w:trPr>
        <w:tc>
          <w:tcPr>
            <w:tcW w:w="1341" w:type="dxa"/>
            <w:vAlign w:val="center"/>
            <w:textDirection w:val="lrTb"/>
            <w:noWrap w:val="false"/>
          </w:tcPr>
          <w:p>
            <w:pPr>
              <w:rPr>
                <w:rFonts w:hint="eastAsia"/>
                <w:b/>
                <w:sz w:val="24"/>
              </w:rPr>
            </w:pPr>
            <w:r>
              <w:rPr>
                <w:rFonts w:hint="eastAsia"/>
                <w:b/>
                <w:sz w:val="24"/>
              </w:rPr>
              <w:t xml:space="preserve">费用名称</w:t>
            </w:r>
            <w:r/>
          </w:p>
        </w:tc>
        <w:tc>
          <w:tcPr>
            <w:tcW w:w="1341" w:type="dxa"/>
            <w:vAlign w:val="center"/>
            <w:textDirection w:val="lrTb"/>
            <w:noWrap w:val="false"/>
          </w:tcPr>
          <w:p>
            <w:pPr>
              <w:jc w:val="center"/>
              <w:rPr>
                <w:rFonts w:hint="eastAsia"/>
                <w:b/>
                <w:sz w:val="24"/>
              </w:rPr>
            </w:pPr>
            <w:r>
              <w:rPr>
                <w:rFonts w:hint="eastAsia"/>
                <w:b/>
                <w:sz w:val="24"/>
              </w:rPr>
              <w:t xml:space="preserve">人员类别</w:t>
            </w:r>
            <w:r/>
          </w:p>
        </w:tc>
        <w:tc>
          <w:tcPr>
            <w:tcW w:w="1452" w:type="dxa"/>
            <w:vAlign w:val="center"/>
            <w:textDirection w:val="lrTb"/>
            <w:noWrap w:val="false"/>
          </w:tcPr>
          <w:p>
            <w:pPr>
              <w:jc w:val="center"/>
              <w:rPr>
                <w:rFonts w:hint="eastAsia"/>
                <w:b/>
                <w:sz w:val="24"/>
              </w:rPr>
            </w:pPr>
            <w:r>
              <w:rPr>
                <w:rFonts w:hint="eastAsia"/>
                <w:b/>
                <w:sz w:val="24"/>
              </w:rPr>
              <w:t xml:space="preserve">费用名称</w:t>
            </w:r>
            <w:r/>
          </w:p>
        </w:tc>
        <w:tc>
          <w:tcPr>
            <w:tcW w:w="1229" w:type="dxa"/>
            <w:vAlign w:val="center"/>
            <w:textDirection w:val="lrTb"/>
            <w:noWrap w:val="false"/>
          </w:tcPr>
          <w:p>
            <w:pPr>
              <w:jc w:val="center"/>
              <w:rPr>
                <w:rFonts w:hint="eastAsia"/>
                <w:b/>
                <w:sz w:val="24"/>
              </w:rPr>
            </w:pPr>
            <w:r>
              <w:rPr>
                <w:rFonts w:hint="eastAsia"/>
                <w:b/>
                <w:sz w:val="24"/>
              </w:rPr>
              <w:t xml:space="preserve">单价</w:t>
            </w:r>
            <w:r/>
          </w:p>
        </w:tc>
        <w:tc>
          <w:tcPr>
            <w:tcW w:w="932" w:type="dxa"/>
            <w:vAlign w:val="center"/>
            <w:textDirection w:val="lrTb"/>
            <w:noWrap w:val="false"/>
          </w:tcPr>
          <w:p>
            <w:pPr>
              <w:jc w:val="center"/>
              <w:rPr>
                <w:rFonts w:hint="eastAsia"/>
                <w:b/>
                <w:sz w:val="24"/>
              </w:rPr>
            </w:pPr>
            <w:r>
              <w:rPr>
                <w:rFonts w:hint="eastAsia"/>
                <w:b/>
                <w:sz w:val="24"/>
              </w:rPr>
              <w:t xml:space="preserve">数量</w:t>
            </w:r>
            <w:r/>
          </w:p>
        </w:tc>
        <w:tc>
          <w:tcPr>
            <w:gridSpan w:val="2"/>
            <w:tcW w:w="3202" w:type="dxa"/>
            <w:vAlign w:val="center"/>
            <w:textDirection w:val="lrTb"/>
            <w:noWrap w:val="false"/>
          </w:tcPr>
          <w:p>
            <w:pPr>
              <w:jc w:val="center"/>
              <w:rPr>
                <w:rFonts w:hint="eastAsia"/>
                <w:b/>
                <w:sz w:val="24"/>
              </w:rPr>
            </w:pPr>
            <w:r>
              <w:rPr>
                <w:rFonts w:hint="eastAsia"/>
                <w:b/>
                <w:sz w:val="24"/>
              </w:rPr>
              <w:t xml:space="preserve">备注</w:t>
            </w:r>
            <w:r/>
          </w:p>
        </w:tc>
      </w:tr>
      <w:tr>
        <w:trPr>
          <w:cantSplit/>
          <w:trHeight w:val="710"/>
        </w:trPr>
        <w:tc>
          <w:tcPr>
            <w:tcW w:w="1341" w:type="dxa"/>
            <w:vAlign w:val="center"/>
            <w:vMerge w:val="restart"/>
            <w:textDirection w:val="lrTb"/>
            <w:noWrap w:val="false"/>
          </w:tcPr>
          <w:p>
            <w:pPr>
              <w:pStyle w:val="727"/>
              <w:rPr>
                <w:rFonts w:hint="eastAsia" w:ascii="Times New Roman"/>
                <w:sz w:val="24"/>
                <w:szCs w:val="24"/>
                <w:lang w:val="en-US" w:eastAsia="zh-CN"/>
              </w:rPr>
            </w:pPr>
            <w:r>
              <w:rPr>
                <w:rFonts w:hint="eastAsia" w:ascii="Times New Roman"/>
                <w:sz w:val="24"/>
                <w:szCs w:val="24"/>
                <w:lang w:val="en-US" w:eastAsia="zh-CN"/>
              </w:rPr>
              <w:t xml:space="preserve">人员工资福利费用</w:t>
            </w:r>
            <w:r/>
          </w:p>
        </w:tc>
        <w:tc>
          <w:tcPr>
            <w:tcW w:w="1341" w:type="dxa"/>
            <w:vAlign w:val="center"/>
            <w:vMerge w:val="restart"/>
            <w:textDirection w:val="lrTb"/>
            <w:noWrap w:val="false"/>
          </w:tcPr>
          <w:p>
            <w:pPr>
              <w:pStyle w:val="727"/>
              <w:spacing w:line="240" w:lineRule="auto"/>
              <w:rPr>
                <w:rFonts w:hint="eastAsia" w:ascii="Times New Roman"/>
                <w:sz w:val="24"/>
                <w:szCs w:val="24"/>
                <w:lang w:val="en-US" w:eastAsia="zh-CN"/>
              </w:rPr>
            </w:pPr>
            <w:r>
              <w:rPr>
                <w:rFonts w:hint="eastAsia" w:ascii="Times New Roman"/>
                <w:sz w:val="24"/>
                <w:szCs w:val="24"/>
                <w:lang w:val="en-US" w:eastAsia="zh-CN"/>
              </w:rPr>
            </w:r>
            <w:r/>
          </w:p>
        </w:tc>
        <w:tc>
          <w:tcPr>
            <w:tcW w:w="1452" w:type="dxa"/>
            <w:vAlign w:val="center"/>
            <w:textDirection w:val="lrTb"/>
            <w:noWrap w:val="false"/>
          </w:tcPr>
          <w:p>
            <w:pPr>
              <w:pStyle w:val="727"/>
              <w:spacing w:line="240" w:lineRule="auto"/>
              <w:rPr>
                <w:rFonts w:hint="eastAsia" w:ascii="Times New Roman"/>
                <w:sz w:val="24"/>
                <w:szCs w:val="24"/>
                <w:lang w:val="en-US" w:eastAsia="zh-CN"/>
              </w:rPr>
            </w:pPr>
            <w:r>
              <w:rPr>
                <w:rFonts w:hint="eastAsia" w:ascii="Times New Roman"/>
                <w:sz w:val="24"/>
                <w:szCs w:val="24"/>
                <w:lang w:val="en-US" w:eastAsia="zh-CN"/>
              </w:rPr>
            </w:r>
            <w:r/>
          </w:p>
        </w:tc>
        <w:tc>
          <w:tcPr>
            <w:tcW w:w="1229" w:type="dxa"/>
            <w:vAlign w:val="center"/>
            <w:textDirection w:val="lrTb"/>
            <w:noWrap w:val="false"/>
          </w:tcPr>
          <w:p>
            <w:pPr>
              <w:pStyle w:val="727"/>
              <w:spacing w:line="240" w:lineRule="auto"/>
              <w:rPr>
                <w:rFonts w:hint="eastAsia" w:ascii="Times New Roman"/>
                <w:sz w:val="24"/>
                <w:szCs w:val="24"/>
                <w:lang w:val="en-US" w:eastAsia="zh-CN"/>
              </w:rPr>
            </w:pPr>
            <w:r>
              <w:rPr>
                <w:rFonts w:hint="eastAsia" w:ascii="Times New Roman"/>
                <w:sz w:val="24"/>
                <w:szCs w:val="24"/>
                <w:lang w:val="en-US" w:eastAsia="zh-CN"/>
              </w:rPr>
            </w:r>
            <w:r/>
          </w:p>
        </w:tc>
        <w:tc>
          <w:tcPr>
            <w:tcW w:w="932" w:type="dxa"/>
            <w:vAlign w:val="center"/>
            <w:textDirection w:val="lrTb"/>
            <w:noWrap w:val="false"/>
          </w:tcPr>
          <w:p>
            <w:pPr>
              <w:pStyle w:val="727"/>
              <w:spacing w:line="240" w:lineRule="auto"/>
              <w:rPr>
                <w:rFonts w:hint="eastAsia" w:ascii="Times New Roman"/>
                <w:sz w:val="24"/>
                <w:szCs w:val="24"/>
                <w:lang w:val="en-US" w:eastAsia="zh-CN"/>
              </w:rPr>
            </w:pPr>
            <w:r>
              <w:rPr>
                <w:rFonts w:hint="eastAsia" w:ascii="Times New Roman"/>
                <w:sz w:val="24"/>
                <w:szCs w:val="24"/>
                <w:lang w:val="en-US" w:eastAsia="zh-CN"/>
              </w:rPr>
            </w:r>
            <w:r/>
          </w:p>
        </w:tc>
        <w:tc>
          <w:tcPr>
            <w:tcW w:w="967" w:type="dxa"/>
            <w:vAlign w:val="center"/>
            <w:textDirection w:val="lrTb"/>
            <w:noWrap w:val="false"/>
          </w:tcPr>
          <w:p>
            <w:pPr>
              <w:pStyle w:val="727"/>
              <w:rPr>
                <w:rFonts w:hint="eastAsia" w:ascii="Times New Roman"/>
                <w:lang w:val="en-US" w:eastAsia="zh-CN"/>
              </w:rPr>
            </w:pPr>
            <w:r>
              <w:rPr>
                <w:rFonts w:hint="eastAsia" w:ascii="Times New Roman"/>
                <w:lang w:val="en-US" w:eastAsia="zh-CN"/>
              </w:rPr>
            </w:r>
            <w:r/>
          </w:p>
        </w:tc>
        <w:tc>
          <w:tcPr>
            <w:tcW w:w="2235" w:type="dxa"/>
            <w:vAlign w:val="center"/>
            <w:vMerge w:val="restart"/>
            <w:textDirection w:val="lrTb"/>
            <w:noWrap w:val="false"/>
          </w:tcPr>
          <w:p>
            <w:pPr>
              <w:pStyle w:val="727"/>
              <w:rPr>
                <w:rFonts w:hint="eastAsia" w:ascii="Times New Roman"/>
                <w:lang w:val="en-US" w:eastAsia="zh-CN"/>
              </w:rPr>
            </w:pPr>
            <w:r>
              <w:rPr>
                <w:rFonts w:ascii="Times New Roman"/>
                <w:sz w:val="24"/>
                <w:szCs w:val="24"/>
                <w:lang w:val="en-US" w:eastAsia="zh-CN"/>
              </w:rPr>
              <w:t xml:space="preserve">费用名称：如每月基本工资加班费、服装费、过节福利费等</w:t>
            </w:r>
            <w:r/>
          </w:p>
        </w:tc>
      </w:tr>
      <w:tr>
        <w:trPr>
          <w:cantSplit/>
          <w:trHeight w:val="890"/>
        </w:trPr>
        <w:tc>
          <w:tcPr>
            <w:tcW w:w="1341" w:type="dxa"/>
            <w:vAlign w:val="center"/>
            <w:vMerge w:val="continue"/>
            <w:textDirection w:val="lrTb"/>
            <w:noWrap w:val="false"/>
          </w:tcPr>
          <w:p>
            <w:pPr>
              <w:jc w:val="center"/>
              <w:rPr>
                <w:sz w:val="24"/>
              </w:rPr>
            </w:pPr>
            <w:r>
              <w:rPr>
                <w:sz w:val="24"/>
              </w:rPr>
            </w:r>
            <w:r/>
          </w:p>
        </w:tc>
        <w:tc>
          <w:tcPr>
            <w:tcW w:w="1341" w:type="dxa"/>
            <w:vAlign w:val="center"/>
            <w:vMerge w:val="continue"/>
            <w:textDirection w:val="lrTb"/>
            <w:noWrap w:val="false"/>
          </w:tcPr>
          <w:p>
            <w:pPr>
              <w:rPr>
                <w:rFonts w:hint="eastAsia"/>
                <w:sz w:val="24"/>
              </w:rPr>
            </w:pPr>
            <w:r>
              <w:rPr>
                <w:rFonts w:hint="eastAsia"/>
                <w:sz w:val="24"/>
              </w:rPr>
            </w:r>
            <w:r/>
          </w:p>
        </w:tc>
        <w:tc>
          <w:tcPr>
            <w:tcW w:w="1452" w:type="dxa"/>
            <w:vAlign w:val="center"/>
            <w:textDirection w:val="lrTb"/>
            <w:noWrap w:val="false"/>
          </w:tcPr>
          <w:p>
            <w:pPr>
              <w:rPr>
                <w:rFonts w:hint="eastAsia"/>
                <w:sz w:val="24"/>
              </w:rPr>
            </w:pPr>
            <w:r>
              <w:rPr>
                <w:rFonts w:hint="eastAsia"/>
                <w:sz w:val="24"/>
              </w:rPr>
            </w:r>
            <w:r/>
          </w:p>
        </w:tc>
        <w:tc>
          <w:tcPr>
            <w:tcW w:w="1229" w:type="dxa"/>
            <w:vAlign w:val="center"/>
            <w:textDirection w:val="lrTb"/>
            <w:noWrap w:val="false"/>
          </w:tcPr>
          <w:p>
            <w:pPr>
              <w:rPr>
                <w:rFonts w:hint="eastAsia"/>
                <w:sz w:val="24"/>
              </w:rPr>
            </w:pPr>
            <w:r>
              <w:rPr>
                <w:rFonts w:hint="eastAsia"/>
                <w:sz w:val="24"/>
              </w:rPr>
            </w:r>
            <w:r/>
          </w:p>
        </w:tc>
        <w:tc>
          <w:tcPr>
            <w:tcW w:w="932" w:type="dxa"/>
            <w:vAlign w:val="center"/>
            <w:textDirection w:val="lrTb"/>
            <w:noWrap w:val="false"/>
          </w:tcPr>
          <w:p>
            <w:pPr>
              <w:rPr>
                <w:rFonts w:hint="eastAsia"/>
                <w:sz w:val="24"/>
              </w:rPr>
            </w:pPr>
            <w:r>
              <w:rPr>
                <w:rFonts w:hint="eastAsia"/>
                <w:sz w:val="24"/>
              </w:rPr>
            </w:r>
            <w:r/>
          </w:p>
        </w:tc>
        <w:tc>
          <w:tcPr>
            <w:tcW w:w="967" w:type="dxa"/>
            <w:vAlign w:val="center"/>
            <w:textDirection w:val="lrTb"/>
            <w:noWrap w:val="false"/>
          </w:tcPr>
          <w:p>
            <w:pPr>
              <w:rPr>
                <w:rFonts w:hint="eastAsia"/>
                <w:sz w:val="28"/>
              </w:rPr>
            </w:pPr>
            <w:r>
              <w:rPr>
                <w:rFonts w:hint="eastAsia"/>
                <w:sz w:val="28"/>
              </w:rPr>
            </w:r>
            <w:r/>
          </w:p>
        </w:tc>
        <w:tc>
          <w:tcPr>
            <w:tcW w:w="2235" w:type="dxa"/>
            <w:vAlign w:val="center"/>
            <w:vMerge w:val="continue"/>
            <w:textDirection w:val="lrTb"/>
            <w:noWrap w:val="false"/>
          </w:tcPr>
          <w:p>
            <w:pPr>
              <w:rPr>
                <w:rFonts w:hint="eastAsia"/>
                <w:sz w:val="28"/>
              </w:rPr>
            </w:pPr>
            <w:r>
              <w:rPr>
                <w:rFonts w:hint="eastAsia"/>
                <w:sz w:val="28"/>
              </w:rPr>
            </w:r>
            <w:r/>
          </w:p>
        </w:tc>
      </w:tr>
      <w:tr>
        <w:trPr>
          <w:cantSplit/>
          <w:trHeight w:val="448"/>
        </w:trPr>
        <w:tc>
          <w:tcPr>
            <w:tcW w:w="1341" w:type="dxa"/>
            <w:vAlign w:val="center"/>
            <w:vMerge w:val="continue"/>
            <w:textDirection w:val="lrTb"/>
            <w:noWrap w:val="false"/>
          </w:tcPr>
          <w:p>
            <w:pPr>
              <w:jc w:val="center"/>
              <w:rPr>
                <w:sz w:val="24"/>
              </w:rPr>
            </w:pPr>
            <w:r>
              <w:rPr>
                <w:sz w:val="24"/>
              </w:rPr>
            </w:r>
            <w:r/>
          </w:p>
        </w:tc>
        <w:tc>
          <w:tcPr>
            <w:tcW w:w="1341" w:type="dxa"/>
            <w:vAlign w:val="center"/>
            <w:vMerge w:val="continue"/>
            <w:textDirection w:val="lrTb"/>
            <w:noWrap w:val="false"/>
          </w:tcPr>
          <w:p>
            <w:pPr>
              <w:rPr>
                <w:rFonts w:hint="eastAsia"/>
                <w:sz w:val="24"/>
              </w:rPr>
            </w:pPr>
            <w:r>
              <w:rPr>
                <w:rFonts w:hint="eastAsia"/>
                <w:sz w:val="24"/>
              </w:rPr>
            </w:r>
            <w:r/>
          </w:p>
        </w:tc>
        <w:tc>
          <w:tcPr>
            <w:tcW w:w="1452" w:type="dxa"/>
            <w:vAlign w:val="center"/>
            <w:textDirection w:val="lrTb"/>
            <w:noWrap w:val="false"/>
          </w:tcPr>
          <w:p>
            <w:pPr>
              <w:rPr>
                <w:rFonts w:hint="eastAsia"/>
                <w:sz w:val="24"/>
              </w:rPr>
            </w:pPr>
            <w:r>
              <w:rPr>
                <w:sz w:val="24"/>
              </w:rPr>
              <w:t xml:space="preserve">……</w:t>
            </w:r>
            <w:r/>
          </w:p>
        </w:tc>
        <w:tc>
          <w:tcPr>
            <w:tcW w:w="1229" w:type="dxa"/>
            <w:vAlign w:val="center"/>
            <w:textDirection w:val="lrTb"/>
            <w:noWrap w:val="false"/>
          </w:tcPr>
          <w:p>
            <w:pPr>
              <w:rPr>
                <w:rFonts w:hint="eastAsia"/>
                <w:sz w:val="24"/>
                <w:szCs w:val="24"/>
              </w:rPr>
            </w:pPr>
            <w:r>
              <w:rPr>
                <w:rFonts w:hint="eastAsia"/>
                <w:sz w:val="24"/>
                <w:szCs w:val="24"/>
              </w:rPr>
            </w:r>
            <w:r/>
          </w:p>
        </w:tc>
        <w:tc>
          <w:tcPr>
            <w:tcW w:w="932" w:type="dxa"/>
            <w:vAlign w:val="center"/>
            <w:textDirection w:val="lrTb"/>
            <w:noWrap w:val="false"/>
          </w:tcPr>
          <w:p>
            <w:pPr>
              <w:rPr>
                <w:rFonts w:hint="eastAsia"/>
                <w:sz w:val="24"/>
                <w:szCs w:val="24"/>
              </w:rPr>
            </w:pPr>
            <w:r>
              <w:rPr>
                <w:rFonts w:hint="eastAsia"/>
                <w:sz w:val="24"/>
                <w:szCs w:val="24"/>
              </w:rPr>
            </w:r>
            <w:r/>
          </w:p>
        </w:tc>
        <w:tc>
          <w:tcPr>
            <w:tcW w:w="967" w:type="dxa"/>
            <w:vAlign w:val="center"/>
            <w:textDirection w:val="lrTb"/>
            <w:noWrap w:val="false"/>
          </w:tcPr>
          <w:p>
            <w:pPr>
              <w:pStyle w:val="727"/>
              <w:rPr>
                <w:rFonts w:hint="eastAsia" w:ascii="Times New Roman"/>
                <w:szCs w:val="24"/>
                <w:lang w:val="en-US" w:eastAsia="zh-CN"/>
              </w:rPr>
            </w:pPr>
            <w:r>
              <w:rPr>
                <w:rFonts w:hint="eastAsia" w:ascii="Times New Roman"/>
                <w:szCs w:val="24"/>
                <w:lang w:val="en-US" w:eastAsia="zh-CN"/>
              </w:rPr>
            </w:r>
            <w:r/>
          </w:p>
        </w:tc>
        <w:tc>
          <w:tcPr>
            <w:tcW w:w="2235" w:type="dxa"/>
            <w:vAlign w:val="center"/>
            <w:vMerge w:val="continue"/>
            <w:textDirection w:val="lrTb"/>
            <w:noWrap w:val="false"/>
          </w:tcPr>
          <w:p>
            <w:pPr>
              <w:pStyle w:val="727"/>
              <w:rPr>
                <w:rFonts w:hint="eastAsia" w:ascii="Times New Roman"/>
                <w:szCs w:val="24"/>
                <w:lang w:val="en-US" w:eastAsia="zh-CN"/>
              </w:rPr>
            </w:pPr>
            <w:r>
              <w:rPr>
                <w:rFonts w:hint="eastAsia" w:ascii="Times New Roman"/>
                <w:szCs w:val="24"/>
                <w:lang w:val="en-US" w:eastAsia="zh-CN"/>
              </w:rPr>
            </w:r>
            <w:r/>
          </w:p>
        </w:tc>
      </w:tr>
      <w:tr>
        <w:trPr>
          <w:cantSplit/>
          <w:trHeight w:val="448"/>
        </w:trPr>
        <w:tc>
          <w:tcPr>
            <w:tcW w:w="1341" w:type="dxa"/>
            <w:vAlign w:val="center"/>
            <w:vMerge w:val="continue"/>
            <w:textDirection w:val="lrTb"/>
            <w:noWrap w:val="false"/>
          </w:tcPr>
          <w:p>
            <w:pPr>
              <w:jc w:val="center"/>
              <w:rPr>
                <w:sz w:val="24"/>
              </w:rPr>
            </w:pPr>
            <w:r>
              <w:rPr>
                <w:sz w:val="24"/>
              </w:rPr>
            </w:r>
            <w:r/>
          </w:p>
        </w:tc>
        <w:tc>
          <w:tcPr>
            <w:gridSpan w:val="6"/>
            <w:tcW w:w="8156" w:type="dxa"/>
            <w:vAlign w:val="center"/>
            <w:textDirection w:val="lrTb"/>
            <w:noWrap w:val="false"/>
          </w:tcPr>
          <w:p>
            <w:pPr>
              <w:pStyle w:val="727"/>
              <w:rPr>
                <w:rFonts w:ascii="Times New Roman"/>
                <w:szCs w:val="24"/>
                <w:lang w:val="en-US" w:eastAsia="zh-CN"/>
              </w:rPr>
            </w:pPr>
            <w:r>
              <w:rPr>
                <w:rFonts w:ascii="Times New Roman"/>
                <w:sz w:val="24"/>
                <w:szCs w:val="24"/>
                <w:lang w:val="en-US" w:eastAsia="zh-CN"/>
              </w:rPr>
              <w:t xml:space="preserve">单个该类别人员工资福利费用</w:t>
            </w:r>
            <w:r>
              <w:rPr>
                <w:rFonts w:hint="eastAsia" w:ascii="Times New Roman"/>
                <w:sz w:val="24"/>
                <w:szCs w:val="24"/>
                <w:u w:val="single"/>
                <w:lang w:val="en-US" w:eastAsia="zh-CN"/>
              </w:rPr>
              <w:t xml:space="preserve">      </w:t>
            </w:r>
            <w:r>
              <w:rPr>
                <w:rFonts w:ascii="Times New Roman"/>
                <w:sz w:val="24"/>
                <w:szCs w:val="24"/>
                <w:lang w:val="en-US" w:eastAsia="zh-CN"/>
              </w:rPr>
              <w:t xml:space="preserve">元/年。</w:t>
            </w:r>
            <w:r/>
          </w:p>
        </w:tc>
      </w:tr>
      <w:tr>
        <w:trPr>
          <w:cantSplit/>
          <w:trHeight w:val="448"/>
        </w:trPr>
        <w:tc>
          <w:tcPr>
            <w:tcW w:w="1341" w:type="dxa"/>
            <w:vAlign w:val="center"/>
            <w:vMerge w:val="continue"/>
            <w:textDirection w:val="lrTb"/>
            <w:noWrap w:val="false"/>
          </w:tcPr>
          <w:p>
            <w:pPr>
              <w:jc w:val="center"/>
              <w:rPr>
                <w:sz w:val="24"/>
              </w:rPr>
            </w:pPr>
            <w:r>
              <w:rPr>
                <w:sz w:val="24"/>
              </w:rPr>
            </w:r>
            <w:r/>
          </w:p>
        </w:tc>
        <w:tc>
          <w:tcPr>
            <w:gridSpan w:val="6"/>
            <w:tcW w:w="8156" w:type="dxa"/>
            <w:vAlign w:val="center"/>
            <w:textDirection w:val="lrTb"/>
            <w:noWrap w:val="false"/>
          </w:tcPr>
          <w:p>
            <w:pPr>
              <w:pStyle w:val="727"/>
              <w:rPr>
                <w:rFonts w:ascii="Times New Roman"/>
                <w:sz w:val="24"/>
                <w:szCs w:val="24"/>
                <w:lang w:val="en-US" w:eastAsia="zh-CN"/>
              </w:rPr>
            </w:pPr>
            <w:r>
              <w:rPr>
                <w:rFonts w:ascii="Times New Roman"/>
                <w:sz w:val="24"/>
                <w:szCs w:val="24"/>
                <w:lang w:val="en-US" w:eastAsia="zh-CN"/>
              </w:rPr>
              <w:t xml:space="preserve">该类别人员数量：</w:t>
            </w:r>
            <w:r>
              <w:rPr>
                <w:rFonts w:hint="eastAsia" w:ascii="Times New Roman"/>
                <w:sz w:val="24"/>
                <w:szCs w:val="24"/>
                <w:u w:val="single"/>
                <w:lang w:val="en-US" w:eastAsia="zh-CN"/>
              </w:rPr>
              <w:t xml:space="preserve">      </w:t>
            </w:r>
            <w:r>
              <w:rPr>
                <w:rFonts w:ascii="Times New Roman"/>
                <w:sz w:val="24"/>
                <w:szCs w:val="24"/>
                <w:lang w:val="en-US" w:eastAsia="zh-CN"/>
              </w:rPr>
              <w:t xml:space="preserve">个。</w:t>
            </w:r>
            <w:r/>
          </w:p>
        </w:tc>
      </w:tr>
      <w:tr>
        <w:trPr>
          <w:cantSplit/>
          <w:trHeight w:val="448"/>
        </w:trPr>
        <w:tc>
          <w:tcPr>
            <w:tcW w:w="1341" w:type="dxa"/>
            <w:vAlign w:val="center"/>
            <w:vMerge w:val="continue"/>
            <w:textDirection w:val="lrTb"/>
            <w:noWrap w:val="false"/>
          </w:tcPr>
          <w:p>
            <w:pPr>
              <w:jc w:val="center"/>
              <w:rPr>
                <w:sz w:val="24"/>
              </w:rPr>
            </w:pPr>
            <w:r>
              <w:rPr>
                <w:sz w:val="24"/>
              </w:rPr>
            </w:r>
            <w:r/>
          </w:p>
        </w:tc>
        <w:tc>
          <w:tcPr>
            <w:gridSpan w:val="6"/>
            <w:tcW w:w="8156" w:type="dxa"/>
            <w:vAlign w:val="center"/>
            <w:textDirection w:val="lrTb"/>
            <w:noWrap w:val="false"/>
          </w:tcPr>
          <w:p>
            <w:pPr>
              <w:pStyle w:val="727"/>
              <w:rPr>
                <w:rFonts w:ascii="Times New Roman"/>
                <w:sz w:val="24"/>
                <w:szCs w:val="24"/>
                <w:lang w:val="en-US" w:eastAsia="zh-CN"/>
              </w:rPr>
            </w:pPr>
            <w:r>
              <w:rPr>
                <w:rFonts w:ascii="Times New Roman"/>
                <w:sz w:val="24"/>
                <w:szCs w:val="24"/>
                <w:lang w:val="en-US" w:eastAsia="zh-CN"/>
              </w:rPr>
              <w:t xml:space="preserve">该类别人员年度工资福利费用合计：</w:t>
            </w:r>
            <w:r>
              <w:rPr>
                <w:rFonts w:hint="eastAsia" w:ascii="Times New Roman"/>
                <w:sz w:val="24"/>
                <w:szCs w:val="24"/>
                <w:u w:val="single"/>
                <w:lang w:val="en-US" w:eastAsia="zh-CN"/>
              </w:rPr>
              <w:t xml:space="preserve">     </w:t>
            </w:r>
            <w:r>
              <w:rPr>
                <w:rFonts w:ascii="Times New Roman"/>
                <w:sz w:val="24"/>
                <w:szCs w:val="24"/>
                <w:lang w:val="en-US" w:eastAsia="zh-CN"/>
              </w:rPr>
              <w:t xml:space="preserve">元。</w:t>
            </w:r>
            <w:r/>
          </w:p>
        </w:tc>
      </w:tr>
      <w:tr>
        <w:trPr>
          <w:cantSplit/>
          <w:trHeight w:val="448"/>
        </w:trPr>
        <w:tc>
          <w:tcPr>
            <w:tcW w:w="1341" w:type="dxa"/>
            <w:vAlign w:val="center"/>
            <w:vMerge w:val="continue"/>
            <w:textDirection w:val="lrTb"/>
            <w:noWrap w:val="false"/>
          </w:tcPr>
          <w:p>
            <w:pPr>
              <w:jc w:val="center"/>
              <w:rPr>
                <w:sz w:val="24"/>
              </w:rPr>
            </w:pPr>
            <w:r>
              <w:rPr>
                <w:sz w:val="24"/>
              </w:rPr>
            </w:r>
            <w:r/>
          </w:p>
        </w:tc>
        <w:tc>
          <w:tcPr>
            <w:tcW w:w="1341" w:type="dxa"/>
            <w:vAlign w:val="center"/>
            <w:vMerge w:val="restart"/>
            <w:textDirection w:val="lrTb"/>
            <w:noWrap w:val="false"/>
          </w:tcPr>
          <w:p>
            <w:pPr>
              <w:rPr>
                <w:rFonts w:hint="eastAsia"/>
                <w:sz w:val="24"/>
              </w:rPr>
            </w:pPr>
            <w:r>
              <w:rPr>
                <w:rFonts w:hint="eastAsia"/>
                <w:sz w:val="24"/>
              </w:rPr>
            </w:r>
            <w:r/>
          </w:p>
        </w:tc>
        <w:tc>
          <w:tcPr>
            <w:tcW w:w="1452" w:type="dxa"/>
            <w:vAlign w:val="center"/>
            <w:textDirection w:val="lrTb"/>
            <w:noWrap w:val="false"/>
          </w:tcPr>
          <w:p>
            <w:pPr>
              <w:rPr>
                <w:rFonts w:hint="eastAsia"/>
                <w:sz w:val="24"/>
              </w:rPr>
            </w:pPr>
            <w:r>
              <w:rPr>
                <w:rFonts w:hint="eastAsia"/>
                <w:sz w:val="24"/>
              </w:rPr>
            </w:r>
            <w:r/>
          </w:p>
        </w:tc>
        <w:tc>
          <w:tcPr>
            <w:tcW w:w="1229" w:type="dxa"/>
            <w:vAlign w:val="center"/>
            <w:textDirection w:val="lrTb"/>
            <w:noWrap w:val="false"/>
          </w:tcPr>
          <w:p>
            <w:pPr>
              <w:rPr>
                <w:sz w:val="24"/>
              </w:rPr>
            </w:pPr>
            <w:r>
              <w:rPr>
                <w:sz w:val="24"/>
              </w:rPr>
            </w:r>
            <w:r/>
          </w:p>
        </w:tc>
        <w:tc>
          <w:tcPr>
            <w:tcW w:w="932" w:type="dxa"/>
            <w:vAlign w:val="center"/>
            <w:textDirection w:val="lrTb"/>
            <w:noWrap w:val="false"/>
          </w:tcPr>
          <w:p>
            <w:pPr>
              <w:rPr>
                <w:sz w:val="24"/>
              </w:rPr>
            </w:pPr>
            <w:r>
              <w:rPr>
                <w:sz w:val="24"/>
              </w:rPr>
            </w:r>
            <w:r/>
          </w:p>
        </w:tc>
        <w:tc>
          <w:tcPr>
            <w:gridSpan w:val="2"/>
            <w:tcW w:w="3202" w:type="dxa"/>
            <w:vAlign w:val="center"/>
            <w:textDirection w:val="lrTb"/>
            <w:noWrap w:val="false"/>
          </w:tcPr>
          <w:p>
            <w:pPr>
              <w:rPr>
                <w:rFonts w:hint="eastAsia"/>
                <w:sz w:val="24"/>
              </w:rPr>
            </w:pPr>
            <w:r>
              <w:rPr>
                <w:rFonts w:hint="eastAsia"/>
                <w:sz w:val="24"/>
              </w:rPr>
            </w:r>
            <w:r/>
          </w:p>
        </w:tc>
      </w:tr>
      <w:tr>
        <w:trPr>
          <w:cantSplit/>
          <w:trHeight w:val="448"/>
        </w:trPr>
        <w:tc>
          <w:tcPr>
            <w:tcW w:w="1341" w:type="dxa"/>
            <w:vAlign w:val="center"/>
            <w:vMerge w:val="continue"/>
            <w:textDirection w:val="lrTb"/>
            <w:noWrap w:val="false"/>
          </w:tcPr>
          <w:p>
            <w:pPr>
              <w:jc w:val="center"/>
              <w:rPr>
                <w:rFonts w:hint="eastAsia"/>
                <w:sz w:val="24"/>
              </w:rPr>
            </w:pPr>
            <w:r>
              <w:rPr>
                <w:rFonts w:hint="eastAsia"/>
                <w:sz w:val="24"/>
              </w:rPr>
            </w:r>
            <w:r/>
          </w:p>
        </w:tc>
        <w:tc>
          <w:tcPr>
            <w:tcW w:w="1341" w:type="dxa"/>
            <w:vAlign w:val="center"/>
            <w:vMerge w:val="continue"/>
            <w:textDirection w:val="lrTb"/>
            <w:noWrap w:val="false"/>
          </w:tcPr>
          <w:p>
            <w:pPr>
              <w:rPr>
                <w:rFonts w:hint="eastAsia"/>
                <w:sz w:val="24"/>
              </w:rPr>
            </w:pPr>
            <w:r>
              <w:rPr>
                <w:rFonts w:hint="eastAsia"/>
                <w:sz w:val="24"/>
              </w:rPr>
            </w:r>
            <w:r/>
          </w:p>
        </w:tc>
        <w:tc>
          <w:tcPr>
            <w:tcW w:w="1452" w:type="dxa"/>
            <w:vAlign w:val="center"/>
            <w:textDirection w:val="lrTb"/>
            <w:noWrap w:val="false"/>
          </w:tcPr>
          <w:p>
            <w:pPr>
              <w:rPr>
                <w:rFonts w:hint="eastAsia"/>
                <w:sz w:val="24"/>
              </w:rPr>
            </w:pPr>
            <w:r>
              <w:rPr>
                <w:rFonts w:hint="eastAsia"/>
                <w:sz w:val="24"/>
              </w:rPr>
            </w:r>
            <w:r/>
          </w:p>
        </w:tc>
        <w:tc>
          <w:tcPr>
            <w:tcW w:w="1229" w:type="dxa"/>
            <w:vAlign w:val="center"/>
            <w:textDirection w:val="lrTb"/>
            <w:noWrap w:val="false"/>
          </w:tcPr>
          <w:p>
            <w:pPr>
              <w:rPr>
                <w:rFonts w:hint="eastAsia"/>
                <w:sz w:val="24"/>
              </w:rPr>
            </w:pPr>
            <w:r>
              <w:rPr>
                <w:rFonts w:hint="eastAsia"/>
                <w:sz w:val="24"/>
              </w:rPr>
            </w:r>
            <w:r/>
          </w:p>
        </w:tc>
        <w:tc>
          <w:tcPr>
            <w:tcW w:w="932" w:type="dxa"/>
            <w:vAlign w:val="center"/>
            <w:textDirection w:val="lrTb"/>
            <w:noWrap w:val="false"/>
          </w:tcPr>
          <w:p>
            <w:pPr>
              <w:rPr>
                <w:rFonts w:hint="eastAsia"/>
                <w:sz w:val="24"/>
              </w:rPr>
            </w:pPr>
            <w:r>
              <w:rPr>
                <w:rFonts w:hint="eastAsia"/>
                <w:sz w:val="24"/>
              </w:rPr>
            </w:r>
            <w:r/>
          </w:p>
        </w:tc>
        <w:tc>
          <w:tcPr>
            <w:gridSpan w:val="2"/>
            <w:tcW w:w="3202" w:type="dxa"/>
            <w:vAlign w:val="center"/>
            <w:textDirection w:val="lrTb"/>
            <w:noWrap w:val="false"/>
          </w:tcPr>
          <w:p>
            <w:pPr>
              <w:rPr>
                <w:rFonts w:hint="eastAsia"/>
                <w:sz w:val="28"/>
              </w:rPr>
            </w:pPr>
            <w:r>
              <w:rPr>
                <w:rFonts w:hint="eastAsia"/>
                <w:sz w:val="28"/>
              </w:rPr>
            </w:r>
            <w:r/>
          </w:p>
        </w:tc>
      </w:tr>
      <w:tr>
        <w:trPr>
          <w:cantSplit/>
          <w:trHeight w:val="448"/>
        </w:trPr>
        <w:tc>
          <w:tcPr>
            <w:tcW w:w="1341" w:type="dxa"/>
            <w:vAlign w:val="center"/>
            <w:vMerge w:val="continue"/>
            <w:textDirection w:val="lrTb"/>
            <w:noWrap w:val="false"/>
          </w:tcPr>
          <w:p>
            <w:pPr>
              <w:jc w:val="center"/>
              <w:rPr>
                <w:rFonts w:hint="eastAsia"/>
                <w:sz w:val="24"/>
              </w:rPr>
            </w:pPr>
            <w:r>
              <w:rPr>
                <w:rFonts w:hint="eastAsia"/>
                <w:sz w:val="24"/>
              </w:rPr>
            </w:r>
            <w:r/>
          </w:p>
        </w:tc>
        <w:tc>
          <w:tcPr>
            <w:tcW w:w="1341" w:type="dxa"/>
            <w:vAlign w:val="center"/>
            <w:vMerge w:val="continue"/>
            <w:textDirection w:val="lrTb"/>
            <w:noWrap w:val="false"/>
          </w:tcPr>
          <w:p>
            <w:pPr>
              <w:rPr>
                <w:sz w:val="24"/>
              </w:rPr>
            </w:pPr>
            <w:r>
              <w:rPr>
                <w:sz w:val="24"/>
              </w:rPr>
            </w:r>
            <w:r/>
          </w:p>
        </w:tc>
        <w:tc>
          <w:tcPr>
            <w:tcW w:w="1452" w:type="dxa"/>
            <w:vAlign w:val="center"/>
            <w:textDirection w:val="lrTb"/>
            <w:noWrap w:val="false"/>
          </w:tcPr>
          <w:p>
            <w:pPr>
              <w:rPr>
                <w:rFonts w:hint="eastAsia"/>
                <w:sz w:val="24"/>
              </w:rPr>
            </w:pPr>
            <w:r>
              <w:rPr>
                <w:sz w:val="24"/>
              </w:rPr>
              <w:t xml:space="preserve">……</w:t>
            </w:r>
            <w:r/>
          </w:p>
        </w:tc>
        <w:tc>
          <w:tcPr>
            <w:tcW w:w="1229" w:type="dxa"/>
            <w:vAlign w:val="center"/>
            <w:textDirection w:val="lrTb"/>
            <w:noWrap w:val="false"/>
          </w:tcPr>
          <w:p>
            <w:pPr>
              <w:rPr>
                <w:szCs w:val="24"/>
              </w:rPr>
            </w:pPr>
            <w:r>
              <w:rPr>
                <w:szCs w:val="24"/>
              </w:rPr>
            </w:r>
            <w:r/>
          </w:p>
        </w:tc>
        <w:tc>
          <w:tcPr>
            <w:tcW w:w="932" w:type="dxa"/>
            <w:vAlign w:val="center"/>
            <w:textDirection w:val="lrTb"/>
            <w:noWrap w:val="false"/>
          </w:tcPr>
          <w:p>
            <w:pPr>
              <w:rPr>
                <w:szCs w:val="24"/>
              </w:rPr>
            </w:pPr>
            <w:r>
              <w:rPr>
                <w:szCs w:val="24"/>
              </w:rPr>
            </w:r>
            <w:r/>
          </w:p>
        </w:tc>
        <w:tc>
          <w:tcPr>
            <w:gridSpan w:val="2"/>
            <w:tcW w:w="3202" w:type="dxa"/>
            <w:vAlign w:val="center"/>
            <w:textDirection w:val="lrTb"/>
            <w:noWrap w:val="false"/>
          </w:tcPr>
          <w:p>
            <w:pPr>
              <w:pStyle w:val="1074"/>
              <w:rPr>
                <w:rFonts w:ascii="Times New Roman" w:hAnsi="Times New Roman"/>
              </w:rPr>
            </w:pPr>
            <w:r>
              <w:rPr>
                <w:rFonts w:ascii="Times New Roman" w:hAnsi="Times New Roman"/>
              </w:rPr>
            </w:r>
            <w:r/>
          </w:p>
        </w:tc>
      </w:tr>
      <w:tr>
        <w:trPr>
          <w:cantSplit/>
          <w:trHeight w:val="448"/>
        </w:trPr>
        <w:tc>
          <w:tcPr>
            <w:tcW w:w="1341" w:type="dxa"/>
            <w:vAlign w:val="center"/>
            <w:vMerge w:val="continue"/>
            <w:textDirection w:val="lrTb"/>
            <w:noWrap w:val="false"/>
          </w:tcPr>
          <w:p>
            <w:pPr>
              <w:jc w:val="center"/>
              <w:rPr>
                <w:rFonts w:hint="eastAsia"/>
                <w:sz w:val="24"/>
              </w:rPr>
            </w:pPr>
            <w:r>
              <w:rPr>
                <w:rFonts w:hint="eastAsia"/>
                <w:sz w:val="24"/>
              </w:rPr>
            </w:r>
            <w:r/>
          </w:p>
        </w:tc>
        <w:tc>
          <w:tcPr>
            <w:gridSpan w:val="6"/>
            <w:tcW w:w="8156" w:type="dxa"/>
            <w:vAlign w:val="center"/>
            <w:textDirection w:val="lrTb"/>
            <w:noWrap w:val="false"/>
          </w:tcPr>
          <w:p>
            <w:pPr>
              <w:pStyle w:val="727"/>
              <w:rPr>
                <w:rFonts w:ascii="Times New Roman"/>
                <w:szCs w:val="24"/>
                <w:lang w:val="en-US" w:eastAsia="zh-CN"/>
              </w:rPr>
            </w:pPr>
            <w:r>
              <w:rPr>
                <w:rFonts w:ascii="Times New Roman"/>
                <w:sz w:val="24"/>
                <w:szCs w:val="24"/>
                <w:lang w:val="en-US" w:eastAsia="zh-CN"/>
              </w:rPr>
              <w:t xml:space="preserve">单个该类别人员工资福利费用</w:t>
            </w:r>
            <w:r>
              <w:rPr>
                <w:rFonts w:hint="eastAsia" w:ascii="Times New Roman"/>
                <w:sz w:val="24"/>
                <w:szCs w:val="24"/>
                <w:u w:val="single"/>
                <w:lang w:val="en-US" w:eastAsia="zh-CN"/>
              </w:rPr>
              <w:t xml:space="preserve">  </w:t>
            </w:r>
            <w:r>
              <w:rPr>
                <w:rFonts w:ascii="Times New Roman"/>
                <w:sz w:val="24"/>
                <w:szCs w:val="24"/>
                <w:u w:val="single"/>
                <w:lang w:val="en-US" w:eastAsia="zh-CN"/>
              </w:rPr>
              <w:t xml:space="preserve">    </w:t>
            </w:r>
            <w:r>
              <w:rPr>
                <w:rFonts w:hint="eastAsia" w:ascii="Times New Roman"/>
                <w:sz w:val="24"/>
                <w:szCs w:val="24"/>
                <w:u w:val="single"/>
                <w:lang w:val="en-US" w:eastAsia="zh-CN"/>
              </w:rPr>
              <w:t xml:space="preserve">  </w:t>
            </w:r>
            <w:r>
              <w:rPr>
                <w:rFonts w:ascii="Times New Roman"/>
                <w:sz w:val="24"/>
                <w:szCs w:val="24"/>
                <w:lang w:val="en-US" w:eastAsia="zh-CN"/>
              </w:rPr>
              <w:t xml:space="preserve">元/年。</w:t>
            </w:r>
            <w:r/>
          </w:p>
        </w:tc>
      </w:tr>
      <w:tr>
        <w:trPr>
          <w:cantSplit/>
          <w:trHeight w:val="448"/>
        </w:trPr>
        <w:tc>
          <w:tcPr>
            <w:tcW w:w="1341" w:type="dxa"/>
            <w:vAlign w:val="center"/>
            <w:vMerge w:val="continue"/>
            <w:textDirection w:val="lrTb"/>
            <w:noWrap w:val="false"/>
          </w:tcPr>
          <w:p>
            <w:pPr>
              <w:jc w:val="center"/>
              <w:rPr>
                <w:rFonts w:hint="eastAsia"/>
                <w:sz w:val="24"/>
              </w:rPr>
            </w:pPr>
            <w:r>
              <w:rPr>
                <w:rFonts w:hint="eastAsia"/>
                <w:sz w:val="24"/>
              </w:rPr>
            </w:r>
            <w:r/>
          </w:p>
        </w:tc>
        <w:tc>
          <w:tcPr>
            <w:gridSpan w:val="6"/>
            <w:tcW w:w="8156" w:type="dxa"/>
            <w:vAlign w:val="center"/>
            <w:textDirection w:val="lrTb"/>
            <w:noWrap w:val="false"/>
          </w:tcPr>
          <w:p>
            <w:pPr>
              <w:pStyle w:val="727"/>
              <w:rPr>
                <w:rFonts w:ascii="Times New Roman"/>
                <w:sz w:val="24"/>
                <w:szCs w:val="24"/>
                <w:lang w:val="en-US" w:eastAsia="zh-CN"/>
              </w:rPr>
            </w:pPr>
            <w:r>
              <w:rPr>
                <w:rFonts w:ascii="Times New Roman"/>
                <w:sz w:val="24"/>
                <w:szCs w:val="24"/>
                <w:lang w:val="en-US" w:eastAsia="zh-CN"/>
              </w:rPr>
              <w:t xml:space="preserve">该类别人员数量：</w:t>
            </w:r>
            <w:r>
              <w:rPr>
                <w:rFonts w:hint="eastAsia" w:ascii="Times New Roman"/>
                <w:sz w:val="24"/>
                <w:szCs w:val="24"/>
                <w:u w:val="single"/>
                <w:lang w:val="en-US" w:eastAsia="zh-CN"/>
              </w:rPr>
              <w:t xml:space="preserve">  </w:t>
            </w:r>
            <w:r>
              <w:rPr>
                <w:rFonts w:ascii="Times New Roman"/>
                <w:sz w:val="24"/>
                <w:szCs w:val="24"/>
                <w:u w:val="single"/>
                <w:lang w:val="en-US" w:eastAsia="zh-CN"/>
              </w:rPr>
              <w:t xml:space="preserve">    </w:t>
            </w:r>
            <w:r>
              <w:rPr>
                <w:rFonts w:hint="eastAsia" w:ascii="Times New Roman"/>
                <w:sz w:val="24"/>
                <w:szCs w:val="24"/>
                <w:u w:val="single"/>
                <w:lang w:val="en-US" w:eastAsia="zh-CN"/>
              </w:rPr>
              <w:t xml:space="preserve">  </w:t>
            </w:r>
            <w:r>
              <w:rPr>
                <w:rFonts w:ascii="Times New Roman"/>
                <w:sz w:val="24"/>
                <w:szCs w:val="24"/>
                <w:lang w:val="en-US" w:eastAsia="zh-CN"/>
              </w:rPr>
              <w:t xml:space="preserve">个。</w:t>
            </w:r>
            <w:r/>
          </w:p>
        </w:tc>
      </w:tr>
      <w:tr>
        <w:trPr>
          <w:cantSplit/>
          <w:trHeight w:val="448"/>
        </w:trPr>
        <w:tc>
          <w:tcPr>
            <w:tcW w:w="1341" w:type="dxa"/>
            <w:vAlign w:val="center"/>
            <w:vMerge w:val="continue"/>
            <w:textDirection w:val="lrTb"/>
            <w:noWrap w:val="false"/>
          </w:tcPr>
          <w:p>
            <w:pPr>
              <w:jc w:val="center"/>
              <w:rPr>
                <w:rFonts w:hint="eastAsia"/>
                <w:sz w:val="24"/>
              </w:rPr>
            </w:pPr>
            <w:r>
              <w:rPr>
                <w:rFonts w:hint="eastAsia"/>
                <w:sz w:val="24"/>
              </w:rPr>
            </w:r>
            <w:r/>
          </w:p>
        </w:tc>
        <w:tc>
          <w:tcPr>
            <w:gridSpan w:val="6"/>
            <w:tcW w:w="8156" w:type="dxa"/>
            <w:vAlign w:val="center"/>
            <w:textDirection w:val="lrTb"/>
            <w:noWrap w:val="false"/>
          </w:tcPr>
          <w:p>
            <w:pPr>
              <w:pStyle w:val="727"/>
              <w:rPr>
                <w:rFonts w:ascii="Times New Roman"/>
                <w:sz w:val="24"/>
                <w:szCs w:val="24"/>
                <w:lang w:val="en-US" w:eastAsia="zh-CN"/>
              </w:rPr>
            </w:pPr>
            <w:r>
              <w:rPr>
                <w:rFonts w:ascii="Times New Roman"/>
                <w:sz w:val="24"/>
                <w:szCs w:val="24"/>
                <w:lang w:val="en-US" w:eastAsia="zh-CN"/>
              </w:rPr>
              <w:t xml:space="preserve">该类别人员年度工资福利费用合计：</w:t>
            </w:r>
            <w:r>
              <w:rPr>
                <w:rFonts w:hint="eastAsia" w:ascii="Times New Roman"/>
                <w:sz w:val="24"/>
                <w:szCs w:val="24"/>
                <w:u w:val="single"/>
                <w:lang w:val="en-US" w:eastAsia="zh-CN"/>
              </w:rPr>
              <w:t xml:space="preserve">  </w:t>
            </w:r>
            <w:r>
              <w:rPr>
                <w:rFonts w:ascii="Times New Roman"/>
                <w:sz w:val="24"/>
                <w:szCs w:val="24"/>
                <w:u w:val="single"/>
                <w:lang w:val="en-US" w:eastAsia="zh-CN"/>
              </w:rPr>
              <w:t xml:space="preserve">    </w:t>
            </w:r>
            <w:r>
              <w:rPr>
                <w:rFonts w:hint="eastAsia" w:ascii="Times New Roman"/>
                <w:sz w:val="24"/>
                <w:szCs w:val="24"/>
                <w:u w:val="single"/>
                <w:lang w:val="en-US" w:eastAsia="zh-CN"/>
              </w:rPr>
              <w:t xml:space="preserve">  </w:t>
            </w:r>
            <w:r>
              <w:rPr>
                <w:rFonts w:ascii="Times New Roman"/>
                <w:sz w:val="24"/>
                <w:szCs w:val="24"/>
                <w:lang w:val="en-US" w:eastAsia="zh-CN"/>
              </w:rPr>
              <w:t xml:space="preserve">元。</w:t>
            </w:r>
            <w:r/>
          </w:p>
        </w:tc>
      </w:tr>
      <w:tr>
        <w:trPr>
          <w:cantSplit/>
          <w:trHeight w:val="448"/>
        </w:trPr>
        <w:tc>
          <w:tcPr>
            <w:tcW w:w="1341" w:type="dxa"/>
            <w:vAlign w:val="center"/>
            <w:vMerge w:val="continue"/>
            <w:textDirection w:val="lrTb"/>
            <w:noWrap w:val="false"/>
          </w:tcPr>
          <w:p>
            <w:pPr>
              <w:jc w:val="center"/>
              <w:rPr>
                <w:rFonts w:hint="eastAsia"/>
                <w:sz w:val="24"/>
              </w:rPr>
            </w:pPr>
            <w:r>
              <w:rPr>
                <w:rFonts w:hint="eastAsia"/>
                <w:sz w:val="24"/>
              </w:rPr>
            </w:r>
            <w:r/>
          </w:p>
        </w:tc>
        <w:tc>
          <w:tcPr>
            <w:tcW w:w="1341" w:type="dxa"/>
            <w:vAlign w:val="center"/>
            <w:textDirection w:val="lrTb"/>
            <w:noWrap w:val="false"/>
          </w:tcPr>
          <w:p>
            <w:pPr>
              <w:rPr>
                <w:rFonts w:hint="eastAsia"/>
                <w:sz w:val="24"/>
              </w:rPr>
            </w:pPr>
            <w:r>
              <w:rPr>
                <w:sz w:val="24"/>
              </w:rPr>
              <w:t xml:space="preserve">……</w:t>
            </w:r>
            <w:r/>
          </w:p>
        </w:tc>
        <w:tc>
          <w:tcPr>
            <w:tcW w:w="1452" w:type="dxa"/>
            <w:vAlign w:val="center"/>
            <w:textDirection w:val="lrTb"/>
            <w:noWrap w:val="false"/>
          </w:tcPr>
          <w:p>
            <w:pPr>
              <w:rPr>
                <w:sz w:val="24"/>
              </w:rPr>
            </w:pPr>
            <w:r>
              <w:rPr>
                <w:sz w:val="24"/>
              </w:rPr>
            </w:r>
            <w:r/>
          </w:p>
        </w:tc>
        <w:tc>
          <w:tcPr>
            <w:tcW w:w="1229" w:type="dxa"/>
            <w:vAlign w:val="center"/>
            <w:textDirection w:val="lrTb"/>
            <w:noWrap w:val="false"/>
          </w:tcPr>
          <w:p>
            <w:pPr>
              <w:rPr>
                <w:szCs w:val="24"/>
              </w:rPr>
            </w:pPr>
            <w:r>
              <w:rPr>
                <w:szCs w:val="24"/>
              </w:rPr>
            </w:r>
            <w:r/>
          </w:p>
        </w:tc>
        <w:tc>
          <w:tcPr>
            <w:tcW w:w="932" w:type="dxa"/>
            <w:vAlign w:val="center"/>
            <w:textDirection w:val="lrTb"/>
            <w:noWrap w:val="false"/>
          </w:tcPr>
          <w:p>
            <w:pPr>
              <w:rPr>
                <w:szCs w:val="24"/>
              </w:rPr>
            </w:pPr>
            <w:r>
              <w:rPr>
                <w:szCs w:val="24"/>
              </w:rPr>
            </w:r>
            <w:r/>
          </w:p>
        </w:tc>
        <w:tc>
          <w:tcPr>
            <w:gridSpan w:val="2"/>
            <w:tcW w:w="3202" w:type="dxa"/>
            <w:vAlign w:val="center"/>
            <w:textDirection w:val="lrTb"/>
            <w:noWrap w:val="false"/>
          </w:tcPr>
          <w:p>
            <w:pPr>
              <w:pStyle w:val="1074"/>
              <w:rPr>
                <w:rFonts w:ascii="Times New Roman" w:hAnsi="Times New Roman"/>
              </w:rPr>
            </w:pPr>
            <w:r>
              <w:rPr>
                <w:rFonts w:ascii="Times New Roman" w:hAnsi="Times New Roman"/>
              </w:rPr>
            </w:r>
            <w:r/>
          </w:p>
        </w:tc>
      </w:tr>
      <w:tr>
        <w:trPr>
          <w:cantSplit/>
          <w:trHeight w:val="1150"/>
        </w:trPr>
        <w:tc>
          <w:tcPr>
            <w:tcW w:w="1341" w:type="dxa"/>
            <w:vAlign w:val="center"/>
            <w:textDirection w:val="lrTb"/>
            <w:noWrap w:val="false"/>
          </w:tcPr>
          <w:p>
            <w:pPr>
              <w:jc w:val="center"/>
              <w:rPr>
                <w:rFonts w:hint="eastAsia"/>
                <w:sz w:val="24"/>
              </w:rPr>
            </w:pPr>
            <w:r>
              <w:rPr>
                <w:rFonts w:hint="eastAsia"/>
                <w:sz w:val="24"/>
              </w:rPr>
              <w:t xml:space="preserve">车辆、工具等费用（元）</w:t>
            </w:r>
            <w:r/>
          </w:p>
        </w:tc>
        <w:tc>
          <w:tcPr>
            <w:gridSpan w:val="6"/>
            <w:tcW w:w="8156" w:type="dxa"/>
            <w:vAlign w:val="center"/>
            <w:textDirection w:val="lrTb"/>
            <w:noWrap w:val="false"/>
          </w:tcPr>
          <w:p>
            <w:pPr>
              <w:pStyle w:val="1074"/>
              <w:rPr>
                <w:rFonts w:ascii="Times New Roman" w:hAnsi="Times New Roman"/>
              </w:rPr>
            </w:pPr>
            <w:r>
              <w:rPr>
                <w:rFonts w:ascii="Times New Roman" w:hAnsi="Times New Roman"/>
              </w:rPr>
            </w:r>
            <w:r/>
          </w:p>
        </w:tc>
      </w:tr>
      <w:tr>
        <w:trPr>
          <w:cantSplit/>
          <w:trHeight w:val="697"/>
        </w:trPr>
        <w:tc>
          <w:tcPr>
            <w:tcW w:w="1341" w:type="dxa"/>
            <w:vAlign w:val="center"/>
            <w:textDirection w:val="lrTb"/>
            <w:noWrap w:val="false"/>
          </w:tcPr>
          <w:p>
            <w:pPr>
              <w:jc w:val="center"/>
              <w:rPr>
                <w:rFonts w:hint="eastAsia"/>
                <w:sz w:val="24"/>
              </w:rPr>
            </w:pPr>
            <w:r>
              <w:rPr>
                <w:rFonts w:hint="eastAsia"/>
                <w:sz w:val="24"/>
              </w:rPr>
              <w:t xml:space="preserve">其他费用（元）</w:t>
            </w:r>
            <w:r/>
          </w:p>
        </w:tc>
        <w:tc>
          <w:tcPr>
            <w:gridSpan w:val="6"/>
            <w:tcW w:w="8156" w:type="dxa"/>
            <w:vAlign w:val="center"/>
            <w:textDirection w:val="lrTb"/>
            <w:noWrap w:val="false"/>
          </w:tcPr>
          <w:p>
            <w:pPr>
              <w:pStyle w:val="1074"/>
              <w:rPr>
                <w:rFonts w:ascii="Times New Roman" w:hAnsi="Times New Roman"/>
              </w:rPr>
            </w:pPr>
            <w:r>
              <w:rPr>
                <w:rFonts w:ascii="Times New Roman" w:hAnsi="Times New Roman"/>
              </w:rPr>
            </w:r>
            <w:r/>
          </w:p>
        </w:tc>
      </w:tr>
      <w:tr>
        <w:trPr>
          <w:cantSplit/>
          <w:trHeight w:val="448"/>
        </w:trPr>
        <w:tc>
          <w:tcPr>
            <w:tcW w:w="1341" w:type="dxa"/>
            <w:vAlign w:val="center"/>
            <w:textDirection w:val="lrTb"/>
            <w:noWrap w:val="false"/>
          </w:tcPr>
          <w:p>
            <w:pPr>
              <w:jc w:val="center"/>
              <w:rPr>
                <w:rFonts w:hint="eastAsia"/>
                <w:sz w:val="24"/>
              </w:rPr>
            </w:pPr>
            <w:r>
              <w:rPr>
                <w:sz w:val="24"/>
              </w:rPr>
              <w:t xml:space="preserve">……</w:t>
            </w:r>
            <w:r/>
          </w:p>
        </w:tc>
        <w:tc>
          <w:tcPr>
            <w:gridSpan w:val="6"/>
            <w:tcW w:w="8156" w:type="dxa"/>
            <w:vAlign w:val="center"/>
            <w:textDirection w:val="lrTb"/>
            <w:noWrap w:val="false"/>
          </w:tcPr>
          <w:p>
            <w:pPr>
              <w:pStyle w:val="1074"/>
              <w:rPr>
                <w:rFonts w:ascii="Times New Roman" w:hAnsi="Times New Roman"/>
              </w:rPr>
            </w:pPr>
            <w:r>
              <w:rPr>
                <w:rFonts w:ascii="Times New Roman" w:hAnsi="Times New Roman"/>
              </w:rPr>
            </w:r>
            <w:r/>
          </w:p>
        </w:tc>
      </w:tr>
      <w:tr>
        <w:trPr>
          <w:cantSplit/>
          <w:trHeight w:val="448"/>
        </w:trPr>
        <w:tc>
          <w:tcPr>
            <w:gridSpan w:val="2"/>
            <w:tcW w:w="2682" w:type="dxa"/>
            <w:vAlign w:val="center"/>
            <w:textDirection w:val="lrTb"/>
            <w:noWrap w:val="false"/>
          </w:tcPr>
          <w:p>
            <w:pPr>
              <w:pStyle w:val="1074"/>
              <w:rPr>
                <w:rFonts w:hint="eastAsia" w:ascii="Times New Roman" w:hAnsi="Times New Roman"/>
                <w:szCs w:val="24"/>
              </w:rPr>
            </w:pPr>
            <w:r>
              <w:rPr>
                <w:rFonts w:hint="eastAsia" w:ascii="Times New Roman" w:hAnsi="Times New Roman"/>
                <w:szCs w:val="24"/>
              </w:rPr>
              <w:t xml:space="preserve">合计费用（元</w:t>
            </w:r>
            <w:r>
              <w:rPr>
                <w:rFonts w:hint="eastAsia" w:ascii="Times New Roman" w:hAnsi="Times New Roman"/>
                <w:szCs w:val="24"/>
                <w:lang w:val="en-US" w:eastAsia="zh-CN"/>
              </w:rPr>
              <w:t xml:space="preserve">/年</w:t>
            </w:r>
            <w:r>
              <w:rPr>
                <w:rFonts w:hint="eastAsia" w:ascii="Times New Roman" w:hAnsi="Times New Roman"/>
                <w:szCs w:val="24"/>
              </w:rPr>
              <w:t xml:space="preserve">）</w:t>
            </w:r>
            <w:r/>
          </w:p>
        </w:tc>
        <w:tc>
          <w:tcPr>
            <w:gridSpan w:val="5"/>
            <w:tcW w:w="6815" w:type="dxa"/>
            <w:vAlign w:val="center"/>
            <w:textDirection w:val="lrTb"/>
            <w:noWrap w:val="false"/>
          </w:tcPr>
          <w:p>
            <w:pPr>
              <w:pStyle w:val="1074"/>
              <w:rPr>
                <w:rFonts w:ascii="Times New Roman" w:hAnsi="Times New Roman"/>
              </w:rPr>
            </w:pPr>
            <w:r>
              <w:rPr>
                <w:rFonts w:ascii="Times New Roman" w:hAnsi="Times New Roman"/>
              </w:rPr>
            </w:r>
            <w:r/>
          </w:p>
        </w:tc>
      </w:tr>
      <w:tr>
        <w:trPr>
          <w:cantSplit/>
          <w:trHeight w:val="708"/>
        </w:trPr>
        <w:tc>
          <w:tcPr>
            <w:gridSpan w:val="2"/>
            <w:tcW w:w="2682" w:type="dxa"/>
            <w:vAlign w:val="center"/>
            <w:textDirection w:val="lrTb"/>
            <w:noWrap w:val="false"/>
          </w:tcPr>
          <w:p>
            <w:pPr>
              <w:pStyle w:val="1074"/>
              <w:rPr>
                <w:rFonts w:hint="default" w:ascii="Times New Roman" w:hAnsi="Times New Roman" w:eastAsia="宋体"/>
                <w:szCs w:val="24"/>
                <w:lang w:val="en-US" w:eastAsia="zh-CN"/>
              </w:rPr>
            </w:pPr>
            <w:r>
              <w:rPr>
                <w:rFonts w:hint="eastAsia" w:ascii="Times New Roman" w:hAnsi="Times New Roman"/>
                <w:szCs w:val="24"/>
                <w:lang w:val="en-US" w:eastAsia="zh-CN"/>
              </w:rPr>
              <w:t xml:space="preserve">两年合计总费用（元）</w:t>
            </w:r>
            <w:r/>
          </w:p>
        </w:tc>
        <w:tc>
          <w:tcPr>
            <w:gridSpan w:val="5"/>
            <w:tcW w:w="6815" w:type="dxa"/>
            <w:vAlign w:val="center"/>
            <w:textDirection w:val="lrTb"/>
            <w:noWrap w:val="false"/>
          </w:tcPr>
          <w:p>
            <w:pPr>
              <w:pStyle w:val="1074"/>
              <w:rPr>
                <w:rFonts w:ascii="Times New Roman" w:hAnsi="Times New Roman"/>
              </w:rPr>
            </w:pPr>
            <w:r>
              <w:rPr>
                <w:rFonts w:ascii="Times New Roman" w:hAnsi="Times New Roman"/>
              </w:rPr>
            </w:r>
            <w:r/>
          </w:p>
        </w:tc>
      </w:tr>
    </w:tbl>
    <w:p>
      <w:pPr>
        <w:spacing w:line="440" w:lineRule="exact"/>
        <w:rPr>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注：</w:t>
      </w:r>
      <w:r>
        <w:rPr>
          <w:rFonts w:hint="eastAsia" w:cs="Calibri"/>
          <w:bCs/>
          <w:color w:val="000000" w:themeColor="text1"/>
          <w:sz w:val="24"/>
          <w:szCs w:val="24"/>
          <w14:textFill>
            <w14:solidFill>
              <w14:schemeClr w14:val="tx1"/>
            </w14:solidFill>
          </w14:textFill>
        </w:rPr>
        <w:t xml:space="preserve">1</w:t>
      </w:r>
      <w:r>
        <w:rPr>
          <w:rFonts w:hint="eastAsia" w:ascii="宋体" w:hAnsi="宋体"/>
          <w:bCs/>
          <w:color w:val="000000" w:themeColor="text1"/>
          <w:sz w:val="24"/>
          <w:szCs w:val="24"/>
          <w14:textFill>
            <w14:solidFill>
              <w14:schemeClr w14:val="tx1"/>
            </w14:solidFill>
          </w14:textFill>
        </w:rPr>
        <w:t xml:space="preserve">、投标人应根据本项目服务的分项价格情况填写上述表格。</w:t>
      </w:r>
      <w:r/>
    </w:p>
    <w:p>
      <w:pPr>
        <w:ind w:firstLine="480"/>
        <w:spacing w:line="440" w:lineRule="exact"/>
        <w:rPr>
          <w:bCs/>
          <w:color w:val="000000" w:themeColor="text1"/>
          <w:sz w:val="24"/>
          <w:szCs w:val="24"/>
          <w14:textFill>
            <w14:solidFill>
              <w14:schemeClr w14:val="tx1"/>
            </w14:solidFill>
          </w14:textFill>
        </w:rPr>
      </w:pPr>
      <w:r>
        <w:rPr>
          <w:rFonts w:hint="eastAsia" w:cs="Calibri"/>
          <w:bCs/>
          <w:color w:val="000000" w:themeColor="text1"/>
          <w:sz w:val="24"/>
          <w:szCs w:val="24"/>
          <w14:textFill>
            <w14:solidFill>
              <w14:schemeClr w14:val="tx1"/>
            </w14:solidFill>
          </w14:textFill>
        </w:rPr>
        <w:t xml:space="preserve">2</w:t>
      </w:r>
      <w:r>
        <w:rPr>
          <w:rFonts w:hint="eastAsia" w:ascii="宋体" w:hAnsi="宋体"/>
          <w:bCs/>
          <w:color w:val="000000" w:themeColor="text1"/>
          <w:sz w:val="24"/>
          <w:szCs w:val="24"/>
          <w14:textFill>
            <w14:solidFill>
              <w14:schemeClr w14:val="tx1"/>
            </w14:solidFill>
          </w14:textFill>
        </w:rPr>
        <w:t xml:space="preserve">、所有价格用人民币表示。</w:t>
      </w:r>
      <w:r/>
    </w:p>
    <w:p>
      <w:pPr>
        <w:ind w:firstLine="480"/>
        <w:spacing w:line="440" w:lineRule="exact"/>
        <w:rPr>
          <w:color w:val="000000" w:themeColor="text1"/>
          <w:sz w:val="24"/>
          <w:szCs w:val="24"/>
          <w14:textFill>
            <w14:solidFill>
              <w14:schemeClr w14:val="tx1"/>
            </w14:solidFill>
          </w14:textFill>
        </w:rPr>
      </w:pPr>
      <w:r>
        <w:rPr>
          <w:rFonts w:hint="eastAsia" w:cs="Calibri"/>
          <w:bCs/>
          <w:color w:val="000000" w:themeColor="text1"/>
          <w:sz w:val="24"/>
          <w:szCs w:val="24"/>
          <w14:textFill>
            <w14:solidFill>
              <w14:schemeClr w14:val="tx1"/>
            </w14:solidFill>
          </w14:textFill>
        </w:rPr>
        <w:t xml:space="preserve">3</w:t>
      </w:r>
      <w:r>
        <w:rPr>
          <w:rFonts w:hint="eastAsia" w:ascii="宋体" w:hAnsi="宋体"/>
          <w:bCs/>
          <w:color w:val="000000" w:themeColor="text1"/>
          <w:sz w:val="24"/>
          <w:szCs w:val="24"/>
          <w14:textFill>
            <w14:solidFill>
              <w14:schemeClr w14:val="tx1"/>
            </w14:solidFill>
          </w14:textFill>
        </w:rPr>
        <w:t xml:space="preserve">、表中“</w:t>
      </w:r>
      <w:r>
        <w:rPr>
          <w:rFonts w:hint="eastAsia"/>
          <w:bCs/>
          <w:sz w:val="24"/>
          <w:lang w:val="en-US" w:eastAsia="zh-CN"/>
        </w:rPr>
        <w:t xml:space="preserve">两年合计总费用</w:t>
      </w:r>
      <w:r>
        <w:rPr>
          <w:rFonts w:hint="eastAsia" w:ascii="宋体" w:hAnsi="宋体"/>
          <w:bCs/>
          <w:color w:val="000000" w:themeColor="text1"/>
          <w:sz w:val="24"/>
          <w:szCs w:val="24"/>
          <w14:textFill>
            <w14:solidFill>
              <w14:schemeClr w14:val="tx1"/>
            </w14:solidFill>
          </w14:textFill>
        </w:rPr>
        <w:t xml:space="preserve">”应与“开标一览表”中“</w:t>
      </w:r>
      <w:r>
        <w:rPr>
          <w:rFonts w:hint="eastAsia" w:ascii="宋体" w:hAnsi="宋体"/>
          <w:color w:val="000000" w:themeColor="text1"/>
          <w:sz w:val="24"/>
          <w:szCs w:val="24"/>
          <w14:textFill>
            <w14:solidFill>
              <w14:schemeClr w14:val="tx1"/>
            </w14:solidFill>
          </w14:textFill>
        </w:rPr>
        <w:t xml:space="preserve">投标总报价</w:t>
      </w:r>
      <w:r>
        <w:rPr>
          <w:rFonts w:hint="eastAsia" w:ascii="宋体" w:hAnsi="宋体"/>
          <w:bCs/>
          <w:color w:val="000000" w:themeColor="text1"/>
          <w:sz w:val="24"/>
          <w:szCs w:val="24"/>
          <w14:textFill>
            <w14:solidFill>
              <w14:schemeClr w14:val="tx1"/>
            </w14:solidFill>
          </w14:textFill>
        </w:rPr>
        <w:t xml:space="preserve">”相一致。</w:t>
      </w:r>
      <w:r/>
    </w:p>
    <w:p>
      <w:pPr>
        <w:ind w:firstLine="480"/>
        <w:spacing w:line="440" w:lineRule="exact"/>
        <w:rPr>
          <w:rFonts w:ascii="宋体" w:hAnsi="宋体"/>
          <w:color w:val="000000" w:themeColor="text1"/>
          <w:sz w:val="24"/>
          <w:szCs w:val="24"/>
          <w14:textFill>
            <w14:solidFill>
              <w14:schemeClr w14:val="tx1"/>
            </w14:solidFill>
          </w14:textFill>
        </w:rPr>
      </w:pPr>
      <w:r>
        <w:rPr>
          <w:rFonts w:hint="eastAsia" w:cs="Calibri"/>
          <w:bCs/>
          <w:color w:val="000000" w:themeColor="text1"/>
          <w:sz w:val="24"/>
          <w:szCs w:val="24"/>
          <w14:textFill>
            <w14:solidFill>
              <w14:schemeClr w14:val="tx1"/>
            </w14:solidFill>
          </w14:textFill>
        </w:rPr>
        <w:t xml:space="preserve">4</w:t>
      </w:r>
      <w:r>
        <w:rPr>
          <w:rFonts w:hint="eastAsia" w:ascii="宋体" w:hAnsi="宋体"/>
          <w:bCs/>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投标总报价</w:t>
      </w:r>
      <w:r>
        <w:rPr>
          <w:rFonts w:hint="eastAsia" w:ascii="宋体" w:hAnsi="宋体"/>
          <w:bCs/>
          <w:color w:val="000000" w:themeColor="text1"/>
          <w:sz w:val="24"/>
          <w:szCs w:val="24"/>
          <w14:textFill>
            <w14:solidFill>
              <w14:schemeClr w14:val="tx1"/>
            </w14:solidFill>
          </w14:textFill>
        </w:rPr>
        <w:t xml:space="preserve">”请保留小数点后两位。</w:t>
      </w:r>
      <w:r/>
    </w:p>
    <w:p>
      <w:pPr>
        <w:pStyle w:val="708"/>
        <w:jc w:val="center"/>
        <w:spacing w:line="440" w:lineRule="exact"/>
        <w:rPr>
          <w:rFonts w:ascii="宋体" w:hAnsi="宋体"/>
          <w:color w:val="000000" w:themeColor="text1"/>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br w:type="page" w:clear="all"/>
      </w:r>
      <w:bookmarkStart w:id="219" w:name="_Toc10103"/>
      <w:r/>
      <w:bookmarkStart w:id="220" w:name="_Toc21588"/>
      <w:r>
        <w:rPr>
          <w:rFonts w:hint="eastAsia" w:ascii="Times New Roman" w:hAnsi="Times New Roman" w:eastAsia="宋体" w:cs="Times New Roman"/>
          <w:b/>
          <w:bCs/>
          <w:color w:val="000000" w:themeColor="text1"/>
          <w:sz w:val="28"/>
          <w:szCs w:val="28"/>
          <w14:textFill>
            <w14:solidFill>
              <w14:schemeClr w14:val="tx1"/>
            </w14:solidFill>
          </w14:textFill>
        </w:rPr>
        <w:t xml:space="preserve">附件3 项目服务要求响应及偏离表</w:t>
      </w:r>
      <w:bookmarkEnd w:id="219"/>
      <w:r/>
      <w:bookmarkEnd w:id="220"/>
      <w:r/>
      <w:r/>
    </w:p>
    <w:tbl>
      <w:tblPr>
        <w:tblStyle w:val="717"/>
        <w:tblW w:w="9997"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8"/>
        <w:gridCol w:w="2897"/>
        <w:gridCol w:w="2333"/>
        <w:gridCol w:w="1889"/>
        <w:gridCol w:w="2110"/>
      </w:tblGrid>
      <w:tr>
        <w:trPr>
          <w:trHeight w:val="794"/>
        </w:trPr>
        <w:tc>
          <w:tcPr>
            <w:tcW w:w="768"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序号</w:t>
            </w:r>
            <w:r/>
          </w:p>
        </w:tc>
        <w:tc>
          <w:tcPr>
            <w:tcW w:w="2897" w:type="dxa"/>
            <w:vAlign w:val="center"/>
            <w:textDirection w:val="lrTb"/>
            <w:noWrap w:val="false"/>
          </w:tcPr>
          <w:p>
            <w:pPr>
              <w:jc w:val="center"/>
              <w:rPr>
                <w:color w:val="000000" w:themeColor="text1"/>
                <w14:textFill>
                  <w14:solidFill>
                    <w14:schemeClr w14:val="tx1"/>
                  </w14:solidFill>
                </w14:textFill>
              </w:rPr>
            </w:pPr>
            <w:r>
              <w:rPr>
                <w:rFonts w:hint="eastAsia"/>
                <w:color w:val="000000" w:themeColor="text1"/>
                <w:szCs w:val="21"/>
                <w14:textFill>
                  <w14:solidFill>
                    <w14:schemeClr w14:val="tx1"/>
                  </w14:solidFill>
                </w14:textFill>
              </w:rPr>
              <w:t xml:space="preserve">招标文件</w:t>
            </w:r>
            <w:r>
              <w:rPr>
                <w:color w:val="000000" w:themeColor="text1"/>
                <w:szCs w:val="21"/>
                <w14:textFill>
                  <w14:solidFill>
                    <w14:schemeClr w14:val="tx1"/>
                  </w14:solidFill>
                </w14:textFill>
              </w:rPr>
              <w:t xml:space="preserve">要求</w:t>
            </w:r>
            <w:r/>
          </w:p>
        </w:tc>
        <w:tc>
          <w:tcPr>
            <w:tcW w:w="2333" w:type="dxa"/>
            <w:vAlign w:val="center"/>
            <w:textDirection w:val="lrTb"/>
            <w:noWrap w:val="false"/>
          </w:tcPr>
          <w:p>
            <w:pPr>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投标人</w:t>
            </w:r>
            <w:r>
              <w:rPr>
                <w:color w:val="000000" w:themeColor="text1"/>
                <w:szCs w:val="21"/>
                <w14:textFill>
                  <w14:solidFill>
                    <w14:schemeClr w14:val="tx1"/>
                  </w14:solidFill>
                </w14:textFill>
              </w:rPr>
              <w:t xml:space="preserve">提供服务承诺</w:t>
            </w:r>
            <w:r/>
          </w:p>
        </w:tc>
        <w:tc>
          <w:tcPr>
            <w:tcW w:w="1889" w:type="dxa"/>
            <w:vAlign w:val="center"/>
            <w:textDirection w:val="lrTb"/>
            <w:noWrap w:val="false"/>
          </w:tcPr>
          <w:p>
            <w:pPr>
              <w:jc w:val="center"/>
              <w:rPr>
                <w:color w:val="000000" w:themeColor="text1"/>
                <w14:textFill>
                  <w14:solidFill>
                    <w14:schemeClr w14:val="tx1"/>
                  </w14:solidFill>
                </w14:textFill>
              </w:rPr>
            </w:pPr>
            <w:r>
              <w:rPr>
                <w:color w:val="000000" w:themeColor="text1"/>
                <w14:textFill>
                  <w14:solidFill>
                    <w14:schemeClr w14:val="tx1"/>
                  </w14:solidFill>
                </w14:textFill>
              </w:rPr>
              <w:t xml:space="preserve">有无偏离</w:t>
            </w:r>
            <w:r/>
          </w:p>
        </w:tc>
        <w:tc>
          <w:tcPr>
            <w:tcW w:w="2110" w:type="dxa"/>
            <w:vAlign w:val="center"/>
            <w:textDirection w:val="lrTb"/>
            <w:noWrap w:val="false"/>
          </w:tcPr>
          <w:p>
            <w:pPr>
              <w:jc w:val="center"/>
              <w:rPr>
                <w:color w:val="000000" w:themeColor="text1"/>
                <w14:textFill>
                  <w14:solidFill>
                    <w14:schemeClr w14:val="tx1"/>
                  </w14:solidFill>
                </w14:textFill>
              </w:rPr>
            </w:pPr>
            <w:r>
              <w:rPr>
                <w:color w:val="000000" w:themeColor="text1"/>
                <w14:textFill>
                  <w14:solidFill>
                    <w14:schemeClr w14:val="tx1"/>
                  </w14:solidFill>
                </w14:textFill>
              </w:rPr>
              <w:t xml:space="preserve">偏离内容及原因</w:t>
            </w:r>
            <w:r/>
          </w:p>
        </w:tc>
      </w:tr>
      <w:tr>
        <w:trPr>
          <w:trHeight w:val="623"/>
        </w:trPr>
        <w:tc>
          <w:tcPr>
            <w:tcW w:w="768"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1</w:t>
            </w:r>
            <w:r/>
          </w:p>
        </w:tc>
        <w:tc>
          <w:tcPr>
            <w:tcW w:w="2897"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2333"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889"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2110"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623"/>
        </w:trPr>
        <w:tc>
          <w:tcPr>
            <w:tcW w:w="768"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2</w:t>
            </w:r>
            <w:r/>
          </w:p>
        </w:tc>
        <w:tc>
          <w:tcPr>
            <w:tcW w:w="2897"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2333"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889"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2110"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623"/>
        </w:trPr>
        <w:tc>
          <w:tcPr>
            <w:tcW w:w="768"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3</w:t>
            </w:r>
            <w:r/>
          </w:p>
        </w:tc>
        <w:tc>
          <w:tcPr>
            <w:tcW w:w="2897"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2333"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889"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2110"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623"/>
        </w:trPr>
        <w:tc>
          <w:tcPr>
            <w:tcW w:w="768" w:type="dxa"/>
            <w:vAlign w:val="center"/>
            <w:textDirection w:val="lrTb"/>
            <w:noWrap w:val="false"/>
          </w:tcPr>
          <w:p>
            <w:pPr>
              <w:jc w:val="center"/>
              <w:spacing w:line="44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w:t>
            </w:r>
            <w:r/>
          </w:p>
        </w:tc>
        <w:tc>
          <w:tcPr>
            <w:tcW w:w="2897"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2333"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889"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2110"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623"/>
        </w:trPr>
        <w:tc>
          <w:tcPr>
            <w:tcW w:w="768" w:type="dxa"/>
            <w:vAlign w:val="center"/>
            <w:textDirection w:val="lrTb"/>
            <w:noWrap w:val="false"/>
          </w:tcPr>
          <w:p>
            <w:pPr>
              <w:jc w:val="center"/>
              <w:spacing w:line="44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w:t>
            </w:r>
            <w:r/>
          </w:p>
        </w:tc>
        <w:tc>
          <w:tcPr>
            <w:tcW w:w="2897"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2333"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889"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2110"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623"/>
        </w:trPr>
        <w:tc>
          <w:tcPr>
            <w:tcW w:w="768" w:type="dxa"/>
            <w:vAlign w:val="center"/>
            <w:textDirection w:val="lrTb"/>
            <w:noWrap w:val="false"/>
          </w:tcPr>
          <w:p>
            <w:pPr>
              <w:jc w:val="center"/>
              <w:spacing w:line="44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w:t>
            </w:r>
            <w:r/>
          </w:p>
        </w:tc>
        <w:tc>
          <w:tcPr>
            <w:tcW w:w="2897"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2333"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889"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2110"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623"/>
        </w:trPr>
        <w:tc>
          <w:tcPr>
            <w:tcW w:w="768" w:type="dxa"/>
            <w:vAlign w:val="center"/>
            <w:textDirection w:val="lrTb"/>
            <w:noWrap w:val="false"/>
          </w:tcPr>
          <w:p>
            <w:pPr>
              <w:jc w:val="center"/>
              <w:spacing w:line="44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w:t>
            </w:r>
            <w:r/>
          </w:p>
        </w:tc>
        <w:tc>
          <w:tcPr>
            <w:tcW w:w="2897"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2333"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889"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2110"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646"/>
        </w:trPr>
        <w:tc>
          <w:tcPr>
            <w:tcW w:w="768" w:type="dxa"/>
            <w:vAlign w:val="center"/>
            <w:textDirection w:val="lrTb"/>
            <w:noWrap w:val="false"/>
          </w:tcPr>
          <w:p>
            <w:pPr>
              <w:jc w:val="center"/>
              <w:spacing w:line="44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p>
        </w:tc>
        <w:tc>
          <w:tcPr>
            <w:tcW w:w="2897"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2333"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889"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2110"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r>
    </w:tbl>
    <w:p>
      <w:pPr>
        <w:spacing w:line="460" w:lineRule="exact"/>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注：（1）</w:t>
      </w:r>
      <w:r>
        <w:rPr>
          <w:rFonts w:hint="eastAsia"/>
          <w:color w:val="000000" w:themeColor="text1"/>
          <w:sz w:val="24"/>
          <w:szCs w:val="24"/>
          <w14:textFill>
            <w14:solidFill>
              <w14:schemeClr w14:val="tx1"/>
            </w14:solidFill>
          </w14:textFill>
        </w:rPr>
        <w:t xml:space="preserve">投标人</w:t>
      </w:r>
      <w:r>
        <w:rPr>
          <w:color w:val="000000" w:themeColor="text1"/>
          <w:sz w:val="24"/>
          <w:szCs w:val="24"/>
          <w14:textFill>
            <w14:solidFill>
              <w14:schemeClr w14:val="tx1"/>
            </w14:solidFill>
          </w14:textFill>
        </w:rPr>
        <w:t xml:space="preserve">应根据“项目需求”</w:t>
      </w:r>
      <w:r>
        <w:rPr>
          <w:rFonts w:hint="eastAsia"/>
          <w:color w:val="000000" w:themeColor="text1"/>
          <w:sz w:val="24"/>
          <w:szCs w:val="24"/>
          <w14:textFill>
            <w14:solidFill>
              <w14:schemeClr w14:val="tx1"/>
            </w14:solidFill>
          </w14:textFill>
        </w:rPr>
        <w:t xml:space="preserve">中“三、项目服务要求”，</w:t>
      </w:r>
      <w:r>
        <w:rPr>
          <w:color w:val="000000" w:themeColor="text1"/>
          <w:sz w:val="24"/>
          <w:szCs w:val="24"/>
          <w14:textFill>
            <w14:solidFill>
              <w14:schemeClr w14:val="tx1"/>
            </w14:solidFill>
          </w14:textFill>
        </w:rPr>
        <w:t xml:space="preserve">对照所能提供的服务承诺进行评议。</w:t>
      </w:r>
      <w:r/>
    </w:p>
    <w:p>
      <w:pPr>
        <w:ind w:firstLine="480"/>
        <w:spacing w:line="480" w:lineRule="exact"/>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w:t>
      </w:r>
      <w:r>
        <w:rPr>
          <w:rFonts w:hint="eastAsia"/>
          <w:color w:val="000000" w:themeColor="text1"/>
          <w:sz w:val="24"/>
          <w:szCs w:val="24"/>
          <w14:textFill>
            <w14:solidFill>
              <w14:schemeClr w14:val="tx1"/>
            </w14:solidFill>
          </w14:textFill>
        </w:rPr>
        <w:t xml:space="preserve">若无偏离，在“有无偏离”栏中填写“无”；若有偏离在“有无偏离”栏中填写“有”并在“偏离内容及原因”栏中作出说明；因未标明或表述含糊导致的评审风险将由投标人承担。</w:t>
      </w:r>
      <w:r/>
    </w:p>
    <w:p>
      <w:pPr>
        <w:ind w:firstLine="480"/>
        <w:spacing w:line="480" w:lineRule="exact"/>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（3）表格不够可另接。</w:t>
      </w:r>
      <w:r/>
    </w:p>
    <w:p>
      <w:pPr>
        <w:ind w:firstLine="480"/>
        <w:spacing w:after="120" w:line="440" w:lineRule="exact"/>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jc w:val="center"/>
        <w:spacing w:line="440" w:lineRule="exact"/>
        <w:rPr>
          <w:rFonts w:ascii="Times New Roman" w:hAnsi="Times New Roman"/>
          <w:b/>
          <w:bCs/>
          <w:color w:val="000000" w:themeColor="text1"/>
          <w:sz w:val="28"/>
          <w:szCs w:val="28"/>
          <w14:textFill>
            <w14:solidFill>
              <w14:schemeClr w14:val="tx1"/>
            </w14:solidFill>
          </w14:textFill>
        </w:rPr>
        <w:outlineLvl w:val="1"/>
      </w:pPr>
      <w:r>
        <w:rPr>
          <w:color w:val="000000" w:themeColor="text1"/>
          <w14:textFill>
            <w14:solidFill>
              <w14:schemeClr w14:val="tx1"/>
            </w14:solidFill>
          </w14:textFill>
        </w:rPr>
        <w:br w:type="page" w:clear="all"/>
      </w:r>
      <w:bookmarkStart w:id="221" w:name="_Toc23517"/>
      <w:r/>
      <w:bookmarkStart w:id="222" w:name="_Toc10616"/>
      <w:r/>
      <w:bookmarkStart w:id="223" w:name="_Toc354834784"/>
      <w:r/>
      <w:bookmarkStart w:id="224" w:name="_Toc43821328"/>
      <w:r/>
      <w:bookmarkStart w:id="225" w:name="_Toc146524609"/>
      <w:r/>
      <w:bookmarkStart w:id="226" w:name="_Toc387400419"/>
      <w:r/>
      <w:bookmarkStart w:id="227" w:name="_Toc522610225"/>
      <w:r>
        <w:rPr>
          <w:rFonts w:hint="eastAsia" w:ascii="Times New Roman" w:hAnsi="Times New Roman"/>
          <w:b/>
          <w:bCs/>
          <w:color w:val="000000" w:themeColor="text1"/>
          <w:sz w:val="28"/>
          <w:szCs w:val="28"/>
          <w14:textFill>
            <w14:solidFill>
              <w14:schemeClr w14:val="tx1"/>
            </w14:solidFill>
          </w14:textFill>
        </w:rPr>
        <w:t xml:space="preserve">附件4</w:t>
      </w:r>
      <w:r>
        <w:rPr>
          <w:rFonts w:ascii="Times New Roman" w:hAnsi="Times New Roman"/>
          <w:b/>
          <w:bCs/>
          <w:color w:val="000000" w:themeColor="text1"/>
          <w:sz w:val="28"/>
          <w:szCs w:val="28"/>
          <w14:textFill>
            <w14:solidFill>
              <w14:schemeClr w14:val="tx1"/>
            </w14:solidFill>
          </w14:textFill>
        </w:rPr>
        <w:t xml:space="preserve"> </w:t>
      </w:r>
      <w:r>
        <w:rPr>
          <w:rFonts w:hint="eastAsia" w:ascii="Times New Roman" w:hAnsi="Times New Roman"/>
          <w:b/>
          <w:bCs/>
          <w:color w:val="000000" w:themeColor="text1"/>
          <w:sz w:val="28"/>
          <w:szCs w:val="28"/>
          <w14:textFill>
            <w14:solidFill>
              <w14:schemeClr w14:val="tx1"/>
            </w14:solidFill>
          </w14:textFill>
        </w:rPr>
        <w:t xml:space="preserve">项目方案</w:t>
      </w:r>
      <w:bookmarkEnd w:id="221"/>
      <w:r/>
      <w:bookmarkEnd w:id="222"/>
      <w:r/>
      <w:r/>
    </w:p>
    <w:p>
      <w:pPr>
        <w:ind w:firstLine="480"/>
        <w:spacing w:line="460" w:lineRule="exact"/>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主要内容应包括但不限于以下方面：</w:t>
      </w:r>
      <w:r/>
    </w:p>
    <w:p>
      <w:pPr>
        <w:ind w:firstLine="480"/>
        <w:spacing w:line="46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1、管理目标设想、内部规章制度及人员培训方案说明；</w:t>
      </w:r>
      <w:r/>
    </w:p>
    <w:p>
      <w:pPr>
        <w:ind w:firstLine="480"/>
        <w:spacing w:line="46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2、绿化养护技术方案服务方案说明；</w:t>
      </w:r>
      <w:r/>
    </w:p>
    <w:p>
      <w:pPr>
        <w:ind w:firstLine="480"/>
        <w:spacing w:line="460" w:lineRule="exact"/>
        <w:rPr>
          <w:rFonts w:hint="eastAsia"/>
          <w:color w:val="000000" w:themeColor="text1"/>
          <w:sz w:val="24"/>
          <w:szCs w:val="24"/>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 xml:space="preserve">3、</w:t>
      </w:r>
      <w:r>
        <w:rPr>
          <w:rFonts w:hint="eastAsia" w:ascii="宋体" w:hAnsi="宋体"/>
          <w:color w:val="000000"/>
          <w:sz w:val="24"/>
          <w:szCs w:val="24"/>
        </w:rPr>
        <w:t xml:space="preserve">绿化养护应急方案</w:t>
      </w:r>
      <w:r>
        <w:rPr>
          <w:rFonts w:hint="eastAsia" w:ascii="宋体" w:hAnsi="宋体"/>
          <w:color w:val="000000"/>
          <w:sz w:val="24"/>
          <w:szCs w:val="24"/>
          <w:lang w:val="en-US" w:eastAsia="zh-CN"/>
        </w:rPr>
        <w:t xml:space="preserve">说明</w:t>
      </w:r>
      <w:r>
        <w:rPr>
          <w:rFonts w:hint="eastAsia"/>
          <w:color w:val="000000" w:themeColor="text1"/>
          <w:sz w:val="24"/>
          <w:szCs w:val="24"/>
          <w14:textFill>
            <w14:solidFill>
              <w14:schemeClr w14:val="tx1"/>
            </w14:solidFill>
          </w14:textFill>
        </w:rPr>
        <w:t xml:space="preserve">；</w:t>
      </w:r>
      <w:r/>
    </w:p>
    <w:p>
      <w:pPr>
        <w:ind w:firstLine="480"/>
        <w:spacing w:line="460" w:lineRule="exact"/>
        <w:rPr>
          <w:rFonts w:hint="default" w:eastAsia="宋体"/>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 xml:space="preserve">4、</w:t>
      </w:r>
      <w:r>
        <w:rPr>
          <w:rFonts w:hint="eastAsia" w:ascii="宋体" w:hAnsi="宋体"/>
          <w:color w:val="000000"/>
          <w:sz w:val="24"/>
          <w:szCs w:val="24"/>
          <w:lang w:val="en-US" w:eastAsia="zh-CN"/>
        </w:rPr>
        <w:t xml:space="preserve">树枝加工末端处理说明（</w:t>
      </w:r>
      <w:r>
        <w:rPr>
          <w:rFonts w:hint="eastAsia" w:ascii="宋体" w:hAnsi="宋体"/>
          <w:color w:val="000000" w:themeColor="text1"/>
          <w:sz w:val="24"/>
          <w:szCs w:val="24"/>
          <w:lang w:val="en-US" w:eastAsia="zh-CN"/>
          <w14:textFill>
            <w14:solidFill>
              <w14:schemeClr w14:val="tx1"/>
            </w14:solidFill>
          </w14:textFill>
        </w:rPr>
        <w:t xml:space="preserve">根据“第五章  评标方法与评标标准”要求提供相关证明材料</w:t>
      </w:r>
      <w:r>
        <w:rPr>
          <w:rFonts w:hint="eastAsia" w:ascii="宋体" w:hAnsi="宋体"/>
          <w:color w:val="000000"/>
          <w:sz w:val="24"/>
          <w:szCs w:val="24"/>
          <w:lang w:val="en-US" w:eastAsia="zh-CN"/>
        </w:rPr>
        <w:t xml:space="preserve">）；</w:t>
      </w:r>
      <w:r/>
    </w:p>
    <w:p>
      <w:pPr>
        <w:ind w:firstLine="480"/>
        <w:spacing w:line="460" w:lineRule="exact"/>
        <w:rPr>
          <w:color w:val="000000" w:themeColor="text1"/>
          <w:sz w:val="24"/>
          <w:szCs w:val="24"/>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 xml:space="preserve">5</w:t>
      </w:r>
      <w:r>
        <w:rPr>
          <w:rFonts w:hint="eastAsia"/>
          <w:color w:val="000000" w:themeColor="text1"/>
          <w:sz w:val="24"/>
          <w:szCs w:val="24"/>
          <w14:textFill>
            <w14:solidFill>
              <w14:schemeClr w14:val="tx1"/>
            </w14:solidFill>
          </w14:textFill>
        </w:rPr>
        <w:t xml:space="preserve">、其他说明。</w:t>
      </w:r>
      <w:r/>
    </w:p>
    <w:p>
      <w:pPr>
        <w:jc w:val="left"/>
        <w:widowControl/>
        <w:rPr>
          <w:color w:val="000000" w:themeColor="text1"/>
          <w14:textFill>
            <w14:solidFill>
              <w14:schemeClr w14:val="tx1"/>
            </w14:solidFill>
          </w14:textFill>
        </w:rPr>
      </w:pPr>
      <w:r>
        <w:rPr>
          <w:color w:val="000000" w:themeColor="text1"/>
          <w14:textFill>
            <w14:solidFill>
              <w14:schemeClr w14:val="tx1"/>
            </w14:solidFill>
          </w14:textFill>
        </w:rPr>
        <w:br w:type="page" w:clear="all"/>
      </w:r>
      <w:r/>
    </w:p>
    <w:p>
      <w:pPr>
        <w:pStyle w:val="708"/>
        <w:jc w:val="center"/>
        <w:spacing w:line="440" w:lineRule="exact"/>
        <w:rPr>
          <w:rFonts w:ascii="Times New Roman" w:hAnsi="Times New Roman" w:eastAsia="宋体" w:cs="Times New Roman"/>
          <w:b/>
          <w:bCs/>
          <w:color w:val="000000" w:themeColor="text1"/>
          <w:sz w:val="28"/>
          <w:szCs w:val="28"/>
          <w14:textFill>
            <w14:solidFill>
              <w14:schemeClr w14:val="tx1"/>
            </w14:solidFill>
          </w14:textFill>
        </w:rPr>
      </w:pPr>
      <w:r/>
      <w:bookmarkStart w:id="228" w:name="_Toc12599"/>
      <w:r/>
      <w:bookmarkStart w:id="229" w:name="_Toc2374"/>
      <w:r>
        <w:rPr>
          <w:rFonts w:hint="eastAsia" w:ascii="Times New Roman" w:hAnsi="Times New Roman" w:eastAsia="宋体" w:cs="Times New Roman"/>
          <w:b/>
          <w:bCs/>
          <w:color w:val="000000" w:themeColor="text1"/>
          <w:sz w:val="28"/>
          <w:szCs w:val="28"/>
          <w14:textFill>
            <w14:solidFill>
              <w14:schemeClr w14:val="tx1"/>
            </w14:solidFill>
          </w14:textFill>
        </w:rPr>
        <w:t xml:space="preserve">附件5 </w:t>
      </w:r>
      <w:bookmarkEnd w:id="223"/>
      <w:r/>
      <w:bookmarkEnd w:id="224"/>
      <w:r/>
      <w:bookmarkEnd w:id="225"/>
      <w:r/>
      <w:bookmarkEnd w:id="226"/>
      <w:r/>
      <w:bookmarkEnd w:id="227"/>
      <w:r>
        <w:rPr>
          <w:rFonts w:hint="eastAsia" w:ascii="Times New Roman" w:hAnsi="Times New Roman" w:eastAsia="宋体" w:cs="Times New Roman"/>
          <w:b/>
          <w:bCs/>
          <w:color w:val="000000" w:themeColor="text1"/>
          <w:sz w:val="28"/>
          <w:szCs w:val="28"/>
          <w14:textFill>
            <w14:solidFill>
              <w14:schemeClr w14:val="tx1"/>
            </w14:solidFill>
          </w14:textFill>
        </w:rPr>
        <w:t xml:space="preserve">人员配置情况</w:t>
      </w:r>
      <w:bookmarkEnd w:id="228"/>
      <w:r/>
      <w:bookmarkEnd w:id="229"/>
      <w:r/>
      <w:r/>
    </w:p>
    <w:p>
      <w:pPr>
        <w:spacing w:line="440" w:lineRule="exact"/>
        <w:rPr>
          <w:rFonts w:ascii="Times New Roman" w:hAnsi="Times New Roman"/>
          <w:b/>
          <w:bCs/>
          <w:color w:val="000000" w:themeColor="text1"/>
          <w:sz w:val="24"/>
          <w:szCs w:val="24"/>
          <w14:textFill>
            <w14:solidFill>
              <w14:schemeClr w14:val="tx1"/>
            </w14:solidFill>
          </w14:textFill>
        </w:rPr>
      </w:pPr>
      <w:r>
        <w:rPr>
          <w:rFonts w:hint="eastAsia" w:ascii="Times New Roman" w:hAnsi="Times New Roman"/>
          <w:b/>
          <w:bCs/>
          <w:color w:val="000000" w:themeColor="text1"/>
          <w:sz w:val="24"/>
          <w:szCs w:val="24"/>
          <w14:textFill>
            <w14:solidFill>
              <w14:schemeClr w14:val="tx1"/>
            </w14:solidFill>
          </w14:textFill>
        </w:rPr>
        <w:t xml:space="preserve">1、项目负责人情况一览表</w:t>
      </w:r>
      <w:r/>
    </w:p>
    <w:tbl>
      <w:tblPr>
        <w:tblStyle w:val="717"/>
        <w:tblW w:w="9527" w:type="dxa"/>
        <w:tblInd w:w="2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2702"/>
        <w:gridCol w:w="6825"/>
      </w:tblGrid>
      <w:tr>
        <w:trPr>
          <w:trHeight w:val="521"/>
        </w:trPr>
        <w:tc>
          <w:tcPr>
            <w:tcW w:w="2702" w:type="dxa"/>
            <w:vAlign w:val="center"/>
            <w:textDirection w:val="lrTb"/>
            <w:noWrap w:val="false"/>
          </w:tcPr>
          <w:p>
            <w:pPr>
              <w:pStyle w:val="723"/>
              <w:jc w:val="center"/>
              <w:rPr>
                <w:rFonts w:ascii="Times New Roman" w:hAnsi="Times New Roman" w:eastAsia="宋体"/>
                <w:color w:val="000000" w:themeColor="text1"/>
                <w:sz w:val="24"/>
                <w14:textFill>
                  <w14:solidFill>
                    <w14:schemeClr w14:val="tx1"/>
                  </w14:solidFill>
                </w14:textFill>
              </w:rPr>
            </w:pPr>
            <w:r>
              <w:rPr>
                <w:rFonts w:hint="eastAsia" w:ascii="Times New Roman" w:hAnsi="Times New Roman" w:eastAsia="宋体"/>
                <w:color w:val="000000" w:themeColor="text1"/>
                <w:sz w:val="24"/>
                <w14:textFill>
                  <w14:solidFill>
                    <w14:schemeClr w14:val="tx1"/>
                  </w14:solidFill>
                </w14:textFill>
              </w:rPr>
              <w:t xml:space="preserve">姓名</w:t>
            </w:r>
            <w:r/>
          </w:p>
        </w:tc>
        <w:tc>
          <w:tcPr>
            <w:tcW w:w="6825" w:type="dxa"/>
            <w:vAlign w:val="center"/>
            <w:textDirection w:val="lrTb"/>
            <w:noWrap w:val="false"/>
          </w:tcPr>
          <w:p>
            <w:pPr>
              <w:pStyle w:val="723"/>
              <w:jc w:val="center"/>
              <w:rPr>
                <w:rFonts w:ascii="Times New Roman" w:hAnsi="Times New Roman" w:eastAsia="宋体"/>
                <w:color w:val="000000" w:themeColor="text1"/>
                <w:sz w:val="24"/>
                <w14:textFill>
                  <w14:solidFill>
                    <w14:schemeClr w14:val="tx1"/>
                  </w14:solidFill>
                </w14:textFill>
              </w:rPr>
            </w:pPr>
            <w:r>
              <w:rPr>
                <w:rFonts w:ascii="Times New Roman" w:hAnsi="Times New Roman" w:eastAsia="宋体"/>
                <w:color w:val="000000" w:themeColor="text1"/>
                <w:sz w:val="24"/>
                <w14:textFill>
                  <w14:solidFill>
                    <w14:schemeClr w14:val="tx1"/>
                  </w14:solidFill>
                </w14:textFill>
              </w:rPr>
            </w:r>
            <w:r/>
          </w:p>
        </w:tc>
      </w:tr>
      <w:tr>
        <w:trPr>
          <w:trHeight w:val="556"/>
        </w:trPr>
        <w:tc>
          <w:tcPr>
            <w:tcW w:w="2702" w:type="dxa"/>
            <w:vAlign w:val="center"/>
            <w:textDirection w:val="lrTb"/>
            <w:noWrap w:val="false"/>
          </w:tcPr>
          <w:p>
            <w:pPr>
              <w:pStyle w:val="723"/>
              <w:jc w:val="center"/>
              <w:rPr>
                <w:rFonts w:ascii="Times New Roman" w:hAnsi="Times New Roman" w:eastAsia="宋体"/>
                <w:color w:val="000000" w:themeColor="text1"/>
                <w:sz w:val="24"/>
                <w14:textFill>
                  <w14:solidFill>
                    <w14:schemeClr w14:val="tx1"/>
                  </w14:solidFill>
                </w14:textFill>
              </w:rPr>
            </w:pPr>
            <w:r>
              <w:rPr>
                <w:rFonts w:ascii="Times New Roman" w:hAnsi="Times New Roman" w:eastAsia="宋体"/>
                <w:color w:val="000000" w:themeColor="text1"/>
                <w:sz w:val="24"/>
                <w14:textFill>
                  <w14:solidFill>
                    <w14:schemeClr w14:val="tx1"/>
                  </w14:solidFill>
                </w14:textFill>
              </w:rPr>
              <w:t xml:space="preserve">身份证号码</w:t>
            </w:r>
            <w:r/>
          </w:p>
        </w:tc>
        <w:tc>
          <w:tcPr>
            <w:tcW w:w="6825" w:type="dxa"/>
            <w:vAlign w:val="center"/>
            <w:textDirection w:val="lrTb"/>
            <w:noWrap w:val="false"/>
          </w:tcPr>
          <w:p>
            <w:pPr>
              <w:pStyle w:val="723"/>
              <w:jc w:val="center"/>
              <w:rPr>
                <w:rFonts w:ascii="Times New Roman" w:hAnsi="Times New Roman" w:eastAsia="宋体"/>
                <w:color w:val="000000" w:themeColor="text1"/>
                <w:sz w:val="24"/>
                <w14:textFill>
                  <w14:solidFill>
                    <w14:schemeClr w14:val="tx1"/>
                  </w14:solidFill>
                </w14:textFill>
              </w:rPr>
            </w:pPr>
            <w:r>
              <w:rPr>
                <w:rFonts w:ascii="Times New Roman" w:hAnsi="Times New Roman" w:eastAsia="宋体"/>
                <w:color w:val="000000" w:themeColor="text1"/>
                <w:sz w:val="24"/>
                <w14:textFill>
                  <w14:solidFill>
                    <w14:schemeClr w14:val="tx1"/>
                  </w14:solidFill>
                </w14:textFill>
              </w:rPr>
            </w:r>
            <w:r/>
          </w:p>
        </w:tc>
      </w:tr>
      <w:tr>
        <w:trPr>
          <w:trHeight w:val="654"/>
        </w:trPr>
        <w:tc>
          <w:tcPr>
            <w:tcW w:w="2702" w:type="dxa"/>
            <w:vAlign w:val="center"/>
            <w:textDirection w:val="lrTb"/>
            <w:noWrap w:val="false"/>
          </w:tcPr>
          <w:p>
            <w:pPr>
              <w:pStyle w:val="723"/>
              <w:jc w:val="center"/>
              <w:rPr>
                <w:rFonts w:ascii="Times New Roman" w:hAnsi="Times New Roman" w:eastAsia="宋体"/>
                <w:color w:val="000000" w:themeColor="text1"/>
                <w:sz w:val="24"/>
                <w14:textFill>
                  <w14:solidFill>
                    <w14:schemeClr w14:val="tx1"/>
                  </w14:solidFill>
                </w14:textFill>
              </w:rPr>
            </w:pPr>
            <w:r>
              <w:rPr>
                <w:rFonts w:ascii="Times New Roman" w:hAnsi="Times New Roman" w:eastAsia="宋体"/>
                <w:color w:val="000000" w:themeColor="text1"/>
                <w:sz w:val="24"/>
                <w14:textFill>
                  <w14:solidFill>
                    <w14:schemeClr w14:val="tx1"/>
                  </w14:solidFill>
                </w14:textFill>
              </w:rPr>
              <w:t xml:space="preserve">联系电话</w:t>
            </w:r>
            <w:r>
              <w:rPr>
                <w:rFonts w:hint="eastAsia" w:ascii="Times New Roman" w:hAnsi="Times New Roman" w:eastAsia="宋体"/>
                <w:color w:val="000000" w:themeColor="text1"/>
                <w:sz w:val="24"/>
                <w14:textFill>
                  <w14:solidFill>
                    <w14:schemeClr w14:val="tx1"/>
                  </w14:solidFill>
                </w14:textFill>
              </w:rPr>
              <w:t xml:space="preserve">（手机）</w:t>
            </w:r>
            <w:r/>
          </w:p>
        </w:tc>
        <w:tc>
          <w:tcPr>
            <w:tcW w:w="6825" w:type="dxa"/>
            <w:vAlign w:val="center"/>
            <w:textDirection w:val="lrTb"/>
            <w:noWrap w:val="false"/>
          </w:tcPr>
          <w:p>
            <w:pPr>
              <w:pStyle w:val="723"/>
              <w:jc w:val="center"/>
              <w:rPr>
                <w:rFonts w:ascii="Times New Roman" w:hAnsi="Times New Roman" w:eastAsia="宋体"/>
                <w:color w:val="000000" w:themeColor="text1"/>
                <w:sz w:val="24"/>
                <w14:textFill>
                  <w14:solidFill>
                    <w14:schemeClr w14:val="tx1"/>
                  </w14:solidFill>
                </w14:textFill>
              </w:rPr>
            </w:pPr>
            <w:r>
              <w:rPr>
                <w:rFonts w:ascii="Times New Roman" w:hAnsi="Times New Roman" w:eastAsia="宋体"/>
                <w:color w:val="000000" w:themeColor="text1"/>
                <w:sz w:val="24"/>
                <w14:textFill>
                  <w14:solidFill>
                    <w14:schemeClr w14:val="tx1"/>
                  </w14:solidFill>
                </w14:textFill>
              </w:rPr>
            </w:r>
            <w:r/>
          </w:p>
        </w:tc>
      </w:tr>
      <w:tr>
        <w:trPr>
          <w:trHeight w:val="654"/>
        </w:trPr>
        <w:tc>
          <w:tcPr>
            <w:tcW w:w="2702" w:type="dxa"/>
            <w:vAlign w:val="center"/>
            <w:textDirection w:val="lrTb"/>
            <w:noWrap w:val="false"/>
          </w:tcPr>
          <w:p>
            <w:pPr>
              <w:pStyle w:val="723"/>
              <w:jc w:val="center"/>
              <w:rPr>
                <w:rFonts w:ascii="Times New Roman" w:hAnsi="Times New Roman" w:eastAsia="宋体"/>
                <w:color w:val="000000" w:themeColor="text1"/>
                <w:sz w:val="24"/>
                <w14:textFill>
                  <w14:solidFill>
                    <w14:schemeClr w14:val="tx1"/>
                  </w14:solidFill>
                </w14:textFill>
              </w:rPr>
            </w:pPr>
            <w:r>
              <w:rPr>
                <w:rFonts w:hint="eastAsia" w:ascii="Times New Roman" w:hAnsi="Times New Roman" w:eastAsia="宋体"/>
                <w:color w:val="000000" w:themeColor="text1"/>
                <w:sz w:val="24"/>
                <w14:textFill>
                  <w14:solidFill>
                    <w14:schemeClr w14:val="tx1"/>
                  </w14:solidFill>
                </w14:textFill>
              </w:rPr>
              <w:t xml:space="preserve">职业资格或职称</w:t>
            </w:r>
            <w:r/>
          </w:p>
        </w:tc>
        <w:tc>
          <w:tcPr>
            <w:tcW w:w="6825" w:type="dxa"/>
            <w:vAlign w:val="center"/>
            <w:textDirection w:val="lrTb"/>
            <w:noWrap w:val="false"/>
          </w:tcPr>
          <w:p>
            <w:pPr>
              <w:pStyle w:val="723"/>
              <w:jc w:val="center"/>
              <w:rPr>
                <w:rFonts w:ascii="Times New Roman" w:hAnsi="Times New Roman" w:eastAsia="宋体"/>
                <w:color w:val="000000" w:themeColor="text1"/>
                <w:sz w:val="24"/>
                <w14:textFill>
                  <w14:solidFill>
                    <w14:schemeClr w14:val="tx1"/>
                  </w14:solidFill>
                </w14:textFill>
              </w:rPr>
            </w:pPr>
            <w:r>
              <w:rPr>
                <w:rFonts w:ascii="Times New Roman" w:hAnsi="Times New Roman" w:eastAsia="宋体"/>
                <w:color w:val="000000" w:themeColor="text1"/>
                <w:sz w:val="24"/>
                <w14:textFill>
                  <w14:solidFill>
                    <w14:schemeClr w14:val="tx1"/>
                  </w14:solidFill>
                </w14:textFill>
              </w:rPr>
            </w:r>
            <w:r/>
          </w:p>
        </w:tc>
      </w:tr>
      <w:tr>
        <w:trPr>
          <w:cantSplit/>
          <w:trHeight w:val="660"/>
        </w:trPr>
        <w:tc>
          <w:tcPr>
            <w:tcW w:w="2702" w:type="dxa"/>
            <w:vAlign w:val="center"/>
            <w:textDirection w:val="lrTb"/>
            <w:noWrap w:val="false"/>
          </w:tcPr>
          <w:p>
            <w:pPr>
              <w:pStyle w:val="723"/>
              <w:jc w:val="center"/>
              <w:rPr>
                <w:rFonts w:ascii="Times New Roman" w:hAnsi="Times New Roman" w:eastAsia="宋体"/>
                <w:color w:val="000000" w:themeColor="text1"/>
                <w:sz w:val="24"/>
                <w14:textFill>
                  <w14:solidFill>
                    <w14:schemeClr w14:val="tx1"/>
                  </w14:solidFill>
                </w14:textFill>
              </w:rPr>
            </w:pPr>
            <w:r>
              <w:rPr>
                <w:rFonts w:hint="eastAsia" w:ascii="Times New Roman" w:hAnsi="Times New Roman" w:eastAsia="宋体"/>
                <w:color w:val="000000" w:themeColor="text1"/>
                <w:sz w:val="24"/>
                <w14:textFill>
                  <w14:solidFill>
                    <w14:schemeClr w14:val="tx1"/>
                  </w14:solidFill>
                </w14:textFill>
              </w:rPr>
              <w:t xml:space="preserve">经验奖励</w:t>
            </w:r>
            <w:r>
              <w:rPr>
                <w:rFonts w:ascii="Times New Roman" w:hAnsi="Times New Roman" w:eastAsia="宋体"/>
                <w:color w:val="000000" w:themeColor="text1"/>
                <w:sz w:val="24"/>
                <w14:textFill>
                  <w14:solidFill>
                    <w14:schemeClr w14:val="tx1"/>
                  </w14:solidFill>
                </w14:textFill>
              </w:rPr>
              <w:t xml:space="preserve">及其他说明</w:t>
            </w:r>
            <w:r/>
          </w:p>
        </w:tc>
        <w:tc>
          <w:tcPr>
            <w:tcW w:w="6825" w:type="dxa"/>
            <w:vAlign w:val="center"/>
            <w:textDirection w:val="lrTb"/>
            <w:noWrap w:val="false"/>
          </w:tcPr>
          <w:p>
            <w:pPr>
              <w:pStyle w:val="723"/>
              <w:jc w:val="center"/>
              <w:rPr>
                <w:rFonts w:ascii="Times New Roman" w:hAnsi="Times New Roman" w:eastAsia="宋体"/>
                <w:color w:val="000000" w:themeColor="text1"/>
                <w:sz w:val="24"/>
                <w14:textFill>
                  <w14:solidFill>
                    <w14:schemeClr w14:val="tx1"/>
                  </w14:solidFill>
                </w14:textFill>
              </w:rPr>
            </w:pPr>
            <w:r>
              <w:rPr>
                <w:rFonts w:ascii="Times New Roman" w:hAnsi="Times New Roman" w:eastAsia="宋体"/>
                <w:color w:val="000000" w:themeColor="text1"/>
                <w:sz w:val="24"/>
                <w14:textFill>
                  <w14:solidFill>
                    <w14:schemeClr w14:val="tx1"/>
                  </w14:solidFill>
                </w14:textFill>
              </w:rPr>
            </w:r>
            <w:r/>
          </w:p>
        </w:tc>
      </w:tr>
    </w:tbl>
    <w:p>
      <w:pPr>
        <w:spacing w:line="44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备注：1、项目负责人必须为本单位员工。</w:t>
      </w:r>
      <w:r/>
    </w:p>
    <w:p>
      <w:pPr>
        <w:ind w:firstLine="720"/>
        <w:spacing w:line="44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2、投标人应同时提供：</w:t>
      </w:r>
      <w:r/>
    </w:p>
    <w:p>
      <w:pPr>
        <w:ind w:firstLine="720"/>
        <w:spacing w:line="44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①身份证扫描件。</w:t>
      </w:r>
      <w:r/>
    </w:p>
    <w:p>
      <w:pPr>
        <w:ind w:firstLine="720"/>
        <w:spacing w:line="44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lang w:val="en-US" w:eastAsia="zh-CN"/>
          <w14:textFill>
            <w14:solidFill>
              <w14:schemeClr w14:val="tx1"/>
            </w14:solidFill>
          </w14:textFill>
        </w:rPr>
        <w:t xml:space="preserve">②</w:t>
      </w:r>
      <w:r>
        <w:rPr>
          <w:rFonts w:hint="eastAsia" w:ascii="Times New Roman" w:hAnsi="Times New Roman"/>
          <w:color w:val="000000" w:themeColor="text1"/>
          <w:sz w:val="24"/>
          <w:szCs w:val="24"/>
          <w14:textFill>
            <w14:solidFill>
              <w14:schemeClr w14:val="tx1"/>
            </w14:solidFill>
          </w14:textFill>
        </w:rPr>
        <w:t xml:space="preserve">提供上述人员的相关证书及投标人为其缴纳最近</w:t>
      </w:r>
      <w:r>
        <w:rPr>
          <w:rFonts w:ascii="Times New Roman" w:hAnsi="Times New Roman"/>
          <w:color w:val="000000" w:themeColor="text1"/>
          <w:sz w:val="24"/>
          <w:szCs w:val="24"/>
          <w14:textFill>
            <w14:solidFill>
              <w14:schemeClr w14:val="tx1"/>
            </w14:solidFill>
          </w14:textFill>
        </w:rPr>
        <w:t xml:space="preserve">3</w:t>
      </w:r>
      <w:r>
        <w:rPr>
          <w:rFonts w:hint="eastAsia" w:ascii="Times New Roman" w:hAnsi="Times New Roman"/>
          <w:color w:val="000000" w:themeColor="text1"/>
          <w:sz w:val="24"/>
          <w:szCs w:val="24"/>
          <w14:textFill>
            <w14:solidFill>
              <w14:schemeClr w14:val="tx1"/>
            </w14:solidFill>
          </w14:textFill>
        </w:rPr>
        <w:t xml:space="preserve">个月中任意1个月社会养老保险相关证明资料扫描件。</w:t>
      </w:r>
      <w:r/>
    </w:p>
    <w:p>
      <w:pPr>
        <w:spacing w:line="440" w:lineRule="exact"/>
        <w:rPr>
          <w:rFonts w:ascii="Times New Roman" w:hAnsi="Times New Roman"/>
          <w:b/>
          <w:bCs/>
          <w:color w:val="000000" w:themeColor="text1"/>
          <w:sz w:val="24"/>
          <w:szCs w:val="24"/>
          <w14:textFill>
            <w14:solidFill>
              <w14:schemeClr w14:val="tx1"/>
            </w14:solidFill>
          </w14:textFill>
        </w:rPr>
      </w:pPr>
      <w:r>
        <w:rPr>
          <w:rFonts w:hint="eastAsia" w:ascii="Times New Roman" w:hAnsi="Times New Roman"/>
          <w:b/>
          <w:bCs/>
          <w:color w:val="000000" w:themeColor="text1"/>
          <w:sz w:val="24"/>
          <w:szCs w:val="24"/>
          <w14:textFill>
            <w14:solidFill>
              <w14:schemeClr w14:val="tx1"/>
            </w14:solidFill>
          </w14:textFill>
        </w:rPr>
        <w:t xml:space="preserve">2、</w:t>
      </w:r>
      <w:r>
        <w:rPr>
          <w:rFonts w:hint="eastAsia" w:ascii="Times New Roman" w:hAnsi="Times New Roman"/>
          <w:b/>
          <w:bCs/>
          <w:color w:val="000000" w:themeColor="text1"/>
          <w:sz w:val="24"/>
          <w:szCs w:val="24"/>
          <w:lang w:val="en-US" w:eastAsia="zh-CN"/>
          <w14:textFill>
            <w14:solidFill>
              <w14:schemeClr w14:val="tx1"/>
            </w14:solidFill>
          </w14:textFill>
        </w:rPr>
        <w:t xml:space="preserve">技术负责人</w:t>
      </w:r>
      <w:r>
        <w:rPr>
          <w:rFonts w:hint="eastAsia" w:ascii="Times New Roman" w:hAnsi="Times New Roman"/>
          <w:b/>
          <w:bCs/>
          <w:color w:val="000000" w:themeColor="text1"/>
          <w:sz w:val="24"/>
          <w:szCs w:val="24"/>
          <w14:textFill>
            <w14:solidFill>
              <w14:schemeClr w14:val="tx1"/>
            </w14:solidFill>
          </w14:textFill>
        </w:rPr>
        <w:t xml:space="preserve">情况一览表</w:t>
      </w:r>
      <w:r/>
    </w:p>
    <w:tbl>
      <w:tblPr>
        <w:tblStyle w:val="717"/>
        <w:tblW w:w="974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2640"/>
        <w:gridCol w:w="1330"/>
        <w:gridCol w:w="1885"/>
        <w:gridCol w:w="3893"/>
      </w:tblGrid>
      <w:tr>
        <w:trPr>
          <w:trHeight w:val="472"/>
        </w:trPr>
        <w:tc>
          <w:tcPr>
            <w:tcW w:w="2640" w:type="dxa"/>
            <w:vAlign w:val="center"/>
            <w:textDirection w:val="lrTb"/>
            <w:noWrap w:val="false"/>
          </w:tcPr>
          <w:p>
            <w:pPr>
              <w:pStyle w:val="723"/>
              <w:jc w:val="center"/>
              <w:rPr>
                <w:rFonts w:ascii="Times New Roman" w:hAnsi="Times New Roman" w:eastAsia="宋体"/>
                <w:color w:val="000000" w:themeColor="text1"/>
                <w:sz w:val="24"/>
                <w14:textFill>
                  <w14:solidFill>
                    <w14:schemeClr w14:val="tx1"/>
                  </w14:solidFill>
                </w14:textFill>
              </w:rPr>
            </w:pPr>
            <w:r>
              <w:rPr>
                <w:rFonts w:hint="eastAsia" w:ascii="Times New Roman" w:hAnsi="Times New Roman" w:eastAsia="宋体"/>
                <w:color w:val="000000" w:themeColor="text1"/>
                <w:sz w:val="24"/>
                <w14:textFill>
                  <w14:solidFill>
                    <w14:schemeClr w14:val="tx1"/>
                  </w14:solidFill>
                </w14:textFill>
              </w:rPr>
              <w:t xml:space="preserve">序号</w:t>
            </w:r>
            <w:r/>
          </w:p>
        </w:tc>
        <w:tc>
          <w:tcPr>
            <w:tcW w:w="1330" w:type="dxa"/>
            <w:vAlign w:val="center"/>
            <w:textDirection w:val="lrTb"/>
            <w:noWrap w:val="false"/>
          </w:tcPr>
          <w:p>
            <w:pPr>
              <w:pStyle w:val="723"/>
              <w:jc w:val="center"/>
              <w:rPr>
                <w:rFonts w:ascii="Times New Roman" w:hAnsi="Times New Roman" w:eastAsia="宋体"/>
                <w:color w:val="000000" w:themeColor="text1"/>
                <w:sz w:val="24"/>
                <w14:textFill>
                  <w14:solidFill>
                    <w14:schemeClr w14:val="tx1"/>
                  </w14:solidFill>
                </w14:textFill>
              </w:rPr>
            </w:pPr>
            <w:r>
              <w:rPr>
                <w:rFonts w:hint="eastAsia" w:ascii="Times New Roman" w:hAnsi="Times New Roman" w:eastAsia="宋体"/>
                <w:color w:val="000000" w:themeColor="text1"/>
                <w:sz w:val="24"/>
                <w14:textFill>
                  <w14:solidFill>
                    <w14:schemeClr w14:val="tx1"/>
                  </w14:solidFill>
                </w14:textFill>
              </w:rPr>
              <w:t xml:space="preserve">1</w:t>
            </w:r>
            <w:r/>
          </w:p>
        </w:tc>
        <w:tc>
          <w:tcPr>
            <w:tcW w:w="1885" w:type="dxa"/>
            <w:vAlign w:val="center"/>
            <w:textDirection w:val="lrTb"/>
            <w:noWrap w:val="false"/>
          </w:tcPr>
          <w:p>
            <w:pPr>
              <w:pStyle w:val="723"/>
              <w:jc w:val="center"/>
              <w:rPr>
                <w:rFonts w:ascii="Times New Roman" w:hAnsi="Times New Roman" w:eastAsia="宋体"/>
                <w:color w:val="000000" w:themeColor="text1"/>
                <w:sz w:val="24"/>
                <w14:textFill>
                  <w14:solidFill>
                    <w14:schemeClr w14:val="tx1"/>
                  </w14:solidFill>
                </w14:textFill>
              </w:rPr>
            </w:pPr>
            <w:r>
              <w:rPr>
                <w:rFonts w:hint="eastAsia" w:ascii="Times New Roman" w:hAnsi="Times New Roman" w:eastAsia="宋体"/>
                <w:color w:val="000000" w:themeColor="text1"/>
                <w:sz w:val="24"/>
                <w14:textFill>
                  <w14:solidFill>
                    <w14:schemeClr w14:val="tx1"/>
                  </w14:solidFill>
                </w14:textFill>
              </w:rPr>
              <w:t xml:space="preserve">2</w:t>
            </w:r>
            <w:r/>
          </w:p>
        </w:tc>
        <w:tc>
          <w:tcPr>
            <w:tcW w:w="3893" w:type="dxa"/>
            <w:vAlign w:val="center"/>
            <w:textDirection w:val="lrTb"/>
            <w:noWrap w:val="false"/>
          </w:tcPr>
          <w:p>
            <w:pPr>
              <w:pStyle w:val="723"/>
              <w:jc w:val="center"/>
              <w:rPr>
                <w:rFonts w:ascii="Times New Roman" w:hAnsi="Times New Roman" w:eastAsia="宋体"/>
                <w:color w:val="000000" w:themeColor="text1"/>
                <w:sz w:val="24"/>
                <w14:textFill>
                  <w14:solidFill>
                    <w14:schemeClr w14:val="tx1"/>
                  </w14:solidFill>
                </w14:textFill>
              </w:rPr>
            </w:pPr>
            <w:r>
              <w:rPr>
                <w:rFonts w:hint="eastAsia" w:ascii="Times New Roman" w:hAnsi="Times New Roman" w:eastAsia="宋体"/>
                <w:color w:val="000000" w:themeColor="text1"/>
                <w:sz w:val="24"/>
                <w14:textFill>
                  <w14:solidFill>
                    <w14:schemeClr w14:val="tx1"/>
                  </w14:solidFill>
                </w14:textFill>
              </w:rPr>
              <w:t xml:space="preserve">……</w:t>
            </w:r>
            <w:r/>
          </w:p>
        </w:tc>
      </w:tr>
      <w:tr>
        <w:trPr>
          <w:trHeight w:val="665"/>
        </w:trPr>
        <w:tc>
          <w:tcPr>
            <w:tcW w:w="2640" w:type="dxa"/>
            <w:vAlign w:val="center"/>
            <w:textDirection w:val="lrTb"/>
            <w:noWrap w:val="false"/>
          </w:tcPr>
          <w:p>
            <w:pPr>
              <w:pStyle w:val="723"/>
              <w:jc w:val="center"/>
              <w:rPr>
                <w:rFonts w:ascii="Times New Roman" w:hAnsi="Times New Roman" w:eastAsia="宋体"/>
                <w:color w:val="000000" w:themeColor="text1"/>
                <w:sz w:val="24"/>
                <w14:textFill>
                  <w14:solidFill>
                    <w14:schemeClr w14:val="tx1"/>
                  </w14:solidFill>
                </w14:textFill>
              </w:rPr>
            </w:pPr>
            <w:r>
              <w:rPr>
                <w:rFonts w:hint="eastAsia" w:ascii="Times New Roman" w:hAnsi="Times New Roman" w:eastAsia="宋体"/>
                <w:color w:val="000000" w:themeColor="text1"/>
                <w:sz w:val="24"/>
                <w14:textFill>
                  <w14:solidFill>
                    <w14:schemeClr w14:val="tx1"/>
                  </w14:solidFill>
                </w14:textFill>
              </w:rPr>
              <w:t xml:space="preserve">姓名</w:t>
            </w:r>
            <w:r/>
          </w:p>
        </w:tc>
        <w:tc>
          <w:tcPr>
            <w:tcW w:w="1330" w:type="dxa"/>
            <w:vAlign w:val="center"/>
            <w:textDirection w:val="lrTb"/>
            <w:noWrap w:val="false"/>
          </w:tcPr>
          <w:p>
            <w:pPr>
              <w:pStyle w:val="723"/>
              <w:jc w:val="center"/>
              <w:rPr>
                <w:rFonts w:ascii="Times New Roman" w:hAnsi="Times New Roman" w:eastAsia="宋体"/>
                <w:color w:val="000000" w:themeColor="text1"/>
                <w:sz w:val="24"/>
                <w14:textFill>
                  <w14:solidFill>
                    <w14:schemeClr w14:val="tx1"/>
                  </w14:solidFill>
                </w14:textFill>
              </w:rPr>
            </w:pPr>
            <w:r>
              <w:rPr>
                <w:rFonts w:ascii="Times New Roman" w:hAnsi="Times New Roman" w:eastAsia="宋体"/>
                <w:color w:val="000000" w:themeColor="text1"/>
                <w:sz w:val="24"/>
                <w14:textFill>
                  <w14:solidFill>
                    <w14:schemeClr w14:val="tx1"/>
                  </w14:solidFill>
                </w14:textFill>
              </w:rPr>
            </w:r>
            <w:r/>
          </w:p>
        </w:tc>
        <w:tc>
          <w:tcPr>
            <w:tcW w:w="1885" w:type="dxa"/>
            <w:vAlign w:val="center"/>
            <w:textDirection w:val="lrTb"/>
            <w:noWrap w:val="false"/>
          </w:tcPr>
          <w:p>
            <w:pPr>
              <w:pStyle w:val="723"/>
              <w:jc w:val="center"/>
              <w:rPr>
                <w:rFonts w:ascii="Times New Roman" w:hAnsi="Times New Roman" w:eastAsia="宋体"/>
                <w:color w:val="000000" w:themeColor="text1"/>
                <w:sz w:val="24"/>
                <w14:textFill>
                  <w14:solidFill>
                    <w14:schemeClr w14:val="tx1"/>
                  </w14:solidFill>
                </w14:textFill>
              </w:rPr>
            </w:pPr>
            <w:r>
              <w:rPr>
                <w:rFonts w:ascii="Times New Roman" w:hAnsi="Times New Roman" w:eastAsia="宋体"/>
                <w:color w:val="000000" w:themeColor="text1"/>
                <w:sz w:val="24"/>
                <w14:textFill>
                  <w14:solidFill>
                    <w14:schemeClr w14:val="tx1"/>
                  </w14:solidFill>
                </w14:textFill>
              </w:rPr>
            </w:r>
            <w:r/>
          </w:p>
        </w:tc>
        <w:tc>
          <w:tcPr>
            <w:tcW w:w="3893" w:type="dxa"/>
            <w:vAlign w:val="center"/>
            <w:textDirection w:val="lrTb"/>
            <w:noWrap w:val="false"/>
          </w:tcPr>
          <w:p>
            <w:pPr>
              <w:pStyle w:val="723"/>
              <w:jc w:val="center"/>
              <w:rPr>
                <w:rFonts w:ascii="Times New Roman" w:hAnsi="Times New Roman" w:eastAsia="宋体"/>
                <w:color w:val="000000" w:themeColor="text1"/>
                <w:sz w:val="24"/>
                <w14:textFill>
                  <w14:solidFill>
                    <w14:schemeClr w14:val="tx1"/>
                  </w14:solidFill>
                </w14:textFill>
              </w:rPr>
            </w:pPr>
            <w:r>
              <w:rPr>
                <w:rFonts w:ascii="Times New Roman" w:hAnsi="Times New Roman" w:eastAsia="宋体"/>
                <w:color w:val="000000" w:themeColor="text1"/>
                <w:sz w:val="24"/>
                <w14:textFill>
                  <w14:solidFill>
                    <w14:schemeClr w14:val="tx1"/>
                  </w14:solidFill>
                </w14:textFill>
              </w:rPr>
            </w:r>
            <w:r/>
          </w:p>
        </w:tc>
      </w:tr>
      <w:tr>
        <w:trPr>
          <w:trHeight w:val="708"/>
        </w:trPr>
        <w:tc>
          <w:tcPr>
            <w:tcW w:w="2640" w:type="dxa"/>
            <w:vAlign w:val="center"/>
            <w:textDirection w:val="lrTb"/>
            <w:noWrap w:val="false"/>
          </w:tcPr>
          <w:p>
            <w:pPr>
              <w:pStyle w:val="723"/>
              <w:jc w:val="center"/>
              <w:rPr>
                <w:rFonts w:ascii="Times New Roman" w:hAnsi="Times New Roman" w:eastAsia="宋体"/>
                <w:color w:val="000000" w:themeColor="text1"/>
                <w:sz w:val="24"/>
                <w14:textFill>
                  <w14:solidFill>
                    <w14:schemeClr w14:val="tx1"/>
                  </w14:solidFill>
                </w14:textFill>
              </w:rPr>
            </w:pPr>
            <w:r>
              <w:rPr>
                <w:rFonts w:hint="eastAsia" w:ascii="Times New Roman" w:hAnsi="Times New Roman" w:eastAsia="宋体"/>
                <w:color w:val="000000" w:themeColor="text1"/>
                <w:sz w:val="24"/>
                <w14:textFill>
                  <w14:solidFill>
                    <w14:schemeClr w14:val="tx1"/>
                  </w14:solidFill>
                </w14:textFill>
              </w:rPr>
              <w:t xml:space="preserve">身份证号码</w:t>
            </w:r>
            <w:r/>
          </w:p>
        </w:tc>
        <w:tc>
          <w:tcPr>
            <w:tcW w:w="1330" w:type="dxa"/>
            <w:vAlign w:val="center"/>
            <w:textDirection w:val="lrTb"/>
            <w:noWrap w:val="false"/>
          </w:tcPr>
          <w:p>
            <w:pPr>
              <w:pStyle w:val="723"/>
              <w:jc w:val="center"/>
              <w:rPr>
                <w:rFonts w:ascii="Times New Roman" w:hAnsi="Times New Roman" w:eastAsia="宋体"/>
                <w:color w:val="000000" w:themeColor="text1"/>
                <w:sz w:val="24"/>
                <w14:textFill>
                  <w14:solidFill>
                    <w14:schemeClr w14:val="tx1"/>
                  </w14:solidFill>
                </w14:textFill>
              </w:rPr>
            </w:pPr>
            <w:r>
              <w:rPr>
                <w:rFonts w:ascii="Times New Roman" w:hAnsi="Times New Roman" w:eastAsia="宋体"/>
                <w:color w:val="000000" w:themeColor="text1"/>
                <w:sz w:val="24"/>
                <w14:textFill>
                  <w14:solidFill>
                    <w14:schemeClr w14:val="tx1"/>
                  </w14:solidFill>
                </w14:textFill>
              </w:rPr>
            </w:r>
            <w:r/>
          </w:p>
        </w:tc>
        <w:tc>
          <w:tcPr>
            <w:tcW w:w="1885" w:type="dxa"/>
            <w:vAlign w:val="center"/>
            <w:textDirection w:val="lrTb"/>
            <w:noWrap w:val="false"/>
          </w:tcPr>
          <w:p>
            <w:pPr>
              <w:pStyle w:val="723"/>
              <w:jc w:val="center"/>
              <w:rPr>
                <w:rFonts w:ascii="Times New Roman" w:hAnsi="Times New Roman" w:eastAsia="宋体"/>
                <w:color w:val="000000" w:themeColor="text1"/>
                <w:sz w:val="24"/>
                <w14:textFill>
                  <w14:solidFill>
                    <w14:schemeClr w14:val="tx1"/>
                  </w14:solidFill>
                </w14:textFill>
              </w:rPr>
            </w:pPr>
            <w:r>
              <w:rPr>
                <w:rFonts w:ascii="Times New Roman" w:hAnsi="Times New Roman" w:eastAsia="宋体"/>
                <w:color w:val="000000" w:themeColor="text1"/>
                <w:sz w:val="24"/>
                <w14:textFill>
                  <w14:solidFill>
                    <w14:schemeClr w14:val="tx1"/>
                  </w14:solidFill>
                </w14:textFill>
              </w:rPr>
            </w:r>
            <w:r/>
          </w:p>
        </w:tc>
        <w:tc>
          <w:tcPr>
            <w:tcW w:w="3893" w:type="dxa"/>
            <w:vAlign w:val="center"/>
            <w:textDirection w:val="lrTb"/>
            <w:noWrap w:val="false"/>
          </w:tcPr>
          <w:p>
            <w:pPr>
              <w:pStyle w:val="723"/>
              <w:jc w:val="center"/>
              <w:rPr>
                <w:rFonts w:ascii="Times New Roman" w:hAnsi="Times New Roman" w:eastAsia="宋体"/>
                <w:color w:val="000000" w:themeColor="text1"/>
                <w:sz w:val="24"/>
                <w14:textFill>
                  <w14:solidFill>
                    <w14:schemeClr w14:val="tx1"/>
                  </w14:solidFill>
                </w14:textFill>
              </w:rPr>
            </w:pPr>
            <w:r>
              <w:rPr>
                <w:rFonts w:ascii="Times New Roman" w:hAnsi="Times New Roman" w:eastAsia="宋体"/>
                <w:color w:val="000000" w:themeColor="text1"/>
                <w:sz w:val="24"/>
                <w14:textFill>
                  <w14:solidFill>
                    <w14:schemeClr w14:val="tx1"/>
                  </w14:solidFill>
                </w14:textFill>
              </w:rPr>
            </w:r>
            <w:r/>
          </w:p>
        </w:tc>
      </w:tr>
      <w:tr>
        <w:trPr>
          <w:trHeight w:val="601"/>
        </w:trPr>
        <w:tc>
          <w:tcPr>
            <w:tcW w:w="2640" w:type="dxa"/>
            <w:vAlign w:val="center"/>
            <w:textDirection w:val="lrTb"/>
            <w:noWrap w:val="false"/>
          </w:tcPr>
          <w:p>
            <w:pPr>
              <w:pStyle w:val="723"/>
              <w:jc w:val="center"/>
              <w:rPr>
                <w:rFonts w:ascii="Times New Roman" w:hAnsi="Times New Roman" w:eastAsia="宋体"/>
                <w:color w:val="000000" w:themeColor="text1"/>
                <w:sz w:val="24"/>
                <w14:textFill>
                  <w14:solidFill>
                    <w14:schemeClr w14:val="tx1"/>
                  </w14:solidFill>
                </w14:textFill>
              </w:rPr>
            </w:pPr>
            <w:r>
              <w:rPr>
                <w:rFonts w:hint="eastAsia" w:ascii="Times New Roman" w:hAnsi="Times New Roman" w:eastAsia="宋体"/>
                <w:color w:val="000000" w:themeColor="text1"/>
                <w:sz w:val="24"/>
                <w14:textFill>
                  <w14:solidFill>
                    <w14:schemeClr w14:val="tx1"/>
                  </w14:solidFill>
                </w14:textFill>
              </w:rPr>
              <w:t xml:space="preserve">联系电话（手机）</w:t>
            </w:r>
            <w:r/>
          </w:p>
        </w:tc>
        <w:tc>
          <w:tcPr>
            <w:tcW w:w="1330" w:type="dxa"/>
            <w:vAlign w:val="center"/>
            <w:textDirection w:val="lrTb"/>
            <w:noWrap w:val="false"/>
          </w:tcPr>
          <w:p>
            <w:pPr>
              <w:pStyle w:val="723"/>
              <w:jc w:val="center"/>
              <w:rPr>
                <w:rFonts w:ascii="Times New Roman" w:hAnsi="Times New Roman" w:eastAsia="宋体"/>
                <w:color w:val="000000" w:themeColor="text1"/>
                <w:sz w:val="24"/>
                <w14:textFill>
                  <w14:solidFill>
                    <w14:schemeClr w14:val="tx1"/>
                  </w14:solidFill>
                </w14:textFill>
              </w:rPr>
            </w:pPr>
            <w:r>
              <w:rPr>
                <w:rFonts w:ascii="Times New Roman" w:hAnsi="Times New Roman" w:eastAsia="宋体"/>
                <w:color w:val="000000" w:themeColor="text1"/>
                <w:sz w:val="24"/>
                <w14:textFill>
                  <w14:solidFill>
                    <w14:schemeClr w14:val="tx1"/>
                  </w14:solidFill>
                </w14:textFill>
              </w:rPr>
            </w:r>
            <w:r/>
          </w:p>
        </w:tc>
        <w:tc>
          <w:tcPr>
            <w:tcW w:w="1885" w:type="dxa"/>
            <w:vAlign w:val="center"/>
            <w:textDirection w:val="lrTb"/>
            <w:noWrap w:val="false"/>
          </w:tcPr>
          <w:p>
            <w:pPr>
              <w:pStyle w:val="723"/>
              <w:jc w:val="center"/>
              <w:rPr>
                <w:rFonts w:ascii="Times New Roman" w:hAnsi="Times New Roman" w:eastAsia="宋体"/>
                <w:color w:val="000000" w:themeColor="text1"/>
                <w:sz w:val="24"/>
                <w14:textFill>
                  <w14:solidFill>
                    <w14:schemeClr w14:val="tx1"/>
                  </w14:solidFill>
                </w14:textFill>
              </w:rPr>
            </w:pPr>
            <w:r>
              <w:rPr>
                <w:rFonts w:ascii="Times New Roman" w:hAnsi="Times New Roman" w:eastAsia="宋体"/>
                <w:color w:val="000000" w:themeColor="text1"/>
                <w:sz w:val="24"/>
                <w14:textFill>
                  <w14:solidFill>
                    <w14:schemeClr w14:val="tx1"/>
                  </w14:solidFill>
                </w14:textFill>
              </w:rPr>
            </w:r>
            <w:r/>
          </w:p>
        </w:tc>
        <w:tc>
          <w:tcPr>
            <w:tcW w:w="3893" w:type="dxa"/>
            <w:vAlign w:val="center"/>
            <w:textDirection w:val="lrTb"/>
            <w:noWrap w:val="false"/>
          </w:tcPr>
          <w:p>
            <w:pPr>
              <w:pStyle w:val="723"/>
              <w:jc w:val="center"/>
              <w:rPr>
                <w:rFonts w:ascii="Times New Roman" w:hAnsi="Times New Roman" w:eastAsia="宋体"/>
                <w:color w:val="000000" w:themeColor="text1"/>
                <w:sz w:val="24"/>
                <w14:textFill>
                  <w14:solidFill>
                    <w14:schemeClr w14:val="tx1"/>
                  </w14:solidFill>
                </w14:textFill>
              </w:rPr>
            </w:pPr>
            <w:r>
              <w:rPr>
                <w:rFonts w:ascii="Times New Roman" w:hAnsi="Times New Roman" w:eastAsia="宋体"/>
                <w:color w:val="000000" w:themeColor="text1"/>
                <w:sz w:val="24"/>
                <w14:textFill>
                  <w14:solidFill>
                    <w14:schemeClr w14:val="tx1"/>
                  </w14:solidFill>
                </w14:textFill>
              </w:rPr>
            </w:r>
            <w:r/>
          </w:p>
        </w:tc>
      </w:tr>
      <w:tr>
        <w:trPr>
          <w:trHeight w:val="641"/>
        </w:trPr>
        <w:tc>
          <w:tcPr>
            <w:tcW w:w="2640" w:type="dxa"/>
            <w:vAlign w:val="center"/>
            <w:textDirection w:val="lrTb"/>
            <w:noWrap w:val="false"/>
          </w:tcPr>
          <w:p>
            <w:pPr>
              <w:pStyle w:val="723"/>
              <w:jc w:val="center"/>
              <w:rPr>
                <w:rFonts w:ascii="Times New Roman" w:hAnsi="Times New Roman" w:eastAsia="宋体"/>
                <w:color w:val="000000" w:themeColor="text1"/>
                <w:sz w:val="24"/>
                <w14:textFill>
                  <w14:solidFill>
                    <w14:schemeClr w14:val="tx1"/>
                  </w14:solidFill>
                </w14:textFill>
              </w:rPr>
            </w:pPr>
            <w:r>
              <w:rPr>
                <w:rFonts w:hint="eastAsia" w:ascii="Times New Roman" w:hAnsi="Times New Roman" w:eastAsia="宋体"/>
                <w:color w:val="000000" w:themeColor="text1"/>
                <w:sz w:val="24"/>
                <w14:textFill>
                  <w14:solidFill>
                    <w14:schemeClr w14:val="tx1"/>
                  </w14:solidFill>
                </w14:textFill>
              </w:rPr>
              <w:t xml:space="preserve">职业资格或职称</w:t>
            </w:r>
            <w:r/>
          </w:p>
        </w:tc>
        <w:tc>
          <w:tcPr>
            <w:tcW w:w="1330" w:type="dxa"/>
            <w:vAlign w:val="center"/>
            <w:textDirection w:val="lrTb"/>
            <w:noWrap w:val="false"/>
          </w:tcPr>
          <w:p>
            <w:pPr>
              <w:pStyle w:val="723"/>
              <w:jc w:val="center"/>
              <w:rPr>
                <w:rFonts w:ascii="Times New Roman" w:hAnsi="Times New Roman" w:eastAsia="宋体"/>
                <w:color w:val="000000" w:themeColor="text1"/>
                <w:sz w:val="24"/>
                <w14:textFill>
                  <w14:solidFill>
                    <w14:schemeClr w14:val="tx1"/>
                  </w14:solidFill>
                </w14:textFill>
              </w:rPr>
            </w:pPr>
            <w:r>
              <w:rPr>
                <w:rFonts w:ascii="Times New Roman" w:hAnsi="Times New Roman" w:eastAsia="宋体"/>
                <w:color w:val="000000" w:themeColor="text1"/>
                <w:sz w:val="24"/>
                <w14:textFill>
                  <w14:solidFill>
                    <w14:schemeClr w14:val="tx1"/>
                  </w14:solidFill>
                </w14:textFill>
              </w:rPr>
            </w:r>
            <w:r/>
          </w:p>
        </w:tc>
        <w:tc>
          <w:tcPr>
            <w:tcW w:w="1885" w:type="dxa"/>
            <w:vAlign w:val="center"/>
            <w:textDirection w:val="lrTb"/>
            <w:noWrap w:val="false"/>
          </w:tcPr>
          <w:p>
            <w:pPr>
              <w:pStyle w:val="723"/>
              <w:jc w:val="center"/>
              <w:rPr>
                <w:rFonts w:ascii="Times New Roman" w:hAnsi="Times New Roman" w:eastAsia="宋体"/>
                <w:color w:val="000000" w:themeColor="text1"/>
                <w:sz w:val="24"/>
                <w14:textFill>
                  <w14:solidFill>
                    <w14:schemeClr w14:val="tx1"/>
                  </w14:solidFill>
                </w14:textFill>
              </w:rPr>
            </w:pPr>
            <w:r>
              <w:rPr>
                <w:rFonts w:ascii="Times New Roman" w:hAnsi="Times New Roman" w:eastAsia="宋体"/>
                <w:color w:val="000000" w:themeColor="text1"/>
                <w:sz w:val="24"/>
                <w14:textFill>
                  <w14:solidFill>
                    <w14:schemeClr w14:val="tx1"/>
                  </w14:solidFill>
                </w14:textFill>
              </w:rPr>
            </w:r>
            <w:r/>
          </w:p>
        </w:tc>
        <w:tc>
          <w:tcPr>
            <w:tcW w:w="3893" w:type="dxa"/>
            <w:vAlign w:val="center"/>
            <w:textDirection w:val="lrTb"/>
            <w:noWrap w:val="false"/>
          </w:tcPr>
          <w:p>
            <w:pPr>
              <w:pStyle w:val="723"/>
              <w:jc w:val="center"/>
              <w:rPr>
                <w:rFonts w:ascii="Times New Roman" w:hAnsi="Times New Roman" w:eastAsia="宋体"/>
                <w:color w:val="000000" w:themeColor="text1"/>
                <w:sz w:val="24"/>
                <w14:textFill>
                  <w14:solidFill>
                    <w14:schemeClr w14:val="tx1"/>
                  </w14:solidFill>
                </w14:textFill>
              </w:rPr>
            </w:pPr>
            <w:r>
              <w:rPr>
                <w:rFonts w:ascii="Times New Roman" w:hAnsi="Times New Roman" w:eastAsia="宋体"/>
                <w:color w:val="000000" w:themeColor="text1"/>
                <w:sz w:val="24"/>
                <w14:textFill>
                  <w14:solidFill>
                    <w14:schemeClr w14:val="tx1"/>
                  </w14:solidFill>
                </w14:textFill>
              </w:rPr>
            </w:r>
            <w:r/>
          </w:p>
        </w:tc>
      </w:tr>
      <w:tr>
        <w:trPr>
          <w:cantSplit/>
          <w:trHeight w:val="701"/>
        </w:trPr>
        <w:tc>
          <w:tcPr>
            <w:tcW w:w="2640" w:type="dxa"/>
            <w:vAlign w:val="center"/>
            <w:textDirection w:val="lrTb"/>
            <w:noWrap w:val="false"/>
          </w:tcPr>
          <w:p>
            <w:pPr>
              <w:pStyle w:val="723"/>
              <w:jc w:val="center"/>
              <w:rPr>
                <w:rFonts w:ascii="Times New Roman" w:hAnsi="Times New Roman" w:eastAsia="宋体"/>
                <w:color w:val="000000" w:themeColor="text1"/>
                <w:sz w:val="24"/>
                <w14:textFill>
                  <w14:solidFill>
                    <w14:schemeClr w14:val="tx1"/>
                  </w14:solidFill>
                </w14:textFill>
              </w:rPr>
            </w:pPr>
            <w:r>
              <w:rPr>
                <w:rFonts w:hint="eastAsia" w:ascii="Times New Roman" w:hAnsi="Times New Roman" w:eastAsia="宋体"/>
                <w:color w:val="000000" w:themeColor="text1"/>
                <w:sz w:val="24"/>
                <w14:textFill>
                  <w14:solidFill>
                    <w14:schemeClr w14:val="tx1"/>
                  </w14:solidFill>
                </w14:textFill>
              </w:rPr>
              <w:t xml:space="preserve">经验奖励及其他说明</w:t>
            </w:r>
            <w:r/>
          </w:p>
        </w:tc>
        <w:tc>
          <w:tcPr>
            <w:tcW w:w="1330" w:type="dxa"/>
            <w:vAlign w:val="center"/>
            <w:textDirection w:val="lrTb"/>
            <w:noWrap w:val="false"/>
          </w:tcPr>
          <w:p>
            <w:pPr>
              <w:pStyle w:val="723"/>
              <w:jc w:val="center"/>
              <w:rPr>
                <w:rFonts w:ascii="Times New Roman" w:hAnsi="Times New Roman" w:eastAsia="宋体"/>
                <w:color w:val="000000" w:themeColor="text1"/>
                <w:sz w:val="24"/>
                <w14:textFill>
                  <w14:solidFill>
                    <w14:schemeClr w14:val="tx1"/>
                  </w14:solidFill>
                </w14:textFill>
              </w:rPr>
            </w:pPr>
            <w:r>
              <w:rPr>
                <w:rFonts w:ascii="Times New Roman" w:hAnsi="Times New Roman" w:eastAsia="宋体"/>
                <w:color w:val="000000" w:themeColor="text1"/>
                <w:sz w:val="24"/>
                <w14:textFill>
                  <w14:solidFill>
                    <w14:schemeClr w14:val="tx1"/>
                  </w14:solidFill>
                </w14:textFill>
              </w:rPr>
            </w:r>
            <w:r/>
          </w:p>
        </w:tc>
        <w:tc>
          <w:tcPr>
            <w:tcW w:w="1885" w:type="dxa"/>
            <w:vAlign w:val="center"/>
            <w:textDirection w:val="lrTb"/>
            <w:noWrap w:val="false"/>
          </w:tcPr>
          <w:p>
            <w:pPr>
              <w:pStyle w:val="723"/>
              <w:jc w:val="center"/>
              <w:rPr>
                <w:rFonts w:ascii="Times New Roman" w:hAnsi="Times New Roman" w:eastAsia="宋体"/>
                <w:color w:val="000000" w:themeColor="text1"/>
                <w:sz w:val="24"/>
                <w14:textFill>
                  <w14:solidFill>
                    <w14:schemeClr w14:val="tx1"/>
                  </w14:solidFill>
                </w14:textFill>
              </w:rPr>
            </w:pPr>
            <w:r>
              <w:rPr>
                <w:rFonts w:ascii="Times New Roman" w:hAnsi="Times New Roman" w:eastAsia="宋体"/>
                <w:color w:val="000000" w:themeColor="text1"/>
                <w:sz w:val="24"/>
                <w14:textFill>
                  <w14:solidFill>
                    <w14:schemeClr w14:val="tx1"/>
                  </w14:solidFill>
                </w14:textFill>
              </w:rPr>
            </w:r>
            <w:r/>
          </w:p>
        </w:tc>
        <w:tc>
          <w:tcPr>
            <w:tcW w:w="3893" w:type="dxa"/>
            <w:vAlign w:val="center"/>
            <w:textDirection w:val="lrTb"/>
            <w:noWrap w:val="false"/>
          </w:tcPr>
          <w:p>
            <w:pPr>
              <w:pStyle w:val="723"/>
              <w:jc w:val="center"/>
              <w:rPr>
                <w:rFonts w:ascii="Times New Roman" w:hAnsi="Times New Roman" w:eastAsia="宋体"/>
                <w:color w:val="000000" w:themeColor="text1"/>
                <w:sz w:val="24"/>
                <w14:textFill>
                  <w14:solidFill>
                    <w14:schemeClr w14:val="tx1"/>
                  </w14:solidFill>
                </w14:textFill>
              </w:rPr>
            </w:pPr>
            <w:r>
              <w:rPr>
                <w:rFonts w:ascii="Times New Roman" w:hAnsi="Times New Roman" w:eastAsia="宋体"/>
                <w:color w:val="000000" w:themeColor="text1"/>
                <w:sz w:val="24"/>
                <w14:textFill>
                  <w14:solidFill>
                    <w14:schemeClr w14:val="tx1"/>
                  </w14:solidFill>
                </w14:textFill>
              </w:rPr>
            </w:r>
            <w:r/>
          </w:p>
        </w:tc>
      </w:tr>
    </w:tbl>
    <w:p>
      <w:pPr>
        <w:spacing w:line="44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备注：1、</w:t>
      </w:r>
      <w:r>
        <w:rPr>
          <w:rFonts w:hint="eastAsia" w:ascii="Times New Roman" w:hAnsi="Times New Roman"/>
          <w:color w:val="000000" w:themeColor="text1"/>
          <w:sz w:val="24"/>
          <w:szCs w:val="24"/>
          <w:lang w:val="en-US" w:eastAsia="zh-CN"/>
          <w14:textFill>
            <w14:solidFill>
              <w14:schemeClr w14:val="tx1"/>
            </w14:solidFill>
          </w14:textFill>
        </w:rPr>
        <w:t xml:space="preserve">技术负责人</w:t>
      </w:r>
      <w:r>
        <w:rPr>
          <w:rFonts w:hint="eastAsia" w:ascii="Times New Roman" w:hAnsi="Times New Roman"/>
          <w:color w:val="000000" w:themeColor="text1"/>
          <w:sz w:val="24"/>
          <w:szCs w:val="24"/>
          <w14:textFill>
            <w14:solidFill>
              <w14:schemeClr w14:val="tx1"/>
            </w14:solidFill>
          </w14:textFill>
        </w:rPr>
        <w:t xml:space="preserve">应为本单位职工。</w:t>
      </w:r>
      <w:r/>
    </w:p>
    <w:p>
      <w:pPr>
        <w:ind w:firstLine="720"/>
        <w:spacing w:line="44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2、投标人应同时提供：</w:t>
      </w:r>
      <w:r/>
    </w:p>
    <w:p>
      <w:pPr>
        <w:ind w:firstLine="720"/>
        <w:spacing w:line="44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①身份证扫描件。</w:t>
      </w:r>
      <w:r/>
    </w:p>
    <w:p>
      <w:pPr>
        <w:ind w:firstLine="720"/>
        <w:spacing w:line="440" w:lineRule="exact"/>
        <w:rPr>
          <w:rFonts w:hint="eastAsia"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②投标文件中需提供人员相关证书及投标人为其缴纳的近三个月中任意一个月的社保证明。</w:t>
      </w:r>
      <w:r/>
    </w:p>
    <w:p>
      <w:pPr>
        <w:numPr>
          <w:ilvl w:val="0"/>
          <w:numId w:val="6"/>
        </w:numPr>
        <w:spacing w:line="440" w:lineRule="exact"/>
        <w:rPr>
          <w:rFonts w:hint="eastAsia" w:ascii="Times New Roman" w:hAnsi="Times New Roman"/>
          <w:b/>
          <w:bCs/>
          <w:color w:val="000000" w:themeColor="text1"/>
          <w:sz w:val="24"/>
          <w:szCs w:val="24"/>
          <w:lang w:val="en-US" w:eastAsia="zh-CN"/>
          <w14:textFill>
            <w14:solidFill>
              <w14:schemeClr w14:val="tx1"/>
            </w14:solidFill>
          </w14:textFill>
        </w:rPr>
      </w:pPr>
      <w:r>
        <w:rPr>
          <w:rFonts w:hint="eastAsia" w:ascii="Times New Roman" w:hAnsi="Times New Roman"/>
          <w:b/>
          <w:bCs/>
          <w:color w:val="000000" w:themeColor="text1"/>
          <w:sz w:val="24"/>
          <w:szCs w:val="24"/>
          <w:lang w:val="en-US" w:eastAsia="zh-CN"/>
          <w14:textFill>
            <w14:solidFill>
              <w14:schemeClr w14:val="tx1"/>
            </w14:solidFill>
          </w14:textFill>
        </w:rPr>
        <w:t xml:space="preserve">其他人员</w:t>
      </w:r>
      <w:r/>
    </w:p>
    <w:p>
      <w:pPr>
        <w:numPr>
          <w:ilvl w:val="0"/>
          <w:numId w:val="0"/>
        </w:numPr>
        <w:ind w:firstLine="482"/>
        <w:spacing w:line="440" w:lineRule="exact"/>
        <w:rPr>
          <w:rFonts w:hint="default" w:ascii="Times New Roman" w:hAnsi="Times New Roman"/>
          <w:b/>
          <w:bCs/>
          <w:color w:val="000000" w:themeColor="text1"/>
          <w:sz w:val="24"/>
          <w:szCs w:val="24"/>
          <w:lang w:val="en-US" w:eastAsia="zh-CN"/>
          <w14:textFill>
            <w14:solidFill>
              <w14:schemeClr w14:val="tx1"/>
            </w14:solidFill>
          </w14:textFill>
        </w:rPr>
      </w:pPr>
      <w:r>
        <w:rPr>
          <w:rFonts w:hint="eastAsia" w:ascii="Times New Roman" w:hAnsi="Times New Roman"/>
          <w:b/>
          <w:bCs/>
          <w:color w:val="000000" w:themeColor="text1"/>
          <w:sz w:val="24"/>
          <w:szCs w:val="24"/>
          <w:lang w:val="en-US" w:eastAsia="zh-CN"/>
          <w14:textFill>
            <w14:solidFill>
              <w14:schemeClr w14:val="tx1"/>
            </w14:solidFill>
          </w14:textFill>
        </w:rPr>
        <w:t xml:space="preserve">格式自拟</w:t>
      </w:r>
      <w:r/>
    </w:p>
    <w:p>
      <w:pPr>
        <w:pStyle w:val="708"/>
        <w:jc w:val="center"/>
        <w:spacing w:line="440" w:lineRule="exact"/>
        <w:rPr>
          <w:rFonts w:ascii="Times New Roman" w:hAnsi="Times New Roman" w:eastAsia="宋体" w:cs="Times New Roman"/>
          <w:b/>
          <w:bCs/>
          <w:color w:val="000000" w:themeColor="text1"/>
          <w:sz w:val="28"/>
          <w:szCs w:val="28"/>
          <w14:textFill>
            <w14:solidFill>
              <w14:schemeClr w14:val="tx1"/>
            </w14:solidFill>
          </w14:textFill>
        </w:rPr>
      </w:pPr>
      <w:r/>
      <w:bookmarkStart w:id="230" w:name="_Toc4466"/>
      <w:r/>
      <w:bookmarkStart w:id="231" w:name="_Toc139725707"/>
      <w:r/>
      <w:bookmarkStart w:id="232" w:name="_Toc20058"/>
      <w:r>
        <w:rPr>
          <w:rFonts w:hint="eastAsia" w:ascii="Times New Roman" w:hAnsi="Times New Roman" w:eastAsia="宋体" w:cs="Times New Roman"/>
          <w:b/>
          <w:bCs/>
          <w:color w:val="000000" w:themeColor="text1"/>
          <w:sz w:val="28"/>
          <w:szCs w:val="28"/>
          <w14:textFill>
            <w14:solidFill>
              <w14:schemeClr w14:val="tx1"/>
            </w14:solidFill>
          </w14:textFill>
        </w:rPr>
        <w:t xml:space="preserve">附件6 养护车辆配备一览表</w:t>
      </w:r>
      <w:bookmarkEnd w:id="230"/>
      <w:r/>
      <w:bookmarkEnd w:id="231"/>
      <w:r/>
      <w:bookmarkEnd w:id="232"/>
      <w:r/>
      <w:r/>
    </w:p>
    <w:tbl>
      <w:tblPr>
        <w:tblStyle w:val="717"/>
        <w:tblW w:w="100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1735"/>
        <w:gridCol w:w="1241"/>
        <w:gridCol w:w="1134"/>
        <w:gridCol w:w="993"/>
        <w:gridCol w:w="1275"/>
        <w:gridCol w:w="1560"/>
        <w:gridCol w:w="1567"/>
      </w:tblGrid>
      <w:tr>
        <w:trPr>
          <w:jc w:val="center"/>
          <w:trHeight w:val="558"/>
        </w:trPr>
        <w:tc>
          <w:tcPr>
            <w:tcW w:w="534" w:type="dxa"/>
            <w:vAlign w:val="center"/>
            <w:textDirection w:val="lrTb"/>
            <w:noWrap w:val="false"/>
          </w:tcPr>
          <w:p>
            <w:pPr>
              <w:jc w:val="center"/>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 xml:space="preserve">序号</w:t>
            </w:r>
            <w:r/>
          </w:p>
        </w:tc>
        <w:tc>
          <w:tcPr>
            <w:tcW w:w="1735" w:type="dxa"/>
            <w:vAlign w:val="center"/>
            <w:textDirection w:val="lrTb"/>
            <w:noWrap w:val="false"/>
          </w:tcPr>
          <w:p>
            <w:pPr>
              <w:jc w:val="center"/>
              <w:rPr>
                <w:rFonts w:hint="eastAsia" w:eastAsia="宋体"/>
                <w:b/>
                <w:color w:val="000000" w:themeColor="text1"/>
                <w:sz w:val="24"/>
                <w:szCs w:val="24"/>
                <w:lang w:eastAsia="zh-CN"/>
                <w14:textFill>
                  <w14:solidFill>
                    <w14:schemeClr w14:val="tx1"/>
                  </w14:solidFill>
                </w14:textFill>
              </w:rPr>
            </w:pPr>
            <w:r>
              <w:rPr>
                <w:rFonts w:hint="eastAsia"/>
                <w:b/>
                <w:color w:val="000000" w:themeColor="text1"/>
                <w:sz w:val="24"/>
                <w:szCs w:val="24"/>
                <w:lang w:val="en-US" w:eastAsia="zh-CN"/>
                <w14:textFill>
                  <w14:solidFill>
                    <w14:schemeClr w14:val="tx1"/>
                  </w14:solidFill>
                </w14:textFill>
              </w:rPr>
              <w:t xml:space="preserve">车辆类型</w:t>
            </w:r>
            <w:r/>
          </w:p>
        </w:tc>
        <w:tc>
          <w:tcPr>
            <w:tcW w:w="1241" w:type="dxa"/>
            <w:vAlign w:val="center"/>
            <w:textDirection w:val="lrTb"/>
            <w:noWrap w:val="false"/>
          </w:tcPr>
          <w:p>
            <w:pPr>
              <w:jc w:val="center"/>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 xml:space="preserve">车辆</w:t>
            </w:r>
            <w:r/>
          </w:p>
          <w:p>
            <w:pPr>
              <w:jc w:val="center"/>
              <w:rPr>
                <w:b/>
                <w:color w:val="000000" w:themeColor="text1"/>
                <w:sz w:val="24"/>
                <w:szCs w:val="24"/>
                <w14:textFill>
                  <w14:solidFill>
                    <w14:schemeClr w14:val="tx1"/>
                  </w14:solidFill>
                </w14:textFill>
              </w:rPr>
            </w:pPr>
            <w:r>
              <w:rPr>
                <w:b/>
                <w:color w:val="000000" w:themeColor="text1"/>
                <w:sz w:val="24"/>
                <w:szCs w:val="24"/>
                <w14:textFill>
                  <w14:solidFill>
                    <w14:schemeClr w14:val="tx1"/>
                  </w14:solidFill>
                </w14:textFill>
              </w:rPr>
              <w:t xml:space="preserve">类型</w:t>
            </w:r>
            <w:r/>
          </w:p>
        </w:tc>
        <w:tc>
          <w:tcPr>
            <w:tcW w:w="1134" w:type="dxa"/>
            <w:vAlign w:val="center"/>
            <w:textDirection w:val="lrTb"/>
            <w:noWrap w:val="false"/>
          </w:tcPr>
          <w:p>
            <w:pPr>
              <w:jc w:val="center"/>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 xml:space="preserve">品牌</w:t>
            </w:r>
            <w:r/>
          </w:p>
          <w:p>
            <w:pPr>
              <w:jc w:val="center"/>
              <w:rPr>
                <w:b/>
                <w:color w:val="000000" w:themeColor="text1"/>
                <w:sz w:val="24"/>
                <w:szCs w:val="24"/>
                <w14:textFill>
                  <w14:solidFill>
                    <w14:schemeClr w14:val="tx1"/>
                  </w14:solidFill>
                </w14:textFill>
              </w:rPr>
            </w:pPr>
            <w:r>
              <w:rPr>
                <w:b/>
                <w:color w:val="000000" w:themeColor="text1"/>
                <w:sz w:val="24"/>
                <w:szCs w:val="24"/>
                <w14:textFill>
                  <w14:solidFill>
                    <w14:schemeClr w14:val="tx1"/>
                  </w14:solidFill>
                </w14:textFill>
              </w:rPr>
              <w:t xml:space="preserve">型号</w:t>
            </w:r>
            <w:r/>
          </w:p>
        </w:tc>
        <w:tc>
          <w:tcPr>
            <w:tcW w:w="993" w:type="dxa"/>
            <w:vAlign w:val="center"/>
            <w:textDirection w:val="lrTb"/>
            <w:noWrap w:val="false"/>
          </w:tcPr>
          <w:p>
            <w:pPr>
              <w:jc w:val="center"/>
              <w:rPr>
                <w:rFonts w:hint="eastAsia"/>
                <w:b/>
                <w:color w:val="000000" w:themeColor="text1"/>
                <w:sz w:val="24"/>
                <w:szCs w:val="24"/>
                <w:lang w:val="en-US" w:eastAsia="zh-CN"/>
                <w14:textFill>
                  <w14:solidFill>
                    <w14:schemeClr w14:val="tx1"/>
                  </w14:solidFill>
                </w14:textFill>
              </w:rPr>
            </w:pPr>
            <w:r>
              <w:rPr>
                <w:rFonts w:hint="eastAsia"/>
                <w:b/>
                <w:color w:val="000000" w:themeColor="text1"/>
                <w:sz w:val="24"/>
                <w:szCs w:val="24"/>
                <w:lang w:val="en-US" w:eastAsia="zh-CN"/>
                <w14:textFill>
                  <w14:solidFill>
                    <w14:schemeClr w14:val="tx1"/>
                  </w14:solidFill>
                </w14:textFill>
              </w:rPr>
              <w:t xml:space="preserve">车牌</w:t>
            </w:r>
            <w:r/>
          </w:p>
          <w:p>
            <w:pPr>
              <w:jc w:val="center"/>
              <w:rPr>
                <w:rFonts w:hint="eastAsia" w:eastAsia="宋体"/>
                <w:b/>
                <w:color w:val="000000" w:themeColor="text1"/>
                <w:sz w:val="24"/>
                <w:szCs w:val="24"/>
                <w:lang w:eastAsia="zh-CN"/>
                <w14:textFill>
                  <w14:solidFill>
                    <w14:schemeClr w14:val="tx1"/>
                  </w14:solidFill>
                </w14:textFill>
              </w:rPr>
            </w:pPr>
            <w:r>
              <w:rPr>
                <w:rFonts w:hint="eastAsia"/>
                <w:b/>
                <w:color w:val="000000" w:themeColor="text1"/>
                <w:sz w:val="24"/>
                <w:szCs w:val="24"/>
                <w:lang w:val="en-US" w:eastAsia="zh-CN"/>
                <w14:textFill>
                  <w14:solidFill>
                    <w14:schemeClr w14:val="tx1"/>
                  </w14:solidFill>
                </w14:textFill>
              </w:rPr>
              <w:t xml:space="preserve">号码</w:t>
            </w:r>
            <w:r/>
          </w:p>
        </w:tc>
        <w:tc>
          <w:tcPr>
            <w:tcW w:w="1275" w:type="dxa"/>
            <w:vAlign w:val="center"/>
            <w:textDirection w:val="lrTb"/>
            <w:noWrap w:val="false"/>
          </w:tcPr>
          <w:p>
            <w:pPr>
              <w:jc w:val="center"/>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 xml:space="preserve">所有人</w:t>
            </w:r>
            <w:r/>
          </w:p>
        </w:tc>
        <w:tc>
          <w:tcPr>
            <w:tcW w:w="1560" w:type="dxa"/>
            <w:vAlign w:val="center"/>
            <w:textDirection w:val="lrTb"/>
            <w:noWrap w:val="false"/>
          </w:tcPr>
          <w:p>
            <w:pPr>
              <w:jc w:val="center"/>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 xml:space="preserve">车辆</w:t>
            </w:r>
            <w:r/>
          </w:p>
          <w:p>
            <w:pPr>
              <w:jc w:val="center"/>
              <w:rPr>
                <w:b/>
                <w:color w:val="000000" w:themeColor="text1"/>
                <w:sz w:val="24"/>
                <w:szCs w:val="24"/>
                <w14:textFill>
                  <w14:solidFill>
                    <w14:schemeClr w14:val="tx1"/>
                  </w14:solidFill>
                </w14:textFill>
              </w:rPr>
            </w:pPr>
            <w:r>
              <w:rPr>
                <w:b/>
                <w:color w:val="000000" w:themeColor="text1"/>
                <w:sz w:val="24"/>
                <w:szCs w:val="24"/>
                <w14:textFill>
                  <w14:solidFill>
                    <w14:schemeClr w14:val="tx1"/>
                  </w14:solidFill>
                </w14:textFill>
              </w:rPr>
              <w:t xml:space="preserve">注册地</w:t>
            </w:r>
            <w:r/>
          </w:p>
        </w:tc>
        <w:tc>
          <w:tcPr>
            <w:tcW w:w="1567" w:type="dxa"/>
            <w:vAlign w:val="center"/>
            <w:textDirection w:val="lrTb"/>
            <w:noWrap w:val="false"/>
          </w:tcPr>
          <w:p>
            <w:pPr>
              <w:jc w:val="center"/>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 xml:space="preserve">车辆</w:t>
            </w:r>
            <w:r/>
          </w:p>
          <w:p>
            <w:pPr>
              <w:jc w:val="center"/>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 xml:space="preserve">注册日期</w:t>
            </w:r>
            <w:r/>
          </w:p>
        </w:tc>
      </w:tr>
      <w:tr>
        <w:trPr>
          <w:jc w:val="center"/>
          <w:trHeight w:val="640"/>
        </w:trPr>
        <w:tc>
          <w:tcPr>
            <w:tcW w:w="534" w:type="dxa"/>
            <w:vAlign w:val="center"/>
            <w:vMerge w:val="restart"/>
            <w:textDirection w:val="lrTb"/>
            <w:noWrap w:val="false"/>
          </w:tcPr>
          <w:p>
            <w:pPr>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w:t>
            </w:r>
            <w:r/>
          </w:p>
        </w:tc>
        <w:tc>
          <w:tcPr>
            <w:tcW w:w="1735" w:type="dxa"/>
            <w:vAlign w:val="center"/>
            <w:vMerge w:val="restart"/>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241"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134"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993"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275"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560"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567"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r>
      <w:tr>
        <w:trPr>
          <w:jc w:val="center"/>
          <w:trHeight w:val="589"/>
        </w:trPr>
        <w:tc>
          <w:tcPr>
            <w:tcW w:w="534" w:type="dxa"/>
            <w:vAlign w:val="center"/>
            <w:vMerge w:val="continue"/>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735" w:type="dxa"/>
            <w:vAlign w:val="center"/>
            <w:vMerge w:val="continue"/>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241"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134"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993"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275"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560"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567"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r>
      <w:tr>
        <w:trPr>
          <w:jc w:val="center"/>
          <w:trHeight w:val="554"/>
        </w:trPr>
        <w:tc>
          <w:tcPr>
            <w:tcW w:w="534" w:type="dxa"/>
            <w:vAlign w:val="center"/>
            <w:vMerge w:val="continue"/>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735" w:type="dxa"/>
            <w:vAlign w:val="center"/>
            <w:vMerge w:val="continue"/>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241"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134"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993"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275"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560"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567"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r>
      <w:tr>
        <w:trPr>
          <w:jc w:val="center"/>
          <w:trHeight w:val="564"/>
        </w:trPr>
        <w:tc>
          <w:tcPr>
            <w:tcW w:w="534" w:type="dxa"/>
            <w:vAlign w:val="center"/>
            <w:vMerge w:val="continue"/>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735" w:type="dxa"/>
            <w:vAlign w:val="center"/>
            <w:vMerge w:val="continue"/>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241" w:type="dxa"/>
            <w:vAlign w:val="center"/>
            <w:textDirection w:val="lrTb"/>
            <w:noWrap w:val="false"/>
          </w:tcPr>
          <w:p>
            <w:pPr>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w:t>
            </w:r>
            <w:r/>
          </w:p>
        </w:tc>
        <w:tc>
          <w:tcPr>
            <w:tcW w:w="1134"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993"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275"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560"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567"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r>
      <w:tr>
        <w:trPr>
          <w:jc w:val="center"/>
          <w:trHeight w:val="623"/>
        </w:trPr>
        <w:tc>
          <w:tcPr>
            <w:tcW w:w="534" w:type="dxa"/>
            <w:vAlign w:val="center"/>
            <w:vMerge w:val="restart"/>
            <w:textDirection w:val="lrTb"/>
            <w:noWrap w:val="false"/>
          </w:tcPr>
          <w:p>
            <w:pPr>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w:t>
            </w:r>
            <w:r/>
          </w:p>
        </w:tc>
        <w:tc>
          <w:tcPr>
            <w:tcW w:w="1735" w:type="dxa"/>
            <w:vAlign w:val="center"/>
            <w:vMerge w:val="restart"/>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241"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134"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993"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275"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560"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567"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r>
      <w:tr>
        <w:trPr>
          <w:jc w:val="center"/>
          <w:trHeight w:val="573"/>
        </w:trPr>
        <w:tc>
          <w:tcPr>
            <w:tcW w:w="534" w:type="dxa"/>
            <w:vAlign w:val="center"/>
            <w:vMerge w:val="continue"/>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735" w:type="dxa"/>
            <w:vAlign w:val="center"/>
            <w:vMerge w:val="continue"/>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241"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134"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993"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275"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560"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567"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r>
      <w:tr>
        <w:trPr>
          <w:jc w:val="center"/>
          <w:trHeight w:val="541"/>
        </w:trPr>
        <w:tc>
          <w:tcPr>
            <w:tcW w:w="534" w:type="dxa"/>
            <w:vAlign w:val="center"/>
            <w:vMerge w:val="continue"/>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735" w:type="dxa"/>
            <w:vAlign w:val="center"/>
            <w:vMerge w:val="continue"/>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241" w:type="dxa"/>
            <w:vAlign w:val="center"/>
            <w:textDirection w:val="lrTb"/>
            <w:noWrap w:val="false"/>
          </w:tcPr>
          <w:p>
            <w:pPr>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w:t>
            </w:r>
            <w:r/>
          </w:p>
        </w:tc>
        <w:tc>
          <w:tcPr>
            <w:tcW w:w="1134"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993"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275"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560"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567"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r>
      <w:tr>
        <w:trPr>
          <w:jc w:val="center"/>
          <w:trHeight w:val="549"/>
        </w:trPr>
        <w:tc>
          <w:tcPr>
            <w:tcW w:w="534" w:type="dxa"/>
            <w:vAlign w:val="center"/>
            <w:vMerge w:val="restart"/>
            <w:textDirection w:val="lrTb"/>
            <w:noWrap w:val="false"/>
          </w:tcPr>
          <w:p>
            <w:pPr>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w:t>
            </w:r>
            <w:r/>
          </w:p>
        </w:tc>
        <w:tc>
          <w:tcPr>
            <w:tcW w:w="1735" w:type="dxa"/>
            <w:vAlign w:val="center"/>
            <w:vMerge w:val="restart"/>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241"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134"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993"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275"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560"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567"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r>
      <w:tr>
        <w:trPr>
          <w:jc w:val="center"/>
          <w:trHeight w:val="557"/>
        </w:trPr>
        <w:tc>
          <w:tcPr>
            <w:tcW w:w="534" w:type="dxa"/>
            <w:vAlign w:val="center"/>
            <w:vMerge w:val="continue"/>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735" w:type="dxa"/>
            <w:vAlign w:val="center"/>
            <w:vMerge w:val="continue"/>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1241" w:type="dxa"/>
            <w:vAlign w:val="center"/>
            <w:textDirection w:val="lrTb"/>
            <w:noWrap w:val="false"/>
          </w:tcPr>
          <w:p>
            <w:pPr>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w:t>
            </w:r>
            <w:r/>
          </w:p>
        </w:tc>
        <w:tc>
          <w:tcPr>
            <w:tcW w:w="1134"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993"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275"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560"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567"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r>
    </w:tbl>
    <w:p>
      <w:pPr>
        <w:jc w:val="left"/>
        <w:widowControl/>
        <w:rPr>
          <w:rFonts w:hint="eastAsia" w:ascii="宋体" w:hAnsi="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r>
      <w:r/>
    </w:p>
    <w:p>
      <w:pPr>
        <w:jc w:val="left"/>
        <w:widowControl/>
        <w:rPr>
          <w:rFonts w:hint="eastAsia" w:ascii="宋体" w:hAnsi="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 xml:space="preserve">注：投标人应根据“第五章  评标方法与评标标准”要求提供相关证明材料。</w:t>
      </w:r>
      <w:r/>
    </w:p>
    <w:p>
      <w:pPr>
        <w:rPr>
          <w:rFonts w:hint="default" w:ascii="宋体" w:hAnsi="宋体"/>
          <w:color w:val="000000" w:themeColor="text1"/>
          <w:sz w:val="24"/>
          <w:szCs w:val="24"/>
          <w:lang w:val="en-US" w:eastAsia="zh-CN"/>
          <w14:textFill>
            <w14:solidFill>
              <w14:schemeClr w14:val="tx1"/>
            </w14:solidFill>
          </w14:textFill>
        </w:rPr>
      </w:pPr>
      <w:r>
        <w:rPr>
          <w:rFonts w:hint="default" w:ascii="宋体" w:hAnsi="宋体"/>
          <w:color w:val="000000" w:themeColor="text1"/>
          <w:sz w:val="24"/>
          <w:szCs w:val="24"/>
          <w:lang w:val="en-US" w:eastAsia="zh-CN"/>
          <w14:textFill>
            <w14:solidFill>
              <w14:schemeClr w14:val="tx1"/>
            </w14:solidFill>
          </w14:textFill>
        </w:rPr>
        <w:br w:type="page" w:clear="all"/>
      </w:r>
      <w:r/>
    </w:p>
    <w:p>
      <w:pPr>
        <w:pStyle w:val="708"/>
        <w:jc w:val="center"/>
        <w:spacing w:line="440" w:lineRule="exact"/>
        <w:rPr>
          <w:rFonts w:ascii="Times New Roman" w:hAnsi="Times New Roman" w:eastAsia="宋体" w:cs="Times New Roman"/>
          <w:b/>
          <w:bCs/>
          <w:color w:val="000000" w:themeColor="text1"/>
          <w:sz w:val="28"/>
          <w:szCs w:val="28"/>
          <w14:textFill>
            <w14:solidFill>
              <w14:schemeClr w14:val="tx1"/>
            </w14:solidFill>
          </w14:textFill>
        </w:rPr>
      </w:pPr>
      <w:r/>
      <w:bookmarkStart w:id="233" w:name="_Toc139725708"/>
      <w:r/>
      <w:bookmarkStart w:id="234" w:name="_Toc26650"/>
      <w:r/>
      <w:bookmarkStart w:id="235" w:name="_Toc2831"/>
      <w:r>
        <w:rPr>
          <w:rFonts w:hint="eastAsia" w:ascii="Times New Roman" w:hAnsi="Times New Roman" w:eastAsia="宋体" w:cs="Times New Roman"/>
          <w:b/>
          <w:bCs/>
          <w:color w:val="000000" w:themeColor="text1"/>
          <w:sz w:val="28"/>
          <w:szCs w:val="28"/>
          <w14:textFill>
            <w14:solidFill>
              <w14:schemeClr w14:val="tx1"/>
            </w14:solidFill>
          </w14:textFill>
        </w:rPr>
        <w:t xml:space="preserve">附件7 设备工具一览表</w:t>
      </w:r>
      <w:bookmarkEnd w:id="233"/>
      <w:r/>
      <w:bookmarkEnd w:id="234"/>
      <w:r/>
      <w:bookmarkEnd w:id="235"/>
      <w:r/>
      <w:r/>
    </w:p>
    <w:tbl>
      <w:tblPr>
        <w:tblStyle w:val="717"/>
        <w:tblW w:w="93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1"/>
        <w:gridCol w:w="1968"/>
        <w:gridCol w:w="1594"/>
        <w:gridCol w:w="1739"/>
        <w:gridCol w:w="1449"/>
        <w:gridCol w:w="1884"/>
      </w:tblGrid>
      <w:tr>
        <w:trPr>
          <w:jc w:val="center"/>
          <w:trHeight w:val="730"/>
        </w:trPr>
        <w:tc>
          <w:tcPr>
            <w:tcW w:w="751"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序号</w:t>
            </w:r>
            <w:r/>
          </w:p>
        </w:tc>
        <w:tc>
          <w:tcPr>
            <w:tcW w:w="1968"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设备名称</w:t>
            </w:r>
            <w:r/>
          </w:p>
        </w:tc>
        <w:tc>
          <w:tcPr>
            <w:tcW w:w="1594"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型号</w:t>
            </w:r>
            <w:r/>
          </w:p>
        </w:tc>
        <w:tc>
          <w:tcPr>
            <w:tcW w:w="1739" w:type="dxa"/>
            <w:vAlign w:val="center"/>
            <w:textDirection w:val="lrTb"/>
            <w:noWrap w:val="false"/>
          </w:tcPr>
          <w:p>
            <w:pPr>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设备</w:t>
            </w:r>
            <w:r>
              <w:rPr>
                <w:color w:val="000000" w:themeColor="text1"/>
                <w:sz w:val="24"/>
                <w:szCs w:val="24"/>
                <w14:textFill>
                  <w14:solidFill>
                    <w14:schemeClr w14:val="tx1"/>
                  </w14:solidFill>
                </w14:textFill>
              </w:rPr>
              <w:t xml:space="preserve">购买日期</w:t>
            </w:r>
            <w:r/>
          </w:p>
        </w:tc>
        <w:tc>
          <w:tcPr>
            <w:tcW w:w="1449"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数量</w:t>
            </w:r>
            <w:r/>
          </w:p>
        </w:tc>
        <w:tc>
          <w:tcPr>
            <w:tcW w:w="1884"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备注</w:t>
            </w:r>
            <w:r/>
          </w:p>
        </w:tc>
      </w:tr>
      <w:tr>
        <w:trPr>
          <w:jc w:val="center"/>
          <w:trHeight w:val="581"/>
        </w:trPr>
        <w:tc>
          <w:tcPr>
            <w:tcW w:w="751"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w:t>
            </w:r>
            <w:r/>
          </w:p>
        </w:tc>
        <w:tc>
          <w:tcPr>
            <w:tcW w:w="1968"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1594"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739"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449"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884"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r>
      <w:tr>
        <w:trPr>
          <w:jc w:val="center"/>
          <w:trHeight w:val="581"/>
        </w:trPr>
        <w:tc>
          <w:tcPr>
            <w:tcW w:w="751"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w:t>
            </w:r>
            <w:r/>
          </w:p>
        </w:tc>
        <w:tc>
          <w:tcPr>
            <w:tcW w:w="1968"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1594"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739"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449"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884"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r>
      <w:tr>
        <w:trPr>
          <w:jc w:val="center"/>
          <w:trHeight w:val="581"/>
        </w:trPr>
        <w:tc>
          <w:tcPr>
            <w:tcW w:w="751"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w:t>
            </w:r>
            <w:r/>
          </w:p>
        </w:tc>
        <w:tc>
          <w:tcPr>
            <w:tcW w:w="1968"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1594"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739"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449"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884"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r>
      <w:tr>
        <w:trPr>
          <w:jc w:val="center"/>
          <w:trHeight w:val="581"/>
        </w:trPr>
        <w:tc>
          <w:tcPr>
            <w:tcW w:w="751"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4</w:t>
            </w:r>
            <w:r/>
          </w:p>
        </w:tc>
        <w:tc>
          <w:tcPr>
            <w:tcW w:w="1968"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1594"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739"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449"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884"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r>
      <w:tr>
        <w:trPr>
          <w:jc w:val="center"/>
          <w:trHeight w:val="581"/>
        </w:trPr>
        <w:tc>
          <w:tcPr>
            <w:tcW w:w="751"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5</w:t>
            </w:r>
            <w:r/>
          </w:p>
        </w:tc>
        <w:tc>
          <w:tcPr>
            <w:tcW w:w="1968"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1594"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739"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449"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884"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r>
      <w:tr>
        <w:trPr>
          <w:jc w:val="center"/>
          <w:trHeight w:val="581"/>
        </w:trPr>
        <w:tc>
          <w:tcPr>
            <w:tcW w:w="751"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6</w:t>
            </w:r>
            <w:r/>
          </w:p>
        </w:tc>
        <w:tc>
          <w:tcPr>
            <w:tcW w:w="1968"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1594"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739"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449"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884"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r>
      <w:tr>
        <w:trPr>
          <w:jc w:val="center"/>
          <w:trHeight w:val="581"/>
        </w:trPr>
        <w:tc>
          <w:tcPr>
            <w:tcW w:w="751"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7</w:t>
            </w:r>
            <w:r/>
          </w:p>
        </w:tc>
        <w:tc>
          <w:tcPr>
            <w:tcW w:w="1968" w:type="dxa"/>
            <w:vAlign w:val="center"/>
            <w:textDirection w:val="lrTb"/>
            <w:noWrap w:val="false"/>
          </w:tcPr>
          <w:p>
            <w:pPr>
              <w:jc w:val="center"/>
              <w:spacing w:line="360" w:lineRule="exact"/>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594"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739"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449"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884"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r>
      <w:tr>
        <w:trPr>
          <w:jc w:val="center"/>
          <w:trHeight w:val="581"/>
        </w:trPr>
        <w:tc>
          <w:tcPr>
            <w:tcW w:w="751" w:type="dxa"/>
            <w:vAlign w:val="center"/>
            <w:textDirection w:val="lrTb"/>
            <w:noWrap w:val="false"/>
          </w:tcPr>
          <w:p>
            <w:pPr>
              <w:jc w:val="center"/>
              <w:rPr>
                <w:rFonts w:hint="default" w:eastAsia="宋体"/>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 xml:space="preserve">...</w:t>
            </w:r>
            <w:r/>
          </w:p>
        </w:tc>
        <w:tc>
          <w:tcPr>
            <w:tcW w:w="1968" w:type="dxa"/>
            <w:vAlign w:val="center"/>
            <w:textDirection w:val="lrTb"/>
            <w:noWrap w:val="false"/>
          </w:tcPr>
          <w:p>
            <w:pPr>
              <w:jc w:val="center"/>
              <w:spacing w:line="360" w:lineRule="exact"/>
              <w:rPr>
                <w:rFonts w:cs="宋体"/>
                <w:color w:val="000000" w:themeColor="text1"/>
                <w:sz w:val="24"/>
                <w:szCs w:val="24"/>
                <w14:textFill>
                  <w14:solidFill>
                    <w14:schemeClr w14:val="tx1"/>
                  </w14:solidFill>
                </w14:textFill>
              </w:rPr>
            </w:pPr>
            <w:r>
              <w:rPr>
                <w:rFonts w:cs="宋体"/>
                <w:color w:val="000000" w:themeColor="text1"/>
                <w:sz w:val="24"/>
                <w:szCs w:val="24"/>
                <w14:textFill>
                  <w14:solidFill>
                    <w14:schemeClr w14:val="tx1"/>
                  </w14:solidFill>
                </w14:textFill>
              </w:rPr>
            </w:r>
            <w:r/>
          </w:p>
        </w:tc>
        <w:tc>
          <w:tcPr>
            <w:tcW w:w="1594"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739"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449"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884"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r>
    </w:tbl>
    <w:p>
      <w:pPr>
        <w:jc w:val="left"/>
        <w:widowControl/>
        <w:rPr>
          <w:rFonts w:hint="eastAsia" w:ascii="宋体" w:hAnsi="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r>
      <w:r/>
    </w:p>
    <w:p>
      <w:pPr>
        <w:ind w:firstLine="480"/>
        <w:jc w:val="left"/>
        <w:widowControl/>
        <w:rPr>
          <w:rFonts w:hint="eastAsia" w:ascii="宋体" w:hAnsi="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 xml:space="preserve">注：投标人应根据“第五章  评标方法与评标标准”要求提供相关证明材料。</w:t>
      </w:r>
      <w:r/>
    </w:p>
    <w:p>
      <w:pPr>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br w:type="page" w:clear="all"/>
      </w:r>
      <w:r/>
    </w:p>
    <w:p>
      <w:pPr>
        <w:pStyle w:val="708"/>
        <w:jc w:val="center"/>
        <w:spacing w:line="440" w:lineRule="exact"/>
        <w:rPr>
          <w:rFonts w:ascii="Times New Roman" w:hAnsi="Times New Roman" w:eastAsia="宋体" w:cs="Times New Roman"/>
          <w:b/>
          <w:bCs/>
          <w:color w:val="000000" w:themeColor="text1"/>
          <w:sz w:val="28"/>
          <w:szCs w:val="28"/>
          <w14:textFill>
            <w14:solidFill>
              <w14:schemeClr w14:val="tx1"/>
            </w14:solidFill>
          </w14:textFill>
        </w:rPr>
      </w:pPr>
      <w:r/>
      <w:bookmarkStart w:id="236" w:name="_Toc30092"/>
      <w:r/>
      <w:bookmarkStart w:id="237" w:name="_Toc17613"/>
      <w:r>
        <w:rPr>
          <w:rFonts w:hint="eastAsia" w:ascii="Times New Roman" w:hAnsi="Times New Roman" w:eastAsia="宋体" w:cs="Times New Roman"/>
          <w:b/>
          <w:bCs/>
          <w:color w:val="000000" w:themeColor="text1"/>
          <w:sz w:val="28"/>
          <w:szCs w:val="28"/>
          <w14:textFill>
            <w14:solidFill>
              <w14:schemeClr w14:val="tx1"/>
            </w14:solidFill>
          </w14:textFill>
        </w:rPr>
        <w:t xml:space="preserve">附件8 业绩一览表</w:t>
      </w:r>
      <w:bookmarkEnd w:id="236"/>
      <w:r/>
      <w:bookmarkEnd w:id="237"/>
      <w:r/>
      <w:r/>
    </w:p>
    <w:tbl>
      <w:tblPr>
        <w:tblStyle w:val="717"/>
        <w:tblW w:w="97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28"/>
        <w:gridCol w:w="1860"/>
        <w:gridCol w:w="1437"/>
        <w:gridCol w:w="1687"/>
        <w:gridCol w:w="1804"/>
        <w:gridCol w:w="1160"/>
      </w:tblGrid>
      <w:tr>
        <w:trPr>
          <w:jc w:val="center"/>
          <w:trHeight w:val="991"/>
        </w:trPr>
        <w:tc>
          <w:tcPr>
            <w:tcW w:w="1828" w:type="dxa"/>
            <w:vAlign w:val="center"/>
            <w:textDirection w:val="lrTb"/>
            <w:noWrap w:val="false"/>
          </w:tcPr>
          <w:p>
            <w:pPr>
              <w:pStyle w:val="723"/>
              <w:jc w:val="center"/>
              <w:rPr>
                <w:rFonts w:ascii="Times New Roman" w:hAnsi="Times New Roman" w:eastAsia="宋体"/>
                <w:b/>
                <w:bCs/>
                <w:color w:val="000000" w:themeColor="text1"/>
                <w:sz w:val="24"/>
                <w14:textFill>
                  <w14:solidFill>
                    <w14:schemeClr w14:val="tx1"/>
                  </w14:solidFill>
                </w14:textFill>
              </w:rPr>
            </w:pPr>
            <w:r>
              <w:rPr>
                <w:rFonts w:ascii="Times New Roman" w:hAnsi="Times New Roman" w:eastAsia="宋体"/>
                <w:b/>
                <w:bCs/>
                <w:color w:val="000000" w:themeColor="text1"/>
                <w:sz w:val="24"/>
                <w14:textFill>
                  <w14:solidFill>
                    <w14:schemeClr w14:val="tx1"/>
                  </w14:solidFill>
                </w14:textFill>
              </w:rPr>
              <w:t xml:space="preserve">序号</w:t>
            </w:r>
            <w:r/>
          </w:p>
        </w:tc>
        <w:tc>
          <w:tcPr>
            <w:tcW w:w="1860" w:type="dxa"/>
            <w:vAlign w:val="center"/>
            <w:textDirection w:val="lrTb"/>
            <w:noWrap w:val="false"/>
          </w:tcPr>
          <w:p>
            <w:pPr>
              <w:pStyle w:val="723"/>
              <w:jc w:val="center"/>
              <w:rPr>
                <w:rFonts w:ascii="Times New Roman" w:hAnsi="Times New Roman" w:eastAsia="宋体"/>
                <w:b/>
                <w:bCs/>
                <w:color w:val="000000" w:themeColor="text1"/>
                <w:sz w:val="24"/>
                <w14:textFill>
                  <w14:solidFill>
                    <w14:schemeClr w14:val="tx1"/>
                  </w14:solidFill>
                </w14:textFill>
              </w:rPr>
            </w:pPr>
            <w:r>
              <w:rPr>
                <w:rFonts w:ascii="Times New Roman" w:hAnsi="Times New Roman" w:eastAsia="宋体"/>
                <w:b/>
                <w:bCs/>
                <w:color w:val="000000" w:themeColor="text1"/>
                <w:sz w:val="24"/>
                <w14:textFill>
                  <w14:solidFill>
                    <w14:schemeClr w14:val="tx1"/>
                  </w14:solidFill>
                </w14:textFill>
              </w:rPr>
              <w:t xml:space="preserve">项目名称</w:t>
            </w:r>
            <w:r/>
          </w:p>
        </w:tc>
        <w:tc>
          <w:tcPr>
            <w:tcW w:w="1437" w:type="dxa"/>
            <w:vAlign w:val="center"/>
            <w:textDirection w:val="lrTb"/>
            <w:noWrap w:val="false"/>
          </w:tcPr>
          <w:p>
            <w:pPr>
              <w:pStyle w:val="723"/>
              <w:jc w:val="center"/>
              <w:rPr>
                <w:rFonts w:hint="eastAsia" w:ascii="Times New Roman" w:hAnsi="Times New Roman" w:eastAsia="宋体"/>
                <w:b/>
                <w:bCs/>
                <w:color w:val="000000" w:themeColor="text1"/>
                <w:sz w:val="24"/>
                <w:lang w:val="en-US" w:eastAsia="zh-CN"/>
                <w14:textFill>
                  <w14:solidFill>
                    <w14:schemeClr w14:val="tx1"/>
                  </w14:solidFill>
                </w14:textFill>
              </w:rPr>
            </w:pPr>
            <w:r>
              <w:rPr>
                <w:rFonts w:hint="eastAsia" w:ascii="Times New Roman" w:hAnsi="Times New Roman" w:eastAsia="宋体"/>
                <w:b/>
                <w:bCs/>
                <w:color w:val="000000" w:themeColor="text1"/>
                <w:sz w:val="24"/>
                <w14:textFill>
                  <w14:solidFill>
                    <w14:schemeClr w14:val="tx1"/>
                  </w14:solidFill>
                </w14:textFill>
              </w:rPr>
              <w:t xml:space="preserve">项目</w:t>
            </w:r>
            <w:r>
              <w:rPr>
                <w:rFonts w:hint="eastAsia" w:ascii="Times New Roman" w:hAnsi="Times New Roman" w:eastAsia="宋体"/>
                <w:b/>
                <w:bCs/>
                <w:color w:val="000000" w:themeColor="text1"/>
                <w:sz w:val="24"/>
                <w:lang w:val="en-US" w:eastAsia="zh-CN"/>
                <w14:textFill>
                  <w14:solidFill>
                    <w14:schemeClr w14:val="tx1"/>
                  </w14:solidFill>
                </w14:textFill>
              </w:rPr>
              <w:t xml:space="preserve">地点</w:t>
            </w:r>
            <w:r/>
          </w:p>
        </w:tc>
        <w:tc>
          <w:tcPr>
            <w:tcW w:w="1687" w:type="dxa"/>
            <w:vAlign w:val="center"/>
            <w:textDirection w:val="lrTb"/>
            <w:noWrap w:val="false"/>
          </w:tcPr>
          <w:p>
            <w:pPr>
              <w:pStyle w:val="723"/>
              <w:jc w:val="center"/>
              <w:rPr>
                <w:rFonts w:ascii="Times New Roman" w:hAnsi="Times New Roman" w:eastAsia="宋体"/>
                <w:b/>
                <w:bCs/>
                <w:color w:val="000000" w:themeColor="text1"/>
                <w:sz w:val="24"/>
                <w14:textFill>
                  <w14:solidFill>
                    <w14:schemeClr w14:val="tx1"/>
                  </w14:solidFill>
                </w14:textFill>
              </w:rPr>
            </w:pPr>
            <w:r>
              <w:rPr>
                <w:rFonts w:hint="eastAsia" w:ascii="Times New Roman" w:hAnsi="Times New Roman" w:eastAsia="宋体"/>
                <w:b/>
                <w:bCs/>
                <w:color w:val="000000" w:themeColor="text1"/>
                <w:sz w:val="24"/>
                <w14:textFill>
                  <w14:solidFill>
                    <w14:schemeClr w14:val="tx1"/>
                  </w14:solidFill>
                </w14:textFill>
              </w:rPr>
              <w:t xml:space="preserve">完成</w:t>
            </w:r>
            <w:r>
              <w:rPr>
                <w:rFonts w:ascii="Times New Roman" w:hAnsi="Times New Roman" w:eastAsia="宋体"/>
                <w:b/>
                <w:bCs/>
                <w:color w:val="000000" w:themeColor="text1"/>
                <w:sz w:val="24"/>
                <w14:textFill>
                  <w14:solidFill>
                    <w14:schemeClr w14:val="tx1"/>
                  </w14:solidFill>
                </w14:textFill>
              </w:rPr>
              <w:t xml:space="preserve">时间</w:t>
            </w:r>
            <w:r/>
          </w:p>
        </w:tc>
        <w:tc>
          <w:tcPr>
            <w:tcW w:w="1804" w:type="dxa"/>
            <w:vAlign w:val="center"/>
            <w:textDirection w:val="lrTb"/>
            <w:noWrap w:val="false"/>
          </w:tcPr>
          <w:p>
            <w:pPr>
              <w:pStyle w:val="723"/>
              <w:jc w:val="center"/>
              <w:rPr>
                <w:rFonts w:ascii="Times New Roman" w:hAnsi="Times New Roman" w:eastAsia="宋体"/>
                <w:b/>
                <w:bCs/>
                <w:color w:val="000000" w:themeColor="text1"/>
                <w:sz w:val="24"/>
                <w14:textFill>
                  <w14:solidFill>
                    <w14:schemeClr w14:val="tx1"/>
                  </w14:solidFill>
                </w14:textFill>
              </w:rPr>
            </w:pPr>
            <w:r>
              <w:rPr>
                <w:rFonts w:ascii="Times New Roman" w:hAnsi="Times New Roman" w:eastAsia="宋体"/>
                <w:b/>
                <w:bCs/>
                <w:color w:val="000000" w:themeColor="text1"/>
                <w:sz w:val="24"/>
                <w14:textFill>
                  <w14:solidFill>
                    <w14:schemeClr w14:val="tx1"/>
                  </w14:solidFill>
                </w14:textFill>
              </w:rPr>
              <w:t xml:space="preserve">业主联系人及联系电话</w:t>
            </w:r>
            <w:r/>
          </w:p>
        </w:tc>
        <w:tc>
          <w:tcPr>
            <w:tcW w:w="1160" w:type="dxa"/>
            <w:vAlign w:val="center"/>
            <w:textDirection w:val="lrTb"/>
            <w:noWrap w:val="false"/>
          </w:tcPr>
          <w:p>
            <w:pPr>
              <w:pStyle w:val="723"/>
              <w:jc w:val="center"/>
              <w:rPr>
                <w:rFonts w:ascii="Times New Roman" w:hAnsi="Times New Roman" w:eastAsia="宋体"/>
                <w:b/>
                <w:bCs/>
                <w:color w:val="000000" w:themeColor="text1"/>
                <w:sz w:val="24"/>
                <w14:textFill>
                  <w14:solidFill>
                    <w14:schemeClr w14:val="tx1"/>
                  </w14:solidFill>
                </w14:textFill>
              </w:rPr>
            </w:pPr>
            <w:r>
              <w:rPr>
                <w:rFonts w:ascii="Times New Roman" w:hAnsi="Times New Roman" w:eastAsia="宋体"/>
                <w:b/>
                <w:bCs/>
                <w:color w:val="000000" w:themeColor="text1"/>
                <w:sz w:val="24"/>
                <w14:textFill>
                  <w14:solidFill>
                    <w14:schemeClr w14:val="tx1"/>
                  </w14:solidFill>
                </w14:textFill>
              </w:rPr>
              <w:t xml:space="preserve">备  注</w:t>
            </w:r>
            <w:r/>
          </w:p>
        </w:tc>
      </w:tr>
      <w:tr>
        <w:trPr>
          <w:jc w:val="center"/>
          <w:trHeight w:val="905"/>
        </w:trPr>
        <w:tc>
          <w:tcPr>
            <w:tcW w:w="1828" w:type="dxa"/>
            <w:vAlign w:val="center"/>
            <w:textDirection w:val="lrTb"/>
            <w:noWrap w:val="false"/>
          </w:tcPr>
          <w:p>
            <w:pPr>
              <w:pStyle w:val="723"/>
              <w:jc w:val="center"/>
              <w:rPr>
                <w:rFonts w:ascii="Times New Roman" w:hAnsi="Times New Roman" w:eastAsia="宋体"/>
                <w:color w:val="000000" w:themeColor="text1"/>
                <w:sz w:val="24"/>
                <w14:textFill>
                  <w14:solidFill>
                    <w14:schemeClr w14:val="tx1"/>
                  </w14:solidFill>
                </w14:textFill>
              </w:rPr>
            </w:pPr>
            <w:r>
              <w:rPr>
                <w:rFonts w:ascii="Times New Roman" w:hAnsi="Times New Roman" w:eastAsia="宋体"/>
                <w:color w:val="000000" w:themeColor="text1"/>
                <w:sz w:val="24"/>
                <w14:textFill>
                  <w14:solidFill>
                    <w14:schemeClr w14:val="tx1"/>
                  </w14:solidFill>
                </w14:textFill>
              </w:rPr>
              <w:t xml:space="preserve">1</w:t>
            </w:r>
            <w:r/>
          </w:p>
        </w:tc>
        <w:tc>
          <w:tcPr>
            <w:tcW w:w="1860" w:type="dxa"/>
            <w:vAlign w:val="center"/>
            <w:textDirection w:val="lrTb"/>
            <w:noWrap w:val="false"/>
          </w:tcPr>
          <w:p>
            <w:pPr>
              <w:pStyle w:val="723"/>
              <w:jc w:val="center"/>
              <w:rPr>
                <w:rFonts w:ascii="Times New Roman" w:hAnsi="Times New Roman" w:eastAsia="宋体"/>
                <w:color w:val="000000" w:themeColor="text1"/>
                <w:sz w:val="24"/>
                <w14:textFill>
                  <w14:solidFill>
                    <w14:schemeClr w14:val="tx1"/>
                  </w14:solidFill>
                </w14:textFill>
              </w:rPr>
            </w:pPr>
            <w:r>
              <w:rPr>
                <w:rFonts w:ascii="Times New Roman" w:hAnsi="Times New Roman" w:eastAsia="宋体"/>
                <w:color w:val="000000" w:themeColor="text1"/>
                <w:sz w:val="24"/>
                <w14:textFill>
                  <w14:solidFill>
                    <w14:schemeClr w14:val="tx1"/>
                  </w14:solidFill>
                </w14:textFill>
              </w:rPr>
            </w:r>
            <w:r/>
          </w:p>
        </w:tc>
        <w:tc>
          <w:tcPr>
            <w:tcW w:w="1437" w:type="dxa"/>
            <w:vAlign w:val="center"/>
            <w:textDirection w:val="lrTb"/>
            <w:noWrap w:val="false"/>
          </w:tcPr>
          <w:p>
            <w:pPr>
              <w:pStyle w:val="723"/>
              <w:jc w:val="center"/>
              <w:rPr>
                <w:rFonts w:ascii="Times New Roman" w:hAnsi="Times New Roman" w:eastAsia="宋体"/>
                <w:color w:val="000000" w:themeColor="text1"/>
                <w:sz w:val="24"/>
                <w14:textFill>
                  <w14:solidFill>
                    <w14:schemeClr w14:val="tx1"/>
                  </w14:solidFill>
                </w14:textFill>
              </w:rPr>
            </w:pPr>
            <w:r>
              <w:rPr>
                <w:rFonts w:ascii="Times New Roman" w:hAnsi="Times New Roman" w:eastAsia="宋体"/>
                <w:color w:val="000000" w:themeColor="text1"/>
                <w:sz w:val="24"/>
                <w14:textFill>
                  <w14:solidFill>
                    <w14:schemeClr w14:val="tx1"/>
                  </w14:solidFill>
                </w14:textFill>
              </w:rPr>
            </w:r>
            <w:r/>
          </w:p>
        </w:tc>
        <w:tc>
          <w:tcPr>
            <w:tcW w:w="1687" w:type="dxa"/>
            <w:vAlign w:val="center"/>
            <w:textDirection w:val="lrTb"/>
            <w:noWrap w:val="false"/>
          </w:tcPr>
          <w:p>
            <w:pPr>
              <w:pStyle w:val="723"/>
              <w:jc w:val="center"/>
              <w:rPr>
                <w:rFonts w:ascii="Times New Roman" w:hAnsi="Times New Roman" w:eastAsia="宋体"/>
                <w:color w:val="000000" w:themeColor="text1"/>
                <w:sz w:val="24"/>
                <w14:textFill>
                  <w14:solidFill>
                    <w14:schemeClr w14:val="tx1"/>
                  </w14:solidFill>
                </w14:textFill>
              </w:rPr>
            </w:pPr>
            <w:r>
              <w:rPr>
                <w:rFonts w:ascii="Times New Roman" w:hAnsi="Times New Roman" w:eastAsia="宋体"/>
                <w:color w:val="000000" w:themeColor="text1"/>
                <w:sz w:val="24"/>
                <w14:textFill>
                  <w14:solidFill>
                    <w14:schemeClr w14:val="tx1"/>
                  </w14:solidFill>
                </w14:textFill>
              </w:rPr>
            </w:r>
            <w:r/>
          </w:p>
        </w:tc>
        <w:tc>
          <w:tcPr>
            <w:tcW w:w="1804" w:type="dxa"/>
            <w:vAlign w:val="center"/>
            <w:textDirection w:val="lrTb"/>
            <w:noWrap w:val="false"/>
          </w:tcPr>
          <w:p>
            <w:pPr>
              <w:pStyle w:val="723"/>
              <w:jc w:val="center"/>
              <w:rPr>
                <w:rFonts w:ascii="Times New Roman" w:hAnsi="Times New Roman" w:eastAsia="宋体"/>
                <w:color w:val="000000" w:themeColor="text1"/>
                <w:sz w:val="24"/>
                <w14:textFill>
                  <w14:solidFill>
                    <w14:schemeClr w14:val="tx1"/>
                  </w14:solidFill>
                </w14:textFill>
              </w:rPr>
            </w:pPr>
            <w:r>
              <w:rPr>
                <w:rFonts w:ascii="Times New Roman" w:hAnsi="Times New Roman" w:eastAsia="宋体"/>
                <w:color w:val="000000" w:themeColor="text1"/>
                <w:sz w:val="24"/>
                <w14:textFill>
                  <w14:solidFill>
                    <w14:schemeClr w14:val="tx1"/>
                  </w14:solidFill>
                </w14:textFill>
              </w:rPr>
            </w:r>
            <w:r/>
          </w:p>
        </w:tc>
        <w:tc>
          <w:tcPr>
            <w:tcW w:w="1160" w:type="dxa"/>
            <w:vAlign w:val="center"/>
            <w:textDirection w:val="lrTb"/>
            <w:noWrap w:val="false"/>
          </w:tcPr>
          <w:p>
            <w:pPr>
              <w:pStyle w:val="723"/>
              <w:jc w:val="center"/>
              <w:rPr>
                <w:rFonts w:ascii="Times New Roman" w:hAnsi="Times New Roman" w:eastAsia="宋体"/>
                <w:color w:val="000000" w:themeColor="text1"/>
                <w:sz w:val="24"/>
                <w14:textFill>
                  <w14:solidFill>
                    <w14:schemeClr w14:val="tx1"/>
                  </w14:solidFill>
                </w14:textFill>
              </w:rPr>
            </w:pPr>
            <w:r>
              <w:rPr>
                <w:rFonts w:ascii="Times New Roman" w:hAnsi="Times New Roman" w:eastAsia="宋体"/>
                <w:color w:val="000000" w:themeColor="text1"/>
                <w:sz w:val="24"/>
                <w14:textFill>
                  <w14:solidFill>
                    <w14:schemeClr w14:val="tx1"/>
                  </w14:solidFill>
                </w14:textFill>
              </w:rPr>
            </w:r>
            <w:r/>
          </w:p>
        </w:tc>
      </w:tr>
      <w:tr>
        <w:trPr>
          <w:jc w:val="center"/>
          <w:trHeight w:val="905"/>
        </w:trPr>
        <w:tc>
          <w:tcPr>
            <w:tcW w:w="1828" w:type="dxa"/>
            <w:vAlign w:val="center"/>
            <w:textDirection w:val="lrTb"/>
            <w:noWrap w:val="false"/>
          </w:tcPr>
          <w:p>
            <w:pPr>
              <w:pStyle w:val="723"/>
              <w:jc w:val="center"/>
              <w:rPr>
                <w:rFonts w:ascii="Times New Roman" w:hAnsi="Times New Roman" w:eastAsia="宋体"/>
                <w:color w:val="000000" w:themeColor="text1"/>
                <w:sz w:val="24"/>
                <w14:textFill>
                  <w14:solidFill>
                    <w14:schemeClr w14:val="tx1"/>
                  </w14:solidFill>
                </w14:textFill>
              </w:rPr>
            </w:pPr>
            <w:r>
              <w:rPr>
                <w:rFonts w:ascii="Times New Roman" w:hAnsi="Times New Roman" w:eastAsia="宋体"/>
                <w:color w:val="000000" w:themeColor="text1"/>
                <w:sz w:val="24"/>
                <w14:textFill>
                  <w14:solidFill>
                    <w14:schemeClr w14:val="tx1"/>
                  </w14:solidFill>
                </w14:textFill>
              </w:rPr>
              <w:t xml:space="preserve">2</w:t>
            </w:r>
            <w:r/>
          </w:p>
        </w:tc>
        <w:tc>
          <w:tcPr>
            <w:tcW w:w="1860" w:type="dxa"/>
            <w:vAlign w:val="center"/>
            <w:textDirection w:val="lrTb"/>
            <w:noWrap w:val="false"/>
          </w:tcPr>
          <w:p>
            <w:pPr>
              <w:pStyle w:val="723"/>
              <w:jc w:val="center"/>
              <w:rPr>
                <w:rFonts w:ascii="Times New Roman" w:hAnsi="Times New Roman" w:eastAsia="宋体"/>
                <w:color w:val="000000" w:themeColor="text1"/>
                <w:sz w:val="24"/>
                <w14:textFill>
                  <w14:solidFill>
                    <w14:schemeClr w14:val="tx1"/>
                  </w14:solidFill>
                </w14:textFill>
              </w:rPr>
            </w:pPr>
            <w:r>
              <w:rPr>
                <w:rFonts w:ascii="Times New Roman" w:hAnsi="Times New Roman" w:eastAsia="宋体"/>
                <w:color w:val="000000" w:themeColor="text1"/>
                <w:sz w:val="24"/>
                <w14:textFill>
                  <w14:solidFill>
                    <w14:schemeClr w14:val="tx1"/>
                  </w14:solidFill>
                </w14:textFill>
              </w:rPr>
            </w:r>
            <w:r/>
          </w:p>
        </w:tc>
        <w:tc>
          <w:tcPr>
            <w:tcW w:w="1437" w:type="dxa"/>
            <w:vAlign w:val="center"/>
            <w:textDirection w:val="lrTb"/>
            <w:noWrap w:val="false"/>
          </w:tcPr>
          <w:p>
            <w:pPr>
              <w:pStyle w:val="723"/>
              <w:jc w:val="center"/>
              <w:rPr>
                <w:rFonts w:ascii="Times New Roman" w:hAnsi="Times New Roman" w:eastAsia="宋体"/>
                <w:color w:val="000000" w:themeColor="text1"/>
                <w:sz w:val="24"/>
                <w14:textFill>
                  <w14:solidFill>
                    <w14:schemeClr w14:val="tx1"/>
                  </w14:solidFill>
                </w14:textFill>
              </w:rPr>
            </w:pPr>
            <w:r>
              <w:rPr>
                <w:rFonts w:ascii="Times New Roman" w:hAnsi="Times New Roman" w:eastAsia="宋体"/>
                <w:color w:val="000000" w:themeColor="text1"/>
                <w:sz w:val="24"/>
                <w14:textFill>
                  <w14:solidFill>
                    <w14:schemeClr w14:val="tx1"/>
                  </w14:solidFill>
                </w14:textFill>
              </w:rPr>
            </w:r>
            <w:r/>
          </w:p>
        </w:tc>
        <w:tc>
          <w:tcPr>
            <w:tcW w:w="1687" w:type="dxa"/>
            <w:vAlign w:val="center"/>
            <w:textDirection w:val="lrTb"/>
            <w:noWrap w:val="false"/>
          </w:tcPr>
          <w:p>
            <w:pPr>
              <w:pStyle w:val="723"/>
              <w:jc w:val="center"/>
              <w:rPr>
                <w:rFonts w:ascii="Times New Roman" w:hAnsi="Times New Roman" w:eastAsia="宋体"/>
                <w:color w:val="000000" w:themeColor="text1"/>
                <w:sz w:val="24"/>
                <w14:textFill>
                  <w14:solidFill>
                    <w14:schemeClr w14:val="tx1"/>
                  </w14:solidFill>
                </w14:textFill>
              </w:rPr>
            </w:pPr>
            <w:r>
              <w:rPr>
                <w:rFonts w:ascii="Times New Roman" w:hAnsi="Times New Roman" w:eastAsia="宋体"/>
                <w:color w:val="000000" w:themeColor="text1"/>
                <w:sz w:val="24"/>
                <w14:textFill>
                  <w14:solidFill>
                    <w14:schemeClr w14:val="tx1"/>
                  </w14:solidFill>
                </w14:textFill>
              </w:rPr>
            </w:r>
            <w:r/>
          </w:p>
        </w:tc>
        <w:tc>
          <w:tcPr>
            <w:tcW w:w="1804" w:type="dxa"/>
            <w:vAlign w:val="center"/>
            <w:textDirection w:val="lrTb"/>
            <w:noWrap w:val="false"/>
          </w:tcPr>
          <w:p>
            <w:pPr>
              <w:pStyle w:val="723"/>
              <w:jc w:val="center"/>
              <w:rPr>
                <w:rFonts w:ascii="Times New Roman" w:hAnsi="Times New Roman" w:eastAsia="宋体"/>
                <w:color w:val="000000" w:themeColor="text1"/>
                <w:sz w:val="24"/>
                <w14:textFill>
                  <w14:solidFill>
                    <w14:schemeClr w14:val="tx1"/>
                  </w14:solidFill>
                </w14:textFill>
              </w:rPr>
            </w:pPr>
            <w:r>
              <w:rPr>
                <w:rFonts w:ascii="Times New Roman" w:hAnsi="Times New Roman" w:eastAsia="宋体"/>
                <w:color w:val="000000" w:themeColor="text1"/>
                <w:sz w:val="24"/>
                <w14:textFill>
                  <w14:solidFill>
                    <w14:schemeClr w14:val="tx1"/>
                  </w14:solidFill>
                </w14:textFill>
              </w:rPr>
            </w:r>
            <w:r/>
          </w:p>
        </w:tc>
        <w:tc>
          <w:tcPr>
            <w:tcW w:w="1160" w:type="dxa"/>
            <w:vAlign w:val="center"/>
            <w:textDirection w:val="lrTb"/>
            <w:noWrap w:val="false"/>
          </w:tcPr>
          <w:p>
            <w:pPr>
              <w:pStyle w:val="723"/>
              <w:jc w:val="center"/>
              <w:rPr>
                <w:rFonts w:ascii="Times New Roman" w:hAnsi="Times New Roman" w:eastAsia="宋体"/>
                <w:color w:val="000000" w:themeColor="text1"/>
                <w:sz w:val="24"/>
                <w14:textFill>
                  <w14:solidFill>
                    <w14:schemeClr w14:val="tx1"/>
                  </w14:solidFill>
                </w14:textFill>
              </w:rPr>
            </w:pPr>
            <w:r>
              <w:rPr>
                <w:rFonts w:ascii="Times New Roman" w:hAnsi="Times New Roman" w:eastAsia="宋体"/>
                <w:color w:val="000000" w:themeColor="text1"/>
                <w:sz w:val="24"/>
                <w14:textFill>
                  <w14:solidFill>
                    <w14:schemeClr w14:val="tx1"/>
                  </w14:solidFill>
                </w14:textFill>
              </w:rPr>
            </w:r>
            <w:r/>
          </w:p>
        </w:tc>
      </w:tr>
      <w:tr>
        <w:trPr>
          <w:jc w:val="center"/>
          <w:trHeight w:val="905"/>
        </w:trPr>
        <w:tc>
          <w:tcPr>
            <w:tcW w:w="1828" w:type="dxa"/>
            <w:vAlign w:val="center"/>
            <w:textDirection w:val="lrTb"/>
            <w:noWrap w:val="false"/>
          </w:tcPr>
          <w:p>
            <w:pPr>
              <w:pStyle w:val="723"/>
              <w:jc w:val="center"/>
              <w:rPr>
                <w:rFonts w:ascii="Times New Roman" w:hAnsi="Times New Roman" w:eastAsia="宋体"/>
                <w:color w:val="000000" w:themeColor="text1"/>
                <w:sz w:val="24"/>
                <w14:textFill>
                  <w14:solidFill>
                    <w14:schemeClr w14:val="tx1"/>
                  </w14:solidFill>
                </w14:textFill>
              </w:rPr>
            </w:pPr>
            <w:r>
              <w:rPr>
                <w:rFonts w:ascii="Times New Roman" w:hAnsi="Times New Roman" w:eastAsia="宋体"/>
                <w:color w:val="000000" w:themeColor="text1"/>
                <w:sz w:val="24"/>
                <w14:textFill>
                  <w14:solidFill>
                    <w14:schemeClr w14:val="tx1"/>
                  </w14:solidFill>
                </w14:textFill>
              </w:rPr>
              <w:t xml:space="preserve">3</w:t>
            </w:r>
            <w:r/>
          </w:p>
        </w:tc>
        <w:tc>
          <w:tcPr>
            <w:tcW w:w="1860" w:type="dxa"/>
            <w:vAlign w:val="center"/>
            <w:textDirection w:val="lrTb"/>
            <w:noWrap w:val="false"/>
          </w:tcPr>
          <w:p>
            <w:pPr>
              <w:pStyle w:val="723"/>
              <w:jc w:val="center"/>
              <w:rPr>
                <w:rFonts w:ascii="Times New Roman" w:hAnsi="Times New Roman" w:eastAsia="宋体"/>
                <w:color w:val="000000" w:themeColor="text1"/>
                <w:sz w:val="24"/>
                <w14:textFill>
                  <w14:solidFill>
                    <w14:schemeClr w14:val="tx1"/>
                  </w14:solidFill>
                </w14:textFill>
              </w:rPr>
            </w:pPr>
            <w:r>
              <w:rPr>
                <w:rFonts w:ascii="Times New Roman" w:hAnsi="Times New Roman" w:eastAsia="宋体"/>
                <w:color w:val="000000" w:themeColor="text1"/>
                <w:sz w:val="24"/>
                <w14:textFill>
                  <w14:solidFill>
                    <w14:schemeClr w14:val="tx1"/>
                  </w14:solidFill>
                </w14:textFill>
              </w:rPr>
            </w:r>
            <w:r/>
          </w:p>
        </w:tc>
        <w:tc>
          <w:tcPr>
            <w:tcW w:w="1437" w:type="dxa"/>
            <w:vAlign w:val="center"/>
            <w:textDirection w:val="lrTb"/>
            <w:noWrap w:val="false"/>
          </w:tcPr>
          <w:p>
            <w:pPr>
              <w:pStyle w:val="723"/>
              <w:jc w:val="center"/>
              <w:rPr>
                <w:rFonts w:ascii="Times New Roman" w:hAnsi="Times New Roman" w:eastAsia="宋体"/>
                <w:color w:val="000000" w:themeColor="text1"/>
                <w:sz w:val="24"/>
                <w14:textFill>
                  <w14:solidFill>
                    <w14:schemeClr w14:val="tx1"/>
                  </w14:solidFill>
                </w14:textFill>
              </w:rPr>
            </w:pPr>
            <w:r>
              <w:rPr>
                <w:rFonts w:ascii="Times New Roman" w:hAnsi="Times New Roman" w:eastAsia="宋体"/>
                <w:color w:val="000000" w:themeColor="text1"/>
                <w:sz w:val="24"/>
                <w14:textFill>
                  <w14:solidFill>
                    <w14:schemeClr w14:val="tx1"/>
                  </w14:solidFill>
                </w14:textFill>
              </w:rPr>
            </w:r>
            <w:r/>
          </w:p>
        </w:tc>
        <w:tc>
          <w:tcPr>
            <w:tcW w:w="1687" w:type="dxa"/>
            <w:vAlign w:val="center"/>
            <w:textDirection w:val="lrTb"/>
            <w:noWrap w:val="false"/>
          </w:tcPr>
          <w:p>
            <w:pPr>
              <w:pStyle w:val="723"/>
              <w:jc w:val="center"/>
              <w:rPr>
                <w:rFonts w:ascii="Times New Roman" w:hAnsi="Times New Roman" w:eastAsia="宋体"/>
                <w:color w:val="000000" w:themeColor="text1"/>
                <w:sz w:val="24"/>
                <w14:textFill>
                  <w14:solidFill>
                    <w14:schemeClr w14:val="tx1"/>
                  </w14:solidFill>
                </w14:textFill>
              </w:rPr>
            </w:pPr>
            <w:r>
              <w:rPr>
                <w:rFonts w:ascii="Times New Roman" w:hAnsi="Times New Roman" w:eastAsia="宋体"/>
                <w:color w:val="000000" w:themeColor="text1"/>
                <w:sz w:val="24"/>
                <w14:textFill>
                  <w14:solidFill>
                    <w14:schemeClr w14:val="tx1"/>
                  </w14:solidFill>
                </w14:textFill>
              </w:rPr>
            </w:r>
            <w:r/>
          </w:p>
        </w:tc>
        <w:tc>
          <w:tcPr>
            <w:tcW w:w="1804" w:type="dxa"/>
            <w:vAlign w:val="center"/>
            <w:textDirection w:val="lrTb"/>
            <w:noWrap w:val="false"/>
          </w:tcPr>
          <w:p>
            <w:pPr>
              <w:pStyle w:val="723"/>
              <w:jc w:val="center"/>
              <w:rPr>
                <w:rFonts w:ascii="Times New Roman" w:hAnsi="Times New Roman" w:eastAsia="宋体"/>
                <w:color w:val="000000" w:themeColor="text1"/>
                <w:sz w:val="24"/>
                <w14:textFill>
                  <w14:solidFill>
                    <w14:schemeClr w14:val="tx1"/>
                  </w14:solidFill>
                </w14:textFill>
              </w:rPr>
            </w:pPr>
            <w:r>
              <w:rPr>
                <w:rFonts w:ascii="Times New Roman" w:hAnsi="Times New Roman" w:eastAsia="宋体"/>
                <w:color w:val="000000" w:themeColor="text1"/>
                <w:sz w:val="24"/>
                <w14:textFill>
                  <w14:solidFill>
                    <w14:schemeClr w14:val="tx1"/>
                  </w14:solidFill>
                </w14:textFill>
              </w:rPr>
            </w:r>
            <w:r/>
          </w:p>
        </w:tc>
        <w:tc>
          <w:tcPr>
            <w:tcW w:w="1160" w:type="dxa"/>
            <w:vAlign w:val="center"/>
            <w:textDirection w:val="lrTb"/>
            <w:noWrap w:val="false"/>
          </w:tcPr>
          <w:p>
            <w:pPr>
              <w:pStyle w:val="723"/>
              <w:jc w:val="center"/>
              <w:rPr>
                <w:rFonts w:ascii="Times New Roman" w:hAnsi="Times New Roman" w:eastAsia="宋体"/>
                <w:color w:val="000000" w:themeColor="text1"/>
                <w:sz w:val="24"/>
                <w14:textFill>
                  <w14:solidFill>
                    <w14:schemeClr w14:val="tx1"/>
                  </w14:solidFill>
                </w14:textFill>
              </w:rPr>
            </w:pPr>
            <w:r>
              <w:rPr>
                <w:rFonts w:ascii="Times New Roman" w:hAnsi="Times New Roman" w:eastAsia="宋体"/>
                <w:color w:val="000000" w:themeColor="text1"/>
                <w:sz w:val="24"/>
                <w14:textFill>
                  <w14:solidFill>
                    <w14:schemeClr w14:val="tx1"/>
                  </w14:solidFill>
                </w14:textFill>
              </w:rPr>
            </w:r>
            <w:r/>
          </w:p>
        </w:tc>
      </w:tr>
      <w:tr>
        <w:trPr>
          <w:jc w:val="center"/>
          <w:trHeight w:val="935"/>
        </w:trPr>
        <w:tc>
          <w:tcPr>
            <w:tcW w:w="1828" w:type="dxa"/>
            <w:vAlign w:val="center"/>
            <w:textDirection w:val="lrTb"/>
            <w:noWrap w:val="false"/>
          </w:tcPr>
          <w:p>
            <w:pPr>
              <w:pStyle w:val="723"/>
              <w:jc w:val="center"/>
              <w:rPr>
                <w:rFonts w:ascii="Times New Roman" w:hAnsi="Times New Roman" w:eastAsia="宋体"/>
                <w:color w:val="000000" w:themeColor="text1"/>
                <w:sz w:val="24"/>
                <w14:textFill>
                  <w14:solidFill>
                    <w14:schemeClr w14:val="tx1"/>
                  </w14:solidFill>
                </w14:textFill>
              </w:rPr>
            </w:pPr>
            <w:r>
              <w:rPr>
                <w:rFonts w:hint="eastAsia" w:ascii="Times New Roman" w:hAnsi="Times New Roman" w:eastAsia="宋体" w:cs="宋体"/>
                <w:color w:val="000000" w:themeColor="text1"/>
                <w:sz w:val="24"/>
                <w14:textFill>
                  <w14:solidFill>
                    <w14:schemeClr w14:val="tx1"/>
                  </w14:solidFill>
                </w14:textFill>
              </w:rPr>
              <w:t xml:space="preserve">…</w:t>
            </w:r>
            <w:r/>
          </w:p>
        </w:tc>
        <w:tc>
          <w:tcPr>
            <w:tcW w:w="1860" w:type="dxa"/>
            <w:vAlign w:val="center"/>
            <w:textDirection w:val="lrTb"/>
            <w:noWrap w:val="false"/>
          </w:tcPr>
          <w:p>
            <w:pPr>
              <w:pStyle w:val="723"/>
              <w:jc w:val="center"/>
              <w:rPr>
                <w:rFonts w:ascii="Times New Roman" w:hAnsi="Times New Roman" w:eastAsia="宋体"/>
                <w:color w:val="000000" w:themeColor="text1"/>
                <w:sz w:val="24"/>
                <w14:textFill>
                  <w14:solidFill>
                    <w14:schemeClr w14:val="tx1"/>
                  </w14:solidFill>
                </w14:textFill>
              </w:rPr>
            </w:pPr>
            <w:r>
              <w:rPr>
                <w:rFonts w:ascii="Times New Roman" w:hAnsi="Times New Roman" w:eastAsia="宋体"/>
                <w:color w:val="000000" w:themeColor="text1"/>
                <w:sz w:val="24"/>
                <w14:textFill>
                  <w14:solidFill>
                    <w14:schemeClr w14:val="tx1"/>
                  </w14:solidFill>
                </w14:textFill>
              </w:rPr>
            </w:r>
            <w:r/>
          </w:p>
        </w:tc>
        <w:tc>
          <w:tcPr>
            <w:tcW w:w="1437" w:type="dxa"/>
            <w:vAlign w:val="center"/>
            <w:textDirection w:val="lrTb"/>
            <w:noWrap w:val="false"/>
          </w:tcPr>
          <w:p>
            <w:pPr>
              <w:pStyle w:val="723"/>
              <w:jc w:val="center"/>
              <w:rPr>
                <w:rFonts w:ascii="Times New Roman" w:hAnsi="Times New Roman" w:eastAsia="宋体"/>
                <w:color w:val="000000" w:themeColor="text1"/>
                <w:sz w:val="24"/>
                <w14:textFill>
                  <w14:solidFill>
                    <w14:schemeClr w14:val="tx1"/>
                  </w14:solidFill>
                </w14:textFill>
              </w:rPr>
            </w:pPr>
            <w:r>
              <w:rPr>
                <w:rFonts w:ascii="Times New Roman" w:hAnsi="Times New Roman" w:eastAsia="宋体"/>
                <w:color w:val="000000" w:themeColor="text1"/>
                <w:sz w:val="24"/>
                <w14:textFill>
                  <w14:solidFill>
                    <w14:schemeClr w14:val="tx1"/>
                  </w14:solidFill>
                </w14:textFill>
              </w:rPr>
            </w:r>
            <w:r/>
          </w:p>
        </w:tc>
        <w:tc>
          <w:tcPr>
            <w:tcW w:w="1687" w:type="dxa"/>
            <w:vAlign w:val="center"/>
            <w:textDirection w:val="lrTb"/>
            <w:noWrap w:val="false"/>
          </w:tcPr>
          <w:p>
            <w:pPr>
              <w:pStyle w:val="723"/>
              <w:jc w:val="center"/>
              <w:rPr>
                <w:rFonts w:ascii="Times New Roman" w:hAnsi="Times New Roman" w:eastAsia="宋体"/>
                <w:color w:val="000000" w:themeColor="text1"/>
                <w:sz w:val="24"/>
                <w14:textFill>
                  <w14:solidFill>
                    <w14:schemeClr w14:val="tx1"/>
                  </w14:solidFill>
                </w14:textFill>
              </w:rPr>
            </w:pPr>
            <w:r>
              <w:rPr>
                <w:rFonts w:ascii="Times New Roman" w:hAnsi="Times New Roman" w:eastAsia="宋体"/>
                <w:color w:val="000000" w:themeColor="text1"/>
                <w:sz w:val="24"/>
                <w14:textFill>
                  <w14:solidFill>
                    <w14:schemeClr w14:val="tx1"/>
                  </w14:solidFill>
                </w14:textFill>
              </w:rPr>
            </w:r>
            <w:r/>
          </w:p>
        </w:tc>
        <w:tc>
          <w:tcPr>
            <w:tcW w:w="1804" w:type="dxa"/>
            <w:vAlign w:val="center"/>
            <w:textDirection w:val="lrTb"/>
            <w:noWrap w:val="false"/>
          </w:tcPr>
          <w:p>
            <w:pPr>
              <w:pStyle w:val="723"/>
              <w:jc w:val="center"/>
              <w:rPr>
                <w:rFonts w:ascii="Times New Roman" w:hAnsi="Times New Roman" w:eastAsia="宋体"/>
                <w:color w:val="000000" w:themeColor="text1"/>
                <w:sz w:val="24"/>
                <w14:textFill>
                  <w14:solidFill>
                    <w14:schemeClr w14:val="tx1"/>
                  </w14:solidFill>
                </w14:textFill>
              </w:rPr>
            </w:pPr>
            <w:r>
              <w:rPr>
                <w:rFonts w:ascii="Times New Roman" w:hAnsi="Times New Roman" w:eastAsia="宋体"/>
                <w:color w:val="000000" w:themeColor="text1"/>
                <w:sz w:val="24"/>
                <w14:textFill>
                  <w14:solidFill>
                    <w14:schemeClr w14:val="tx1"/>
                  </w14:solidFill>
                </w14:textFill>
              </w:rPr>
            </w:r>
            <w:r/>
          </w:p>
        </w:tc>
        <w:tc>
          <w:tcPr>
            <w:tcW w:w="1160" w:type="dxa"/>
            <w:vAlign w:val="center"/>
            <w:textDirection w:val="lrTb"/>
            <w:noWrap w:val="false"/>
          </w:tcPr>
          <w:p>
            <w:pPr>
              <w:pStyle w:val="723"/>
              <w:jc w:val="center"/>
              <w:rPr>
                <w:rFonts w:ascii="Times New Roman" w:hAnsi="Times New Roman" w:eastAsia="宋体"/>
                <w:color w:val="000000" w:themeColor="text1"/>
                <w:sz w:val="24"/>
                <w14:textFill>
                  <w14:solidFill>
                    <w14:schemeClr w14:val="tx1"/>
                  </w14:solidFill>
                </w14:textFill>
              </w:rPr>
            </w:pPr>
            <w:r>
              <w:rPr>
                <w:rFonts w:ascii="Times New Roman" w:hAnsi="Times New Roman" w:eastAsia="宋体"/>
                <w:color w:val="000000" w:themeColor="text1"/>
                <w:sz w:val="24"/>
                <w14:textFill>
                  <w14:solidFill>
                    <w14:schemeClr w14:val="tx1"/>
                  </w14:solidFill>
                </w14:textFill>
              </w:rPr>
            </w:r>
            <w:r/>
          </w:p>
        </w:tc>
      </w:tr>
    </w:tbl>
    <w:p>
      <w:pPr>
        <w:spacing w:line="44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注：1、上述业绩应为投标人</w:t>
      </w:r>
      <w:r>
        <w:rPr>
          <w:rFonts w:hint="eastAsia" w:ascii="宋体" w:hAnsi="宋体"/>
          <w:color w:val="000000" w:themeColor="text1"/>
          <w:sz w:val="24"/>
          <w:szCs w:val="24"/>
          <w:lang w:val="en-US" w:eastAsia="zh-CN"/>
          <w14:textFill>
            <w14:solidFill>
              <w14:schemeClr w14:val="tx1"/>
            </w14:solidFill>
          </w14:textFill>
        </w:rPr>
        <w:t xml:space="preserve">自</w:t>
      </w:r>
      <w:r>
        <w:rPr>
          <w:rFonts w:hint="eastAsia" w:ascii="宋体" w:hAnsi="宋体"/>
          <w:color w:val="000000" w:themeColor="text1"/>
          <w:sz w:val="24"/>
          <w:szCs w:val="24"/>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022</w:t>
      </w:r>
      <w:r>
        <w:rPr>
          <w:rFonts w:hint="eastAsia" w:ascii="宋体" w:hAnsi="宋体"/>
          <w:color w:val="000000" w:themeColor="text1"/>
          <w:sz w:val="24"/>
          <w:szCs w:val="24"/>
          <w14:textFill>
            <w14:solidFill>
              <w14:schemeClr w14:val="tx1"/>
            </w14:solidFill>
          </w14:textFill>
        </w:rPr>
        <w:t xml:space="preserve">年1月1日（以合同签订时间为准）至今实施的</w:t>
      </w:r>
      <w:r>
        <w:rPr>
          <w:rFonts w:hint="eastAsia" w:ascii="宋体" w:hAnsi="宋体"/>
          <w:color w:val="000000" w:themeColor="text1"/>
          <w:sz w:val="24"/>
          <w:szCs w:val="24"/>
          <w:lang w:val="en-US" w:eastAsia="zh-CN"/>
          <w14:textFill>
            <w14:solidFill>
              <w14:schemeClr w14:val="tx1"/>
            </w14:solidFill>
          </w14:textFill>
        </w:rPr>
        <w:t xml:space="preserve">年度</w:t>
      </w:r>
      <w:r>
        <w:rPr>
          <w:rFonts w:hint="eastAsia" w:ascii="宋体" w:hAnsi="宋体"/>
          <w:color w:val="000000" w:themeColor="text1"/>
          <w:sz w:val="24"/>
          <w:szCs w:val="24"/>
          <w14:textFill>
            <w14:solidFill>
              <w14:schemeClr w14:val="tx1"/>
            </w14:solidFill>
          </w14:textFill>
        </w:rPr>
        <w:t xml:space="preserve">绿化养护服务项目业绩。</w:t>
      </w:r>
      <w:r/>
    </w:p>
    <w:p>
      <w:pPr>
        <w:ind w:firstLine="480"/>
        <w:spacing w:line="44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、请投标人提供上述表格中主要业绩的合同（合同首页、</w:t>
      </w:r>
      <w:r>
        <w:rPr>
          <w:rFonts w:hint="eastAsia" w:ascii="宋体" w:hAnsi="宋体"/>
          <w:color w:val="000000" w:themeColor="text1"/>
          <w:sz w:val="24"/>
          <w:szCs w:val="24"/>
          <w:lang w:val="en-US" w:eastAsia="zh-CN"/>
          <w14:textFill>
            <w14:solidFill>
              <w14:schemeClr w14:val="tx1"/>
            </w14:solidFill>
          </w14:textFill>
        </w:rPr>
        <w:t xml:space="preserve">合同内容</w:t>
      </w:r>
      <w:r>
        <w:rPr>
          <w:rFonts w:hint="eastAsia" w:ascii="宋体" w:hAnsi="宋体"/>
          <w:color w:val="000000" w:themeColor="text1"/>
          <w:sz w:val="24"/>
          <w:szCs w:val="24"/>
          <w14:textFill>
            <w14:solidFill>
              <w14:schemeClr w14:val="tx1"/>
            </w14:solidFill>
          </w14:textFill>
        </w:rPr>
        <w:t xml:space="preserve">、签字盖章页）等证明材料。</w:t>
      </w:r>
      <w:r/>
    </w:p>
    <w:p>
      <w:pPr>
        <w:numPr>
          <w:ilvl w:val="0"/>
          <w:numId w:val="0"/>
        </w:numPr>
        <w:ind w:firstLine="48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lang w:val="en-US" w:eastAsia="zh-CN" w:bidi="ar-SA"/>
          <w14:textFill>
            <w14:solidFill>
              <w14:schemeClr w14:val="tx1"/>
            </w14:solidFill>
          </w14:textFill>
        </w:rPr>
        <w:t xml:space="preserve">3、</w:t>
      </w:r>
      <w:r>
        <w:rPr>
          <w:rFonts w:hint="eastAsia" w:ascii="宋体" w:hAnsi="宋体"/>
          <w:color w:val="000000" w:themeColor="text1"/>
          <w:sz w:val="24"/>
          <w:szCs w:val="24"/>
          <w:lang w:val="en-US" w:eastAsia="zh-CN"/>
          <w14:textFill>
            <w14:solidFill>
              <w14:schemeClr w14:val="tx1"/>
            </w14:solidFill>
          </w14:textFill>
        </w:rPr>
        <w:t xml:space="preserve">业绩反馈证明材料（格式自拟）。</w:t>
      </w:r>
      <w:r/>
    </w:p>
    <w:p>
      <w:pPr>
        <w:ind w:firstLine="480"/>
        <w:spacing w:line="44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 xml:space="preserve">4</w:t>
      </w:r>
      <w:r>
        <w:rPr>
          <w:rFonts w:hint="eastAsia" w:ascii="宋体" w:hAnsi="宋体"/>
          <w:color w:val="000000" w:themeColor="text1"/>
          <w:sz w:val="24"/>
          <w:szCs w:val="24"/>
          <w14:textFill>
            <w14:solidFill>
              <w14:schemeClr w14:val="tx1"/>
            </w14:solidFill>
          </w14:textFill>
        </w:rPr>
        <w:t xml:space="preserve">、如有需要说明的事项，请在备注中列明。</w:t>
      </w:r>
      <w:r/>
    </w:p>
    <w:p>
      <w:pPr>
        <w:ind w:firstLine="482"/>
        <w:jc w:val="left"/>
        <w:spacing w:line="44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 xml:space="preserve">5</w:t>
      </w:r>
      <w:r>
        <w:rPr>
          <w:rFonts w:hint="eastAsia" w:ascii="宋体" w:hAnsi="宋体"/>
          <w:color w:val="000000" w:themeColor="text1"/>
          <w:sz w:val="24"/>
          <w:szCs w:val="24"/>
          <w14:textFill>
            <w14:solidFill>
              <w14:schemeClr w14:val="tx1"/>
            </w14:solidFill>
          </w14:textFill>
        </w:rPr>
        <w:t xml:space="preserve">、我方在此声明，我方所提供的以上资料均真实和准确；我方保证上述信息的真实和准确，并愿意承担因我方就此弄虚作假所引起的一切法律后果。</w:t>
      </w:r>
      <w:r/>
    </w:p>
    <w:p>
      <w:pPr>
        <w:ind w:firstLine="482"/>
        <w:jc w:val="center"/>
        <w:spacing w:line="440" w:lineRule="exact"/>
        <w:rPr>
          <w:rFonts w:ascii="Times New Roman" w:hAnsi="Times New Roman"/>
          <w:b/>
          <w:bCs/>
          <w:color w:val="000000" w:themeColor="text1"/>
          <w:sz w:val="28"/>
          <w:szCs w:val="28"/>
          <w14:textFill>
            <w14:solidFill>
              <w14:schemeClr w14:val="tx1"/>
            </w14:solidFill>
          </w14:textFill>
        </w:rPr>
        <w:outlineLvl w:val="1"/>
      </w:pPr>
      <w:r>
        <w:rPr>
          <w:rFonts w:hint="eastAsia" w:ascii="宋体" w:hAnsi="宋体"/>
          <w:b/>
          <w:color w:val="000000" w:themeColor="text1"/>
          <w:sz w:val="24"/>
          <w:szCs w:val="24"/>
          <w14:textFill>
            <w14:solidFill>
              <w14:schemeClr w14:val="tx1"/>
            </w14:solidFill>
          </w14:textFill>
        </w:rPr>
        <w:br w:type="page" w:clear="all"/>
      </w:r>
      <w:bookmarkStart w:id="238" w:name="_Toc29349"/>
      <w:r/>
      <w:bookmarkStart w:id="239" w:name="_Toc19695"/>
      <w:r>
        <w:rPr>
          <w:rFonts w:hint="eastAsia" w:ascii="Times New Roman" w:hAnsi="Times New Roman"/>
          <w:b/>
          <w:bCs/>
          <w:color w:val="000000" w:themeColor="text1"/>
          <w:sz w:val="28"/>
          <w:szCs w:val="28"/>
          <w14:textFill>
            <w14:solidFill>
              <w14:schemeClr w14:val="tx1"/>
            </w14:solidFill>
          </w14:textFill>
        </w:rPr>
        <w:t xml:space="preserve">附件9 商务要求响应及偏离表</w:t>
      </w:r>
      <w:bookmarkEnd w:id="238"/>
      <w:r/>
      <w:bookmarkEnd w:id="239"/>
      <w:r/>
      <w:r/>
    </w:p>
    <w:tbl>
      <w:tblPr>
        <w:tblStyle w:val="717"/>
        <w:tblW w:w="945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80"/>
        <w:gridCol w:w="2497"/>
        <w:gridCol w:w="3278"/>
      </w:tblGrid>
      <w:tr>
        <w:trPr>
          <w:jc w:val="center"/>
          <w:trHeight w:val="514"/>
        </w:trPr>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rPr>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合同条款</w:t>
            </w:r>
            <w:r/>
          </w:p>
        </w:tc>
        <w:tc>
          <w:tcPr>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jc w:val="center"/>
              <w:rPr>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有无偏离</w:t>
            </w:r>
            <w:r/>
          </w:p>
        </w:tc>
        <w:tc>
          <w:tcPr>
            <w:tcBorders>
              <w:top w:val="single" w:color="000000" w:sz="4" w:space="0"/>
              <w:left w:val="single" w:color="000000" w:sz="4" w:space="0"/>
              <w:bottom w:val="single" w:color="000000" w:sz="4" w:space="0"/>
              <w:right w:val="single" w:color="000000" w:sz="4" w:space="0"/>
            </w:tcBorders>
            <w:tcW w:w="3278" w:type="dxa"/>
            <w:vAlign w:val="center"/>
            <w:textDirection w:val="lrTb"/>
            <w:noWrap w:val="false"/>
          </w:tcPr>
          <w:p>
            <w:pPr>
              <w:jc w:val="center"/>
              <w:rPr>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偏离内容及原因</w:t>
            </w:r>
            <w:r/>
          </w:p>
        </w:tc>
      </w:tr>
      <w:tr>
        <w:trPr>
          <w:jc w:val="center"/>
          <w:trHeight w:val="503"/>
        </w:trPr>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ind w:right="-27"/>
              <w:jc w:val="left"/>
              <w:spacing w:line="440" w:lineRule="exact"/>
              <w:tabs>
                <w:tab w:val="left" w:pos="0" w:leader="none"/>
              </w:tabs>
              <w:rPr>
                <w:b w:val="0"/>
                <w:bCs w:val="0"/>
                <w:color w:val="000000" w:themeColor="text1"/>
                <w:sz w:val="24"/>
                <w:szCs w:val="24"/>
                <w14:textFill>
                  <w14:solidFill>
                    <w14:schemeClr w14:val="tx1"/>
                  </w14:solidFill>
                </w14:textFill>
              </w:rPr>
            </w:pPr>
            <w:r>
              <w:rPr>
                <w:rFonts w:hint="eastAsia" w:ascii="宋体" w:hAnsi="宋体" w:cs="宋体"/>
                <w:b w:val="0"/>
                <w:bCs w:val="0"/>
                <w:color w:val="000000" w:themeColor="text1"/>
                <w:sz w:val="24"/>
                <w:szCs w:val="24"/>
                <w14:textFill>
                  <w14:solidFill>
                    <w14:schemeClr w14:val="tx1"/>
                  </w14:solidFill>
                </w14:textFill>
              </w:rPr>
              <w:t xml:space="preserve">第一条 定义</w:t>
            </w:r>
            <w:r/>
          </w:p>
        </w:tc>
        <w:tc>
          <w:tcPr>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78" w:type="dxa"/>
            <w:vAlign w:val="center"/>
            <w:textDirection w:val="lrTb"/>
            <w:noWrap w:val="false"/>
          </w:tcPr>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r>
      <w:tr>
        <w:trPr>
          <w:jc w:val="center"/>
          <w:trHeight w:val="503"/>
        </w:trPr>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ind w:right="-27"/>
              <w:jc w:val="left"/>
              <w:spacing w:line="440" w:lineRule="exact"/>
              <w:tabs>
                <w:tab w:val="left" w:pos="0" w:leader="none"/>
              </w:tabs>
              <w:rPr>
                <w:b w:val="0"/>
                <w:bCs w:val="0"/>
                <w:color w:val="000000" w:themeColor="text1"/>
                <w:sz w:val="24"/>
                <w:szCs w:val="24"/>
                <w14:textFill>
                  <w14:solidFill>
                    <w14:schemeClr w14:val="tx1"/>
                  </w14:solidFill>
                </w14:textFill>
              </w:rPr>
            </w:pPr>
            <w:r>
              <w:rPr>
                <w:rFonts w:hint="eastAsia" w:ascii="宋体" w:hAnsi="宋体" w:cs="宋体"/>
                <w:b w:val="0"/>
                <w:bCs w:val="0"/>
                <w:color w:val="000000" w:themeColor="text1"/>
                <w:sz w:val="24"/>
                <w:szCs w:val="24"/>
                <w14:textFill>
                  <w14:solidFill>
                    <w14:schemeClr w14:val="tx1"/>
                  </w14:solidFill>
                </w14:textFill>
              </w:rPr>
              <w:t xml:space="preserve">第二条 组成本合同的文件</w:t>
            </w:r>
            <w:r/>
          </w:p>
        </w:tc>
        <w:tc>
          <w:tcPr>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78" w:type="dxa"/>
            <w:vAlign w:val="center"/>
            <w:textDirection w:val="lrTb"/>
            <w:noWrap w:val="false"/>
          </w:tcPr>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r>
      <w:tr>
        <w:trPr>
          <w:jc w:val="center"/>
          <w:trHeight w:val="503"/>
        </w:trPr>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ind w:right="-27"/>
              <w:jc w:val="left"/>
              <w:spacing w:line="440" w:lineRule="exact"/>
              <w:tabs>
                <w:tab w:val="left" w:pos="0" w:leader="none"/>
              </w:tabs>
              <w:rPr>
                <w:b w:val="0"/>
                <w:bCs w:val="0"/>
                <w:color w:val="000000" w:themeColor="text1"/>
                <w:sz w:val="24"/>
                <w:szCs w:val="24"/>
                <w14:textFill>
                  <w14:solidFill>
                    <w14:schemeClr w14:val="tx1"/>
                  </w14:solidFill>
                </w14:textFill>
              </w:rPr>
            </w:pPr>
            <w:r>
              <w:rPr>
                <w:rFonts w:hint="eastAsia" w:ascii="宋体" w:hAnsi="宋体" w:cs="宋体"/>
                <w:b w:val="0"/>
                <w:bCs w:val="0"/>
                <w:color w:val="000000" w:themeColor="text1"/>
                <w:sz w:val="24"/>
                <w:szCs w:val="24"/>
                <w14:textFill>
                  <w14:solidFill>
                    <w14:schemeClr w14:val="tx1"/>
                  </w14:solidFill>
                </w14:textFill>
              </w:rPr>
              <w:t xml:space="preserve">第三条 合同内容</w:t>
            </w:r>
            <w:r/>
          </w:p>
        </w:tc>
        <w:tc>
          <w:tcPr>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78" w:type="dxa"/>
            <w:vAlign w:val="center"/>
            <w:textDirection w:val="lrTb"/>
            <w:noWrap w:val="false"/>
          </w:tcPr>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r>
      <w:tr>
        <w:trPr>
          <w:jc w:val="center"/>
          <w:trHeight w:val="503"/>
        </w:trPr>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ind w:right="-27"/>
              <w:jc w:val="left"/>
              <w:spacing w:line="440" w:lineRule="exact"/>
              <w:tabs>
                <w:tab w:val="left" w:pos="0" w:leader="none"/>
              </w:tabs>
              <w:rPr>
                <w:rFonts w:ascii="宋体" w:hAnsi="宋体"/>
                <w:b w:val="0"/>
                <w:bCs w:val="0"/>
                <w:color w:val="000000" w:themeColor="text1"/>
                <w:sz w:val="24"/>
                <w:szCs w:val="24"/>
                <w14:textFill>
                  <w14:solidFill>
                    <w14:schemeClr w14:val="tx1"/>
                  </w14:solidFill>
                </w14:textFill>
              </w:rPr>
            </w:pPr>
            <w:r>
              <w:rPr>
                <w:rFonts w:hint="eastAsia" w:ascii="宋体" w:hAnsi="宋体" w:cs="宋体"/>
                <w:b w:val="0"/>
                <w:bCs w:val="0"/>
                <w:color w:val="000000" w:themeColor="text1"/>
                <w:sz w:val="24"/>
                <w:szCs w:val="24"/>
                <w14:textFill>
                  <w14:solidFill>
                    <w14:schemeClr w14:val="tx1"/>
                  </w14:solidFill>
                </w14:textFill>
              </w:rPr>
              <w:t xml:space="preserve">第四条 合同价款</w:t>
            </w:r>
            <w:r/>
          </w:p>
        </w:tc>
        <w:tc>
          <w:tcPr>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78" w:type="dxa"/>
            <w:vAlign w:val="center"/>
            <w:textDirection w:val="lrTb"/>
            <w:noWrap w:val="false"/>
          </w:tcPr>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r>
      <w:tr>
        <w:trPr>
          <w:jc w:val="center"/>
          <w:trHeight w:val="503"/>
        </w:trPr>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ind w:right="-27"/>
              <w:jc w:val="left"/>
              <w:spacing w:line="460" w:lineRule="exact"/>
              <w:tabs>
                <w:tab w:val="left" w:pos="0" w:leader="none"/>
              </w:tabs>
              <w:rPr>
                <w:b w:val="0"/>
                <w:bCs w:val="0"/>
                <w:color w:val="000000" w:themeColor="text1"/>
                <w:sz w:val="24"/>
                <w:szCs w:val="24"/>
                <w14:textFill>
                  <w14:solidFill>
                    <w14:schemeClr w14:val="tx1"/>
                  </w14:solidFill>
                </w14:textFill>
              </w:rPr>
            </w:pPr>
            <w:r>
              <w:rPr>
                <w:rFonts w:hint="eastAsia" w:ascii="宋体" w:hAnsi="宋体" w:cs="宋体"/>
                <w:b w:val="0"/>
                <w:bCs w:val="0"/>
                <w:color w:val="000000" w:themeColor="text1"/>
                <w:sz w:val="24"/>
                <w:szCs w:val="24"/>
                <w14:textFill>
                  <w14:solidFill>
                    <w14:schemeClr w14:val="tx1"/>
                  </w14:solidFill>
                </w14:textFill>
              </w:rPr>
              <w:t xml:space="preserve">第五条 付款方式 </w:t>
            </w:r>
            <w:r/>
          </w:p>
        </w:tc>
        <w:tc>
          <w:tcPr>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78" w:type="dxa"/>
            <w:vAlign w:val="center"/>
            <w:textDirection w:val="lrTb"/>
            <w:noWrap w:val="false"/>
          </w:tcPr>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r>
      <w:tr>
        <w:trPr>
          <w:jc w:val="center"/>
          <w:trHeight w:val="503"/>
        </w:trPr>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left"/>
              <w:spacing w:line="440" w:lineRule="exact"/>
              <w:rPr>
                <w:b w:val="0"/>
                <w:bCs w:val="0"/>
                <w:color w:val="000000" w:themeColor="text1"/>
                <w:sz w:val="24"/>
                <w:szCs w:val="24"/>
                <w14:textFill>
                  <w14:solidFill>
                    <w14:schemeClr w14:val="tx1"/>
                  </w14:solidFill>
                </w14:textFill>
              </w:rPr>
            </w:pPr>
            <w:r>
              <w:rPr>
                <w:rFonts w:ascii="宋体" w:hAnsi="宋体"/>
                <w:b w:val="0"/>
                <w:bCs w:val="0"/>
                <w:color w:val="000000"/>
                <w:sz w:val="24"/>
                <w:szCs w:val="24"/>
                <w:highlight w:val="none"/>
              </w:rPr>
              <w:t xml:space="preserve">第</w:t>
            </w:r>
            <w:r>
              <w:rPr>
                <w:rFonts w:hint="eastAsia" w:ascii="宋体" w:hAnsi="宋体"/>
                <w:b w:val="0"/>
                <w:bCs w:val="0"/>
                <w:color w:val="000000"/>
                <w:sz w:val="24"/>
                <w:szCs w:val="24"/>
                <w:highlight w:val="none"/>
              </w:rPr>
              <w:t xml:space="preserve">六</w:t>
            </w:r>
            <w:r>
              <w:rPr>
                <w:rFonts w:ascii="宋体" w:hAnsi="宋体"/>
                <w:b w:val="0"/>
                <w:bCs w:val="0"/>
                <w:color w:val="000000"/>
                <w:sz w:val="24"/>
                <w:szCs w:val="24"/>
                <w:highlight w:val="none"/>
              </w:rPr>
              <w:t xml:space="preserve">条</w:t>
            </w:r>
            <w:r>
              <w:rPr>
                <w:b w:val="0"/>
                <w:bCs w:val="0"/>
                <w:color w:val="000000"/>
                <w:sz w:val="24"/>
                <w:szCs w:val="24"/>
                <w:highlight w:val="none"/>
              </w:rPr>
              <w:t xml:space="preserve">  </w:t>
            </w:r>
            <w:r>
              <w:rPr>
                <w:rFonts w:hint="eastAsia" w:ascii="宋体" w:hAnsi="宋体"/>
                <w:b w:val="0"/>
                <w:bCs w:val="0"/>
                <w:color w:val="000000"/>
                <w:sz w:val="24"/>
                <w:szCs w:val="24"/>
                <w:highlight w:val="none"/>
              </w:rPr>
              <w:t xml:space="preserve">考核办法</w:t>
            </w:r>
            <w:r/>
          </w:p>
        </w:tc>
        <w:tc>
          <w:tcPr>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78" w:type="dxa"/>
            <w:vAlign w:val="center"/>
            <w:textDirection w:val="lrTb"/>
            <w:noWrap w:val="false"/>
          </w:tcPr>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r>
      <w:tr>
        <w:trPr>
          <w:jc w:val="center"/>
          <w:trHeight w:val="503"/>
        </w:trPr>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left"/>
              <w:rPr>
                <w:b w:val="0"/>
                <w:bCs w:val="0"/>
                <w:color w:val="000000" w:themeColor="text1"/>
                <w:sz w:val="24"/>
                <w:szCs w:val="24"/>
                <w14:textFill>
                  <w14:solidFill>
                    <w14:schemeClr w14:val="tx1"/>
                  </w14:solidFill>
                </w14:textFill>
              </w:rPr>
            </w:pPr>
            <w:r>
              <w:rPr>
                <w:rFonts w:hint="eastAsia" w:ascii="宋体" w:hAnsi="宋体" w:cs="宋体"/>
                <w:b w:val="0"/>
                <w:bCs w:val="0"/>
                <w:color w:val="000000" w:themeColor="text1"/>
                <w:sz w:val="24"/>
                <w:szCs w:val="24"/>
                <w14:textFill>
                  <w14:solidFill>
                    <w14:schemeClr w14:val="tx1"/>
                  </w14:solidFill>
                </w14:textFill>
              </w:rPr>
              <w:t xml:space="preserve">第七条 验收办法</w:t>
            </w:r>
            <w:r/>
          </w:p>
        </w:tc>
        <w:tc>
          <w:tcPr>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78" w:type="dxa"/>
            <w:vAlign w:val="center"/>
            <w:textDirection w:val="lrTb"/>
            <w:noWrap w:val="false"/>
          </w:tcPr>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r>
      <w:tr>
        <w:trPr>
          <w:jc w:val="center"/>
          <w:trHeight w:val="503"/>
        </w:trPr>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ind w:right="-27"/>
              <w:jc w:val="left"/>
              <w:spacing w:line="440" w:lineRule="exact"/>
              <w:tabs>
                <w:tab w:val="left" w:pos="0" w:leader="none"/>
              </w:tabs>
              <w:rPr>
                <w:b w:val="0"/>
                <w:bCs w:val="0"/>
                <w:color w:val="000000" w:themeColor="text1"/>
                <w:sz w:val="24"/>
                <w:szCs w:val="24"/>
                <w14:textFill>
                  <w14:solidFill>
                    <w14:schemeClr w14:val="tx1"/>
                  </w14:solidFill>
                </w14:textFill>
              </w:rPr>
            </w:pPr>
            <w:r>
              <w:rPr>
                <w:rFonts w:hint="eastAsia" w:ascii="宋体" w:hAnsi="宋体" w:cs="宋体"/>
                <w:b w:val="0"/>
                <w:bCs w:val="0"/>
                <w:color w:val="000000" w:themeColor="text1"/>
                <w:sz w:val="24"/>
                <w:szCs w:val="24"/>
                <w14:textFill>
                  <w14:solidFill>
                    <w14:schemeClr w14:val="tx1"/>
                  </w14:solidFill>
                </w14:textFill>
              </w:rPr>
              <w:t xml:space="preserve">第八条</w:t>
            </w:r>
            <w:r>
              <w:rPr>
                <w:rFonts w:ascii="宋体" w:hAnsi="宋体" w:cs="宋体"/>
                <w:b w:val="0"/>
                <w:bCs w:val="0"/>
                <w:color w:val="000000" w:themeColor="text1"/>
                <w:sz w:val="24"/>
                <w:szCs w:val="24"/>
                <w14:textFill>
                  <w14:solidFill>
                    <w14:schemeClr w14:val="tx1"/>
                  </w14:solidFill>
                </w14:textFill>
              </w:rPr>
              <w:t xml:space="preserve">  </w:t>
            </w:r>
            <w:r>
              <w:rPr>
                <w:rFonts w:hint="eastAsia" w:ascii="宋体" w:hAnsi="宋体" w:cs="宋体"/>
                <w:b w:val="0"/>
                <w:bCs w:val="0"/>
                <w:color w:val="000000" w:themeColor="text1"/>
                <w:sz w:val="24"/>
                <w:szCs w:val="24"/>
                <w14:textFill>
                  <w14:solidFill>
                    <w14:schemeClr w14:val="tx1"/>
                  </w14:solidFill>
                </w14:textFill>
              </w:rPr>
              <w:t xml:space="preserve">双方的其他权利义务</w:t>
            </w:r>
            <w:r/>
          </w:p>
        </w:tc>
        <w:tc>
          <w:tcPr>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78" w:type="dxa"/>
            <w:vAlign w:val="center"/>
            <w:textDirection w:val="lrTb"/>
            <w:noWrap w:val="false"/>
          </w:tcPr>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r>
      <w:tr>
        <w:trPr>
          <w:jc w:val="center"/>
          <w:trHeight w:val="503"/>
        </w:trPr>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ind w:right="-27"/>
              <w:jc w:val="left"/>
              <w:spacing w:line="440" w:lineRule="exact"/>
              <w:tabs>
                <w:tab w:val="left" w:pos="0" w:leader="none"/>
              </w:tabs>
              <w:rPr>
                <w:b w:val="0"/>
                <w:bCs w:val="0"/>
                <w:color w:val="000000" w:themeColor="text1"/>
                <w:sz w:val="24"/>
                <w:szCs w:val="24"/>
                <w14:textFill>
                  <w14:solidFill>
                    <w14:schemeClr w14:val="tx1"/>
                  </w14:solidFill>
                </w14:textFill>
              </w:rPr>
            </w:pPr>
            <w:r>
              <w:rPr>
                <w:rFonts w:hint="eastAsia" w:ascii="宋体" w:hAnsi="宋体" w:cs="宋体"/>
                <w:b w:val="0"/>
                <w:bCs w:val="0"/>
                <w:color w:val="000000" w:themeColor="text1"/>
                <w:sz w:val="24"/>
                <w:szCs w:val="24"/>
                <w14:textFill>
                  <w14:solidFill>
                    <w14:schemeClr w14:val="tx1"/>
                  </w14:solidFill>
                </w14:textFill>
              </w:rPr>
              <w:t xml:space="preserve">第九条 质量保证</w:t>
            </w:r>
            <w:r/>
          </w:p>
        </w:tc>
        <w:tc>
          <w:tcPr>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78" w:type="dxa"/>
            <w:vAlign w:val="center"/>
            <w:textDirection w:val="lrTb"/>
            <w:noWrap w:val="false"/>
          </w:tcPr>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r>
      <w:tr>
        <w:trPr>
          <w:jc w:val="center"/>
          <w:trHeight w:val="503"/>
        </w:trPr>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left"/>
              <w:spacing w:line="440" w:lineRule="exact"/>
              <w:rPr>
                <w:b w:val="0"/>
                <w:bCs w:val="0"/>
                <w:color w:val="000000" w:themeColor="text1"/>
                <w:sz w:val="24"/>
                <w:szCs w:val="24"/>
                <w14:textFill>
                  <w14:solidFill>
                    <w14:schemeClr w14:val="tx1"/>
                  </w14:solidFill>
                </w14:textFill>
              </w:rPr>
            </w:pPr>
            <w:r>
              <w:rPr>
                <w:rFonts w:hint="eastAsia" w:ascii="宋体" w:hAnsi="宋体" w:cs="宋体"/>
                <w:b w:val="0"/>
                <w:bCs w:val="0"/>
                <w:color w:val="000000" w:themeColor="text1"/>
                <w:sz w:val="24"/>
                <w:szCs w:val="24"/>
                <w14:textFill>
                  <w14:solidFill>
                    <w14:schemeClr w14:val="tx1"/>
                  </w14:solidFill>
                </w14:textFill>
              </w:rPr>
              <w:t xml:space="preserve">第</w:t>
            </w:r>
            <w:r>
              <w:rPr>
                <w:rFonts w:hint="eastAsia" w:ascii="宋体" w:hAnsi="宋体" w:cs="宋体"/>
                <w:b w:val="0"/>
                <w:bCs w:val="0"/>
                <w:color w:val="000000" w:themeColor="text1"/>
                <w:sz w:val="24"/>
                <w:szCs w:val="24"/>
                <w:lang w:val="en-US" w:eastAsia="zh-CN"/>
                <w14:textFill>
                  <w14:solidFill>
                    <w14:schemeClr w14:val="tx1"/>
                  </w14:solidFill>
                </w14:textFill>
              </w:rPr>
              <w:t xml:space="preserve">十</w:t>
            </w:r>
            <w:r>
              <w:rPr>
                <w:rFonts w:hint="eastAsia" w:ascii="宋体" w:hAnsi="宋体" w:cs="宋体"/>
                <w:b w:val="0"/>
                <w:bCs w:val="0"/>
                <w:color w:val="000000" w:themeColor="text1"/>
                <w:sz w:val="24"/>
                <w:szCs w:val="24"/>
                <w14:textFill>
                  <w14:solidFill>
                    <w14:schemeClr w14:val="tx1"/>
                  </w14:solidFill>
                </w14:textFill>
              </w:rPr>
              <w:t xml:space="preserve">条</w:t>
            </w:r>
            <w:r>
              <w:rPr>
                <w:rFonts w:hint="eastAsia"/>
                <w:b w:val="0"/>
                <w:bCs w:val="0"/>
                <w:sz w:val="24"/>
                <w:szCs w:val="24"/>
              </w:rPr>
              <w:t xml:space="preserve"> 延迟履行</w:t>
            </w:r>
            <w:r/>
          </w:p>
        </w:tc>
        <w:tc>
          <w:tcPr>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78" w:type="dxa"/>
            <w:vAlign w:val="center"/>
            <w:textDirection w:val="lrTb"/>
            <w:noWrap w:val="false"/>
          </w:tcPr>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r>
      <w:tr>
        <w:trPr>
          <w:jc w:val="center"/>
          <w:trHeight w:val="503"/>
        </w:trPr>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ind w:right="-27"/>
              <w:jc w:val="left"/>
              <w:spacing w:line="440" w:lineRule="exact"/>
              <w:tabs>
                <w:tab w:val="left" w:pos="0" w:leader="none"/>
              </w:tabs>
              <w:rPr>
                <w:b w:val="0"/>
                <w:bCs w:val="0"/>
                <w:color w:val="000000" w:themeColor="text1"/>
                <w:sz w:val="24"/>
                <w:szCs w:val="24"/>
                <w14:textFill>
                  <w14:solidFill>
                    <w14:schemeClr w14:val="tx1"/>
                  </w14:solidFill>
                </w14:textFill>
              </w:rPr>
            </w:pPr>
            <w:r>
              <w:rPr>
                <w:rFonts w:hint="eastAsia" w:ascii="宋体" w:hAnsi="宋体" w:cs="宋体"/>
                <w:b w:val="0"/>
                <w:bCs w:val="0"/>
                <w:color w:val="000000" w:themeColor="text1"/>
                <w:sz w:val="24"/>
                <w:szCs w:val="24"/>
                <w14:textFill>
                  <w14:solidFill>
                    <w14:schemeClr w14:val="tx1"/>
                  </w14:solidFill>
                </w14:textFill>
              </w:rPr>
              <w:t xml:space="preserve">第十</w:t>
            </w:r>
            <w:r>
              <w:rPr>
                <w:rFonts w:hint="eastAsia" w:ascii="宋体" w:hAnsi="宋体" w:cs="宋体"/>
                <w:b w:val="0"/>
                <w:bCs w:val="0"/>
                <w:color w:val="000000" w:themeColor="text1"/>
                <w:sz w:val="24"/>
                <w:szCs w:val="24"/>
                <w:lang w:val="en-US" w:eastAsia="zh-CN"/>
                <w14:textFill>
                  <w14:solidFill>
                    <w14:schemeClr w14:val="tx1"/>
                  </w14:solidFill>
                </w14:textFill>
              </w:rPr>
              <w:t xml:space="preserve">一</w:t>
            </w:r>
            <w:r>
              <w:rPr>
                <w:rFonts w:hint="eastAsia" w:ascii="宋体" w:hAnsi="宋体" w:cs="宋体"/>
                <w:b w:val="0"/>
                <w:bCs w:val="0"/>
                <w:color w:val="000000" w:themeColor="text1"/>
                <w:sz w:val="24"/>
                <w:szCs w:val="24"/>
                <w14:textFill>
                  <w14:solidFill>
                    <w14:schemeClr w14:val="tx1"/>
                  </w14:solidFill>
                </w14:textFill>
              </w:rPr>
              <w:t xml:space="preserve">条 违约责任</w:t>
            </w:r>
            <w:r/>
          </w:p>
        </w:tc>
        <w:tc>
          <w:tcPr>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78" w:type="dxa"/>
            <w:vAlign w:val="center"/>
            <w:textDirection w:val="lrTb"/>
            <w:noWrap w:val="false"/>
          </w:tcPr>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r>
      <w:tr>
        <w:trPr>
          <w:jc w:val="center"/>
          <w:trHeight w:val="503"/>
        </w:trPr>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ind w:right="-27"/>
              <w:jc w:val="left"/>
              <w:spacing w:line="440" w:lineRule="exact"/>
              <w:tabs>
                <w:tab w:val="left" w:pos="0" w:leader="none"/>
              </w:tabs>
              <w:rPr>
                <w:b w:val="0"/>
                <w:bCs w:val="0"/>
                <w:color w:val="000000" w:themeColor="text1"/>
                <w:sz w:val="24"/>
                <w:szCs w:val="24"/>
                <w14:textFill>
                  <w14:solidFill>
                    <w14:schemeClr w14:val="tx1"/>
                  </w14:solidFill>
                </w14:textFill>
              </w:rPr>
            </w:pPr>
            <w:r>
              <w:rPr>
                <w:rFonts w:hint="eastAsia" w:ascii="宋体" w:hAnsi="宋体" w:cs="宋体"/>
                <w:b w:val="0"/>
                <w:bCs w:val="0"/>
                <w:color w:val="000000" w:themeColor="text1"/>
                <w:sz w:val="24"/>
                <w:szCs w:val="24"/>
                <w14:textFill>
                  <w14:solidFill>
                    <w14:schemeClr w14:val="tx1"/>
                  </w14:solidFill>
                </w14:textFill>
              </w:rPr>
              <w:t xml:space="preserve">第十</w:t>
            </w:r>
            <w:r>
              <w:rPr>
                <w:rFonts w:hint="eastAsia" w:ascii="宋体" w:hAnsi="宋体" w:cs="宋体"/>
                <w:b w:val="0"/>
                <w:bCs w:val="0"/>
                <w:color w:val="000000" w:themeColor="text1"/>
                <w:sz w:val="24"/>
                <w:szCs w:val="24"/>
                <w:lang w:val="en-US" w:eastAsia="zh-CN"/>
                <w14:textFill>
                  <w14:solidFill>
                    <w14:schemeClr w14:val="tx1"/>
                  </w14:solidFill>
                </w14:textFill>
              </w:rPr>
              <w:t xml:space="preserve">二</w:t>
            </w:r>
            <w:r>
              <w:rPr>
                <w:rFonts w:hint="eastAsia" w:ascii="宋体" w:hAnsi="宋体" w:cs="宋体"/>
                <w:b w:val="0"/>
                <w:bCs w:val="0"/>
                <w:color w:val="000000" w:themeColor="text1"/>
                <w:sz w:val="24"/>
                <w:szCs w:val="24"/>
                <w14:textFill>
                  <w14:solidFill>
                    <w14:schemeClr w14:val="tx1"/>
                  </w14:solidFill>
                </w14:textFill>
              </w:rPr>
              <w:t xml:space="preserve">条 合同的解除</w:t>
            </w:r>
            <w:r/>
          </w:p>
        </w:tc>
        <w:tc>
          <w:tcPr>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78" w:type="dxa"/>
            <w:vAlign w:val="center"/>
            <w:textDirection w:val="lrTb"/>
            <w:noWrap w:val="false"/>
          </w:tcPr>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r>
      <w:tr>
        <w:trPr>
          <w:jc w:val="center"/>
          <w:trHeight w:val="503"/>
        </w:trPr>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ind w:right="-27"/>
              <w:jc w:val="left"/>
              <w:spacing w:line="440" w:lineRule="exact"/>
              <w:tabs>
                <w:tab w:val="left" w:pos="0" w:leader="none"/>
              </w:tabs>
              <w:rPr>
                <w:b w:val="0"/>
                <w:bCs w:val="0"/>
                <w:color w:val="000000" w:themeColor="text1"/>
                <w:sz w:val="24"/>
                <w:szCs w:val="24"/>
                <w14:textFill>
                  <w14:solidFill>
                    <w14:schemeClr w14:val="tx1"/>
                  </w14:solidFill>
                </w14:textFill>
              </w:rPr>
            </w:pPr>
            <w:r>
              <w:rPr>
                <w:rFonts w:hint="eastAsia" w:ascii="宋体" w:hAnsi="宋体" w:cs="宋体"/>
                <w:b w:val="0"/>
                <w:bCs w:val="0"/>
                <w:color w:val="000000" w:themeColor="text1"/>
                <w:sz w:val="24"/>
                <w:szCs w:val="24"/>
                <w14:textFill>
                  <w14:solidFill>
                    <w14:schemeClr w14:val="tx1"/>
                  </w14:solidFill>
                </w14:textFill>
              </w:rPr>
              <w:t xml:space="preserve">第十</w:t>
            </w:r>
            <w:r>
              <w:rPr>
                <w:rFonts w:hint="eastAsia" w:ascii="宋体" w:hAnsi="宋体" w:cs="宋体"/>
                <w:b w:val="0"/>
                <w:bCs w:val="0"/>
                <w:color w:val="000000" w:themeColor="text1"/>
                <w:sz w:val="24"/>
                <w:szCs w:val="24"/>
                <w:lang w:val="en-US" w:eastAsia="zh-CN"/>
                <w14:textFill>
                  <w14:solidFill>
                    <w14:schemeClr w14:val="tx1"/>
                  </w14:solidFill>
                </w14:textFill>
              </w:rPr>
              <w:t xml:space="preserve">三</w:t>
            </w:r>
            <w:r>
              <w:rPr>
                <w:rFonts w:hint="eastAsia" w:ascii="宋体" w:hAnsi="宋体" w:cs="宋体"/>
                <w:b w:val="0"/>
                <w:bCs w:val="0"/>
                <w:color w:val="000000" w:themeColor="text1"/>
                <w:sz w:val="24"/>
                <w:szCs w:val="24"/>
                <w14:textFill>
                  <w14:solidFill>
                    <w14:schemeClr w14:val="tx1"/>
                  </w14:solidFill>
                </w14:textFill>
              </w:rPr>
              <w:t xml:space="preserve">条 不可抗力</w:t>
            </w:r>
            <w:r/>
          </w:p>
        </w:tc>
        <w:tc>
          <w:tcPr>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78" w:type="dxa"/>
            <w:vAlign w:val="center"/>
            <w:textDirection w:val="lrTb"/>
            <w:noWrap w:val="false"/>
          </w:tcPr>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r>
      <w:tr>
        <w:trPr>
          <w:jc w:val="center"/>
          <w:trHeight w:val="503"/>
        </w:trPr>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ind w:right="-27"/>
              <w:jc w:val="left"/>
              <w:spacing w:line="440" w:lineRule="exact"/>
              <w:tabs>
                <w:tab w:val="left" w:pos="0" w:leader="none"/>
              </w:tabs>
              <w:rPr>
                <w:b w:val="0"/>
                <w:bCs w:val="0"/>
                <w:color w:val="000000" w:themeColor="text1"/>
                <w:sz w:val="24"/>
                <w:szCs w:val="24"/>
                <w14:textFill>
                  <w14:solidFill>
                    <w14:schemeClr w14:val="tx1"/>
                  </w14:solidFill>
                </w14:textFill>
              </w:rPr>
            </w:pPr>
            <w:r>
              <w:rPr>
                <w:rFonts w:hint="eastAsia" w:ascii="宋体" w:hAnsi="宋体" w:cs="宋体"/>
                <w:b w:val="0"/>
                <w:bCs w:val="0"/>
                <w:color w:val="000000" w:themeColor="text1"/>
                <w:sz w:val="24"/>
                <w:szCs w:val="24"/>
                <w14:textFill>
                  <w14:solidFill>
                    <w14:schemeClr w14:val="tx1"/>
                  </w14:solidFill>
                </w14:textFill>
              </w:rPr>
              <w:t xml:space="preserve">第十</w:t>
            </w:r>
            <w:r>
              <w:rPr>
                <w:rFonts w:hint="eastAsia" w:ascii="宋体" w:hAnsi="宋体" w:cs="宋体"/>
                <w:b w:val="0"/>
                <w:bCs w:val="0"/>
                <w:color w:val="000000" w:themeColor="text1"/>
                <w:sz w:val="24"/>
                <w:szCs w:val="24"/>
                <w:lang w:val="en-US" w:eastAsia="zh-CN"/>
                <w14:textFill>
                  <w14:solidFill>
                    <w14:schemeClr w14:val="tx1"/>
                  </w14:solidFill>
                </w14:textFill>
              </w:rPr>
              <w:t xml:space="preserve">四</w:t>
            </w:r>
            <w:r>
              <w:rPr>
                <w:rFonts w:hint="eastAsia" w:ascii="宋体" w:hAnsi="宋体" w:cs="宋体"/>
                <w:b w:val="0"/>
                <w:bCs w:val="0"/>
                <w:color w:val="000000" w:themeColor="text1"/>
                <w:sz w:val="24"/>
                <w:szCs w:val="24"/>
                <w14:textFill>
                  <w14:solidFill>
                    <w14:schemeClr w14:val="tx1"/>
                  </w14:solidFill>
                </w14:textFill>
              </w:rPr>
              <w:t xml:space="preserve">条 合同的变更、中止</w:t>
            </w:r>
            <w:r/>
          </w:p>
        </w:tc>
        <w:tc>
          <w:tcPr>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78" w:type="dxa"/>
            <w:vAlign w:val="center"/>
            <w:textDirection w:val="lrTb"/>
            <w:noWrap w:val="false"/>
          </w:tcPr>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r>
      <w:tr>
        <w:trPr>
          <w:jc w:val="center"/>
          <w:trHeight w:val="503"/>
        </w:trPr>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ind w:right="-27"/>
              <w:jc w:val="left"/>
              <w:spacing w:line="440" w:lineRule="exact"/>
              <w:tabs>
                <w:tab w:val="left" w:pos="0" w:leader="none"/>
              </w:tabs>
              <w:rPr>
                <w:b w:val="0"/>
                <w:bCs w:val="0"/>
                <w:color w:val="000000" w:themeColor="text1"/>
                <w:sz w:val="24"/>
                <w:szCs w:val="24"/>
                <w14:textFill>
                  <w14:solidFill>
                    <w14:schemeClr w14:val="tx1"/>
                  </w14:solidFill>
                </w14:textFill>
              </w:rPr>
            </w:pPr>
            <w:r>
              <w:rPr>
                <w:rFonts w:hint="eastAsia" w:ascii="宋体" w:hAnsi="宋体" w:cs="宋体"/>
                <w:b w:val="0"/>
                <w:bCs w:val="0"/>
                <w:color w:val="000000" w:themeColor="text1"/>
                <w:sz w:val="24"/>
                <w:szCs w:val="24"/>
                <w14:textFill>
                  <w14:solidFill>
                    <w14:schemeClr w14:val="tx1"/>
                  </w14:solidFill>
                </w14:textFill>
              </w:rPr>
              <w:t xml:space="preserve">第十</w:t>
            </w:r>
            <w:r>
              <w:rPr>
                <w:rFonts w:hint="eastAsia" w:ascii="宋体" w:hAnsi="宋体" w:cs="宋体"/>
                <w:b w:val="0"/>
                <w:bCs w:val="0"/>
                <w:color w:val="000000" w:themeColor="text1"/>
                <w:sz w:val="24"/>
                <w:szCs w:val="24"/>
                <w:lang w:val="en-US" w:eastAsia="zh-CN"/>
                <w14:textFill>
                  <w14:solidFill>
                    <w14:schemeClr w14:val="tx1"/>
                  </w14:solidFill>
                </w14:textFill>
              </w:rPr>
              <w:t xml:space="preserve">五</w:t>
            </w:r>
            <w:r>
              <w:rPr>
                <w:rFonts w:hint="eastAsia" w:ascii="宋体" w:hAnsi="宋体" w:cs="宋体"/>
                <w:b w:val="0"/>
                <w:bCs w:val="0"/>
                <w:color w:val="000000" w:themeColor="text1"/>
                <w:sz w:val="24"/>
                <w:szCs w:val="24"/>
                <w14:textFill>
                  <w14:solidFill>
                    <w14:schemeClr w14:val="tx1"/>
                  </w14:solidFill>
                </w14:textFill>
              </w:rPr>
              <w:t xml:space="preserve">条 合同的终止</w:t>
            </w:r>
            <w:r/>
          </w:p>
        </w:tc>
        <w:tc>
          <w:tcPr>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78" w:type="dxa"/>
            <w:vAlign w:val="center"/>
            <w:textDirection w:val="lrTb"/>
            <w:noWrap w:val="false"/>
          </w:tcPr>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r>
      <w:tr>
        <w:trPr>
          <w:jc w:val="center"/>
          <w:trHeight w:val="503"/>
        </w:trPr>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ind w:right="-27"/>
              <w:jc w:val="left"/>
              <w:spacing w:line="440" w:lineRule="exact"/>
              <w:tabs>
                <w:tab w:val="left" w:pos="0" w:leader="none"/>
              </w:tabs>
              <w:rPr>
                <w:b w:val="0"/>
                <w:bCs w:val="0"/>
                <w:color w:val="000000" w:themeColor="text1"/>
                <w:sz w:val="24"/>
                <w:szCs w:val="24"/>
                <w14:textFill>
                  <w14:solidFill>
                    <w14:schemeClr w14:val="tx1"/>
                  </w14:solidFill>
                </w14:textFill>
              </w:rPr>
            </w:pPr>
            <w:r>
              <w:rPr>
                <w:rFonts w:hint="eastAsia" w:ascii="宋体" w:hAnsi="宋体" w:cs="宋体"/>
                <w:b w:val="0"/>
                <w:bCs w:val="0"/>
                <w:color w:val="000000" w:themeColor="text1"/>
                <w:sz w:val="24"/>
                <w:szCs w:val="24"/>
                <w14:textFill>
                  <w14:solidFill>
                    <w14:schemeClr w14:val="tx1"/>
                  </w14:solidFill>
                </w14:textFill>
              </w:rPr>
              <w:t xml:space="preserve">第十</w:t>
            </w:r>
            <w:r>
              <w:rPr>
                <w:rFonts w:hint="eastAsia" w:ascii="宋体" w:hAnsi="宋体" w:cs="宋体"/>
                <w:b w:val="0"/>
                <w:bCs w:val="0"/>
                <w:color w:val="000000" w:themeColor="text1"/>
                <w:sz w:val="24"/>
                <w:szCs w:val="24"/>
                <w:lang w:val="en-US" w:eastAsia="zh-CN"/>
                <w14:textFill>
                  <w14:solidFill>
                    <w14:schemeClr w14:val="tx1"/>
                  </w14:solidFill>
                </w14:textFill>
              </w:rPr>
              <w:t xml:space="preserve">六</w:t>
            </w:r>
            <w:r>
              <w:rPr>
                <w:rFonts w:hint="eastAsia" w:ascii="宋体" w:hAnsi="宋体" w:cs="宋体"/>
                <w:b w:val="0"/>
                <w:bCs w:val="0"/>
                <w:color w:val="000000" w:themeColor="text1"/>
                <w:sz w:val="24"/>
                <w:szCs w:val="24"/>
                <w14:textFill>
                  <w14:solidFill>
                    <w14:schemeClr w14:val="tx1"/>
                  </w14:solidFill>
                </w14:textFill>
              </w:rPr>
              <w:t xml:space="preserve">条 合同的转让</w:t>
            </w:r>
            <w:r/>
          </w:p>
        </w:tc>
        <w:tc>
          <w:tcPr>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78" w:type="dxa"/>
            <w:vAlign w:val="center"/>
            <w:textDirection w:val="lrTb"/>
            <w:noWrap w:val="false"/>
          </w:tcPr>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r>
      <w:tr>
        <w:trPr>
          <w:jc w:val="center"/>
          <w:trHeight w:val="503"/>
        </w:trPr>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ind w:right="-27"/>
              <w:jc w:val="left"/>
              <w:spacing w:line="440" w:lineRule="exact"/>
              <w:tabs>
                <w:tab w:val="left" w:pos="0" w:leader="none"/>
              </w:tabs>
              <w:rPr>
                <w:b w:val="0"/>
                <w:bCs w:val="0"/>
                <w:color w:val="000000" w:themeColor="text1"/>
                <w:sz w:val="24"/>
                <w:szCs w:val="24"/>
                <w14:textFill>
                  <w14:solidFill>
                    <w14:schemeClr w14:val="tx1"/>
                  </w14:solidFill>
                </w14:textFill>
              </w:rPr>
            </w:pPr>
            <w:r>
              <w:rPr>
                <w:rFonts w:hint="eastAsia" w:ascii="宋体" w:hAnsi="宋体" w:cs="宋体"/>
                <w:b w:val="0"/>
                <w:bCs w:val="0"/>
                <w:color w:val="000000" w:themeColor="text1"/>
                <w:sz w:val="24"/>
                <w:szCs w:val="24"/>
                <w14:textFill>
                  <w14:solidFill>
                    <w14:schemeClr w14:val="tx1"/>
                  </w14:solidFill>
                </w14:textFill>
              </w:rPr>
              <w:t xml:space="preserve">第十</w:t>
            </w:r>
            <w:r>
              <w:rPr>
                <w:rFonts w:hint="eastAsia" w:ascii="宋体" w:hAnsi="宋体" w:cs="宋体"/>
                <w:b w:val="0"/>
                <w:bCs w:val="0"/>
                <w:color w:val="000000" w:themeColor="text1"/>
                <w:sz w:val="24"/>
                <w:szCs w:val="24"/>
                <w:lang w:val="en-US" w:eastAsia="zh-CN"/>
                <w14:textFill>
                  <w14:solidFill>
                    <w14:schemeClr w14:val="tx1"/>
                  </w14:solidFill>
                </w14:textFill>
              </w:rPr>
              <w:t xml:space="preserve">七</w:t>
            </w:r>
            <w:r>
              <w:rPr>
                <w:rFonts w:hint="eastAsia" w:ascii="宋体" w:hAnsi="宋体" w:cs="宋体"/>
                <w:b w:val="0"/>
                <w:bCs w:val="0"/>
                <w:color w:val="000000" w:themeColor="text1"/>
                <w:sz w:val="24"/>
                <w:szCs w:val="24"/>
                <w14:textFill>
                  <w14:solidFill>
                    <w14:schemeClr w14:val="tx1"/>
                  </w14:solidFill>
                </w14:textFill>
              </w:rPr>
              <w:t xml:space="preserve">条 履约保证金</w:t>
            </w:r>
            <w:r/>
          </w:p>
        </w:tc>
        <w:tc>
          <w:tcPr>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78" w:type="dxa"/>
            <w:vAlign w:val="center"/>
            <w:textDirection w:val="lrTb"/>
            <w:noWrap w:val="false"/>
          </w:tcPr>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r>
      <w:tr>
        <w:trPr>
          <w:jc w:val="center"/>
          <w:trHeight w:val="503"/>
        </w:trPr>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ind w:right="-27"/>
              <w:jc w:val="left"/>
              <w:spacing w:line="440" w:lineRule="exact"/>
              <w:tabs>
                <w:tab w:val="left" w:pos="0" w:leader="none"/>
              </w:tabs>
              <w:rPr>
                <w:b w:val="0"/>
                <w:bCs w:val="0"/>
                <w:color w:val="000000" w:themeColor="text1"/>
                <w:sz w:val="24"/>
                <w:szCs w:val="24"/>
                <w14:textFill>
                  <w14:solidFill>
                    <w14:schemeClr w14:val="tx1"/>
                  </w14:solidFill>
                </w14:textFill>
              </w:rPr>
            </w:pPr>
            <w:r>
              <w:rPr>
                <w:rFonts w:hint="eastAsia" w:ascii="宋体" w:hAnsi="宋体" w:cs="宋体"/>
                <w:b w:val="0"/>
                <w:bCs w:val="0"/>
                <w:color w:val="000000" w:themeColor="text1"/>
                <w:sz w:val="24"/>
                <w:szCs w:val="24"/>
                <w14:textFill>
                  <w14:solidFill>
                    <w14:schemeClr w14:val="tx1"/>
                  </w14:solidFill>
                </w14:textFill>
              </w:rPr>
              <w:t xml:space="preserve">第十</w:t>
            </w:r>
            <w:r>
              <w:rPr>
                <w:rFonts w:hint="eastAsia" w:ascii="宋体" w:hAnsi="宋体" w:cs="宋体"/>
                <w:b w:val="0"/>
                <w:bCs w:val="0"/>
                <w:color w:val="000000" w:themeColor="text1"/>
                <w:sz w:val="24"/>
                <w:szCs w:val="24"/>
                <w:lang w:val="en-US" w:eastAsia="zh-CN"/>
                <w14:textFill>
                  <w14:solidFill>
                    <w14:schemeClr w14:val="tx1"/>
                  </w14:solidFill>
                </w14:textFill>
              </w:rPr>
              <w:t xml:space="preserve">八</w:t>
            </w:r>
            <w:r>
              <w:rPr>
                <w:rFonts w:hint="eastAsia" w:ascii="宋体" w:hAnsi="宋体" w:cs="宋体"/>
                <w:b w:val="0"/>
                <w:bCs w:val="0"/>
                <w:color w:val="000000" w:themeColor="text1"/>
                <w:sz w:val="24"/>
                <w:szCs w:val="24"/>
                <w14:textFill>
                  <w14:solidFill>
                    <w14:schemeClr w14:val="tx1"/>
                  </w14:solidFill>
                </w14:textFill>
              </w:rPr>
              <w:t xml:space="preserve">条 争议解决方式</w:t>
            </w:r>
            <w:r/>
          </w:p>
        </w:tc>
        <w:tc>
          <w:tcPr>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78" w:type="dxa"/>
            <w:vAlign w:val="center"/>
            <w:textDirection w:val="lrTb"/>
            <w:noWrap w:val="false"/>
          </w:tcPr>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r>
      <w:tr>
        <w:trPr>
          <w:jc w:val="center"/>
          <w:trHeight w:val="503"/>
        </w:trPr>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ind w:right="-27"/>
              <w:jc w:val="left"/>
              <w:spacing w:line="440" w:lineRule="exact"/>
              <w:tabs>
                <w:tab w:val="left" w:pos="0" w:leader="none"/>
              </w:tabs>
              <w:rPr>
                <w:b w:val="0"/>
                <w:bCs w:val="0"/>
                <w:color w:val="000000" w:themeColor="text1"/>
                <w:sz w:val="24"/>
                <w:szCs w:val="24"/>
                <w14:textFill>
                  <w14:solidFill>
                    <w14:schemeClr w14:val="tx1"/>
                  </w14:solidFill>
                </w14:textFill>
              </w:rPr>
            </w:pPr>
            <w:r>
              <w:rPr>
                <w:rFonts w:hint="eastAsia" w:ascii="宋体" w:hAnsi="宋体" w:cs="宋体"/>
                <w:b w:val="0"/>
                <w:bCs w:val="0"/>
                <w:color w:val="000000" w:themeColor="text1"/>
                <w:sz w:val="24"/>
                <w:szCs w:val="24"/>
                <w14:textFill>
                  <w14:solidFill>
                    <w14:schemeClr w14:val="tx1"/>
                  </w14:solidFill>
                </w14:textFill>
              </w:rPr>
              <w:t xml:space="preserve">第十</w:t>
            </w:r>
            <w:r>
              <w:rPr>
                <w:rFonts w:hint="eastAsia" w:ascii="宋体" w:hAnsi="宋体" w:cs="宋体"/>
                <w:b w:val="0"/>
                <w:bCs w:val="0"/>
                <w:color w:val="000000" w:themeColor="text1"/>
                <w:sz w:val="24"/>
                <w:szCs w:val="24"/>
                <w:lang w:val="en-US" w:eastAsia="zh-CN"/>
                <w14:textFill>
                  <w14:solidFill>
                    <w14:schemeClr w14:val="tx1"/>
                  </w14:solidFill>
                </w14:textFill>
              </w:rPr>
              <w:t xml:space="preserve">九</w:t>
            </w:r>
            <w:r>
              <w:rPr>
                <w:rFonts w:hint="eastAsia" w:ascii="宋体" w:hAnsi="宋体" w:cs="宋体"/>
                <w:b w:val="0"/>
                <w:bCs w:val="0"/>
                <w:color w:val="000000" w:themeColor="text1"/>
                <w:sz w:val="24"/>
                <w:szCs w:val="24"/>
                <w14:textFill>
                  <w14:solidFill>
                    <w14:schemeClr w14:val="tx1"/>
                  </w14:solidFill>
                </w14:textFill>
              </w:rPr>
              <w:t xml:space="preserve">条 通知与送达</w:t>
            </w:r>
            <w:r/>
          </w:p>
        </w:tc>
        <w:tc>
          <w:tcPr>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78" w:type="dxa"/>
            <w:vAlign w:val="center"/>
            <w:textDirection w:val="lrTb"/>
            <w:noWrap w:val="false"/>
          </w:tcPr>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r>
      <w:tr>
        <w:trPr>
          <w:jc w:val="center"/>
          <w:trHeight w:val="503"/>
        </w:trPr>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ind w:right="-27"/>
              <w:jc w:val="left"/>
              <w:spacing w:line="440" w:lineRule="exact"/>
              <w:tabs>
                <w:tab w:val="left" w:pos="0" w:leader="none"/>
              </w:tabs>
              <w:rPr>
                <w:b w:val="0"/>
                <w:bCs w:val="0"/>
                <w:color w:val="000000" w:themeColor="text1"/>
                <w:sz w:val="24"/>
                <w:szCs w:val="24"/>
                <w14:textFill>
                  <w14:solidFill>
                    <w14:schemeClr w14:val="tx1"/>
                  </w14:solidFill>
                </w14:textFill>
              </w:rPr>
            </w:pPr>
            <w:r>
              <w:rPr>
                <w:rFonts w:hint="eastAsia" w:ascii="宋体" w:hAnsi="宋体" w:cs="宋体"/>
                <w:b w:val="0"/>
                <w:bCs w:val="0"/>
                <w:color w:val="000000" w:themeColor="text1"/>
                <w:sz w:val="24"/>
                <w:szCs w:val="24"/>
                <w14:textFill>
                  <w14:solidFill>
                    <w14:schemeClr w14:val="tx1"/>
                  </w14:solidFill>
                </w14:textFill>
              </w:rPr>
              <w:t xml:space="preserve">第</w:t>
            </w:r>
            <w:r>
              <w:rPr>
                <w:rFonts w:hint="eastAsia" w:ascii="宋体" w:hAnsi="宋体" w:cs="宋体"/>
                <w:b w:val="0"/>
                <w:bCs w:val="0"/>
                <w:color w:val="000000" w:themeColor="text1"/>
                <w:sz w:val="24"/>
                <w:szCs w:val="24"/>
                <w:lang w:val="en-US" w:eastAsia="zh-CN"/>
                <w14:textFill>
                  <w14:solidFill>
                    <w14:schemeClr w14:val="tx1"/>
                  </w14:solidFill>
                </w14:textFill>
              </w:rPr>
              <w:t xml:space="preserve">二十</w:t>
            </w:r>
            <w:r>
              <w:rPr>
                <w:rFonts w:hint="eastAsia" w:ascii="宋体" w:hAnsi="宋体" w:cs="宋体"/>
                <w:b w:val="0"/>
                <w:bCs w:val="0"/>
                <w:color w:val="000000" w:themeColor="text1"/>
                <w:sz w:val="24"/>
                <w:szCs w:val="24"/>
                <w14:textFill>
                  <w14:solidFill>
                    <w14:schemeClr w14:val="tx1"/>
                  </w14:solidFill>
                </w14:textFill>
              </w:rPr>
              <w:t xml:space="preserve">条 合同生效及其他</w:t>
            </w:r>
            <w:r/>
          </w:p>
        </w:tc>
        <w:tc>
          <w:tcPr>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78" w:type="dxa"/>
            <w:vAlign w:val="center"/>
            <w:textDirection w:val="lrTb"/>
            <w:noWrap w:val="false"/>
          </w:tcPr>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r>
    </w:tbl>
    <w:p>
      <w:pPr>
        <w:ind w:firstLine="240"/>
        <w:spacing w:line="44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注：1、投标人应据实、详细填写上述表格，因表述含糊导致的评标风险将由投标人承担。</w:t>
      </w:r>
      <w:r/>
    </w:p>
    <w:p>
      <w:pPr>
        <w:numPr>
          <w:ilvl w:val="0"/>
          <w:numId w:val="7"/>
        </w:numPr>
        <w:ind w:firstLine="72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若无偏离，在“有无偏离”栏中填写“无”；若有偏离在“有无偏离”栏中填写“有”并在“偏离内容及原因”栏中作出说明。</w:t>
      </w:r>
      <w:r/>
    </w:p>
    <w:p>
      <w:r>
        <w:br w:type="page" w:clear="all"/>
      </w:r>
      <w:r/>
    </w:p>
    <w:p>
      <w:pPr>
        <w:ind w:firstLine="562"/>
        <w:jc w:val="center"/>
        <w:spacing w:line="440" w:lineRule="exact"/>
        <w:rPr>
          <w:rFonts w:ascii="Times New Roman" w:hAnsi="Times New Roman"/>
          <w:b/>
          <w:bCs/>
          <w:color w:val="000000" w:themeColor="text1"/>
          <w:sz w:val="28"/>
          <w:szCs w:val="28"/>
          <w14:textFill>
            <w14:solidFill>
              <w14:schemeClr w14:val="tx1"/>
            </w14:solidFill>
          </w14:textFill>
        </w:rPr>
        <w:outlineLvl w:val="1"/>
      </w:pPr>
      <w:r/>
      <w:bookmarkStart w:id="240" w:name="_Toc17834"/>
      <w:r>
        <w:rPr>
          <w:rFonts w:hint="eastAsia" w:ascii="Times New Roman" w:hAnsi="Times New Roman"/>
          <w:b/>
          <w:bCs/>
          <w:color w:val="000000" w:themeColor="text1"/>
          <w:sz w:val="28"/>
          <w:szCs w:val="28"/>
          <w14:textFill>
            <w14:solidFill>
              <w14:schemeClr w14:val="tx1"/>
            </w14:solidFill>
          </w14:textFill>
        </w:rPr>
        <w:t xml:space="preserve">附件10 其他</w:t>
      </w:r>
      <w:bookmarkEnd w:id="240"/>
      <w:r/>
      <w:r/>
    </w:p>
    <w:p>
      <w:pPr>
        <w:ind w:firstLine="480"/>
        <w:jc w:val="center"/>
        <w:spacing w:line="400" w:lineRule="exact"/>
        <w:rPr>
          <w:rFonts w:ascii="Times New Roman" w:hAnsi="Times New Roman"/>
          <w:color w:val="000000" w:themeColor="text1"/>
          <w:sz w:val="24"/>
          <w:szCs w:val="20"/>
          <w14:textFill>
            <w14:solidFill>
              <w14:schemeClr w14:val="tx1"/>
            </w14:solidFill>
          </w14:textFill>
        </w:rPr>
      </w:pPr>
      <w:r>
        <w:rPr>
          <w:rFonts w:hint="eastAsia" w:ascii="Times New Roman" w:hAnsi="Times New Roman"/>
          <w:color w:val="000000" w:themeColor="text1"/>
          <w:sz w:val="24"/>
          <w:szCs w:val="20"/>
          <w14:textFill>
            <w14:solidFill>
              <w14:schemeClr w14:val="tx1"/>
            </w14:solidFill>
          </w14:textFill>
        </w:rPr>
        <w:t xml:space="preserve">投标人根据 “第五章 ”提供相关其他证明材料。</w:t>
      </w:r>
      <w:r/>
    </w:p>
    <w:p>
      <w:pPr>
        <w:ind w:firstLine="482"/>
        <w:jc w:val="center"/>
        <w:spacing w:line="440" w:lineRule="exact"/>
        <w:rPr>
          <w:rFonts w:ascii="Times New Roman" w:hAnsi="Times New Roman"/>
          <w:b/>
          <w:bCs/>
          <w:color w:val="000000" w:themeColor="text1"/>
          <w:sz w:val="28"/>
          <w:szCs w:val="28"/>
          <w14:textFill>
            <w14:solidFill>
              <w14:schemeClr w14:val="tx1"/>
            </w14:solidFill>
          </w14:textFill>
        </w:rPr>
        <w:outlineLvl w:val="1"/>
      </w:pPr>
      <w:r>
        <w:rPr>
          <w:rFonts w:hint="eastAsia" w:ascii="宋体" w:hAnsi="宋体"/>
          <w:b/>
          <w:color w:val="000000" w:themeColor="text1"/>
          <w:sz w:val="24"/>
          <w:szCs w:val="24"/>
          <w14:textFill>
            <w14:solidFill>
              <w14:schemeClr w14:val="tx1"/>
            </w14:solidFill>
          </w14:textFill>
        </w:rPr>
        <w:br w:type="page" w:clear="all"/>
      </w:r>
      <w:bookmarkStart w:id="241" w:name="_Toc21639"/>
      <w:r>
        <w:rPr>
          <w:rFonts w:hint="eastAsia" w:ascii="Times New Roman" w:hAnsi="Times New Roman"/>
          <w:b/>
          <w:bCs/>
          <w:color w:val="000000" w:themeColor="text1"/>
          <w:sz w:val="28"/>
          <w:szCs w:val="28"/>
          <w14:textFill>
            <w14:solidFill>
              <w14:schemeClr w14:val="tx1"/>
            </w14:solidFill>
          </w14:textFill>
        </w:rPr>
        <w:t xml:space="preserve">附件11 具备履行合同所必需的设备和专业技术能力的书面声明</w:t>
      </w:r>
      <w:bookmarkEnd w:id="241"/>
      <w:r/>
      <w:r/>
    </w:p>
    <w:p>
      <w:pPr>
        <w:ind w:firstLine="480"/>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我单位郑重声明：我单位具备履行本项采购合同所必需的设备和专业技术能力，为履行本项采购合同我公司具备如下主要人员和主要专业技术能力：</w:t>
      </w:r>
      <w:r/>
    </w:p>
    <w:p>
      <w:pPr>
        <w:ind w:firstLine="480"/>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主要设备有：</w:t>
      </w:r>
      <w:r>
        <w:rPr>
          <w:rFonts w:hint="eastAsia" w:ascii="宋体" w:hAnsi="宋体"/>
          <w:bCs/>
          <w:color w:val="000000" w:themeColor="text1"/>
          <w:sz w:val="24"/>
          <w:u w:val="single"/>
          <w14:textFill>
            <w14:solidFill>
              <w14:schemeClr w14:val="tx1"/>
            </w14:solidFill>
          </w14:textFill>
        </w:rPr>
        <w:t xml:space="preserve">  </w:t>
      </w:r>
      <w:r>
        <w:rPr>
          <w:rFonts w:ascii="宋体" w:hAnsi="宋体"/>
          <w:bCs/>
          <w:color w:val="000000" w:themeColor="text1"/>
          <w:sz w:val="24"/>
          <w:u w:val="single"/>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 xml:space="preserve">。</w:t>
      </w:r>
      <w:r/>
    </w:p>
    <w:p>
      <w:pPr>
        <w:ind w:firstLine="480"/>
        <w:spacing w:line="460" w:lineRule="exact"/>
        <w:rPr>
          <w:rFonts w:ascii="宋体" w:hAnsi="宋体"/>
          <w:b/>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主要专业技术能力有：</w:t>
      </w:r>
      <w:r>
        <w:rPr>
          <w:rFonts w:hint="eastAsia" w:ascii="宋体" w:hAnsi="宋体"/>
          <w:bCs/>
          <w:color w:val="000000" w:themeColor="text1"/>
          <w:sz w:val="24"/>
          <w:u w:val="single"/>
          <w14:textFill>
            <w14:solidFill>
              <w14:schemeClr w14:val="tx1"/>
            </w14:solidFill>
          </w14:textFill>
        </w:rPr>
        <w:t xml:space="preserve">   </w:t>
      </w:r>
      <w:r>
        <w:rPr>
          <w:rFonts w:ascii="宋体" w:hAnsi="宋体"/>
          <w:bCs/>
          <w:color w:val="000000" w:themeColor="text1"/>
          <w:sz w:val="24"/>
          <w:u w:val="single"/>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 xml:space="preserve">。</w:t>
      </w:r>
      <w:r/>
    </w:p>
    <w:p>
      <w:pPr>
        <w:ind w:firstLine="482"/>
        <w:jc w:val="center"/>
        <w:spacing w:line="440" w:lineRule="exact"/>
        <w:rPr>
          <w:rFonts w:ascii="Times New Roman" w:hAnsi="Times New Roman"/>
          <w:b/>
          <w:bCs/>
          <w:color w:val="000000" w:themeColor="text1"/>
          <w:sz w:val="28"/>
          <w:szCs w:val="28"/>
          <w14:textFill>
            <w14:solidFill>
              <w14:schemeClr w14:val="tx1"/>
            </w14:solidFill>
          </w14:textFill>
        </w:rPr>
        <w:outlineLvl w:val="1"/>
      </w:pPr>
      <w:r>
        <w:rPr>
          <w:rFonts w:hint="eastAsia" w:ascii="宋体" w:hAnsi="宋体"/>
          <w:b/>
          <w:color w:val="000000" w:themeColor="text1"/>
          <w:sz w:val="24"/>
          <w:szCs w:val="24"/>
          <w14:textFill>
            <w14:solidFill>
              <w14:schemeClr w14:val="tx1"/>
            </w14:solidFill>
          </w14:textFill>
        </w:rPr>
        <w:br w:type="page" w:clear="all"/>
      </w:r>
      <w:bookmarkStart w:id="242" w:name="_Toc30579"/>
      <w:r>
        <w:rPr>
          <w:rFonts w:hint="eastAsia" w:ascii="Times New Roman" w:hAnsi="Times New Roman"/>
          <w:b/>
          <w:bCs/>
          <w:color w:val="000000" w:themeColor="text1"/>
          <w:sz w:val="28"/>
          <w:szCs w:val="28"/>
          <w14:textFill>
            <w14:solidFill>
              <w14:schemeClr w14:val="tx1"/>
            </w14:solidFill>
          </w14:textFill>
        </w:rPr>
        <w:t xml:space="preserve">附件12</w:t>
      </w:r>
      <w:r>
        <w:rPr>
          <w:rFonts w:ascii="Times New Roman" w:hAnsi="Times New Roman"/>
          <w:b/>
          <w:bCs/>
          <w:color w:val="000000" w:themeColor="text1"/>
          <w:sz w:val="28"/>
          <w:szCs w:val="28"/>
          <w14:textFill>
            <w14:solidFill>
              <w14:schemeClr w14:val="tx1"/>
            </w14:solidFill>
          </w14:textFill>
        </w:rPr>
        <w:t xml:space="preserve"> </w:t>
      </w:r>
      <w:r>
        <w:rPr>
          <w:rFonts w:hint="eastAsia" w:ascii="Times New Roman" w:hAnsi="Times New Roman"/>
          <w:b/>
          <w:bCs/>
          <w:color w:val="000000" w:themeColor="text1"/>
          <w:sz w:val="28"/>
          <w:szCs w:val="28"/>
          <w14:textFill>
            <w14:solidFill>
              <w14:schemeClr w14:val="tx1"/>
            </w14:solidFill>
          </w14:textFill>
        </w:rPr>
        <w:t xml:space="preserve">参加政府采购活动前 3 年内在经营活动中没有重大违法记录的书面声明</w:t>
      </w:r>
      <w:bookmarkEnd w:id="242"/>
      <w:r/>
      <w:r/>
    </w:p>
    <w:p>
      <w:pPr>
        <w:ind w:firstLine="482"/>
        <w:jc w:val="center"/>
        <w:spacing w:line="460" w:lineRule="exact"/>
        <w:rPr>
          <w:rFonts w:ascii="宋体" w:hAnsi="宋体"/>
          <w:b/>
          <w:bCs/>
          <w:color w:val="000000" w:themeColor="text1"/>
          <w:sz w:val="24"/>
          <w14:textFill>
            <w14:solidFill>
              <w14:schemeClr w14:val="tx1"/>
            </w14:solidFill>
          </w14:textFill>
        </w:rPr>
      </w:pPr>
      <w:r>
        <w:rPr>
          <w:rFonts w:ascii="宋体" w:hAnsi="宋体"/>
          <w:b/>
          <w:bCs/>
          <w:color w:val="000000" w:themeColor="text1"/>
          <w:sz w:val="24"/>
          <w14:textFill>
            <w14:solidFill>
              <w14:schemeClr w14:val="tx1"/>
            </w14:solidFill>
          </w14:textFill>
        </w:rPr>
      </w:r>
      <w:r/>
    </w:p>
    <w:p>
      <w:pPr>
        <w:ind w:firstLine="482"/>
        <w:jc w:val="center"/>
        <w:spacing w:line="46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声  明</w:t>
      </w:r>
      <w:r/>
    </w:p>
    <w:p>
      <w:pPr>
        <w:ind w:firstLine="480"/>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我单位郑重声明：参加本次政府采购活动前 3 年内，我单位在经营活动中没有因违法经营受到刑事处罚或者责令停产停业、吊销许可证或者执照、较大数额罚款等行政处罚。</w:t>
      </w:r>
      <w:r/>
    </w:p>
    <w:p>
      <w:pPr>
        <w:ind w:left="480" w:firstLine="482"/>
        <w:jc w:val="center"/>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r>
      <w:r/>
    </w:p>
    <w:p>
      <w:pPr>
        <w:ind w:firstLine="482"/>
        <w:spacing w:line="460" w:lineRule="exact"/>
        <w:rPr>
          <w:rFonts w:ascii="宋体" w:hAnsi="宋体"/>
          <w:bCs/>
          <w:color w:val="000000" w:themeColor="text1"/>
          <w:sz w:val="24"/>
          <w:szCs w:val="21"/>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br w:type="page" w:clear="all"/>
      </w:r>
      <w:r/>
    </w:p>
    <w:p>
      <w:pPr>
        <w:ind w:firstLine="562"/>
        <w:jc w:val="center"/>
        <w:spacing w:line="440" w:lineRule="exact"/>
        <w:rPr>
          <w:rFonts w:ascii="Times New Roman" w:hAnsi="Times New Roman"/>
          <w:b/>
          <w:bCs/>
          <w:color w:val="000000" w:themeColor="text1"/>
          <w:sz w:val="28"/>
          <w:szCs w:val="28"/>
          <w14:textFill>
            <w14:solidFill>
              <w14:schemeClr w14:val="tx1"/>
            </w14:solidFill>
          </w14:textFill>
        </w:rPr>
        <w:outlineLvl w:val="1"/>
      </w:pPr>
      <w:r/>
      <w:bookmarkStart w:id="243" w:name="_Toc12310"/>
      <w:r>
        <w:rPr>
          <w:rFonts w:hint="eastAsia" w:ascii="Times New Roman" w:hAnsi="Times New Roman"/>
          <w:b/>
          <w:bCs/>
          <w:color w:val="000000" w:themeColor="text1"/>
          <w:sz w:val="28"/>
          <w:szCs w:val="28"/>
          <w14:textFill>
            <w14:solidFill>
              <w14:schemeClr w14:val="tx1"/>
            </w14:solidFill>
          </w14:textFill>
        </w:rPr>
        <w:t xml:space="preserve">附件13</w:t>
      </w:r>
      <w:r>
        <w:rPr>
          <w:rFonts w:ascii="Times New Roman" w:hAnsi="Times New Roman"/>
          <w:b/>
          <w:bCs/>
          <w:color w:val="000000" w:themeColor="text1"/>
          <w:sz w:val="28"/>
          <w:szCs w:val="28"/>
          <w14:textFill>
            <w14:solidFill>
              <w14:schemeClr w14:val="tx1"/>
            </w14:solidFill>
          </w14:textFill>
        </w:rPr>
        <w:t xml:space="preserve"> </w:t>
      </w:r>
      <w:r>
        <w:rPr>
          <w:rFonts w:hint="eastAsia" w:ascii="Times New Roman" w:hAnsi="Times New Roman"/>
          <w:b/>
          <w:bCs/>
          <w:color w:val="000000" w:themeColor="text1"/>
          <w:sz w:val="28"/>
          <w:szCs w:val="28"/>
          <w14:textFill>
            <w14:solidFill>
              <w14:schemeClr w14:val="tx1"/>
            </w14:solidFill>
          </w14:textFill>
        </w:rPr>
        <w:t xml:space="preserve">法人授权书</w:t>
      </w:r>
      <w:bookmarkEnd w:id="243"/>
      <w:r/>
      <w:r/>
    </w:p>
    <w:p>
      <w:pPr>
        <w:ind w:firstLine="480"/>
        <w:spacing w:line="440" w:lineRule="exact"/>
        <w:tabs>
          <w:tab w:val="left" w:pos="360" w:leader="none"/>
        </w:tabs>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本授权书声明：____________（投标人名称）授权________________（被授权人的姓名）为我方就</w:t>
      </w:r>
      <w:r>
        <w:rPr>
          <w:rFonts w:hint="eastAsia" w:ascii="Times New Roman" w:hAnsi="Times New Roman"/>
          <w:color w:val="000000" w:themeColor="text1"/>
          <w:sz w:val="24"/>
          <w:szCs w:val="24"/>
          <w:lang w:eastAsia="zh-CN"/>
          <w14:textFill>
            <w14:solidFill>
              <w14:schemeClr w14:val="tx1"/>
            </w14:solidFill>
          </w14:textFill>
        </w:rPr>
        <w:t xml:space="preserve">JSZC-320581-SZXY-G2024-0064</w:t>
      </w:r>
      <w:r>
        <w:rPr>
          <w:rFonts w:ascii="Times New Roman" w:hAnsi="Times New Roman"/>
          <w:color w:val="000000" w:themeColor="text1"/>
          <w:sz w:val="24"/>
          <w:szCs w:val="24"/>
          <w14:textFill>
            <w14:solidFill>
              <w14:schemeClr w14:val="tx1"/>
            </w14:solidFill>
          </w14:textFill>
        </w:rPr>
        <w:t xml:space="preserve">号项目采购活动的合法代理人，以本单位名义全权处理一切与该项目采购有关的事务。</w:t>
      </w:r>
      <w:r/>
    </w:p>
    <w:p>
      <w:pPr>
        <w:ind w:firstLine="480"/>
        <w:spacing w:line="440" w:lineRule="exact"/>
        <w:tabs>
          <w:tab w:val="left" w:pos="360" w:leader="none"/>
        </w:tabs>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本授权书于</w:t>
      </w:r>
      <w:r>
        <w:rPr>
          <w:rFonts w:ascii="Times New Roman" w:hAnsi="Times New Roman"/>
          <w:color w:val="000000" w:themeColor="text1"/>
          <w:sz w:val="24"/>
          <w:szCs w:val="24"/>
          <w:u w:val="single"/>
          <w14:textFill>
            <w14:solidFill>
              <w14:schemeClr w14:val="tx1"/>
            </w14:solidFill>
          </w14:textFill>
        </w:rPr>
        <w:t xml:space="preserve">20</w:t>
      </w:r>
      <w:r>
        <w:rPr>
          <w:rFonts w:hint="eastAsia" w:ascii="Times New Roman" w:hAnsi="Times New Roman"/>
          <w:color w:val="000000" w:themeColor="text1"/>
          <w:sz w:val="24"/>
          <w:szCs w:val="24"/>
          <w:u w:val="single"/>
          <w:lang w:val="en-US" w:eastAsia="zh-CN"/>
          <w14:textFill>
            <w14:solidFill>
              <w14:schemeClr w14:val="tx1"/>
            </w14:solidFill>
          </w14:textFill>
        </w:rPr>
        <w:t xml:space="preserve">25</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 xml:space="preserve">年____月____日起生效，特此声明。</w:t>
      </w:r>
      <w:r/>
    </w:p>
    <w:p>
      <w:pPr>
        <w:ind w:firstLine="480"/>
        <w:spacing w:line="440" w:lineRule="exact"/>
        <w:tabs>
          <w:tab w:val="left" w:pos="360" w:leader="none"/>
        </w:tabs>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p>
      <w:pPr>
        <w:ind w:firstLine="480"/>
        <w:spacing w:line="440" w:lineRule="exact"/>
        <w:tabs>
          <w:tab w:val="left" w:pos="360" w:leader="none"/>
        </w:tabs>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p>
      <w:pPr>
        <w:ind w:firstLine="480"/>
        <w:spacing w:line="440" w:lineRule="exact"/>
        <w:tabs>
          <w:tab w:val="left" w:pos="360" w:leader="none"/>
        </w:tabs>
        <w:rPr>
          <w:rFonts w:ascii="Times New Roman" w:hAnsi="Times New Roman"/>
          <w:color w:val="000000" w:themeColor="text1"/>
          <w:sz w:val="24"/>
          <w:szCs w:val="24"/>
          <w:u w:val="single"/>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被授权人身份证号码：</w:t>
      </w:r>
      <w:r>
        <w:rPr>
          <w:rFonts w:ascii="Times New Roman" w:hAnsi="Times New Roman"/>
          <w:color w:val="000000" w:themeColor="text1"/>
          <w:sz w:val="24"/>
          <w:szCs w:val="24"/>
          <w:u w:val="single"/>
          <w14:textFill>
            <w14:solidFill>
              <w14:schemeClr w14:val="tx1"/>
            </w14:solidFill>
          </w14:textFill>
        </w:rPr>
        <w:t xml:space="preserve">                              </w:t>
      </w:r>
      <w:r/>
    </w:p>
    <w:p>
      <w:pPr>
        <w:ind w:firstLine="480"/>
        <w:spacing w:line="440" w:lineRule="exact"/>
        <w:tabs>
          <w:tab w:val="left" w:pos="360" w:leader="none"/>
        </w:tabs>
        <w:rPr>
          <w:rFonts w:ascii="Times New Roman" w:hAnsi="Times New Roman"/>
          <w:color w:val="000000" w:themeColor="text1"/>
          <w:sz w:val="24"/>
          <w:szCs w:val="24"/>
          <w:u w:val="single"/>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被授权人联系电话：（手机）</w:t>
      </w:r>
      <w:r>
        <w:rPr>
          <w:rFonts w:ascii="Times New Roman" w:hAnsi="Times New Roman"/>
          <w:color w:val="000000" w:themeColor="text1"/>
          <w:sz w:val="24"/>
          <w:szCs w:val="24"/>
          <w:u w:val="single"/>
          <w14:textFill>
            <w14:solidFill>
              <w14:schemeClr w14:val="tx1"/>
            </w14:solidFill>
          </w14:textFill>
        </w:rPr>
        <w:t xml:space="preserve">                          </w:t>
      </w:r>
      <w:r/>
    </w:p>
    <w:p>
      <w:pPr>
        <w:ind w:firstLine="480"/>
        <w:spacing w:line="440" w:lineRule="exact"/>
        <w:tabs>
          <w:tab w:val="left" w:pos="360" w:leader="none"/>
        </w:tabs>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授权单位名称：</w:t>
      </w:r>
      <w:r>
        <w:rPr>
          <w:rFonts w:ascii="Times New Roman" w:hAnsi="Times New Roman"/>
          <w:color w:val="000000" w:themeColor="text1"/>
          <w:sz w:val="24"/>
          <w:szCs w:val="24"/>
          <w:u w:val="single"/>
          <w14:textFill>
            <w14:solidFill>
              <w14:schemeClr w14:val="tx1"/>
            </w14:solidFill>
          </w14:textFill>
        </w:rPr>
        <w:t xml:space="preserve">（加盖CA电子公章）</w:t>
      </w:r>
      <w:r/>
    </w:p>
    <w:p>
      <w:pPr>
        <w:ind w:firstLine="480"/>
        <w:spacing w:line="440" w:lineRule="exact"/>
        <w:tabs>
          <w:tab w:val="left" w:pos="360" w:leader="none"/>
        </w:tabs>
        <w:rPr>
          <w:rFonts w:ascii="Times New Roman" w:hAnsi="Times New Roman"/>
          <w:color w:val="000000" w:themeColor="text1"/>
          <w:sz w:val="24"/>
          <w:szCs w:val="24"/>
          <w:u w:val="single"/>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单位地址：</w:t>
      </w:r>
      <w:r>
        <w:rPr>
          <w:rFonts w:ascii="Times New Roman" w:hAnsi="Times New Roman"/>
          <w:color w:val="000000" w:themeColor="text1"/>
          <w:sz w:val="24"/>
          <w:szCs w:val="24"/>
          <w:u w:val="single"/>
          <w14:textFill>
            <w14:solidFill>
              <w14:schemeClr w14:val="tx1"/>
            </w14:solidFill>
          </w14:textFill>
        </w:rPr>
        <w:t xml:space="preserve">                                         </w:t>
      </w:r>
      <w:r/>
    </w:p>
    <w:p>
      <w:pPr>
        <w:ind w:firstLine="480"/>
        <w:spacing w:line="440" w:lineRule="exact"/>
        <w:tabs>
          <w:tab w:val="left" w:pos="360" w:leader="none"/>
        </w:tabs>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日期：</w:t>
      </w:r>
      <w:r>
        <w:rPr>
          <w:rFonts w:ascii="Times New Roman" w:hAnsi="Times New Roman"/>
          <w:color w:val="000000" w:themeColor="text1"/>
          <w:sz w:val="24"/>
          <w:szCs w:val="24"/>
          <w:u w:val="single"/>
          <w14:textFill>
            <w14:solidFill>
              <w14:schemeClr w14:val="tx1"/>
            </w14:solidFill>
          </w14:textFill>
        </w:rPr>
        <w:t xml:space="preserve">                                         </w:t>
      </w:r>
      <w:r/>
    </w:p>
    <w:p>
      <w:pPr>
        <w:ind w:firstLine="480"/>
        <w:spacing w:line="400" w:lineRule="exact"/>
        <w:rPr>
          <w:rFonts w:ascii="楷体" w:hAnsi="楷体" w:eastAsia="楷体"/>
          <w:color w:val="000000" w:themeColor="text1"/>
          <w:sz w:val="24"/>
          <w:szCs w:val="24"/>
          <w14:textFill>
            <w14:solidFill>
              <w14:schemeClr w14:val="tx1"/>
            </w14:solidFill>
          </w14:textFill>
        </w:rPr>
      </w:pPr>
      <w:r>
        <w:rPr>
          <w:rFonts w:ascii="楷体" w:hAnsi="楷体" w:eastAsia="楷体"/>
          <w:color w:val="000000" w:themeColor="text1"/>
          <w:sz w:val="24"/>
          <w:szCs w:val="24"/>
          <w14:textFill>
            <w14:solidFill>
              <w14:schemeClr w14:val="tx1"/>
            </w14:solidFill>
          </w14:textFill>
        </w:rPr>
      </w:r>
      <w:r/>
    </w:p>
    <w:p>
      <w:pPr>
        <w:ind w:firstLine="480"/>
        <w:spacing w:line="40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注：附授权代表居民身份证、法定代表人居民身份证正反面扫描件；如法定代表人参加投标，“法人授权书”可不提供，但需提供法人代表人身份证正反面扫描件。</w:t>
      </w:r>
      <w:r/>
    </w:p>
    <w:p>
      <w:pPr>
        <w:ind w:firstLine="482"/>
        <w:jc w:val="center"/>
        <w:spacing w:line="440" w:lineRule="exact"/>
        <w:rPr>
          <w:rFonts w:ascii="Times New Roman" w:hAnsi="Times New Roman"/>
          <w:b/>
          <w:bCs/>
          <w:color w:val="000000" w:themeColor="text1"/>
          <w:sz w:val="28"/>
          <w:szCs w:val="28"/>
          <w14:textFill>
            <w14:solidFill>
              <w14:schemeClr w14:val="tx1"/>
            </w14:solidFill>
          </w14:textFill>
        </w:rPr>
        <w:outlineLvl w:val="1"/>
      </w:pPr>
      <w:r>
        <w:rPr>
          <w:rFonts w:ascii="宋体" w:hAnsi="宋体" w:eastAsia="幼圆" w:cs="Arial"/>
          <w:b/>
          <w:color w:val="000000" w:themeColor="text1"/>
          <w:sz w:val="24"/>
          <w:szCs w:val="44"/>
          <w14:textFill>
            <w14:solidFill>
              <w14:schemeClr w14:val="tx1"/>
            </w14:solidFill>
          </w14:textFill>
        </w:rPr>
        <w:br w:type="page" w:clear="all"/>
      </w:r>
      <w:bookmarkStart w:id="244" w:name="_Toc12841"/>
      <w:r>
        <w:rPr>
          <w:rFonts w:hint="eastAsia" w:ascii="Times New Roman" w:hAnsi="Times New Roman"/>
          <w:b/>
          <w:bCs/>
          <w:color w:val="000000" w:themeColor="text1"/>
          <w:sz w:val="28"/>
          <w:szCs w:val="28"/>
          <w14:textFill>
            <w14:solidFill>
              <w14:schemeClr w14:val="tx1"/>
            </w14:solidFill>
          </w14:textFill>
        </w:rPr>
        <w:t xml:space="preserve">附件14 中小企业声明函</w:t>
      </w:r>
      <w:bookmarkEnd w:id="244"/>
      <w:r/>
      <w:r/>
    </w:p>
    <w:p>
      <w:pPr>
        <w:ind w:firstLine="480"/>
        <w:spacing w:line="440" w:lineRule="exact"/>
        <w:rPr>
          <w:rFonts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本公司（联合体）郑重声明，根据《政府采购促进中小企业发展管理办法》（财库</w:t>
      </w:r>
      <w:r>
        <w:rPr>
          <w:rFonts w:hint="eastAsia" w:ascii="宋体" w:hAnsi="宋体" w:cs="宋体"/>
          <w:color w:val="000000" w:themeColor="text1"/>
          <w:sz w:val="24"/>
          <w:szCs w:val="24"/>
          <w14:textFill>
            <w14:solidFill>
              <w14:schemeClr w14:val="tx1"/>
            </w14:solidFill>
          </w14:textFill>
        </w:rPr>
        <w:t xml:space="preserve">﹝</w:t>
      </w:r>
      <w:r>
        <w:rPr>
          <w:rFonts w:ascii="宋体" w:hAnsi="宋体" w:cs="仿宋"/>
          <w:color w:val="000000" w:themeColor="text1"/>
          <w:sz w:val="24"/>
          <w:szCs w:val="24"/>
          <w14:textFill>
            <w14:solidFill>
              <w14:schemeClr w14:val="tx1"/>
            </w14:solidFill>
          </w14:textFill>
        </w:rPr>
        <w:t xml:space="preserve">2020</w:t>
      </w:r>
      <w:r>
        <w:rPr>
          <w:rFonts w:hint="eastAsia" w:ascii="宋体" w:hAnsi="宋体" w:cs="宋体"/>
          <w:color w:val="000000" w:themeColor="text1"/>
          <w:sz w:val="24"/>
          <w:szCs w:val="24"/>
          <w14:textFill>
            <w14:solidFill>
              <w14:schemeClr w14:val="tx1"/>
            </w14:solidFill>
          </w14:textFill>
        </w:rPr>
        <w:t xml:space="preserve">﹞</w:t>
      </w:r>
      <w:r>
        <w:rPr>
          <w:rFonts w:ascii="宋体" w:hAnsi="宋体" w:cs="仿宋"/>
          <w:color w:val="000000" w:themeColor="text1"/>
          <w:sz w:val="24"/>
          <w:szCs w:val="24"/>
          <w14:textFill>
            <w14:solidFill>
              <w14:schemeClr w14:val="tx1"/>
            </w14:solidFill>
          </w14:textFill>
        </w:rPr>
        <w:t xml:space="preserve">46 </w:t>
      </w:r>
      <w:r>
        <w:rPr>
          <w:rFonts w:hint="eastAsia" w:ascii="宋体" w:hAnsi="宋体" w:cs="仿宋"/>
          <w:color w:val="000000" w:themeColor="text1"/>
          <w:sz w:val="24"/>
          <w:szCs w:val="24"/>
          <w14:textFill>
            <w14:solidFill>
              <w14:schemeClr w14:val="tx1"/>
            </w14:solidFill>
          </w14:textFill>
        </w:rPr>
        <w:t xml:space="preserve">号）的规定，本公司（联合体）参加</w:t>
      </w:r>
      <w:r>
        <w:rPr>
          <w:rFonts w:hint="eastAsia" w:ascii="宋体" w:hAnsi="宋体" w:cs="仿宋"/>
          <w:color w:val="000000" w:themeColor="text1"/>
          <w:sz w:val="24"/>
          <w:szCs w:val="24"/>
          <w:u w:val="single"/>
          <w14:textFill>
            <w14:solidFill>
              <w14:schemeClr w14:val="tx1"/>
            </w14:solidFill>
          </w14:textFill>
        </w:rPr>
        <w:t xml:space="preserve">常熟市人民政府莫城街道办事处</w:t>
      </w:r>
      <w:r>
        <w:rPr>
          <w:rFonts w:hint="eastAsia" w:ascii="宋体" w:hAnsi="宋体" w:cs="仿宋"/>
          <w:color w:val="000000" w:themeColor="text1"/>
          <w:sz w:val="24"/>
          <w:szCs w:val="24"/>
          <w14:textFill>
            <w14:solidFill>
              <w14:schemeClr w14:val="tx1"/>
            </w14:solidFill>
          </w14:textFill>
        </w:rPr>
        <w:t xml:space="preserve">的</w:t>
      </w:r>
      <w:r>
        <w:rPr>
          <w:rFonts w:hint="eastAsia" w:ascii="宋体" w:hAnsi="宋体" w:cs="仿宋"/>
          <w:color w:val="000000" w:themeColor="text1"/>
          <w:sz w:val="24"/>
          <w:szCs w:val="24"/>
          <w:u w:val="single"/>
          <w14:textFill>
            <w14:solidFill>
              <w14:schemeClr w14:val="tx1"/>
            </w14:solidFill>
          </w14:textFill>
        </w:rPr>
        <w:t xml:space="preserve">莫城街道2025-2026年度三环外区域（市级移交属地管护区域）绿化养护</w:t>
      </w:r>
      <w:r>
        <w:rPr>
          <w:rFonts w:hint="eastAsia" w:ascii="宋体" w:hAnsi="宋体" w:cs="仿宋"/>
          <w:color w:val="000000" w:themeColor="text1"/>
          <w:sz w:val="24"/>
          <w:szCs w:val="24"/>
          <w14:textFill>
            <w14:solidFill>
              <w14:schemeClr w14:val="tx1"/>
            </w14:solidFill>
          </w14:textFill>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440" w:lineRule="exact"/>
        <w:shd w:val="clear" w:color="auto" w:fill="ffffff"/>
        <w:widowControl/>
        <w:rPr>
          <w:rFonts w:ascii="宋体" w:hAnsi="宋体" w:cs="仿宋"/>
          <w:color w:val="000000" w:themeColor="text1"/>
          <w:sz w:val="24"/>
          <w:szCs w:val="24"/>
          <w14:textFill>
            <w14:solidFill>
              <w14:schemeClr w14:val="tx1"/>
            </w14:solidFill>
          </w14:textFill>
        </w:rPr>
      </w:pPr>
      <w:r>
        <w:rPr>
          <w:rFonts w:ascii="宋体" w:hAnsi="宋体" w:cs="仿宋"/>
          <w:color w:val="000000" w:themeColor="text1"/>
          <w:sz w:val="24"/>
          <w:szCs w:val="24"/>
          <w14:textFill>
            <w14:solidFill>
              <w14:schemeClr w14:val="tx1"/>
            </w14:solidFill>
          </w14:textFill>
        </w:rPr>
        <w:t xml:space="preserve">1.</w:t>
      </w:r>
      <w:r>
        <w:rPr>
          <w:rFonts w:hint="eastAsia" w:ascii="Times New Roman" w:hAnsi="Times New Roman"/>
          <w:color w:val="000000" w:themeColor="text1"/>
          <w:szCs w:val="20"/>
          <w14:textFill>
            <w14:solidFill>
              <w14:schemeClr w14:val="tx1"/>
            </w14:solidFill>
          </w14:textFill>
        </w:rPr>
        <w:t xml:space="preserve"> </w:t>
      </w:r>
      <w:r>
        <w:rPr>
          <w:rFonts w:hint="eastAsia" w:ascii="宋体" w:hAnsi="宋体" w:cs="仿宋"/>
          <w:color w:val="000000" w:themeColor="text1"/>
          <w:sz w:val="24"/>
          <w:szCs w:val="24"/>
          <w:u w:val="single"/>
          <w14:textFill>
            <w14:solidFill>
              <w14:schemeClr w14:val="tx1"/>
            </w14:solidFill>
          </w14:textFill>
        </w:rPr>
        <w:t xml:space="preserve">莫城街道2025-2026年度三环外区域（市级移交属地管护区域）绿化养护</w:t>
      </w:r>
      <w:r>
        <w:rPr>
          <w:rFonts w:hint="eastAsia" w:ascii="宋体" w:hAnsi="宋体" w:cs="仿宋"/>
          <w:color w:val="000000" w:themeColor="text1"/>
          <w:sz w:val="24"/>
          <w:szCs w:val="24"/>
          <w14:textFill>
            <w14:solidFill>
              <w14:schemeClr w14:val="tx1"/>
            </w14:solidFill>
          </w14:textFill>
        </w:rPr>
        <w:t xml:space="preserve">，属于</w:t>
      </w:r>
      <w:r>
        <w:rPr>
          <w:rFonts w:hint="eastAsia" w:ascii="宋体" w:hAnsi="宋体" w:cs="仿宋"/>
          <w:color w:val="000000" w:themeColor="text1"/>
          <w:sz w:val="24"/>
          <w:szCs w:val="24"/>
          <w:u w:val="single"/>
          <w14:textFill>
            <w14:solidFill>
              <w14:schemeClr w14:val="tx1"/>
            </w14:solidFill>
          </w14:textFill>
        </w:rPr>
        <w:t xml:space="preserve">其他未列明行业</w:t>
      </w:r>
      <w:r>
        <w:rPr>
          <w:rFonts w:hint="eastAsia" w:ascii="宋体" w:hAnsi="宋体" w:cs="仿宋"/>
          <w:color w:val="000000" w:themeColor="text1"/>
          <w:sz w:val="24"/>
          <w:szCs w:val="24"/>
          <w14:textFill>
            <w14:solidFill>
              <w14:schemeClr w14:val="tx1"/>
            </w14:solidFill>
          </w14:textFill>
        </w:rPr>
        <w:t xml:space="preserve">；承建（承接）企业为</w:t>
      </w:r>
      <w:r>
        <w:rPr>
          <w:rFonts w:hint="eastAsia" w:ascii="宋体" w:hAnsi="宋体" w:cs="仿宋"/>
          <w:color w:val="000000" w:themeColor="text1"/>
          <w:sz w:val="24"/>
          <w:szCs w:val="24"/>
          <w:u w:val="single"/>
          <w14:textFill>
            <w14:solidFill>
              <w14:schemeClr w14:val="tx1"/>
            </w14:solidFill>
          </w14:textFill>
        </w:rPr>
        <w:t xml:space="preserve">（企业名称）</w:t>
      </w:r>
      <w:r>
        <w:rPr>
          <w:rFonts w:hint="eastAsia" w:ascii="宋体" w:hAnsi="宋体" w:cs="仿宋"/>
          <w:color w:val="000000" w:themeColor="text1"/>
          <w:sz w:val="24"/>
          <w:szCs w:val="24"/>
          <w14:textFill>
            <w14:solidFill>
              <w14:schemeClr w14:val="tx1"/>
            </w14:solidFill>
          </w14:textFill>
        </w:rPr>
        <w:t xml:space="preserve">，从业人员</w:t>
      </w:r>
      <w:r>
        <w:rPr>
          <w:rFonts w:hint="eastAsia" w:ascii="宋体" w:hAnsi="宋体" w:cs="仿宋"/>
          <w:color w:val="000000" w:themeColor="text1"/>
          <w:sz w:val="24"/>
          <w:szCs w:val="24"/>
          <w:u w:val="single"/>
          <w14:textFill>
            <w14:solidFill>
              <w14:schemeClr w14:val="tx1"/>
            </w14:solidFill>
          </w14:textFill>
        </w:rPr>
        <w:t xml:space="preserve">        </w:t>
      </w:r>
      <w:r>
        <w:rPr>
          <w:rFonts w:hint="eastAsia" w:ascii="宋体" w:hAnsi="宋体" w:cs="仿宋"/>
          <w:color w:val="000000" w:themeColor="text1"/>
          <w:sz w:val="24"/>
          <w:szCs w:val="24"/>
          <w14:textFill>
            <w14:solidFill>
              <w14:schemeClr w14:val="tx1"/>
            </w14:solidFill>
          </w14:textFill>
        </w:rPr>
        <w:t xml:space="preserve">人，营业收入为</w:t>
      </w:r>
      <w:r>
        <w:rPr>
          <w:rFonts w:hint="eastAsia" w:ascii="宋体" w:hAnsi="宋体" w:cs="仿宋"/>
          <w:color w:val="000000" w:themeColor="text1"/>
          <w:sz w:val="24"/>
          <w:szCs w:val="24"/>
          <w:u w:val="single"/>
          <w14:textFill>
            <w14:solidFill>
              <w14:schemeClr w14:val="tx1"/>
            </w14:solidFill>
          </w14:textFill>
        </w:rPr>
        <w:t xml:space="preserve">       </w:t>
      </w:r>
      <w:r>
        <w:rPr>
          <w:rFonts w:hint="eastAsia" w:ascii="宋体" w:hAnsi="宋体" w:cs="仿宋"/>
          <w:color w:val="000000" w:themeColor="text1"/>
          <w:sz w:val="24"/>
          <w:szCs w:val="24"/>
          <w14:textFill>
            <w14:solidFill>
              <w14:schemeClr w14:val="tx1"/>
            </w14:solidFill>
          </w14:textFill>
        </w:rPr>
        <w:t xml:space="preserve">万元，资产总额为</w:t>
      </w:r>
      <w:r>
        <w:rPr>
          <w:rFonts w:hint="eastAsia" w:ascii="宋体" w:hAnsi="宋体" w:cs="仿宋"/>
          <w:color w:val="000000" w:themeColor="text1"/>
          <w:sz w:val="24"/>
          <w:szCs w:val="24"/>
          <w:u w:val="single"/>
          <w14:textFill>
            <w14:solidFill>
              <w14:schemeClr w14:val="tx1"/>
            </w14:solidFill>
          </w14:textFill>
        </w:rPr>
        <w:t xml:space="preserve">        </w:t>
      </w:r>
      <w:r>
        <w:rPr>
          <w:rFonts w:hint="eastAsia" w:ascii="宋体" w:hAnsi="宋体" w:cs="仿宋"/>
          <w:color w:val="000000" w:themeColor="text1"/>
          <w:sz w:val="24"/>
          <w:szCs w:val="24"/>
          <w14:textFill>
            <w14:solidFill>
              <w14:schemeClr w14:val="tx1"/>
            </w14:solidFill>
          </w14:textFill>
        </w:rPr>
        <w:t xml:space="preserve">万元，属于</w:t>
      </w:r>
      <w:r>
        <w:rPr>
          <w:rFonts w:hint="eastAsia" w:ascii="宋体" w:hAnsi="宋体" w:cs="仿宋"/>
          <w:color w:val="000000" w:themeColor="text1"/>
          <w:sz w:val="24"/>
          <w:szCs w:val="24"/>
          <w:u w:val="single"/>
          <w14:textFill>
            <w14:solidFill>
              <w14:schemeClr w14:val="tx1"/>
            </w14:solidFill>
          </w14:textFill>
        </w:rPr>
        <w:t xml:space="preserve">（中型企业、小型企业、微型企业）</w:t>
      </w:r>
      <w:r>
        <w:rPr>
          <w:rFonts w:hint="eastAsia" w:ascii="宋体" w:hAnsi="宋体" w:cs="仿宋"/>
          <w:color w:val="000000" w:themeColor="text1"/>
          <w:sz w:val="24"/>
          <w:szCs w:val="24"/>
          <w14:textFill>
            <w14:solidFill>
              <w14:schemeClr w14:val="tx1"/>
            </w14:solidFill>
          </w14:textFill>
        </w:rPr>
        <w:t xml:space="preserve">；</w:t>
      </w:r>
      <w:r/>
    </w:p>
    <w:p>
      <w:pPr>
        <w:ind w:firstLine="480"/>
        <w:spacing w:line="440" w:lineRule="exact"/>
        <w:rPr>
          <w:rFonts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spacing w:line="440" w:lineRule="exact"/>
        <w:rPr>
          <w:rFonts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本企业对上述声明内容的真实性负责。如有虚假，将依法承担相应责任。</w:t>
      </w:r>
      <w:r/>
    </w:p>
    <w:p>
      <w:pPr>
        <w:ind w:right="2640" w:firstLine="480"/>
        <w:jc w:val="right"/>
        <w:spacing w:line="560" w:lineRule="exact"/>
        <w:rPr>
          <w:rFonts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投标人名称</w:t>
      </w:r>
      <w:r>
        <w:rPr>
          <w:rFonts w:hint="eastAsia" w:ascii="宋体" w:hAnsi="宋体"/>
          <w:color w:val="000000" w:themeColor="text1"/>
          <w:sz w:val="24"/>
          <w:szCs w:val="24"/>
          <w14:textFill>
            <w14:solidFill>
              <w14:schemeClr w14:val="tx1"/>
            </w14:solidFill>
          </w14:textFill>
        </w:rPr>
        <w:t xml:space="preserve">（加盖CA电子公章）</w:t>
      </w:r>
      <w:r>
        <w:rPr>
          <w:rFonts w:hint="eastAsia" w:ascii="宋体" w:hAnsi="宋体"/>
          <w:color w:val="000000" w:themeColor="text1"/>
          <w:sz w:val="24"/>
          <w:szCs w:val="21"/>
          <w14:textFill>
            <w14:solidFill>
              <w14:schemeClr w14:val="tx1"/>
            </w14:solidFill>
          </w14:textFill>
        </w:rPr>
        <w:t xml:space="preserve">：</w:t>
      </w:r>
      <w:r/>
    </w:p>
    <w:p>
      <w:pPr>
        <w:ind w:right="2640" w:firstLine="480"/>
        <w:jc w:val="right"/>
        <w:spacing w:line="560" w:lineRule="exact"/>
        <w:rPr>
          <w:rFonts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日 </w:t>
      </w:r>
      <w:r>
        <w:rPr>
          <w:rFonts w:ascii="宋体" w:hAnsi="宋体"/>
          <w:color w:val="000000" w:themeColor="text1"/>
          <w:sz w:val="24"/>
          <w:szCs w:val="21"/>
          <w14:textFill>
            <w14:solidFill>
              <w14:schemeClr w14:val="tx1"/>
            </w14:solidFill>
          </w14:textFill>
        </w:rPr>
        <w:t xml:space="preserve"> </w:t>
      </w:r>
      <w:r>
        <w:rPr>
          <w:rFonts w:hint="eastAsia" w:ascii="宋体" w:hAnsi="宋体"/>
          <w:color w:val="000000" w:themeColor="text1"/>
          <w:sz w:val="24"/>
          <w:szCs w:val="21"/>
          <w14:textFill>
            <w14:solidFill>
              <w14:schemeClr w14:val="tx1"/>
            </w14:solidFill>
          </w14:textFill>
        </w:rPr>
        <w:t xml:space="preserve">期：</w:t>
      </w:r>
      <w:r/>
    </w:p>
    <w:p>
      <w:pPr>
        <w:spacing w:line="44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注：（1）从业人员、营业收入、资产总额填报上一年度数据，无上一年度数据的新成立企业可不填报。</w:t>
      </w:r>
      <w:r/>
    </w:p>
    <w:p>
      <w:pPr>
        <w:ind w:firstLine="482"/>
        <w:jc w:val="left"/>
        <w:spacing w:line="440" w:lineRule="exact"/>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w:t>
      </w:r>
      <w:r>
        <w:rPr>
          <w:b/>
          <w:bCs/>
          <w:color w:val="000000" w:themeColor="text1"/>
          <w:sz w:val="24"/>
          <w:szCs w:val="24"/>
          <w14:textFill>
            <w14:solidFill>
              <w14:schemeClr w14:val="tx1"/>
            </w14:solidFill>
          </w14:textFill>
        </w:rPr>
        <w:t xml:space="preserve">2</w:t>
      </w:r>
      <w:r>
        <w:rPr>
          <w:rFonts w:hint="eastAsia"/>
          <w:b/>
          <w:bCs/>
          <w:color w:val="000000" w:themeColor="text1"/>
          <w:sz w:val="24"/>
          <w:szCs w:val="24"/>
          <w14:textFill>
            <w14:solidFill>
              <w14:schemeClr w14:val="tx1"/>
            </w14:solidFill>
          </w14:textFill>
        </w:rPr>
        <w:t xml:space="preserve">）本项目所属行业为：其他未列明行业。</w:t>
      </w:r>
      <w:r/>
    </w:p>
    <w:p>
      <w:pPr>
        <w:ind w:firstLine="482"/>
        <w:spacing w:line="440" w:lineRule="exact"/>
        <w:rPr>
          <w:b/>
          <w:bCs/>
          <w:color w:val="000000" w:themeColor="text1"/>
          <w:sz w:val="24"/>
          <w:szCs w:val="24"/>
          <w14:textFill>
            <w14:solidFill>
              <w14:schemeClr w14:val="tx1"/>
            </w14:solidFill>
          </w14:textFill>
        </w:rPr>
      </w:pPr>
      <w:r>
        <w:rPr>
          <w:b/>
          <w:bCs/>
          <w:color w:val="000000" w:themeColor="text1"/>
          <w:sz w:val="24"/>
          <w:szCs w:val="24"/>
          <w14:textFill>
            <w14:solidFill>
              <w14:schemeClr w14:val="tx1"/>
            </w14:solidFill>
          </w14:textFill>
        </w:rPr>
        <w:t xml:space="preserve">（3）上述</w:t>
      </w:r>
      <w:r>
        <w:rPr>
          <w:rFonts w:hint="eastAsia"/>
          <w:b/>
          <w:bCs/>
          <w:color w:val="000000" w:themeColor="text1"/>
          <w:sz w:val="24"/>
          <w:szCs w:val="24"/>
          <w14:textFill>
            <w14:solidFill>
              <w14:schemeClr w14:val="tx1"/>
            </w14:solidFill>
          </w14:textFill>
        </w:rPr>
        <w:t xml:space="preserve">“</w:t>
      </w:r>
      <w:r>
        <w:rPr>
          <w:b/>
          <w:bCs/>
          <w:color w:val="000000" w:themeColor="text1"/>
          <w:sz w:val="24"/>
          <w:szCs w:val="24"/>
          <w14:textFill>
            <w14:solidFill>
              <w14:schemeClr w14:val="tx1"/>
            </w14:solidFill>
          </w14:textFill>
        </w:rPr>
        <w:t xml:space="preserve">中小企业声明函</w:t>
      </w:r>
      <w:r>
        <w:rPr>
          <w:rFonts w:hint="eastAsia"/>
          <w:b/>
          <w:bCs/>
          <w:color w:val="000000" w:themeColor="text1"/>
          <w:sz w:val="24"/>
          <w:szCs w:val="24"/>
          <w14:textFill>
            <w14:solidFill>
              <w14:schemeClr w14:val="tx1"/>
            </w14:solidFill>
          </w14:textFill>
        </w:rPr>
        <w:t xml:space="preserve">”</w:t>
      </w:r>
      <w:r>
        <w:rPr>
          <w:b/>
          <w:bCs/>
          <w:color w:val="000000" w:themeColor="text1"/>
          <w:sz w:val="24"/>
          <w:szCs w:val="24"/>
          <w14:textFill>
            <w14:solidFill>
              <w14:schemeClr w14:val="tx1"/>
            </w14:solidFill>
          </w14:textFill>
        </w:rPr>
        <w:t xml:space="preserve">格式原则上不得改动，因擅自改动引起的评审风险由</w:t>
      </w:r>
      <w:r>
        <w:rPr>
          <w:rFonts w:hint="eastAsia"/>
          <w:b/>
          <w:bCs/>
          <w:color w:val="000000" w:themeColor="text1"/>
          <w:sz w:val="24"/>
          <w:szCs w:val="24"/>
          <w14:textFill>
            <w14:solidFill>
              <w14:schemeClr w14:val="tx1"/>
            </w14:solidFill>
          </w14:textFill>
        </w:rPr>
        <w:t xml:space="preserve">投标人</w:t>
      </w:r>
      <w:r>
        <w:rPr>
          <w:b/>
          <w:bCs/>
          <w:color w:val="000000" w:themeColor="text1"/>
          <w:sz w:val="24"/>
          <w:szCs w:val="24"/>
          <w14:textFill>
            <w14:solidFill>
              <w14:schemeClr w14:val="tx1"/>
            </w14:solidFill>
          </w14:textFill>
        </w:rPr>
        <w:t xml:space="preserve">自行承担。</w:t>
      </w:r>
      <w:r/>
    </w:p>
    <w:p>
      <w:pPr>
        <w:ind w:firstLine="482"/>
        <w:spacing w:line="440" w:lineRule="exact"/>
        <w:rPr>
          <w:color w:val="000000" w:themeColor="text1"/>
          <w:sz w:val="24"/>
          <w:szCs w:val="24"/>
          <w14:textFill>
            <w14:solidFill>
              <w14:schemeClr w14:val="tx1"/>
            </w14:solidFill>
          </w14:textFill>
        </w:rPr>
      </w:pPr>
      <w:r/>
      <w:bookmarkStart w:id="245" w:name="_Hlk100143292"/>
      <w:r>
        <w:rPr>
          <w:rFonts w:hint="eastAsia"/>
          <w:b/>
          <w:bCs/>
          <w:color w:val="000000" w:themeColor="text1"/>
          <w:sz w:val="24"/>
          <w:szCs w:val="24"/>
          <w14:textFill>
            <w14:solidFill>
              <w14:schemeClr w14:val="tx1"/>
            </w14:solidFill>
          </w14:textFill>
        </w:rPr>
        <w:t xml:space="preserve">（</w:t>
      </w:r>
      <w:r>
        <w:rPr>
          <w:b/>
          <w:bCs/>
          <w:color w:val="000000" w:themeColor="text1"/>
          <w:sz w:val="24"/>
          <w:szCs w:val="24"/>
          <w14:textFill>
            <w14:solidFill>
              <w14:schemeClr w14:val="tx1"/>
            </w14:solidFill>
          </w14:textFill>
        </w:rPr>
        <w:t xml:space="preserve">4</w:t>
      </w:r>
      <w:r>
        <w:rPr>
          <w:rFonts w:hint="eastAsia"/>
          <w:b/>
          <w:bCs/>
          <w:color w:val="000000" w:themeColor="text1"/>
          <w:sz w:val="24"/>
          <w:szCs w:val="24"/>
          <w14:textFill>
            <w14:solidFill>
              <w14:schemeClr w14:val="tx1"/>
            </w14:solidFill>
          </w14:textFill>
        </w:rPr>
        <w:t xml:space="preserve">）如未对上述声明函内（中型企业、小型企业、微型企业）进行勾选或明确，</w:t>
      </w:r>
      <w:r>
        <w:rPr>
          <w:b/>
          <w:bCs/>
          <w:color w:val="000000" w:themeColor="text1"/>
          <w:sz w:val="24"/>
          <w:szCs w:val="24"/>
          <w14:textFill>
            <w14:solidFill>
              <w14:schemeClr w14:val="tx1"/>
            </w14:solidFill>
          </w14:textFill>
        </w:rPr>
        <w:t xml:space="preserve">引起的评审风险由</w:t>
      </w:r>
      <w:r>
        <w:rPr>
          <w:rFonts w:hint="eastAsia"/>
          <w:b/>
          <w:bCs/>
          <w:color w:val="000000" w:themeColor="text1"/>
          <w:sz w:val="24"/>
          <w:szCs w:val="24"/>
          <w14:textFill>
            <w14:solidFill>
              <w14:schemeClr w14:val="tx1"/>
            </w14:solidFill>
          </w14:textFill>
        </w:rPr>
        <w:t xml:space="preserve">投标人</w:t>
      </w:r>
      <w:r>
        <w:rPr>
          <w:b/>
          <w:bCs/>
          <w:color w:val="000000" w:themeColor="text1"/>
          <w:sz w:val="24"/>
          <w:szCs w:val="24"/>
          <w14:textFill>
            <w14:solidFill>
              <w14:schemeClr w14:val="tx1"/>
            </w14:solidFill>
          </w14:textFill>
        </w:rPr>
        <w:t xml:space="preserve">自行承担。</w:t>
      </w:r>
      <w:bookmarkEnd w:id="245"/>
      <w:r/>
      <w:r/>
    </w:p>
    <w:p>
      <w:pPr>
        <w:ind w:firstLine="643"/>
        <w:jc w:val="center"/>
        <w:spacing w:line="440" w:lineRule="exact"/>
        <w:rPr>
          <w:rFonts w:ascii="Times New Roman" w:hAnsi="Times New Roman"/>
          <w:b/>
          <w:bCs/>
          <w:color w:val="000000" w:themeColor="text1"/>
          <w:sz w:val="28"/>
          <w:szCs w:val="28"/>
          <w14:textFill>
            <w14:solidFill>
              <w14:schemeClr w14:val="tx1"/>
            </w14:solidFill>
          </w14:textFill>
        </w:rPr>
        <w:outlineLvl w:val="1"/>
      </w:pPr>
      <w:r>
        <w:rPr>
          <w:rFonts w:ascii="黑体" w:hAnsi="黑体" w:eastAsia="黑体"/>
          <w:b/>
          <w:color w:val="000000" w:themeColor="text1"/>
          <w:sz w:val="32"/>
          <w:szCs w:val="32"/>
          <w14:textFill>
            <w14:solidFill>
              <w14:schemeClr w14:val="tx1"/>
            </w14:solidFill>
          </w14:textFill>
        </w:rPr>
        <w:br w:type="page" w:clear="all"/>
      </w:r>
      <w:bookmarkStart w:id="246" w:name="_Toc14184"/>
      <w:r>
        <w:rPr>
          <w:rFonts w:hint="eastAsia" w:ascii="Times New Roman" w:hAnsi="Times New Roman"/>
          <w:b/>
          <w:bCs/>
          <w:color w:val="000000" w:themeColor="text1"/>
          <w:sz w:val="28"/>
          <w:szCs w:val="28"/>
          <w14:textFill>
            <w14:solidFill>
              <w14:schemeClr w14:val="tx1"/>
            </w14:solidFill>
          </w14:textFill>
        </w:rPr>
        <w:t xml:space="preserve">附件15 残疾人福利性单位声明函</w:t>
      </w:r>
      <w:bookmarkEnd w:id="246"/>
      <w:r/>
      <w:r/>
    </w:p>
    <w:p>
      <w:pPr>
        <w:ind w:firstLine="480"/>
        <w:spacing w:line="588" w:lineRule="exact"/>
        <w:rPr>
          <w:rFonts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themeColor="text1"/>
          <w:sz w:val="24"/>
          <w:szCs w:val="21"/>
          <w:u w:val="single"/>
          <w14:textFill>
            <w14:solidFill>
              <w14:schemeClr w14:val="tx1"/>
            </w14:solidFill>
          </w14:textFill>
        </w:rPr>
        <w:t xml:space="preserve">       </w:t>
      </w:r>
      <w:r>
        <w:rPr>
          <w:rFonts w:hint="eastAsia" w:ascii="宋体" w:hAnsi="宋体"/>
          <w:color w:val="000000" w:themeColor="text1"/>
          <w:sz w:val="24"/>
          <w:szCs w:val="21"/>
          <w14:textFill>
            <w14:solidFill>
              <w14:schemeClr w14:val="tx1"/>
            </w14:solidFill>
          </w14:textFill>
        </w:rPr>
        <w:t xml:space="preserve">项目采购活动提供本单位制造的货物</w:t>
      </w:r>
      <w:r>
        <w:rPr>
          <w:rFonts w:ascii="Times New Roman" w:hAnsi="Times New Roman" w:eastAsia="宋体"/>
          <w:sz w:val="24"/>
          <w:szCs w:val="21"/>
          <w:highlight w:val="none"/>
          <w:lang w:val="zh-CN"/>
        </w:rPr>
        <w:t xml:space="preserve">（由本单位承担工程/提供服务），或者提供其他残疾人福利性单位制造的货物（不包括使用非残疾人福利性单位注册商标的货物）。</w:t>
      </w:r>
      <w:r/>
    </w:p>
    <w:p>
      <w:pPr>
        <w:ind w:firstLine="480"/>
        <w:spacing w:line="588" w:lineRule="exact"/>
        <w:rPr>
          <w:rFonts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本单位对上述声明的真实性负责。如有虚假，将依法承担相应责任。</w:t>
      </w:r>
      <w:r/>
    </w:p>
    <w:p>
      <w:pPr>
        <w:ind w:firstLine="480"/>
        <w:spacing w:line="588" w:lineRule="exact"/>
        <w:rPr>
          <w:rFonts w:ascii="宋体" w:hAnsi="宋体"/>
          <w:color w:val="000000" w:themeColor="text1"/>
          <w:sz w:val="24"/>
          <w:szCs w:val="21"/>
          <w14:textFill>
            <w14:solidFill>
              <w14:schemeClr w14:val="tx1"/>
            </w14:solidFill>
          </w14:textFill>
        </w:rPr>
      </w:pPr>
      <w:r>
        <w:rPr>
          <w:rFonts w:ascii="宋体" w:hAnsi="宋体"/>
          <w:color w:val="000000" w:themeColor="text1"/>
          <w:sz w:val="24"/>
          <w:szCs w:val="21"/>
          <w14:textFill>
            <w14:solidFill>
              <w14:schemeClr w14:val="tx1"/>
            </w14:solidFill>
          </w14:textFill>
        </w:rPr>
      </w:r>
      <w:r/>
    </w:p>
    <w:p>
      <w:pPr>
        <w:ind w:firstLine="480"/>
        <w:spacing w:line="588" w:lineRule="exact"/>
        <w:rPr>
          <w:rFonts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（备注：1、投标人如不提供此声明函，价格将不做相应扣除。2、中标人为残疾人福利单位的，此声明函将随中标结果同时公告，接受社会监督）</w:t>
      </w:r>
      <w:r/>
    </w:p>
    <w:p>
      <w:pPr>
        <w:ind w:firstLine="624"/>
        <w:spacing w:line="588" w:lineRule="exact"/>
        <w:rPr>
          <w:rFonts w:ascii="仿宋_GB2312" w:hAnsi="Times New Roman" w:eastAsia="仿宋_GB2312"/>
          <w:color w:val="000000" w:themeColor="text1"/>
          <w:spacing w:val="6"/>
          <w:sz w:val="30"/>
          <w:szCs w:val="30"/>
          <w14:textFill>
            <w14:solidFill>
              <w14:schemeClr w14:val="tx1"/>
            </w14:solidFill>
          </w14:textFill>
        </w:rPr>
      </w:pPr>
      <w:r>
        <w:rPr>
          <w:rFonts w:ascii="仿宋_GB2312" w:hAnsi="Times New Roman" w:eastAsia="仿宋_GB2312"/>
          <w:color w:val="000000" w:themeColor="text1"/>
          <w:spacing w:val="6"/>
          <w:sz w:val="30"/>
          <w:szCs w:val="30"/>
          <w14:textFill>
            <w14:solidFill>
              <w14:schemeClr w14:val="tx1"/>
            </w14:solidFill>
          </w14:textFill>
        </w:rPr>
      </w:r>
      <w:r/>
    </w:p>
    <w:p>
      <w:pPr>
        <w:ind w:right="1560" w:firstLine="624"/>
        <w:jc w:val="center"/>
        <w:spacing w:line="588" w:lineRule="exact"/>
        <w:tabs>
          <w:tab w:val="left" w:pos="4860" w:leader="none"/>
        </w:tabs>
        <w:rPr>
          <w:rFonts w:ascii="宋体" w:hAnsi="宋体"/>
          <w:color w:val="000000" w:themeColor="text1"/>
          <w:sz w:val="24"/>
          <w:szCs w:val="21"/>
          <w14:textFill>
            <w14:solidFill>
              <w14:schemeClr w14:val="tx1"/>
            </w14:solidFill>
          </w14:textFill>
        </w:rPr>
      </w:pPr>
      <w:r>
        <w:rPr>
          <w:rFonts w:hint="eastAsia" w:ascii="仿宋_GB2312" w:hAnsi="Times New Roman" w:eastAsia="仿宋_GB2312"/>
          <w:color w:val="000000" w:themeColor="text1"/>
          <w:spacing w:val="6"/>
          <w:sz w:val="30"/>
          <w:szCs w:val="30"/>
          <w14:textFill>
            <w14:solidFill>
              <w14:schemeClr w14:val="tx1"/>
            </w14:solidFill>
          </w14:textFill>
        </w:rPr>
        <w:t xml:space="preserve">             </w:t>
      </w:r>
      <w:r>
        <w:rPr>
          <w:rFonts w:hint="eastAsia" w:ascii="宋体" w:hAnsi="宋体"/>
          <w:color w:val="000000" w:themeColor="text1"/>
          <w:sz w:val="24"/>
          <w:szCs w:val="21"/>
          <w14:textFill>
            <w14:solidFill>
              <w14:schemeClr w14:val="tx1"/>
            </w14:solidFill>
          </w14:textFill>
        </w:rPr>
        <w:t xml:space="preserve">          投标人全称（加盖CA电子公章）：</w:t>
      </w:r>
      <w:r/>
    </w:p>
    <w:p>
      <w:pPr>
        <w:ind w:right="1560" w:firstLine="480"/>
        <w:jc w:val="center"/>
        <w:spacing w:line="588" w:lineRule="exact"/>
        <w:tabs>
          <w:tab w:val="left" w:pos="4860" w:leader="none"/>
        </w:tabs>
        <w:rPr>
          <w:rFonts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        日  期：</w:t>
      </w:r>
      <w:r/>
    </w:p>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br w:type="page" w:clear="all"/>
      </w:r>
      <w:r/>
    </w:p>
    <w:p>
      <w:pPr>
        <w:ind w:firstLine="562"/>
        <w:jc w:val="center"/>
        <w:spacing w:line="440" w:lineRule="exact"/>
        <w:rPr>
          <w:rFonts w:ascii="Times New Roman" w:hAnsi="Times New Roman"/>
          <w:b/>
          <w:bCs/>
          <w:color w:val="000000" w:themeColor="text1"/>
          <w:sz w:val="28"/>
          <w:szCs w:val="28"/>
          <w14:textFill>
            <w14:solidFill>
              <w14:schemeClr w14:val="tx1"/>
            </w14:solidFill>
          </w14:textFill>
        </w:rPr>
        <w:outlineLvl w:val="1"/>
      </w:pPr>
      <w:r/>
      <w:bookmarkStart w:id="247" w:name="_Toc17235"/>
      <w:r/>
      <w:bookmarkStart w:id="248" w:name="_Toc155086574"/>
      <w:r/>
      <w:bookmarkStart w:id="249" w:name="_Toc155086474"/>
      <w:r/>
      <w:bookmarkStart w:id="250" w:name="_Toc5874"/>
      <w:r>
        <w:rPr>
          <w:rFonts w:hint="eastAsia" w:ascii="Times New Roman" w:hAnsi="Times New Roman"/>
          <w:b/>
          <w:bCs/>
          <w:color w:val="000000" w:themeColor="text1"/>
          <w:sz w:val="28"/>
          <w:szCs w:val="28"/>
          <w14:textFill>
            <w14:solidFill>
              <w14:schemeClr w14:val="tx1"/>
            </w14:solidFill>
          </w14:textFill>
        </w:rPr>
        <w:t xml:space="preserve">附件16</w:t>
      </w:r>
      <w:r>
        <w:rPr>
          <w:rFonts w:ascii="Times New Roman" w:hAnsi="Times New Roman"/>
          <w:b/>
          <w:bCs/>
          <w:color w:val="000000" w:themeColor="text1"/>
          <w:sz w:val="28"/>
          <w:szCs w:val="28"/>
          <w14:textFill>
            <w14:solidFill>
              <w14:schemeClr w14:val="tx1"/>
            </w14:solidFill>
          </w14:textFill>
        </w:rPr>
        <w:t xml:space="preserve"> </w:t>
      </w:r>
      <w:r>
        <w:rPr>
          <w:rFonts w:hint="eastAsia" w:ascii="Times New Roman" w:hAnsi="Times New Roman"/>
          <w:b/>
          <w:bCs/>
          <w:color w:val="000000" w:themeColor="text1"/>
          <w:sz w:val="28"/>
          <w:szCs w:val="28"/>
          <w14:textFill>
            <w14:solidFill>
              <w14:schemeClr w14:val="tx1"/>
            </w14:solidFill>
          </w14:textFill>
        </w:rPr>
        <w:t xml:space="preserve">投标函</w:t>
      </w:r>
      <w:bookmarkEnd w:id="247"/>
      <w:r/>
      <w:bookmarkEnd w:id="248"/>
      <w:r/>
      <w:bookmarkEnd w:id="249"/>
      <w:r/>
      <w:bookmarkEnd w:id="250"/>
      <w:r/>
      <w:r/>
    </w:p>
    <w:p>
      <w:pPr>
        <w:jc w:val="left"/>
        <w:spacing w:line="420" w:lineRule="exact"/>
        <w:rPr>
          <w:rFonts w:ascii="宋体" w:hAnsi="宋体"/>
          <w:color w:val="000000" w:themeColor="text1"/>
          <w:sz w:val="24"/>
          <w:szCs w:val="21"/>
          <w14:textFill>
            <w14:solidFill>
              <w14:schemeClr w14:val="tx1"/>
            </w14:solidFill>
          </w14:textFill>
        </w:rPr>
      </w:pPr>
      <w:r>
        <w:rPr>
          <w:rFonts w:ascii="宋体" w:hAnsi="宋体"/>
          <w:color w:val="000000" w:themeColor="text1"/>
          <w:sz w:val="24"/>
          <w:szCs w:val="21"/>
          <w14:textFill>
            <w14:solidFill>
              <w14:schemeClr w14:val="tx1"/>
            </w14:solidFill>
          </w14:textFill>
        </w:rPr>
      </w:r>
      <w:r/>
    </w:p>
    <w:p>
      <w:pPr>
        <w:spacing w:line="440" w:lineRule="exact"/>
        <w:rPr>
          <w:rFonts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致：</w:t>
      </w:r>
      <w:r>
        <w:rPr>
          <w:rFonts w:hint="eastAsia" w:ascii="宋体" w:hAnsi="宋体"/>
          <w:color w:val="000000" w:themeColor="text1"/>
          <w:sz w:val="24"/>
          <w:szCs w:val="24"/>
          <w:u w:val="single"/>
          <w:lang w:val="zh-CN"/>
          <w14:textFill>
            <w14:solidFill>
              <w14:schemeClr w14:val="tx1"/>
            </w14:solidFill>
          </w14:textFill>
        </w:rPr>
        <w:t xml:space="preserve">苏州新一造价师价格事务所有限公司</w:t>
      </w:r>
      <w:r/>
    </w:p>
    <w:p>
      <w:pPr>
        <w:pStyle w:val="948"/>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根据贵方的</w:t>
      </w:r>
      <w:r>
        <w:rPr>
          <w:rFonts w:hint="eastAsia" w:ascii="宋体" w:hAnsi="宋体"/>
          <w:color w:val="000000" w:themeColor="text1"/>
          <w:szCs w:val="21"/>
          <w:lang w:eastAsia="zh-CN"/>
          <w14:textFill>
            <w14:solidFill>
              <w14:schemeClr w14:val="tx1"/>
            </w14:solidFill>
          </w14:textFill>
        </w:rPr>
        <w:t xml:space="preserve">JSZC-320581-SZXY-G2024-0064</w:t>
      </w:r>
      <w:r>
        <w:rPr>
          <w:rFonts w:hint="eastAsia" w:ascii="宋体" w:hAnsi="宋体"/>
          <w:color w:val="000000" w:themeColor="text1"/>
          <w:szCs w:val="21"/>
          <w14:textFill>
            <w14:solidFill>
              <w14:schemeClr w14:val="tx1"/>
            </w14:solidFill>
          </w14:textFill>
        </w:rPr>
        <w:t xml:space="preserve">号招标文件，正式授权下述______(姓名)代表我方______________（投标人的名称），全权处理本次项目投标的有关事宜。</w:t>
      </w:r>
      <w:r/>
    </w:p>
    <w:p>
      <w:pPr>
        <w:pStyle w:val="948"/>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据此函，__________（姓名）代表兹宣布同意如下：</w:t>
      </w:r>
      <w:r/>
    </w:p>
    <w:p>
      <w:pPr>
        <w:pStyle w:val="948"/>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1.按招标文件规定的各项要求，向买方提供所需服务（包含与服务相关的货物）。</w:t>
      </w:r>
      <w:r/>
    </w:p>
    <w:p>
      <w:pPr>
        <w:pStyle w:val="948"/>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2.我们完全理解贵方不一定将合同授予最低报价的投标人。</w:t>
      </w:r>
      <w:r/>
    </w:p>
    <w:p>
      <w:pPr>
        <w:pStyle w:val="948"/>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3.我们已详细审核全部招标文件及其有效补充文件，我们知道必须放弃提出含糊不清或误解问题的权利。</w:t>
      </w:r>
      <w:r/>
    </w:p>
    <w:p>
      <w:pPr>
        <w:pStyle w:val="948"/>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4.我们同意从规定的开标日期起遵循本投标文件，并在规定的投标有效期期满之前均具有约束力。</w:t>
      </w:r>
      <w:r/>
    </w:p>
    <w:p>
      <w:pPr>
        <w:pStyle w:val="948"/>
        <w:spacing w:before="0" w:after="0" w:line="42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5</w:t>
      </w:r>
      <w:r>
        <w:rPr>
          <w:rFonts w:hint="eastAsia" w:ascii="宋体" w:hAnsi="宋体"/>
          <w:color w:val="000000" w:themeColor="text1"/>
          <w:szCs w:val="21"/>
          <w14:textFill>
            <w14:solidFill>
              <w14:schemeClr w14:val="tx1"/>
            </w14:solidFill>
          </w14:textFill>
        </w:rPr>
        <w:t xml:space="preserve">.同意向贵方提供贵方可能另外要求的与投标有关的任何证据或资料，并保证我方已提供和将要提供的文件是真实的、准确的。</w:t>
      </w:r>
      <w:r/>
    </w:p>
    <w:p>
      <w:pPr>
        <w:pStyle w:val="948"/>
        <w:spacing w:before="0" w:after="0" w:line="42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6</w:t>
      </w:r>
      <w:r>
        <w:rPr>
          <w:rFonts w:hint="eastAsia" w:ascii="宋体" w:hAnsi="宋体"/>
          <w:color w:val="000000" w:themeColor="text1"/>
          <w:szCs w:val="21"/>
          <w14:textFill>
            <w14:solidFill>
              <w14:schemeClr w14:val="tx1"/>
            </w14:solidFill>
          </w14:textFill>
        </w:rPr>
        <w:t xml:space="preserve">.一旦我方中标,我方将根据招标文件的规定，严格履行合同的责任和义务,并保证在招标文件规定的时间完成项目，交付买方验收、使用。</w:t>
      </w:r>
      <w:r/>
    </w:p>
    <w:p>
      <w:pPr>
        <w:pStyle w:val="948"/>
        <w:spacing w:before="0" w:after="0" w:line="42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7</w:t>
      </w:r>
      <w:r>
        <w:rPr>
          <w:rFonts w:hint="eastAsia" w:ascii="宋体" w:hAnsi="宋体"/>
          <w:color w:val="000000" w:themeColor="text1"/>
          <w:szCs w:val="21"/>
          <w14:textFill>
            <w14:solidFill>
              <w14:schemeClr w14:val="tx1"/>
            </w14:solidFill>
          </w14:textFill>
        </w:rPr>
        <w:t xml:space="preserve">.与本投标有关的正式通讯地址为：</w:t>
      </w:r>
      <w:r/>
    </w:p>
    <w:p>
      <w:pPr>
        <w:pStyle w:val="948"/>
        <w:ind w:left="420"/>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地          址：</w:t>
      </w:r>
      <w:r/>
    </w:p>
    <w:p>
      <w:pPr>
        <w:pStyle w:val="948"/>
        <w:ind w:left="420"/>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邮          编：</w:t>
      </w:r>
      <w:r/>
    </w:p>
    <w:p>
      <w:pPr>
        <w:pStyle w:val="948"/>
        <w:ind w:left="420"/>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电          话：</w:t>
      </w:r>
      <w:r/>
    </w:p>
    <w:p>
      <w:pPr>
        <w:pStyle w:val="948"/>
        <w:ind w:left="420"/>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传          真：</w:t>
      </w:r>
      <w:r/>
    </w:p>
    <w:p>
      <w:pPr>
        <w:pStyle w:val="948"/>
        <w:ind w:left="420"/>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投 标 人开户行：</w:t>
      </w:r>
      <w:r/>
    </w:p>
    <w:p>
      <w:pPr>
        <w:pStyle w:val="948"/>
        <w:ind w:left="420"/>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账          号： </w:t>
      </w:r>
      <w:r/>
    </w:p>
    <w:p>
      <w:pPr>
        <w:pStyle w:val="948"/>
        <w:ind w:left="420"/>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日          期：________年____月____日</w:t>
      </w:r>
      <w:r/>
    </w:p>
    <w:p>
      <w:pPr>
        <w:ind w:firstLine="480"/>
        <w:rPr>
          <w:rFonts w:ascii="Times New Roman" w:hAnsi="Times New Roman"/>
          <w:i/>
          <w:color w:val="000000" w:themeColor="text1"/>
          <w:sz w:val="24"/>
          <w:szCs w:val="24"/>
          <w:u w:val="single"/>
          <w14:textFill>
            <w14:solidFill>
              <w14:schemeClr w14:val="tx1"/>
            </w14:solidFill>
          </w14:textFill>
        </w:rPr>
      </w:pPr>
      <w:r>
        <w:rPr>
          <w:rFonts w:ascii="Times New Roman" w:hAnsi="Times New Roman"/>
          <w:i/>
          <w:color w:val="000000" w:themeColor="text1"/>
          <w:sz w:val="24"/>
          <w:szCs w:val="24"/>
          <w:u w:val="single"/>
          <w14:textFill>
            <w14:solidFill>
              <w14:schemeClr w14:val="tx1"/>
            </w14:solidFill>
          </w14:textFill>
        </w:rPr>
      </w:r>
      <w:r/>
    </w:p>
    <w:p>
      <w:pPr>
        <w:pStyle w:val="723"/>
        <w:ind w:firstLine="482"/>
        <w:rPr>
          <w:color w:val="000000" w:themeColor="text1"/>
          <w14:textFill>
            <w14:solidFill>
              <w14:schemeClr w14:val="tx1"/>
            </w14:solidFill>
          </w14:textFill>
        </w:rPr>
      </w:pPr>
      <w:r>
        <w:rPr>
          <w:rFonts w:ascii="宋体" w:hAnsi="宋体" w:eastAsia="幼圆" w:cs="Arial"/>
          <w:b/>
          <w:color w:val="000000" w:themeColor="text1"/>
          <w:sz w:val="24"/>
          <w:szCs w:val="44"/>
          <w14:textFill>
            <w14:solidFill>
              <w14:schemeClr w14:val="tx1"/>
            </w14:solidFill>
          </w14:textFill>
        </w:rPr>
        <w:br w:type="page" w:clear="all"/>
      </w:r>
      <w:r/>
    </w:p>
    <w:p>
      <w:pPr>
        <w:ind w:firstLine="562"/>
        <w:jc w:val="center"/>
        <w:spacing w:line="440" w:lineRule="exact"/>
        <w:rPr>
          <w:rFonts w:ascii="Times New Roman" w:hAnsi="Times New Roman"/>
          <w:b/>
          <w:bCs/>
          <w:color w:val="000000" w:themeColor="text1"/>
          <w:sz w:val="28"/>
          <w:szCs w:val="28"/>
          <w14:textFill>
            <w14:solidFill>
              <w14:schemeClr w14:val="tx1"/>
            </w14:solidFill>
          </w14:textFill>
        </w:rPr>
        <w:outlineLvl w:val="1"/>
      </w:pPr>
      <w:r/>
      <w:bookmarkStart w:id="251" w:name="_Toc13683"/>
      <w:r>
        <w:rPr>
          <w:rFonts w:hint="eastAsia" w:ascii="Times New Roman" w:hAnsi="Times New Roman"/>
          <w:b/>
          <w:bCs/>
          <w:color w:val="000000" w:themeColor="text1"/>
          <w:sz w:val="28"/>
          <w:szCs w:val="28"/>
          <w14:textFill>
            <w14:solidFill>
              <w14:schemeClr w14:val="tx1"/>
            </w14:solidFill>
          </w14:textFill>
        </w:rPr>
        <w:t xml:space="preserve">附件17 实质性要求响应及偏离表</w:t>
      </w:r>
      <w:bookmarkEnd w:id="251"/>
      <w:r/>
      <w:r/>
    </w:p>
    <w:tbl>
      <w:tblPr>
        <w:tblStyle w:val="717"/>
        <w:tblW w:w="98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5"/>
        <w:gridCol w:w="5451"/>
        <w:gridCol w:w="1902"/>
        <w:gridCol w:w="1620"/>
      </w:tblGrid>
      <w:tr>
        <w:trPr>
          <w:cantSplit/>
          <w:jc w:val="center"/>
          <w:trHeight w:val="649"/>
        </w:trPr>
        <w:tc>
          <w:tcPr>
            <w:tcW w:w="885" w:type="dxa"/>
            <w:vAlign w:val="center"/>
            <w:textDirection w:val="lrTb"/>
            <w:noWrap w:val="false"/>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序号</w:t>
            </w:r>
            <w:r/>
          </w:p>
        </w:tc>
        <w:tc>
          <w:tcPr>
            <w:tcW w:w="5451" w:type="dxa"/>
            <w:vAlign w:val="center"/>
            <w:textDirection w:val="lrTb"/>
            <w:noWrap w:val="false"/>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服务</w:t>
            </w:r>
            <w:r>
              <w:rPr>
                <w:rFonts w:ascii="宋体" w:hAnsi="宋体"/>
                <w:color w:val="000000" w:themeColor="text1"/>
                <w:sz w:val="24"/>
                <w:szCs w:val="24"/>
                <w:highlight w:val="none"/>
                <w14:textFill>
                  <w14:solidFill>
                    <w14:schemeClr w14:val="tx1"/>
                  </w14:solidFill>
                </w14:textFill>
              </w:rPr>
              <w:t xml:space="preserve">要求和商务要求中的实质性要求</w:t>
            </w:r>
            <w:r/>
          </w:p>
        </w:tc>
        <w:tc>
          <w:tcPr>
            <w:tcW w:w="1902" w:type="dxa"/>
            <w:vAlign w:val="center"/>
            <w:textDirection w:val="lrTb"/>
            <w:noWrap w:val="false"/>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投标响应情况</w:t>
            </w:r>
            <w:r/>
          </w:p>
        </w:tc>
        <w:tc>
          <w:tcPr>
            <w:tcW w:w="1620" w:type="dxa"/>
            <w:vAlign w:val="center"/>
            <w:textDirection w:val="lrTb"/>
            <w:noWrap w:val="false"/>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超出、符合或偏离</w:t>
            </w:r>
            <w:r/>
          </w:p>
        </w:tc>
      </w:tr>
      <w:tr>
        <w:trPr>
          <w:cantSplit/>
          <w:jc w:val="center"/>
          <w:trHeight w:val="547"/>
        </w:trPr>
        <w:tc>
          <w:tcPr>
            <w:tcW w:w="885" w:type="dxa"/>
            <w:vAlign w:val="center"/>
            <w:textDirection w:val="lrTb"/>
            <w:noWrap w:val="false"/>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5451" w:type="dxa"/>
            <w:vAlign w:val="center"/>
            <w:textDirection w:val="lrTb"/>
            <w:noWrap w:val="false"/>
          </w:tcPr>
          <w:p>
            <w:pPr>
              <w:keepLines w:val="0"/>
              <w:keepNext w:val="0"/>
              <w:pageBreakBefore w:val="0"/>
              <w:spacing w:line="240" w:lineRule="atLeast"/>
              <w:widowControl w:val="off"/>
              <w:rPr>
                <w:b w:val="0"/>
                <w:bCs w:val="0"/>
                <w:i w:val="0"/>
                <w:iCs/>
                <w:color w:val="000000" w:themeColor="text1"/>
                <w:sz w:val="24"/>
                <w:highlight w:val="none"/>
                <w:u w:val="none"/>
                <w14:textFill>
                  <w14:solidFill>
                    <w14:schemeClr w14:val="tx1"/>
                  </w14:solidFill>
                </w14:textFill>
              </w:rPr>
            </w:pPr>
            <w:r>
              <w:rPr>
                <w:rFonts w:hint="eastAsia" w:ascii="宋体" w:hAnsi="宋体"/>
                <w:b w:val="0"/>
                <w:bCs w:val="0"/>
                <w:i w:val="0"/>
                <w:iCs/>
                <w:color w:val="000000"/>
                <w:sz w:val="24"/>
                <w:szCs w:val="24"/>
                <w:highlight w:val="none"/>
                <w:u w:val="none"/>
              </w:rPr>
              <w:t xml:space="preserve">服务期限：自合同签订之日起两年。</w:t>
            </w:r>
            <w:r/>
          </w:p>
        </w:tc>
        <w:tc>
          <w:tcPr>
            <w:tcW w:w="1902" w:type="dxa"/>
            <w:vAlign w:val="center"/>
            <w:textDirection w:val="lrTb"/>
            <w:noWrap w:val="false"/>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620" w:type="dxa"/>
            <w:vAlign w:val="center"/>
            <w:textDirection w:val="lrTb"/>
            <w:noWrap w:val="false"/>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jc w:val="center"/>
          <w:trHeight w:val="691"/>
        </w:trPr>
        <w:tc>
          <w:tcPr>
            <w:tcW w:w="885" w:type="dxa"/>
            <w:vAlign w:val="center"/>
            <w:textDirection w:val="lrTb"/>
            <w:noWrap w:val="false"/>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W w:w="5451" w:type="dxa"/>
            <w:vAlign w:val="center"/>
            <w:textDirection w:val="lrTb"/>
            <w:noWrap w:val="false"/>
          </w:tcPr>
          <w:p>
            <w:pPr>
              <w:keepLines w:val="0"/>
              <w:keepNext w:val="0"/>
              <w:pageBreakBefore w:val="0"/>
              <w:spacing w:line="240" w:lineRule="atLeast"/>
              <w:widowControl w:val="off"/>
              <w:rPr>
                <w:rFonts w:ascii="宋体" w:hAnsi="宋体"/>
                <w:b w:val="0"/>
                <w:bCs w:val="0"/>
                <w:i w:val="0"/>
                <w:iCs/>
                <w:color w:val="000000"/>
                <w:sz w:val="24"/>
                <w:szCs w:val="24"/>
                <w:highlight w:val="none"/>
                <w:u w:val="none"/>
              </w:rPr>
            </w:pPr>
            <w:r>
              <w:rPr>
                <w:rFonts w:hint="eastAsia" w:ascii="宋体" w:hAnsi="宋体"/>
                <w:b w:val="0"/>
                <w:bCs w:val="0"/>
                <w:i w:val="0"/>
                <w:iCs/>
                <w:color w:val="000000"/>
                <w:sz w:val="24"/>
                <w:szCs w:val="24"/>
                <w:highlight w:val="none"/>
                <w:u w:val="none"/>
              </w:rPr>
              <w:t xml:space="preserve">付款方式：</w:t>
            </w:r>
            <w:r/>
          </w:p>
          <w:p>
            <w:pPr>
              <w:ind w:firstLine="480"/>
              <w:keepLines w:val="0"/>
              <w:keepNext w:val="0"/>
              <w:pageBreakBefore w:val="0"/>
              <w:spacing w:line="240" w:lineRule="atLeast"/>
              <w:widowControl w:val="off"/>
              <w:rPr>
                <w:rFonts w:ascii="宋体" w:hAnsi="宋体"/>
                <w:b w:val="0"/>
                <w:bCs w:val="0"/>
                <w:i w:val="0"/>
                <w:iCs/>
                <w:color w:val="000000"/>
                <w:sz w:val="24"/>
                <w:szCs w:val="24"/>
                <w:highlight w:val="none"/>
                <w:u w:val="none"/>
              </w:rPr>
            </w:pPr>
            <w:r>
              <w:rPr>
                <w:rFonts w:hint="eastAsia" w:ascii="宋体" w:hAnsi="宋体"/>
                <w:b w:val="0"/>
                <w:bCs w:val="0"/>
                <w:i w:val="0"/>
                <w:iCs/>
                <w:color w:val="000000"/>
                <w:sz w:val="24"/>
                <w:szCs w:val="24"/>
                <w:highlight w:val="none"/>
                <w:u w:val="none"/>
              </w:rPr>
              <w:t xml:space="preserve">1</w:t>
            </w:r>
            <w:r>
              <w:rPr>
                <w:rFonts w:hint="eastAsia" w:ascii="宋体" w:hAnsi="宋体"/>
                <w:b w:val="0"/>
                <w:bCs w:val="0"/>
                <w:i w:val="0"/>
                <w:iCs/>
                <w:color w:val="000000"/>
                <w:sz w:val="24"/>
                <w:szCs w:val="24"/>
                <w:highlight w:val="none"/>
                <w:u w:val="none"/>
                <w:lang w:eastAsia="zh-CN"/>
              </w:rPr>
              <w:t xml:space="preserve">、</w:t>
            </w:r>
            <w:r>
              <w:rPr>
                <w:rFonts w:hint="eastAsia" w:ascii="宋体" w:hAnsi="宋体"/>
                <w:b w:val="0"/>
                <w:bCs w:val="0"/>
                <w:i w:val="0"/>
                <w:iCs/>
                <w:color w:val="000000"/>
                <w:sz w:val="24"/>
                <w:szCs w:val="24"/>
                <w:highlight w:val="none"/>
                <w:u w:val="none"/>
              </w:rPr>
              <w:t xml:space="preserve">本项目合同款支付货币：（√）数字人民币，（√）传统实物人民币</w:t>
            </w:r>
            <w:r/>
          </w:p>
          <w:p>
            <w:pPr>
              <w:ind w:firstLine="480"/>
              <w:keepLines w:val="0"/>
              <w:keepNext w:val="0"/>
              <w:pageBreakBefore w:val="0"/>
              <w:spacing w:line="240" w:lineRule="atLeast"/>
              <w:widowControl w:val="off"/>
              <w:rPr>
                <w:rFonts w:ascii="宋体" w:hAnsi="宋体"/>
                <w:b w:val="0"/>
                <w:bCs w:val="0"/>
                <w:i w:val="0"/>
                <w:iCs/>
                <w:color w:val="000000"/>
                <w:sz w:val="24"/>
                <w:szCs w:val="24"/>
                <w:highlight w:val="none"/>
                <w:u w:val="none"/>
              </w:rPr>
            </w:pPr>
            <w:r>
              <w:rPr>
                <w:rFonts w:hint="eastAsia" w:ascii="宋体" w:hAnsi="宋体"/>
                <w:b w:val="0"/>
                <w:bCs w:val="0"/>
                <w:i w:val="0"/>
                <w:iCs/>
                <w:color w:val="000000"/>
                <w:sz w:val="24"/>
                <w:szCs w:val="24"/>
                <w:highlight w:val="none"/>
                <w:u w:val="none"/>
                <w:lang w:val="en-US" w:eastAsia="zh-CN"/>
              </w:rPr>
              <w:t xml:space="preserve">2、</w:t>
            </w:r>
            <w:r>
              <w:rPr>
                <w:rFonts w:hint="eastAsia" w:ascii="宋体" w:hAnsi="宋体"/>
                <w:b w:val="0"/>
                <w:bCs w:val="0"/>
                <w:i w:val="0"/>
                <w:iCs/>
                <w:color w:val="000000"/>
                <w:sz w:val="24"/>
                <w:szCs w:val="24"/>
                <w:highlight w:val="none"/>
                <w:u w:val="none"/>
              </w:rPr>
              <w:t xml:space="preserve">合同签订后</w:t>
            </w:r>
            <w:r>
              <w:rPr>
                <w:rFonts w:hint="eastAsia" w:ascii="宋体" w:hAnsi="宋体"/>
                <w:b w:val="0"/>
                <w:bCs w:val="0"/>
                <w:i w:val="0"/>
                <w:iCs/>
                <w:color w:val="000000"/>
                <w:sz w:val="24"/>
                <w:szCs w:val="24"/>
                <w:highlight w:val="none"/>
                <w:u w:val="none"/>
                <w:lang w:val="en-US" w:eastAsia="zh-CN"/>
              </w:rPr>
              <w:t xml:space="preserve">的两个月内</w:t>
            </w:r>
            <w:r>
              <w:rPr>
                <w:rFonts w:hint="eastAsia" w:ascii="宋体" w:hAnsi="宋体"/>
                <w:b w:val="0"/>
                <w:bCs w:val="0"/>
                <w:i w:val="0"/>
                <w:iCs/>
                <w:color w:val="000000"/>
                <w:sz w:val="24"/>
                <w:szCs w:val="24"/>
                <w:highlight w:val="none"/>
                <w:u w:val="none"/>
              </w:rPr>
              <w:t xml:space="preserve">，采购人向中标人支付合同金额的10%</w:t>
            </w:r>
            <w:r>
              <w:rPr>
                <w:rFonts w:hint="eastAsia" w:ascii="宋体" w:hAnsi="宋体"/>
                <w:b w:val="0"/>
                <w:bCs w:val="0"/>
                <w:i w:val="0"/>
                <w:iCs/>
                <w:color w:val="000000"/>
                <w:sz w:val="24"/>
                <w:szCs w:val="24"/>
                <w:highlight w:val="none"/>
                <w:u w:val="none"/>
                <w:lang w:val="en-US" w:eastAsia="zh-CN"/>
              </w:rPr>
              <w:t xml:space="preserve">作为预付款</w:t>
            </w:r>
            <w:r>
              <w:rPr>
                <w:rFonts w:hint="eastAsia" w:ascii="宋体" w:hAnsi="宋体"/>
                <w:b w:val="0"/>
                <w:bCs w:val="0"/>
                <w:i w:val="0"/>
                <w:iCs/>
                <w:color w:val="000000"/>
                <w:sz w:val="24"/>
                <w:szCs w:val="24"/>
                <w:highlight w:val="none"/>
                <w:u w:val="none"/>
              </w:rPr>
              <w:t xml:space="preserve">；</w:t>
            </w:r>
            <w:r/>
          </w:p>
          <w:p>
            <w:pPr>
              <w:ind w:firstLine="480"/>
              <w:keepLines w:val="0"/>
              <w:keepNext w:val="0"/>
              <w:pageBreakBefore w:val="0"/>
              <w:spacing w:line="240" w:lineRule="atLeast"/>
              <w:widowControl w:val="off"/>
              <w:rPr>
                <w:rFonts w:ascii="宋体" w:hAnsi="宋体"/>
                <w:b w:val="0"/>
                <w:bCs w:val="0"/>
                <w:i w:val="0"/>
                <w:iCs/>
                <w:color w:val="000000"/>
                <w:sz w:val="24"/>
                <w:szCs w:val="24"/>
                <w:highlight w:val="none"/>
                <w:u w:val="none"/>
              </w:rPr>
            </w:pPr>
            <w:r>
              <w:rPr>
                <w:rFonts w:hint="eastAsia" w:ascii="宋体" w:hAnsi="宋体"/>
                <w:b w:val="0"/>
                <w:bCs w:val="0"/>
                <w:i w:val="0"/>
                <w:iCs/>
                <w:color w:val="000000"/>
                <w:sz w:val="24"/>
                <w:szCs w:val="24"/>
                <w:highlight w:val="none"/>
                <w:u w:val="none"/>
                <w:lang w:val="en-US" w:eastAsia="zh-CN"/>
              </w:rPr>
              <w:t xml:space="preserve">3、</w:t>
            </w:r>
            <w:r>
              <w:rPr>
                <w:rFonts w:hint="eastAsia" w:ascii="宋体" w:hAnsi="宋体"/>
                <w:b w:val="0"/>
                <w:bCs w:val="0"/>
                <w:i w:val="0"/>
                <w:iCs/>
                <w:color w:val="000000"/>
                <w:sz w:val="24"/>
                <w:szCs w:val="24"/>
                <w:highlight w:val="none"/>
                <w:u w:val="none"/>
              </w:rPr>
              <w:t xml:space="preserve">服务费由采购人对中标人实行</w:t>
            </w:r>
            <w:r>
              <w:rPr>
                <w:rFonts w:hint="eastAsia" w:ascii="宋体" w:hAnsi="宋体"/>
                <w:b w:val="0"/>
                <w:bCs w:val="0"/>
                <w:i w:val="0"/>
                <w:iCs/>
                <w:color w:val="000000"/>
                <w:sz w:val="24"/>
                <w:szCs w:val="24"/>
                <w:highlight w:val="none"/>
                <w:u w:val="none"/>
                <w:lang w:val="en-US" w:eastAsia="zh-CN"/>
              </w:rPr>
              <w:t xml:space="preserve">月度</w:t>
            </w:r>
            <w:r>
              <w:rPr>
                <w:rFonts w:hint="eastAsia" w:ascii="宋体" w:hAnsi="宋体"/>
                <w:b w:val="0"/>
                <w:bCs w:val="0"/>
                <w:i w:val="0"/>
                <w:iCs/>
                <w:color w:val="000000"/>
                <w:sz w:val="24"/>
                <w:szCs w:val="24"/>
                <w:highlight w:val="none"/>
                <w:u w:val="none"/>
              </w:rPr>
              <w:t xml:space="preserve">考核后</w:t>
            </w:r>
            <w:r>
              <w:rPr>
                <w:rFonts w:hint="eastAsia" w:ascii="宋体" w:hAnsi="宋体"/>
                <w:b w:val="0"/>
                <w:bCs w:val="0"/>
                <w:i w:val="0"/>
                <w:iCs/>
                <w:color w:val="000000"/>
                <w:sz w:val="24"/>
                <w:szCs w:val="24"/>
                <w:highlight w:val="none"/>
                <w:u w:val="none"/>
                <w:lang w:val="en-US" w:eastAsia="zh-CN"/>
              </w:rPr>
              <w:t xml:space="preserve">进行汇总</w:t>
            </w:r>
            <w:r>
              <w:rPr>
                <w:rFonts w:hint="eastAsia" w:ascii="宋体" w:hAnsi="宋体"/>
                <w:b w:val="0"/>
                <w:bCs w:val="0"/>
                <w:i w:val="0"/>
                <w:iCs/>
                <w:color w:val="000000"/>
                <w:sz w:val="24"/>
                <w:szCs w:val="24"/>
                <w:highlight w:val="none"/>
                <w:u w:val="none"/>
              </w:rPr>
              <w:t xml:space="preserve">（月度养护费用（含预付款）=合同金额/服务月数）</w:t>
            </w:r>
            <w:r>
              <w:rPr>
                <w:rFonts w:hint="eastAsia" w:ascii="宋体" w:hAnsi="宋体"/>
                <w:b w:val="0"/>
                <w:bCs w:val="0"/>
                <w:i w:val="0"/>
                <w:iCs/>
                <w:color w:val="000000"/>
                <w:sz w:val="24"/>
                <w:szCs w:val="24"/>
                <w:highlight w:val="none"/>
                <w:u w:val="none"/>
                <w:lang w:val="en-US" w:eastAsia="zh-CN"/>
              </w:rPr>
              <w:t xml:space="preserve">，每半年支付一次，考核办法详见附件</w:t>
            </w:r>
            <w:r>
              <w:rPr>
                <w:rFonts w:hint="eastAsia" w:ascii="宋体" w:hAnsi="宋体"/>
                <w:b w:val="0"/>
                <w:bCs w:val="0"/>
                <w:i w:val="0"/>
                <w:iCs/>
                <w:color w:val="000000"/>
                <w:sz w:val="24"/>
                <w:szCs w:val="24"/>
                <w:highlight w:val="none"/>
                <w:u w:val="none"/>
              </w:rPr>
              <w:t xml:space="preserve">。</w:t>
            </w:r>
            <w:r/>
          </w:p>
          <w:p>
            <w:pPr>
              <w:keepLines w:val="0"/>
              <w:keepNext w:val="0"/>
              <w:pageBreakBefore w:val="0"/>
              <w:spacing w:line="240" w:lineRule="atLeast"/>
              <w:widowControl w:val="off"/>
              <w:rPr>
                <w:rFonts w:ascii="宋体" w:hAnsi="宋体"/>
                <w:b w:val="0"/>
                <w:bCs w:val="0"/>
                <w:i w:val="0"/>
                <w:iCs/>
                <w:color w:val="000000"/>
                <w:sz w:val="24"/>
                <w:szCs w:val="24"/>
                <w:highlight w:val="none"/>
                <w:u w:val="none"/>
              </w:rPr>
            </w:pPr>
            <w:r>
              <w:rPr>
                <w:rFonts w:hint="eastAsia" w:ascii="宋体" w:hAnsi="宋体"/>
                <w:b w:val="0"/>
                <w:bCs w:val="0"/>
                <w:i w:val="0"/>
                <w:iCs/>
                <w:color w:val="000000"/>
                <w:sz w:val="24"/>
                <w:szCs w:val="24"/>
                <w:highlight w:val="none"/>
                <w:u w:val="none"/>
              </w:rPr>
              <w:t xml:space="preserve">注：（1）签订合同时，中标人明确表示无需预付款的，可不执行。</w:t>
            </w:r>
            <w:r/>
          </w:p>
          <w:p>
            <w:pPr>
              <w:ind w:firstLine="480"/>
              <w:keepLines w:val="0"/>
              <w:keepNext w:val="0"/>
              <w:pageBreakBefore w:val="0"/>
              <w:spacing w:line="240" w:lineRule="atLeast"/>
              <w:widowControl w:val="off"/>
              <w:rPr>
                <w:rFonts w:ascii="宋体" w:hAnsi="宋体"/>
                <w:b w:val="0"/>
                <w:bCs w:val="0"/>
                <w:i w:val="0"/>
                <w:iCs/>
                <w:color w:val="000000"/>
                <w:sz w:val="24"/>
                <w:szCs w:val="24"/>
                <w:highlight w:val="none"/>
                <w:u w:val="none"/>
              </w:rPr>
            </w:pPr>
            <w:r>
              <w:rPr>
                <w:rFonts w:hint="eastAsia" w:ascii="宋体" w:hAnsi="宋体"/>
                <w:b w:val="0"/>
                <w:bCs w:val="0"/>
                <w:i w:val="0"/>
                <w:iCs/>
                <w:color w:val="000000"/>
                <w:sz w:val="24"/>
                <w:szCs w:val="24"/>
                <w:highlight w:val="none"/>
                <w:u w:val="none"/>
              </w:rPr>
              <w:t xml:space="preserve">（2）以上每次付款前，中标人均应提供符合采购人要求的同等金额的合法有效发票。否则，采购人有权顺延付款时间，且不承担任何违约或赔偿责任。</w:t>
            </w:r>
            <w:r/>
          </w:p>
        </w:tc>
        <w:tc>
          <w:tcPr>
            <w:tcW w:w="1902" w:type="dxa"/>
            <w:vAlign w:val="center"/>
            <w:textDirection w:val="lrTb"/>
            <w:noWrap w:val="false"/>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620" w:type="dxa"/>
            <w:vAlign w:val="center"/>
            <w:textDirection w:val="lrTb"/>
            <w:noWrap w:val="false"/>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jc w:val="center"/>
          <w:trHeight w:val="90"/>
        </w:trPr>
        <w:tc>
          <w:tcPr>
            <w:tcW w:w="885" w:type="dxa"/>
            <w:vAlign w:val="center"/>
            <w:textDirection w:val="lrTb"/>
            <w:noWrap w:val="false"/>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W w:w="5451" w:type="dxa"/>
            <w:vAlign w:val="center"/>
            <w:textDirection w:val="lrTb"/>
            <w:noWrap w:val="false"/>
          </w:tcPr>
          <w:p>
            <w:pPr>
              <w:ind w:firstLine="480"/>
              <w:keepLines w:val="0"/>
              <w:keepNext w:val="0"/>
              <w:pageBreakBefore w:val="0"/>
              <w:spacing w:line="240" w:lineRule="atLeast"/>
              <w:widowControl w:val="off"/>
              <w:rPr>
                <w:rFonts w:ascii="宋体" w:hAnsi="宋体"/>
                <w:b w:val="0"/>
                <w:bCs w:val="0"/>
                <w:i w:val="0"/>
                <w:iCs/>
                <w:color w:val="000000"/>
                <w:sz w:val="24"/>
                <w:szCs w:val="24"/>
                <w:highlight w:val="none"/>
                <w:u w:val="none"/>
              </w:rPr>
            </w:pPr>
            <w:r>
              <w:rPr>
                <w:rFonts w:hint="eastAsia" w:ascii="宋体" w:hAnsi="宋体"/>
                <w:b w:val="0"/>
                <w:bCs w:val="0"/>
                <w:i w:val="0"/>
                <w:iCs/>
                <w:color w:val="000000"/>
                <w:sz w:val="24"/>
                <w:szCs w:val="24"/>
                <w:highlight w:val="none"/>
                <w:u w:val="none"/>
              </w:rPr>
              <w:t xml:space="preserve">投标人</w:t>
            </w:r>
            <w:r>
              <w:rPr>
                <w:rFonts w:ascii="宋体" w:hAnsi="宋体"/>
                <w:b w:val="0"/>
                <w:bCs w:val="0"/>
                <w:i w:val="0"/>
                <w:iCs/>
                <w:color w:val="000000"/>
                <w:sz w:val="24"/>
                <w:szCs w:val="24"/>
                <w:highlight w:val="none"/>
                <w:u w:val="none"/>
              </w:rPr>
              <w:t xml:space="preserve">需在合同履行日前五日派员对管理现场进行熟悉情况和办理交接手续，相关费用包含在</w:t>
            </w:r>
            <w:r>
              <w:rPr>
                <w:rFonts w:hint="eastAsia" w:ascii="宋体" w:hAnsi="宋体"/>
                <w:b w:val="0"/>
                <w:bCs w:val="0"/>
                <w:i w:val="0"/>
                <w:iCs/>
                <w:color w:val="000000"/>
                <w:sz w:val="24"/>
                <w:szCs w:val="24"/>
                <w:highlight w:val="none"/>
                <w:u w:val="none"/>
              </w:rPr>
              <w:t xml:space="preserve">投标价格</w:t>
            </w:r>
            <w:r>
              <w:rPr>
                <w:rFonts w:ascii="宋体" w:hAnsi="宋体"/>
                <w:b w:val="0"/>
                <w:bCs w:val="0"/>
                <w:i w:val="0"/>
                <w:iCs/>
                <w:color w:val="000000"/>
                <w:sz w:val="24"/>
                <w:szCs w:val="24"/>
                <w:highlight w:val="none"/>
                <w:u w:val="none"/>
              </w:rPr>
              <w:t xml:space="preserve">中。</w:t>
            </w:r>
            <w:r/>
          </w:p>
        </w:tc>
        <w:tc>
          <w:tcPr>
            <w:tcW w:w="1902" w:type="dxa"/>
            <w:vAlign w:val="center"/>
            <w:textDirection w:val="lrTb"/>
            <w:noWrap w:val="false"/>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620" w:type="dxa"/>
            <w:vAlign w:val="center"/>
            <w:textDirection w:val="lrTb"/>
            <w:noWrap w:val="false"/>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jc w:val="center"/>
          <w:trHeight w:val="90"/>
        </w:trPr>
        <w:tc>
          <w:tcPr>
            <w:tcW w:w="885" w:type="dxa"/>
            <w:vAlign w:val="center"/>
            <w:textDirection w:val="lrTb"/>
            <w:noWrap w:val="false"/>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p>
        </w:tc>
        <w:tc>
          <w:tcPr>
            <w:tcW w:w="5451" w:type="dxa"/>
            <w:vAlign w:val="center"/>
            <w:textDirection w:val="lrTb"/>
            <w:noWrap w:val="false"/>
          </w:tcPr>
          <w:p>
            <w:pPr>
              <w:ind w:firstLine="480"/>
              <w:keepLines w:val="0"/>
              <w:keepNext w:val="0"/>
              <w:pageBreakBefore w:val="0"/>
              <w:spacing w:line="240" w:lineRule="atLeast"/>
              <w:widowControl w:val="off"/>
              <w:rPr>
                <w:rFonts w:ascii="宋体" w:hAnsi="宋体"/>
                <w:b w:val="0"/>
                <w:bCs w:val="0"/>
                <w:i w:val="0"/>
                <w:iCs/>
                <w:color w:val="000000"/>
                <w:sz w:val="24"/>
                <w:szCs w:val="24"/>
                <w:highlight w:val="none"/>
                <w:u w:val="none"/>
              </w:rPr>
            </w:pPr>
            <w:r>
              <w:rPr>
                <w:rFonts w:ascii="宋体" w:hAnsi="宋体"/>
                <w:b w:val="0"/>
                <w:bCs w:val="0"/>
                <w:i w:val="0"/>
                <w:iCs/>
                <w:color w:val="000000"/>
                <w:sz w:val="24"/>
                <w:szCs w:val="24"/>
                <w:highlight w:val="none"/>
                <w:u w:val="none"/>
              </w:rPr>
              <w:t xml:space="preserve">禁止使用65周岁</w:t>
            </w:r>
            <w:r>
              <w:rPr>
                <w:rFonts w:hint="eastAsia" w:ascii="宋体" w:hAnsi="宋体"/>
                <w:b w:val="0"/>
                <w:bCs w:val="0"/>
                <w:i w:val="0"/>
                <w:iCs/>
                <w:color w:val="000000"/>
                <w:sz w:val="24"/>
                <w:szCs w:val="24"/>
                <w:highlight w:val="none"/>
                <w:u w:val="none"/>
              </w:rPr>
              <w:t xml:space="preserve">（不含）</w:t>
            </w:r>
            <w:r>
              <w:rPr>
                <w:rFonts w:ascii="宋体" w:hAnsi="宋体"/>
                <w:b w:val="0"/>
                <w:bCs w:val="0"/>
                <w:i w:val="0"/>
                <w:iCs/>
                <w:color w:val="000000"/>
                <w:sz w:val="24"/>
                <w:szCs w:val="24"/>
                <w:highlight w:val="none"/>
                <w:u w:val="none"/>
              </w:rPr>
              <w:t xml:space="preserve">以上人员。</w:t>
            </w:r>
            <w:r/>
          </w:p>
        </w:tc>
        <w:tc>
          <w:tcPr>
            <w:tcW w:w="1902" w:type="dxa"/>
            <w:vAlign w:val="center"/>
            <w:textDirection w:val="lrTb"/>
            <w:noWrap w:val="false"/>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620" w:type="dxa"/>
            <w:vAlign w:val="center"/>
            <w:textDirection w:val="lrTb"/>
            <w:noWrap w:val="false"/>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jc w:val="center"/>
          <w:trHeight w:val="90"/>
        </w:trPr>
        <w:tc>
          <w:tcPr>
            <w:tcW w:w="885" w:type="dxa"/>
            <w:vAlign w:val="center"/>
            <w:textDirection w:val="lrTb"/>
            <w:noWrap w:val="false"/>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w:t>
            </w:r>
            <w:r/>
          </w:p>
        </w:tc>
        <w:tc>
          <w:tcPr>
            <w:tcW w:w="5451" w:type="dxa"/>
            <w:vAlign w:val="center"/>
            <w:textDirection w:val="lrTb"/>
            <w:noWrap w:val="false"/>
          </w:tcPr>
          <w:p>
            <w:pPr>
              <w:keepLines w:val="0"/>
              <w:keepNext w:val="0"/>
              <w:pageBreakBefore w:val="0"/>
              <w:spacing w:line="240" w:lineRule="atLeast"/>
              <w:widowControl w:val="off"/>
              <w:rPr>
                <w:rFonts w:ascii="宋体" w:hAnsi="宋体"/>
                <w:b w:val="0"/>
                <w:bCs w:val="0"/>
                <w:i w:val="0"/>
                <w:iCs/>
                <w:color w:val="000000"/>
                <w:sz w:val="24"/>
                <w:szCs w:val="24"/>
                <w:highlight w:val="none"/>
                <w:u w:val="none"/>
              </w:rPr>
            </w:pPr>
            <w:r>
              <w:rPr>
                <w:rFonts w:hint="eastAsia" w:ascii="宋体" w:hAnsi="宋体"/>
                <w:b w:val="0"/>
                <w:bCs w:val="0"/>
                <w:i w:val="0"/>
                <w:iCs/>
                <w:color w:val="000000"/>
                <w:sz w:val="24"/>
                <w:szCs w:val="24"/>
                <w:highlight w:val="none"/>
                <w:u w:val="none"/>
              </w:rPr>
              <w:t xml:space="preserve">考核机制：</w:t>
            </w:r>
            <w:r/>
          </w:p>
          <w:p>
            <w:pPr>
              <w:ind w:firstLine="480"/>
              <w:keepLines w:val="0"/>
              <w:keepNext w:val="0"/>
              <w:pageBreakBefore w:val="0"/>
              <w:spacing w:line="240" w:lineRule="atLeast"/>
              <w:widowControl w:val="off"/>
              <w:rPr>
                <w:rFonts w:ascii="宋体" w:hAnsi="宋体"/>
                <w:b w:val="0"/>
                <w:bCs w:val="0"/>
                <w:i w:val="0"/>
                <w:iCs/>
                <w:color w:val="000000" w:themeColor="text1"/>
                <w:sz w:val="24"/>
                <w:szCs w:val="24"/>
                <w:highlight w:val="none"/>
                <w:u w:val="none"/>
                <w14:textFill>
                  <w14:solidFill>
                    <w14:schemeClr w14:val="tx1"/>
                  </w14:solidFill>
                </w14:textFill>
              </w:rPr>
            </w:pPr>
            <w:r>
              <w:rPr>
                <w:rFonts w:hint="eastAsia" w:ascii="宋体" w:hAnsi="宋体"/>
                <w:b w:val="0"/>
                <w:bCs w:val="0"/>
                <w:i w:val="0"/>
                <w:iCs/>
                <w:color w:val="000000"/>
                <w:sz w:val="24"/>
                <w:szCs w:val="24"/>
                <w:highlight w:val="none"/>
                <w:u w:val="none"/>
              </w:rPr>
              <w:t xml:space="preserve">街道考评：①附件《常熟市三环路外绿化属地养护考核办法（修订）》</w:t>
            </w:r>
            <w:r>
              <w:rPr>
                <w:rFonts w:hint="eastAsia" w:ascii="宋体" w:hAnsi="宋体"/>
                <w:b w:val="0"/>
                <w:bCs w:val="0"/>
                <w:i w:val="0"/>
                <w:iCs/>
                <w:color w:val="000000"/>
                <w:sz w:val="24"/>
                <w:szCs w:val="24"/>
                <w:highlight w:val="none"/>
                <w:u w:val="none"/>
                <w:lang w:eastAsia="zh-CN"/>
              </w:rPr>
              <w:t xml:space="preserve">、</w:t>
            </w:r>
            <w:r>
              <w:rPr>
                <w:rFonts w:hint="eastAsia" w:ascii="宋体" w:hAnsi="宋体"/>
                <w:b w:val="0"/>
                <w:bCs w:val="0"/>
                <w:i w:val="0"/>
                <w:iCs/>
                <w:color w:val="000000"/>
                <w:sz w:val="24"/>
                <w:szCs w:val="24"/>
                <w:highlight w:val="none"/>
                <w:u w:val="none"/>
              </w:rPr>
              <w:t xml:space="preserve">附件《常熟市三环路外绿化属地养护评分细则（修订）》</w:t>
            </w:r>
            <w:r>
              <w:rPr>
                <w:rFonts w:hint="eastAsia" w:ascii="宋体" w:hAnsi="宋体"/>
                <w:b w:val="0"/>
                <w:bCs w:val="0"/>
                <w:i w:val="0"/>
                <w:iCs/>
                <w:color w:val="000000"/>
                <w:sz w:val="24"/>
                <w:szCs w:val="24"/>
                <w:highlight w:val="none"/>
                <w:u w:val="none"/>
                <w:lang w:eastAsia="zh-CN"/>
              </w:rPr>
              <w:t xml:space="preserve">、</w:t>
            </w:r>
            <w:r>
              <w:rPr>
                <w:rFonts w:hint="eastAsia" w:ascii="宋体" w:hAnsi="宋体"/>
                <w:b w:val="0"/>
                <w:bCs w:val="0"/>
                <w:i w:val="0"/>
                <w:iCs/>
                <w:color w:val="000000"/>
                <w:sz w:val="24"/>
                <w:szCs w:val="24"/>
                <w:highlight w:val="none"/>
                <w:u w:val="none"/>
                <w:lang w:val="en-US" w:eastAsia="zh-CN"/>
              </w:rPr>
              <w:t xml:space="preserve">《莫城街道绿化养护考核评分细则》</w:t>
            </w:r>
            <w:r>
              <w:rPr>
                <w:rFonts w:hint="eastAsia" w:ascii="宋体" w:hAnsi="宋体"/>
                <w:b w:val="0"/>
                <w:bCs w:val="0"/>
                <w:i w:val="0"/>
                <w:iCs/>
                <w:color w:val="000000"/>
                <w:sz w:val="24"/>
                <w:szCs w:val="24"/>
                <w:highlight w:val="none"/>
                <w:u w:val="none"/>
              </w:rPr>
              <w:t xml:space="preserve">作为考核主要标准（如有最新发布的标准按照最新发布的为准），考核分数与养护经费挂钩。考核分数90分（含）以上，全额拨付当次工作经费；2、85分（含）～90分，每扣一分，扣减1000元（与90分相减）；3、85分～80分（含），每扣一分，扣减2000元（与90分相减）；4、80分以下为不合格，扣除当次全额工作经费。</w:t>
            </w:r>
            <w:r/>
          </w:p>
        </w:tc>
        <w:tc>
          <w:tcPr>
            <w:tcW w:w="1902" w:type="dxa"/>
            <w:vAlign w:val="center"/>
            <w:textDirection w:val="lrTb"/>
            <w:noWrap w:val="false"/>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620" w:type="dxa"/>
            <w:vAlign w:val="center"/>
            <w:textDirection w:val="lrTb"/>
            <w:noWrap w:val="false"/>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jc w:val="center"/>
          <w:trHeight w:val="90"/>
        </w:trPr>
        <w:tc>
          <w:tcPr>
            <w:tcW w:w="885" w:type="dxa"/>
            <w:vAlign w:val="center"/>
            <w:textDirection w:val="lrTb"/>
            <w:noWrap w:val="false"/>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w:t>
            </w:r>
            <w:r/>
          </w:p>
        </w:tc>
        <w:tc>
          <w:tcPr>
            <w:tcW w:w="5451" w:type="dxa"/>
            <w:vAlign w:val="center"/>
            <w:textDirection w:val="lrTb"/>
            <w:noWrap w:val="false"/>
          </w:tcPr>
          <w:p>
            <w:pPr>
              <w:keepLines w:val="0"/>
              <w:keepNext w:val="0"/>
              <w:pageBreakBefore w:val="0"/>
              <w:spacing w:line="240" w:lineRule="atLeast"/>
              <w:widowControl w:val="off"/>
              <w:rPr>
                <w:rFonts w:ascii="宋体" w:hAnsi="宋体"/>
                <w:b w:val="0"/>
                <w:bCs w:val="0"/>
                <w:i w:val="0"/>
                <w:iCs/>
                <w:color w:val="000000"/>
                <w:sz w:val="24"/>
                <w:szCs w:val="24"/>
                <w:highlight w:val="none"/>
                <w:u w:val="none"/>
              </w:rPr>
            </w:pPr>
            <w:r>
              <w:rPr>
                <w:rFonts w:hint="eastAsia" w:ascii="宋体" w:hAnsi="宋体"/>
                <w:b w:val="0"/>
                <w:bCs w:val="0"/>
                <w:i w:val="0"/>
                <w:iCs/>
                <w:color w:val="000000"/>
                <w:sz w:val="24"/>
                <w:szCs w:val="24"/>
                <w:highlight w:val="none"/>
                <w:u w:val="none"/>
              </w:rPr>
              <w:t xml:space="preserve">递补机制：</w:t>
            </w:r>
            <w:r/>
          </w:p>
          <w:p>
            <w:pPr>
              <w:ind w:firstLine="480"/>
              <w:keepLines w:val="0"/>
              <w:keepNext w:val="0"/>
              <w:pageBreakBefore w:val="0"/>
              <w:spacing w:line="240" w:lineRule="atLeast"/>
              <w:widowControl w:val="off"/>
              <w:rPr>
                <w:rFonts w:ascii="宋体" w:hAnsi="宋体"/>
                <w:b w:val="0"/>
                <w:bCs w:val="0"/>
                <w:i w:val="0"/>
                <w:iCs/>
                <w:color w:val="000000"/>
                <w:sz w:val="24"/>
                <w:szCs w:val="24"/>
                <w:highlight w:val="none"/>
                <w:u w:val="none"/>
              </w:rPr>
            </w:pPr>
            <w:r>
              <w:rPr>
                <w:rFonts w:hint="eastAsia" w:ascii="宋体" w:hAnsi="宋体"/>
                <w:b w:val="0"/>
                <w:bCs w:val="0"/>
                <w:i w:val="0"/>
                <w:iCs/>
                <w:color w:val="000000"/>
                <w:sz w:val="24"/>
                <w:szCs w:val="24"/>
                <w:highlight w:val="none"/>
                <w:u w:val="none"/>
              </w:rPr>
              <w:t xml:space="preserve">①合同期内连续两次街道考评月度考核低于75分或合同期内累计三次街道考评月度考核低于75分，则采购人有权解除合同，并上报上级行业管理部门备案。</w:t>
            </w:r>
            <w:r/>
          </w:p>
          <w:p>
            <w:pPr>
              <w:ind w:firstLine="480"/>
              <w:keepLines w:val="0"/>
              <w:keepNext w:val="0"/>
              <w:pageBreakBefore w:val="0"/>
              <w:spacing w:line="240" w:lineRule="atLeast"/>
              <w:widowControl w:val="off"/>
              <w:rPr>
                <w:rFonts w:hint="eastAsia" w:ascii="宋体" w:hAnsi="宋体" w:eastAsia="宋体"/>
                <w:b w:val="0"/>
                <w:bCs w:val="0"/>
                <w:i w:val="0"/>
                <w:iCs/>
                <w:color w:val="000000"/>
                <w:sz w:val="24"/>
                <w:szCs w:val="24"/>
                <w:highlight w:val="none"/>
                <w:u w:val="none"/>
                <w:lang w:val="en-US" w:eastAsia="zh-CN"/>
              </w:rPr>
            </w:pPr>
            <w:r>
              <w:rPr>
                <w:rFonts w:hint="eastAsia" w:ascii="宋体" w:hAnsi="宋体"/>
                <w:b w:val="0"/>
                <w:bCs w:val="0"/>
                <w:i w:val="0"/>
                <w:iCs/>
                <w:color w:val="000000"/>
                <w:sz w:val="24"/>
                <w:szCs w:val="24"/>
                <w:highlight w:val="none"/>
                <w:u w:val="none"/>
                <w:lang w:val="en-US" w:eastAsia="zh-CN"/>
              </w:rPr>
              <w:t xml:space="preserve">②</w:t>
            </w:r>
            <w:r>
              <w:rPr>
                <w:rFonts w:hint="eastAsia" w:ascii="宋体" w:hAnsi="宋体"/>
                <w:b w:val="0"/>
                <w:bCs w:val="0"/>
                <w:i w:val="0"/>
                <w:iCs/>
                <w:color w:val="000000"/>
                <w:sz w:val="24"/>
                <w:szCs w:val="24"/>
                <w:highlight w:val="none"/>
                <w:u w:val="none"/>
              </w:rPr>
              <w:t xml:space="preserve">本次招标设立第二候选人（按照综合得分排名类推），当出现上述解除合同情形的，由第二候选人递补承担剩余服务期工作内容。</w:t>
            </w:r>
            <w:r/>
          </w:p>
        </w:tc>
        <w:tc>
          <w:tcPr>
            <w:tcW w:w="1902" w:type="dxa"/>
            <w:vAlign w:val="center"/>
            <w:textDirection w:val="lrTb"/>
            <w:noWrap w:val="false"/>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620" w:type="dxa"/>
            <w:vAlign w:val="center"/>
            <w:textDirection w:val="lrTb"/>
            <w:noWrap w:val="false"/>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bl>
    <w:p>
      <w:pPr>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备注</w:t>
      </w:r>
      <w:r>
        <w:rPr>
          <w:rFonts w:ascii="宋体" w:hAnsi="宋体"/>
          <w:color w:val="000000" w:themeColor="text1"/>
          <w:sz w:val="24"/>
          <w:szCs w:val="24"/>
          <w14:textFill>
            <w14:solidFill>
              <w14:schemeClr w14:val="tx1"/>
            </w14:solidFill>
          </w14:textFill>
        </w:rPr>
        <w:t xml:space="preserve">：</w:t>
      </w:r>
      <w:r/>
    </w:p>
    <w:p>
      <w:pPr>
        <w:ind w:firstLine="480"/>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1.投标人必须</w:t>
      </w:r>
      <w:r>
        <w:rPr>
          <w:rFonts w:ascii="宋体" w:hAnsi="宋体"/>
          <w:color w:val="000000" w:themeColor="text1"/>
          <w:sz w:val="24"/>
          <w:szCs w:val="24"/>
          <w14:textFill>
            <w14:solidFill>
              <w14:schemeClr w14:val="tx1"/>
            </w14:solidFill>
          </w14:textFill>
        </w:rPr>
        <w:t xml:space="preserve">对技术</w:t>
      </w:r>
      <w:r>
        <w:rPr>
          <w:rFonts w:hint="eastAsia" w:ascii="宋体" w:hAnsi="宋体"/>
          <w:color w:val="000000" w:themeColor="text1"/>
          <w:sz w:val="24"/>
          <w:szCs w:val="24"/>
          <w14:textFill>
            <w14:solidFill>
              <w14:schemeClr w14:val="tx1"/>
            </w14:solidFill>
          </w14:textFill>
        </w:rPr>
        <w:t xml:space="preserve">要求</w:t>
      </w:r>
      <w:r>
        <w:rPr>
          <w:rFonts w:ascii="宋体" w:hAnsi="宋体"/>
          <w:color w:val="000000" w:themeColor="text1"/>
          <w:sz w:val="24"/>
          <w:szCs w:val="24"/>
          <w14:textFill>
            <w14:solidFill>
              <w14:schemeClr w14:val="tx1"/>
            </w14:solidFill>
          </w14:textFill>
        </w:rPr>
        <w:t xml:space="preserve">和商务要求中的实质性要求逐条做出明确响应</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否则作无效投标处理</w:t>
      </w:r>
      <w:r>
        <w:rPr>
          <w:rFonts w:ascii="宋体" w:hAnsi="宋体"/>
          <w:color w:val="000000" w:themeColor="text1"/>
          <w:sz w:val="24"/>
          <w14:textFill>
            <w14:solidFill>
              <w14:schemeClr w14:val="tx1"/>
            </w14:solidFill>
          </w14:textFill>
        </w:rPr>
        <w:t xml:space="preserve">。</w:t>
      </w:r>
      <w:r/>
    </w:p>
    <w:p>
      <w:pPr>
        <w:ind w:firstLine="480"/>
        <w:spacing w:line="400" w:lineRule="exact"/>
        <w:rPr>
          <w:color w:val="000000" w:themeColor="text1"/>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.投标人未对实质性要求逐条作出明确响应的，或未按招标文件要求提供证明材料（如有）的，该项目作无效投标处理。</w:t>
      </w:r>
      <w:r/>
    </w:p>
    <w:sectPr>
      <w:headerReference w:type="default" r:id="rId9"/>
      <w:footerReference w:type="default" r:id="rId10"/>
      <w:footerReference w:type="even" r:id="rId11"/>
      <w:footnotePr/>
      <w:endnotePr/>
      <w:type w:val="nextPage"/>
      <w:pgSz w:w="11906" w:h="16838" w:orient="portrait"/>
      <w:pgMar w:top="771" w:right="720" w:bottom="993" w:left="720" w:header="231" w:footer="45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仿宋">
    <w:panose1 w:val="02010609060101010101"/>
  </w:font>
  <w:font w:name="等线 Light">
    <w:panose1 w:val="02010600030101010101"/>
  </w:font>
  <w:font w:name="Berlin Sans FB Demi">
    <w:panose1 w:val="020E0802020502020306"/>
  </w:font>
  <w:font w:name="Calibri Light">
    <w:panose1 w:val="020F0302020204030204"/>
  </w:font>
  <w:font w:name="方正黑体_GBK">
    <w:panose1 w:val="020B0503020202020204"/>
  </w:font>
  <w:font w:name="Courier New">
    <w:panose1 w:val="020703090202050204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Microsoft YaHei UI">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ind w:firstLine="360"/>
      <w:rPr>
        <w:rStyle w:val="926"/>
        <w:rFonts w:ascii="宋体" w:hAnsi="宋体"/>
      </w:rPr>
      <w:framePr w:wrap="around" w:vAnchor="text" w:hAnchor="margin" w:xAlign="center" w:y="1"/>
    </w:pPr>
    <w:r>
      <w:rPr>
        <w:rFonts w:ascii="宋体" w:hAnsi="宋体"/>
      </w:rPr>
      <w:fldChar w:fldCharType="begin"/>
    </w:r>
    <w:r>
      <w:rPr>
        <w:rStyle w:val="926"/>
        <w:rFonts w:ascii="宋体" w:hAnsi="宋体"/>
      </w:rPr>
      <w:instrText xml:space="preserve">PAGE  </w:instrText>
    </w:r>
    <w:r>
      <w:rPr>
        <w:rFonts w:ascii="宋体" w:hAnsi="宋体"/>
      </w:rPr>
      <w:fldChar w:fldCharType="separate"/>
    </w:r>
    <w:r>
      <w:rPr>
        <w:rStyle w:val="926"/>
        <w:rFonts w:ascii="宋体" w:hAnsi="宋体"/>
      </w:rPr>
      <w:t xml:space="preserve">2</w:t>
    </w:r>
    <w:r>
      <w:rPr>
        <w:rFonts w:ascii="宋体" w:hAnsi="宋体"/>
      </w:rPr>
      <w:fldChar w:fldCharType="end"/>
    </w:r>
    <w:r/>
  </w:p>
  <w:p>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ind w:firstLine="360"/>
      <w:rPr>
        <w:rStyle w:val="926"/>
      </w:rPr>
      <w:framePr w:wrap="around" w:vAnchor="text" w:hAnchor="margin" w:xAlign="center" w:y="1"/>
    </w:pPr>
    <w:r>
      <w:fldChar w:fldCharType="begin"/>
    </w:r>
    <w:r>
      <w:rPr>
        <w:rStyle w:val="926"/>
      </w:rPr>
      <w:instrText xml:space="preserve">PAGE  </w:instrText>
    </w:r>
    <w:r>
      <w:fldChar w:fldCharType="separate"/>
    </w:r>
    <w:r>
      <w:rPr>
        <w:rStyle w:val="926"/>
      </w:rPr>
      <w:t xml:space="preserve">1</w:t>
    </w:r>
    <w:r>
      <w:fldChar w:fldCharType="end"/>
    </w:r>
    <w:r/>
  </w:p>
  <w:p>
    <w:pPr>
      <w:pStyle w:val="998"/>
      <w:ind w:firstLine="360"/>
    </w:pPr>
    <w:r/>
    <w:r/>
  </w:p>
  <w:p>
    <w:r/>
    <w:r/>
  </w:p>
  <w:p>
    <w:r/>
    <w:r/>
  </w:p>
  <w:p>
    <w:r/>
    <w:r/>
  </w:p>
  <w:p>
    <w:r/>
    <w:r/>
  </w:p>
  <w:p>
    <w:r/>
    <w:r/>
  </w:p>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ind w:firstLine="360"/>
    </w:pPr>
    <w:r/>
    <w:r/>
  </w:p>
  <w:p>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05"/>
      <w:isLgl w:val="false"/>
      <w:suff w:val="nothing"/>
      <w:lvlText w:val=""/>
      <w:lvlJc w:val="left"/>
      <w:pPr>
        <w:ind w:left="0" w:firstLine="0"/>
      </w:pPr>
      <w:rPr>
        <w:rFonts w:hint="eastAsia"/>
      </w:rPr>
    </w:lvl>
    <w:lvl w:ilvl="6">
      <w:start w:val="1"/>
      <w:numFmt w:val="decimal"/>
      <w:pStyle w:val="906"/>
      <w:isLgl w:val="false"/>
      <w:suff w:val="nothing"/>
      <w:lvlText w:val=""/>
      <w:lvlJc w:val="left"/>
      <w:pPr>
        <w:ind w:left="0" w:firstLine="0"/>
      </w:pPr>
      <w:rPr>
        <w:rFonts w:hint="eastAsia"/>
      </w:rPr>
    </w:lvl>
    <w:lvl w:ilvl="7">
      <w:start w:val="1"/>
      <w:numFmt w:val="decimal"/>
      <w:pStyle w:val="907"/>
      <w:isLgl w:val="false"/>
      <w:suff w:val="nothing"/>
      <w:lvlText w:val=""/>
      <w:lvlJc w:val="left"/>
      <w:pPr>
        <w:ind w:left="0" w:firstLine="0"/>
      </w:pPr>
      <w:rPr>
        <w:rFonts w:hint="eastAsia"/>
      </w:rPr>
    </w:lvl>
    <w:lvl w:ilvl="8">
      <w:start w:val="1"/>
      <w:numFmt w:val="decimal"/>
      <w:pStyle w:val="908"/>
      <w:isLgl w:val="false"/>
      <w:suff w:val="nothing"/>
      <w:lvlText w:val=""/>
      <w:lvlJc w:val="left"/>
      <w:pPr>
        <w:ind w:left="0" w:firstLine="0"/>
      </w:pPr>
      <w:rPr>
        <w:rFonts w:hint="eastAsia"/>
      </w:rPr>
    </w:lvl>
  </w:abstractNum>
  <w:abstractNum w:abstractNumId="3">
    <w:multiLevelType w:val="hybridMultilevel"/>
    <w:lvl w:ilvl="0">
      <w:start w:val="1"/>
      <w:numFmt w:val="decimal"/>
      <w:pStyle w:val="97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42"/>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upperLetter"/>
      <w:pStyle w:val="95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6"/>
  </w:num>
  <w:num w:numId="3">
    <w:abstractNumId w:val="3"/>
  </w:num>
  <w:num w:numId="4">
    <w:abstractNumId w:val="5"/>
  </w:num>
  <w:num w:numId="5">
    <w:abstractNumId w:val="1"/>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16"/>
    <w:link w:val="707"/>
    <w:uiPriority w:val="9"/>
    <w:rPr>
      <w:rFonts w:ascii="Arial" w:hAnsi="Arial" w:eastAsia="Arial" w:cs="Arial"/>
      <w:sz w:val="40"/>
      <w:szCs w:val="40"/>
    </w:rPr>
  </w:style>
  <w:style w:type="character" w:styleId="15">
    <w:name w:val="Heading 2 Char"/>
    <w:basedOn w:val="716"/>
    <w:link w:val="708"/>
    <w:uiPriority w:val="9"/>
    <w:rPr>
      <w:rFonts w:ascii="Arial" w:hAnsi="Arial" w:eastAsia="Arial" w:cs="Arial"/>
      <w:sz w:val="34"/>
    </w:rPr>
  </w:style>
  <w:style w:type="character" w:styleId="17">
    <w:name w:val="Heading 3 Char"/>
    <w:basedOn w:val="716"/>
    <w:link w:val="709"/>
    <w:uiPriority w:val="9"/>
    <w:rPr>
      <w:rFonts w:ascii="Arial" w:hAnsi="Arial" w:eastAsia="Arial" w:cs="Arial"/>
      <w:sz w:val="30"/>
      <w:szCs w:val="30"/>
    </w:rPr>
  </w:style>
  <w:style w:type="character" w:styleId="19">
    <w:name w:val="Heading 4 Char"/>
    <w:basedOn w:val="716"/>
    <w:link w:val="710"/>
    <w:uiPriority w:val="9"/>
    <w:rPr>
      <w:rFonts w:ascii="Arial" w:hAnsi="Arial" w:eastAsia="Arial" w:cs="Arial"/>
      <w:b/>
      <w:bCs/>
      <w:sz w:val="26"/>
      <w:szCs w:val="26"/>
    </w:rPr>
  </w:style>
  <w:style w:type="character" w:styleId="21">
    <w:name w:val="Heading 5 Char"/>
    <w:basedOn w:val="716"/>
    <w:link w:val="711"/>
    <w:uiPriority w:val="9"/>
    <w:rPr>
      <w:rFonts w:ascii="Arial" w:hAnsi="Arial" w:eastAsia="Arial" w:cs="Arial"/>
      <w:b/>
      <w:bCs/>
      <w:sz w:val="24"/>
      <w:szCs w:val="24"/>
    </w:rPr>
  </w:style>
  <w:style w:type="character" w:styleId="23">
    <w:name w:val="Heading 6 Char"/>
    <w:basedOn w:val="716"/>
    <w:link w:val="712"/>
    <w:uiPriority w:val="9"/>
    <w:rPr>
      <w:rFonts w:ascii="Arial" w:hAnsi="Arial" w:eastAsia="Arial" w:cs="Arial"/>
      <w:b/>
      <w:bCs/>
      <w:sz w:val="22"/>
      <w:szCs w:val="22"/>
    </w:rPr>
  </w:style>
  <w:style w:type="character" w:styleId="25">
    <w:name w:val="Heading 7 Char"/>
    <w:basedOn w:val="716"/>
    <w:link w:val="713"/>
    <w:uiPriority w:val="9"/>
    <w:rPr>
      <w:rFonts w:ascii="Arial" w:hAnsi="Arial" w:eastAsia="Arial" w:cs="Arial"/>
      <w:b/>
      <w:bCs/>
      <w:i/>
      <w:iCs/>
      <w:sz w:val="22"/>
      <w:szCs w:val="22"/>
    </w:rPr>
  </w:style>
  <w:style w:type="character" w:styleId="27">
    <w:name w:val="Heading 8 Char"/>
    <w:basedOn w:val="716"/>
    <w:link w:val="714"/>
    <w:uiPriority w:val="9"/>
    <w:rPr>
      <w:rFonts w:ascii="Arial" w:hAnsi="Arial" w:eastAsia="Arial" w:cs="Arial"/>
      <w:i/>
      <w:iCs/>
      <w:sz w:val="22"/>
      <w:szCs w:val="22"/>
    </w:rPr>
  </w:style>
  <w:style w:type="character" w:styleId="29">
    <w:name w:val="Heading 9 Char"/>
    <w:basedOn w:val="716"/>
    <w:link w:val="715"/>
    <w:uiPriority w:val="9"/>
    <w:rPr>
      <w:rFonts w:ascii="Arial" w:hAnsi="Arial" w:eastAsia="Arial" w:cs="Arial"/>
      <w:i/>
      <w:iCs/>
      <w:sz w:val="21"/>
      <w:szCs w:val="21"/>
    </w:rPr>
  </w:style>
  <w:style w:type="character" w:styleId="34">
    <w:name w:val="Title Char"/>
    <w:basedOn w:val="716"/>
    <w:link w:val="742"/>
    <w:uiPriority w:val="10"/>
    <w:rPr>
      <w:sz w:val="48"/>
      <w:szCs w:val="48"/>
    </w:rPr>
  </w:style>
  <w:style w:type="character" w:styleId="36">
    <w:name w:val="Subtitle Char"/>
    <w:basedOn w:val="716"/>
    <w:link w:val="735"/>
    <w:uiPriority w:val="11"/>
    <w:rPr>
      <w:sz w:val="24"/>
      <w:szCs w:val="24"/>
    </w:rPr>
  </w:style>
  <w:style w:type="character" w:styleId="38">
    <w:name w:val="Quote Char"/>
    <w:link w:val="764"/>
    <w:uiPriority w:val="29"/>
    <w:rPr>
      <w:i/>
    </w:rPr>
  </w:style>
  <w:style w:type="character" w:styleId="40">
    <w:name w:val="Intense Quote Char"/>
    <w:link w:val="766"/>
    <w:uiPriority w:val="30"/>
    <w:rPr>
      <w:i/>
    </w:rPr>
  </w:style>
  <w:style w:type="character" w:styleId="42">
    <w:name w:val="Header Char"/>
    <w:basedOn w:val="716"/>
    <w:link w:val="731"/>
    <w:uiPriority w:val="99"/>
  </w:style>
  <w:style w:type="character" w:styleId="46">
    <w:name w:val="Caption Char"/>
    <w:basedOn w:val="721"/>
    <w:link w:val="730"/>
    <w:uiPriority w:val="99"/>
  </w:style>
  <w:style w:type="table" w:styleId="49">
    <w:name w:val="Plain Table 1"/>
    <w:basedOn w:val="7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1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1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1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1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1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1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36"/>
    <w:uiPriority w:val="99"/>
    <w:rPr>
      <w:sz w:val="18"/>
    </w:rPr>
  </w:style>
  <w:style w:type="character" w:styleId="178">
    <w:name w:val="Endnote Text Char"/>
    <w:link w:val="728"/>
    <w:uiPriority w:val="99"/>
    <w:rPr>
      <w:sz w:val="20"/>
    </w:rPr>
  </w:style>
  <w:style w:type="paragraph" w:styleId="189">
    <w:name w:val="TOC Heading"/>
    <w:uiPriority w:val="39"/>
    <w:unhideWhenUsed/>
  </w:style>
  <w:style w:type="paragraph" w:styleId="706" w:default="1">
    <w:name w:val="Normal"/>
    <w:next w:val="718"/>
    <w:uiPriority w:val="0"/>
    <w:qFormat/>
    <w:pPr>
      <w:jc w:val="both"/>
      <w:widowControl w:val="off"/>
    </w:pPr>
    <w:rPr>
      <w:rFonts w:ascii="Calibri" w:hAnsi="Calibri" w:eastAsia="宋体" w:cs="Times New Roman"/>
      <w:sz w:val="21"/>
      <w:szCs w:val="22"/>
      <w:lang w:val="en-US" w:eastAsia="zh-CN" w:bidi="ar-SA"/>
    </w:rPr>
  </w:style>
  <w:style w:type="paragraph" w:styleId="707">
    <w:name w:val="Heading 1"/>
    <w:basedOn w:val="706"/>
    <w:next w:val="706"/>
    <w:link w:val="751"/>
    <w:uiPriority w:val="9"/>
    <w:qFormat/>
    <w:pPr>
      <w:keepLines/>
      <w:keepNext/>
      <w:spacing w:before="480" w:after="200"/>
      <w:outlineLvl w:val="0"/>
    </w:pPr>
    <w:rPr>
      <w:rFonts w:ascii="Arial" w:hAnsi="Arial" w:eastAsia="Arial" w:cs="Arial"/>
      <w:sz w:val="40"/>
      <w:szCs w:val="40"/>
    </w:rPr>
  </w:style>
  <w:style w:type="paragraph" w:styleId="708">
    <w:name w:val="Heading 2"/>
    <w:basedOn w:val="706"/>
    <w:next w:val="706"/>
    <w:link w:val="752"/>
    <w:uiPriority w:val="9"/>
    <w:unhideWhenUsed/>
    <w:qFormat/>
    <w:pPr>
      <w:keepLines/>
      <w:keepNext/>
      <w:spacing w:before="360" w:after="200"/>
      <w:outlineLvl w:val="1"/>
    </w:pPr>
    <w:rPr>
      <w:rFonts w:ascii="Arial" w:hAnsi="Arial" w:eastAsia="Arial" w:cs="Arial"/>
      <w:sz w:val="34"/>
    </w:rPr>
  </w:style>
  <w:style w:type="paragraph" w:styleId="709">
    <w:name w:val="Heading 3"/>
    <w:basedOn w:val="706"/>
    <w:next w:val="706"/>
    <w:link w:val="753"/>
    <w:uiPriority w:val="9"/>
    <w:unhideWhenUsed/>
    <w:qFormat/>
    <w:pPr>
      <w:keepLines/>
      <w:keepNext/>
      <w:spacing w:before="320" w:after="200"/>
      <w:outlineLvl w:val="2"/>
    </w:pPr>
    <w:rPr>
      <w:rFonts w:ascii="Arial" w:hAnsi="Arial" w:eastAsia="Arial" w:cs="Arial"/>
      <w:sz w:val="30"/>
      <w:szCs w:val="30"/>
    </w:rPr>
  </w:style>
  <w:style w:type="paragraph" w:styleId="710">
    <w:name w:val="Heading 4"/>
    <w:basedOn w:val="706"/>
    <w:next w:val="706"/>
    <w:link w:val="754"/>
    <w:uiPriority w:val="9"/>
    <w:unhideWhenUsed/>
    <w:qFormat/>
    <w:pPr>
      <w:keepLines/>
      <w:keepNext/>
      <w:spacing w:before="320" w:after="200"/>
      <w:outlineLvl w:val="3"/>
    </w:pPr>
    <w:rPr>
      <w:rFonts w:ascii="Arial" w:hAnsi="Arial" w:eastAsia="Arial" w:cs="Arial"/>
      <w:b/>
      <w:bCs/>
      <w:sz w:val="26"/>
      <w:szCs w:val="26"/>
    </w:rPr>
  </w:style>
  <w:style w:type="paragraph" w:styleId="711">
    <w:name w:val="Heading 5"/>
    <w:basedOn w:val="706"/>
    <w:next w:val="706"/>
    <w:link w:val="755"/>
    <w:uiPriority w:val="9"/>
    <w:unhideWhenUsed/>
    <w:qFormat/>
    <w:pPr>
      <w:keepLines/>
      <w:keepNext/>
      <w:spacing w:before="320" w:after="200"/>
      <w:outlineLvl w:val="4"/>
    </w:pPr>
    <w:rPr>
      <w:rFonts w:ascii="Arial" w:hAnsi="Arial" w:eastAsia="Arial" w:cs="Arial"/>
      <w:b/>
      <w:bCs/>
      <w:sz w:val="24"/>
      <w:szCs w:val="24"/>
    </w:rPr>
  </w:style>
  <w:style w:type="paragraph" w:styleId="712">
    <w:name w:val="Heading 6"/>
    <w:basedOn w:val="706"/>
    <w:next w:val="706"/>
    <w:link w:val="756"/>
    <w:uiPriority w:val="9"/>
    <w:unhideWhenUsed/>
    <w:qFormat/>
    <w:pPr>
      <w:keepLines/>
      <w:keepNext/>
      <w:spacing w:before="320" w:after="200"/>
      <w:outlineLvl w:val="5"/>
    </w:pPr>
    <w:rPr>
      <w:rFonts w:ascii="Arial" w:hAnsi="Arial" w:eastAsia="Arial" w:cs="Arial"/>
      <w:b/>
      <w:bCs/>
      <w:sz w:val="22"/>
    </w:rPr>
  </w:style>
  <w:style w:type="paragraph" w:styleId="713">
    <w:name w:val="Heading 7"/>
    <w:basedOn w:val="706"/>
    <w:next w:val="706"/>
    <w:link w:val="757"/>
    <w:uiPriority w:val="9"/>
    <w:unhideWhenUsed/>
    <w:qFormat/>
    <w:pPr>
      <w:keepLines/>
      <w:keepNext/>
      <w:spacing w:before="320" w:after="200"/>
      <w:outlineLvl w:val="6"/>
    </w:pPr>
    <w:rPr>
      <w:rFonts w:ascii="Arial" w:hAnsi="Arial" w:eastAsia="Arial" w:cs="Arial"/>
      <w:b/>
      <w:bCs/>
      <w:i/>
      <w:iCs/>
      <w:sz w:val="22"/>
    </w:rPr>
  </w:style>
  <w:style w:type="paragraph" w:styleId="714">
    <w:name w:val="Heading 8"/>
    <w:basedOn w:val="706"/>
    <w:next w:val="706"/>
    <w:link w:val="758"/>
    <w:uiPriority w:val="9"/>
    <w:unhideWhenUsed/>
    <w:qFormat/>
    <w:pPr>
      <w:keepLines/>
      <w:keepNext/>
      <w:spacing w:before="320" w:after="200"/>
      <w:outlineLvl w:val="7"/>
    </w:pPr>
    <w:rPr>
      <w:rFonts w:ascii="Arial" w:hAnsi="Arial" w:eastAsia="Arial" w:cs="Arial"/>
      <w:i/>
      <w:iCs/>
      <w:sz w:val="22"/>
    </w:rPr>
  </w:style>
  <w:style w:type="paragraph" w:styleId="715">
    <w:name w:val="Heading 9"/>
    <w:basedOn w:val="706"/>
    <w:next w:val="706"/>
    <w:link w:val="759"/>
    <w:uiPriority w:val="9"/>
    <w:unhideWhenUsed/>
    <w:qFormat/>
    <w:pPr>
      <w:keepLines/>
      <w:keepNext/>
      <w:spacing w:before="320" w:after="200"/>
      <w:outlineLvl w:val="8"/>
    </w:pPr>
    <w:rPr>
      <w:rFonts w:ascii="Arial" w:hAnsi="Arial" w:eastAsia="Arial" w:cs="Arial"/>
      <w:i/>
      <w:iCs/>
      <w:szCs w:val="21"/>
    </w:rPr>
  </w:style>
  <w:style w:type="character" w:styleId="716" w:default="1">
    <w:name w:val="Default Paragraph Font"/>
    <w:uiPriority w:val="1"/>
    <w:semiHidden/>
    <w:unhideWhenUsed/>
    <w:qFormat/>
  </w:style>
  <w:style w:type="table" w:styleId="717" w:default="1">
    <w:name w:val="Normal Table"/>
    <w:uiPriority w:val="99"/>
    <w:semiHidden/>
    <w:unhideWhenUsed/>
    <w:qFormat/>
    <w:tblPr>
      <w:tblCellMar>
        <w:left w:w="108" w:type="dxa"/>
        <w:top w:w="0" w:type="dxa"/>
        <w:right w:w="108" w:type="dxa"/>
        <w:bottom w:w="0" w:type="dxa"/>
      </w:tblCellMar>
    </w:tblPr>
  </w:style>
  <w:style w:type="paragraph" w:styleId="718">
    <w:name w:val="Body Text Indent"/>
    <w:basedOn w:val="706"/>
    <w:next w:val="719"/>
    <w:uiPriority w:val="0"/>
    <w:qFormat/>
    <w:pPr>
      <w:ind w:firstLine="574"/>
      <w:spacing w:line="312" w:lineRule="atLeast"/>
    </w:pPr>
    <w:rPr>
      <w:rFonts w:ascii="宋体"/>
      <w:sz w:val="28"/>
    </w:rPr>
  </w:style>
  <w:style w:type="paragraph" w:styleId="719">
    <w:name w:val="envelope return"/>
    <w:basedOn w:val="706"/>
    <w:uiPriority w:val="0"/>
    <w:qFormat/>
    <w:rPr>
      <w:rFonts w:ascii="Arial" w:hAnsi="Arial"/>
    </w:rPr>
  </w:style>
  <w:style w:type="paragraph" w:styleId="720">
    <w:name w:val="toc 7"/>
    <w:basedOn w:val="706"/>
    <w:next w:val="706"/>
    <w:uiPriority w:val="39"/>
    <w:unhideWhenUsed/>
    <w:qFormat/>
    <w:pPr>
      <w:ind w:left="1701"/>
      <w:spacing w:after="57"/>
    </w:pPr>
  </w:style>
  <w:style w:type="paragraph" w:styleId="721">
    <w:name w:val="Caption"/>
    <w:basedOn w:val="706"/>
    <w:next w:val="70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2">
    <w:name w:val="annotation text"/>
    <w:basedOn w:val="706"/>
    <w:link w:val="1066"/>
    <w:uiPriority w:val="99"/>
    <w:semiHidden/>
    <w:unhideWhenUsed/>
    <w:qFormat/>
    <w:pPr>
      <w:jc w:val="left"/>
    </w:pPr>
  </w:style>
  <w:style w:type="paragraph" w:styleId="723">
    <w:name w:val="Body Text"/>
    <w:basedOn w:val="706"/>
    <w:uiPriority w:val="0"/>
    <w:qFormat/>
    <w:rPr>
      <w:rFonts w:ascii="楷体_GB2312" w:hAnsi="Arial" w:eastAsia="楷体_GB2312"/>
      <w:sz w:val="28"/>
    </w:rPr>
  </w:style>
  <w:style w:type="paragraph" w:styleId="724">
    <w:name w:val="toc 5"/>
    <w:basedOn w:val="706"/>
    <w:next w:val="706"/>
    <w:uiPriority w:val="39"/>
    <w:unhideWhenUsed/>
    <w:qFormat/>
    <w:pPr>
      <w:ind w:left="1134"/>
      <w:spacing w:after="57"/>
    </w:pPr>
  </w:style>
  <w:style w:type="paragraph" w:styleId="725">
    <w:name w:val="toc 3"/>
    <w:basedOn w:val="706"/>
    <w:next w:val="706"/>
    <w:uiPriority w:val="39"/>
    <w:unhideWhenUsed/>
    <w:qFormat/>
    <w:pPr>
      <w:ind w:left="567"/>
      <w:spacing w:after="57"/>
    </w:pPr>
  </w:style>
  <w:style w:type="paragraph" w:styleId="726">
    <w:name w:val="toc 8"/>
    <w:basedOn w:val="706"/>
    <w:next w:val="706"/>
    <w:uiPriority w:val="39"/>
    <w:unhideWhenUsed/>
    <w:qFormat/>
    <w:pPr>
      <w:ind w:left="1984"/>
      <w:spacing w:after="57"/>
    </w:pPr>
  </w:style>
  <w:style w:type="paragraph" w:styleId="727">
    <w:name w:val="Date"/>
    <w:basedOn w:val="706"/>
    <w:next w:val="706"/>
    <w:uiPriority w:val="0"/>
    <w:qFormat/>
    <w:pPr>
      <w:spacing w:line="312" w:lineRule="atLeast"/>
    </w:pPr>
    <w:rPr>
      <w:rFonts w:ascii="宋体"/>
      <w:sz w:val="28"/>
    </w:rPr>
  </w:style>
  <w:style w:type="paragraph" w:styleId="728">
    <w:name w:val="endnote text"/>
    <w:basedOn w:val="706"/>
    <w:link w:val="897"/>
    <w:uiPriority w:val="99"/>
    <w:semiHidden/>
    <w:unhideWhenUsed/>
    <w:qFormat/>
    <w:rPr>
      <w:sz w:val="20"/>
    </w:rPr>
  </w:style>
  <w:style w:type="paragraph" w:styleId="729">
    <w:name w:val="Balloon Text"/>
    <w:basedOn w:val="706"/>
    <w:link w:val="1068"/>
    <w:uiPriority w:val="99"/>
    <w:semiHidden/>
    <w:unhideWhenUsed/>
    <w:qFormat/>
    <w:rPr>
      <w:sz w:val="18"/>
      <w:szCs w:val="18"/>
    </w:rPr>
  </w:style>
  <w:style w:type="paragraph" w:styleId="730">
    <w:name w:val="Footer"/>
    <w:basedOn w:val="706"/>
    <w:link w:val="770"/>
    <w:uiPriority w:val="99"/>
    <w:unhideWhenUsed/>
    <w:qFormat/>
    <w:pPr>
      <w:tabs>
        <w:tab w:val="center" w:pos="7143" w:leader="none"/>
        <w:tab w:val="right" w:pos="14287" w:leader="none"/>
      </w:tabs>
    </w:pPr>
  </w:style>
  <w:style w:type="paragraph" w:styleId="731">
    <w:name w:val="Header"/>
    <w:basedOn w:val="706"/>
    <w:link w:val="768"/>
    <w:uiPriority w:val="99"/>
    <w:unhideWhenUsed/>
    <w:qFormat/>
    <w:pPr>
      <w:tabs>
        <w:tab w:val="center" w:pos="7143" w:leader="none"/>
        <w:tab w:val="right" w:pos="14287" w:leader="none"/>
      </w:tabs>
    </w:pPr>
  </w:style>
  <w:style w:type="paragraph" w:styleId="732">
    <w:name w:val="Signature"/>
    <w:basedOn w:val="706"/>
    <w:uiPriority w:val="0"/>
    <w:qFormat/>
    <w:pPr>
      <w:jc w:val="center"/>
      <w:spacing w:after="600" w:line="312" w:lineRule="atLeast"/>
    </w:pPr>
    <w:rPr>
      <w:rFonts w:eastAsia="仿宋_GB2312"/>
      <w:sz w:val="24"/>
    </w:rPr>
  </w:style>
  <w:style w:type="paragraph" w:styleId="733">
    <w:name w:val="toc 1"/>
    <w:basedOn w:val="706"/>
    <w:next w:val="706"/>
    <w:uiPriority w:val="39"/>
    <w:unhideWhenUsed/>
    <w:qFormat/>
    <w:pPr>
      <w:spacing w:after="57"/>
    </w:pPr>
  </w:style>
  <w:style w:type="paragraph" w:styleId="734">
    <w:name w:val="toc 4"/>
    <w:basedOn w:val="706"/>
    <w:next w:val="706"/>
    <w:uiPriority w:val="39"/>
    <w:unhideWhenUsed/>
    <w:qFormat/>
    <w:pPr>
      <w:ind w:left="850"/>
      <w:spacing w:after="57"/>
    </w:pPr>
  </w:style>
  <w:style w:type="paragraph" w:styleId="735">
    <w:name w:val="Subtitle"/>
    <w:basedOn w:val="706"/>
    <w:next w:val="706"/>
    <w:link w:val="763"/>
    <w:uiPriority w:val="11"/>
    <w:qFormat/>
    <w:pPr>
      <w:spacing w:before="200" w:after="200"/>
    </w:pPr>
    <w:rPr>
      <w:sz w:val="24"/>
      <w:szCs w:val="24"/>
    </w:rPr>
  </w:style>
  <w:style w:type="paragraph" w:styleId="736">
    <w:name w:val="footnote text"/>
    <w:basedOn w:val="706"/>
    <w:link w:val="896"/>
    <w:uiPriority w:val="99"/>
    <w:semiHidden/>
    <w:unhideWhenUsed/>
    <w:qFormat/>
    <w:pPr>
      <w:spacing w:after="40"/>
    </w:pPr>
    <w:rPr>
      <w:sz w:val="18"/>
    </w:rPr>
  </w:style>
  <w:style w:type="paragraph" w:styleId="737">
    <w:name w:val="toc 6"/>
    <w:basedOn w:val="706"/>
    <w:next w:val="706"/>
    <w:uiPriority w:val="39"/>
    <w:unhideWhenUsed/>
    <w:qFormat/>
    <w:pPr>
      <w:ind w:left="1417"/>
      <w:spacing w:after="57"/>
    </w:pPr>
  </w:style>
  <w:style w:type="paragraph" w:styleId="738">
    <w:name w:val="table of figures"/>
    <w:basedOn w:val="706"/>
    <w:next w:val="706"/>
    <w:uiPriority w:val="99"/>
    <w:unhideWhenUsed/>
    <w:qFormat/>
  </w:style>
  <w:style w:type="paragraph" w:styleId="739">
    <w:name w:val="toc 2"/>
    <w:basedOn w:val="706"/>
    <w:next w:val="706"/>
    <w:uiPriority w:val="39"/>
    <w:unhideWhenUsed/>
    <w:qFormat/>
    <w:pPr>
      <w:ind w:left="283"/>
      <w:spacing w:after="57"/>
    </w:pPr>
  </w:style>
  <w:style w:type="paragraph" w:styleId="740">
    <w:name w:val="toc 9"/>
    <w:basedOn w:val="706"/>
    <w:next w:val="706"/>
    <w:uiPriority w:val="39"/>
    <w:unhideWhenUsed/>
    <w:qFormat/>
    <w:pPr>
      <w:ind w:left="2268"/>
      <w:spacing w:after="57"/>
    </w:pPr>
  </w:style>
  <w:style w:type="paragraph" w:styleId="741">
    <w:name w:val="Normal (Web)"/>
    <w:basedOn w:val="706"/>
    <w:uiPriority w:val="99"/>
    <w:semiHidden/>
    <w:unhideWhenUsed/>
    <w:qFormat/>
    <w:pPr>
      <w:jc w:val="left"/>
      <w:spacing w:before="100" w:beforeAutospacing="1" w:after="100" w:afterAutospacing="1"/>
      <w:widowControl/>
    </w:pPr>
    <w:rPr>
      <w:rFonts w:ascii="宋体" w:hAnsi="宋体" w:cs="宋体"/>
      <w:sz w:val="24"/>
      <w:szCs w:val="24"/>
    </w:rPr>
  </w:style>
  <w:style w:type="paragraph" w:styleId="742">
    <w:name w:val="Title"/>
    <w:basedOn w:val="706"/>
    <w:next w:val="706"/>
    <w:link w:val="762"/>
    <w:uiPriority w:val="10"/>
    <w:qFormat/>
    <w:pPr>
      <w:contextualSpacing/>
      <w:spacing w:before="300" w:after="200"/>
    </w:pPr>
    <w:rPr>
      <w:sz w:val="48"/>
      <w:szCs w:val="48"/>
    </w:rPr>
  </w:style>
  <w:style w:type="paragraph" w:styleId="743">
    <w:name w:val="annotation subject"/>
    <w:basedOn w:val="722"/>
    <w:next w:val="722"/>
    <w:link w:val="1067"/>
    <w:uiPriority w:val="99"/>
    <w:semiHidden/>
    <w:unhideWhenUsed/>
    <w:qFormat/>
    <w:rPr>
      <w:b/>
      <w:bCs/>
    </w:rPr>
  </w:style>
  <w:style w:type="paragraph" w:styleId="744">
    <w:name w:val="Body Text First Indent"/>
    <w:basedOn w:val="723"/>
    <w:next w:val="745"/>
    <w:uiPriority w:val="99"/>
    <w:unhideWhenUsed/>
    <w:qFormat/>
    <w:pPr>
      <w:ind w:firstLine="420"/>
    </w:pPr>
  </w:style>
  <w:style w:type="paragraph" w:styleId="745">
    <w:name w:val="Body Text First Indent 2"/>
    <w:basedOn w:val="718"/>
    <w:next w:val="744"/>
    <w:uiPriority w:val="0"/>
    <w:qFormat/>
    <w:pPr>
      <w:ind w:firstLine="420"/>
    </w:pPr>
  </w:style>
  <w:style w:type="table" w:styleId="74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7">
    <w:name w:val="endnote reference"/>
    <w:uiPriority w:val="99"/>
    <w:semiHidden/>
    <w:unhideWhenUsed/>
    <w:qFormat/>
    <w:rPr>
      <w:vertAlign w:val="superscript"/>
    </w:rPr>
  </w:style>
  <w:style w:type="character" w:styleId="748">
    <w:name w:val="Hyperlink"/>
    <w:uiPriority w:val="99"/>
    <w:unhideWhenUsed/>
    <w:qFormat/>
    <w:rPr>
      <w:color w:val="0000ff" w:themeColor="hyperlink"/>
      <w:u w:val="single"/>
      <w14:textFill>
        <w14:solidFill>
          <w14:schemeClr w14:val="hlink"/>
        </w14:solidFill>
      </w14:textFill>
    </w:rPr>
  </w:style>
  <w:style w:type="character" w:styleId="749">
    <w:name w:val="annotation reference"/>
    <w:basedOn w:val="716"/>
    <w:uiPriority w:val="99"/>
    <w:semiHidden/>
    <w:unhideWhenUsed/>
    <w:qFormat/>
    <w:rPr>
      <w:sz w:val="21"/>
      <w:szCs w:val="21"/>
    </w:rPr>
  </w:style>
  <w:style w:type="character" w:styleId="750">
    <w:name w:val="footnote reference"/>
    <w:uiPriority w:val="99"/>
    <w:unhideWhenUsed/>
    <w:qFormat/>
    <w:rPr>
      <w:vertAlign w:val="superscript"/>
    </w:rPr>
  </w:style>
  <w:style w:type="character" w:styleId="751" w:customStyle="1">
    <w:name w:val="标题 1 字符1"/>
    <w:link w:val="707"/>
    <w:uiPriority w:val="9"/>
    <w:qFormat/>
    <w:rPr>
      <w:rFonts w:ascii="Arial" w:hAnsi="Arial" w:eastAsia="Arial" w:cs="Arial"/>
      <w:sz w:val="40"/>
      <w:szCs w:val="40"/>
    </w:rPr>
  </w:style>
  <w:style w:type="character" w:styleId="752" w:customStyle="1">
    <w:name w:val="标题 2 字符3"/>
    <w:link w:val="708"/>
    <w:uiPriority w:val="9"/>
    <w:qFormat/>
    <w:rPr>
      <w:rFonts w:ascii="Arial" w:hAnsi="Arial" w:eastAsia="Arial" w:cs="Arial"/>
      <w:sz w:val="34"/>
    </w:rPr>
  </w:style>
  <w:style w:type="character" w:styleId="753" w:customStyle="1">
    <w:name w:val="标题 3 字符"/>
    <w:link w:val="709"/>
    <w:uiPriority w:val="9"/>
    <w:qFormat/>
    <w:rPr>
      <w:rFonts w:ascii="Arial" w:hAnsi="Arial" w:eastAsia="Arial" w:cs="Arial"/>
      <w:sz w:val="30"/>
      <w:szCs w:val="30"/>
    </w:rPr>
  </w:style>
  <w:style w:type="character" w:styleId="754" w:customStyle="1">
    <w:name w:val="标题 4 字符"/>
    <w:link w:val="710"/>
    <w:uiPriority w:val="9"/>
    <w:qFormat/>
    <w:rPr>
      <w:rFonts w:ascii="Arial" w:hAnsi="Arial" w:eastAsia="Arial" w:cs="Arial"/>
      <w:b/>
      <w:bCs/>
      <w:sz w:val="26"/>
      <w:szCs w:val="26"/>
    </w:rPr>
  </w:style>
  <w:style w:type="character" w:styleId="755" w:customStyle="1">
    <w:name w:val="标题 5 字符"/>
    <w:link w:val="711"/>
    <w:uiPriority w:val="9"/>
    <w:qFormat/>
    <w:rPr>
      <w:rFonts w:ascii="Arial" w:hAnsi="Arial" w:eastAsia="Arial" w:cs="Arial"/>
      <w:b/>
      <w:bCs/>
      <w:sz w:val="24"/>
      <w:szCs w:val="24"/>
    </w:rPr>
  </w:style>
  <w:style w:type="character" w:styleId="756" w:customStyle="1">
    <w:name w:val="标题 6 字符"/>
    <w:link w:val="712"/>
    <w:uiPriority w:val="9"/>
    <w:qFormat/>
    <w:rPr>
      <w:rFonts w:ascii="Arial" w:hAnsi="Arial" w:eastAsia="Arial" w:cs="Arial"/>
      <w:b/>
      <w:bCs/>
      <w:sz w:val="22"/>
      <w:szCs w:val="22"/>
    </w:rPr>
  </w:style>
  <w:style w:type="character" w:styleId="757" w:customStyle="1">
    <w:name w:val="标题 7 字符"/>
    <w:link w:val="713"/>
    <w:uiPriority w:val="9"/>
    <w:qFormat/>
    <w:rPr>
      <w:rFonts w:ascii="Arial" w:hAnsi="Arial" w:eastAsia="Arial" w:cs="Arial"/>
      <w:b/>
      <w:bCs/>
      <w:i/>
      <w:iCs/>
      <w:sz w:val="22"/>
      <w:szCs w:val="22"/>
    </w:rPr>
  </w:style>
  <w:style w:type="character" w:styleId="758" w:customStyle="1">
    <w:name w:val="标题 8 字符"/>
    <w:link w:val="714"/>
    <w:uiPriority w:val="9"/>
    <w:qFormat/>
    <w:rPr>
      <w:rFonts w:ascii="Arial" w:hAnsi="Arial" w:eastAsia="Arial" w:cs="Arial"/>
      <w:i/>
      <w:iCs/>
      <w:sz w:val="22"/>
      <w:szCs w:val="22"/>
    </w:rPr>
  </w:style>
  <w:style w:type="character" w:styleId="759" w:customStyle="1">
    <w:name w:val="标题 9 字符"/>
    <w:link w:val="715"/>
    <w:uiPriority w:val="9"/>
    <w:qFormat/>
    <w:rPr>
      <w:rFonts w:ascii="Arial" w:hAnsi="Arial" w:eastAsia="Arial" w:cs="Arial"/>
      <w:i/>
      <w:iCs/>
      <w:sz w:val="21"/>
      <w:szCs w:val="21"/>
    </w:rPr>
  </w:style>
  <w:style w:type="paragraph" w:styleId="760">
    <w:name w:val="List Paragraph"/>
    <w:basedOn w:val="706"/>
    <w:uiPriority w:val="34"/>
    <w:qFormat/>
    <w:pPr>
      <w:contextualSpacing/>
      <w:ind w:left="720"/>
    </w:pPr>
  </w:style>
  <w:style w:type="paragraph" w:styleId="761">
    <w:name w:val="No Spacing"/>
    <w:uiPriority w:val="1"/>
    <w:qFormat/>
    <w:rPr>
      <w:rFonts w:ascii="Calibri" w:hAnsi="Calibri" w:eastAsia="宋体" w:cs="Times New Roman"/>
      <w:lang w:val="en-US" w:eastAsia="zh-CN" w:bidi="ar-SA"/>
    </w:rPr>
  </w:style>
  <w:style w:type="character" w:styleId="762" w:customStyle="1">
    <w:name w:val="标题 字符"/>
    <w:link w:val="742"/>
    <w:uiPriority w:val="10"/>
    <w:qFormat/>
    <w:rPr>
      <w:sz w:val="48"/>
      <w:szCs w:val="48"/>
    </w:rPr>
  </w:style>
  <w:style w:type="character" w:styleId="763" w:customStyle="1">
    <w:name w:val="副标题 字符"/>
    <w:link w:val="735"/>
    <w:uiPriority w:val="11"/>
    <w:qFormat/>
    <w:rPr>
      <w:sz w:val="24"/>
      <w:szCs w:val="24"/>
    </w:rPr>
  </w:style>
  <w:style w:type="paragraph" w:styleId="764">
    <w:name w:val="Quote"/>
    <w:basedOn w:val="706"/>
    <w:next w:val="706"/>
    <w:link w:val="765"/>
    <w:uiPriority w:val="29"/>
    <w:qFormat/>
    <w:pPr>
      <w:ind w:left="720" w:right="720"/>
    </w:pPr>
    <w:rPr>
      <w:i/>
    </w:rPr>
  </w:style>
  <w:style w:type="character" w:styleId="765" w:customStyle="1">
    <w:name w:val="引用 字符"/>
    <w:link w:val="764"/>
    <w:uiPriority w:val="29"/>
    <w:qFormat/>
    <w:rPr>
      <w:i/>
    </w:rPr>
  </w:style>
  <w:style w:type="paragraph" w:styleId="766">
    <w:name w:val="Intense Quote"/>
    <w:basedOn w:val="706"/>
    <w:next w:val="706"/>
    <w:link w:val="76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7" w:customStyle="1">
    <w:name w:val="明显引用 字符"/>
    <w:link w:val="766"/>
    <w:uiPriority w:val="30"/>
    <w:qFormat/>
    <w:rPr>
      <w:i/>
    </w:rPr>
  </w:style>
  <w:style w:type="character" w:styleId="768" w:customStyle="1">
    <w:name w:val="页眉 字符"/>
    <w:link w:val="731"/>
    <w:uiPriority w:val="99"/>
    <w:qFormat/>
  </w:style>
  <w:style w:type="character" w:styleId="769" w:customStyle="1">
    <w:name w:val="Footer Char"/>
    <w:uiPriority w:val="99"/>
    <w:qFormat/>
  </w:style>
  <w:style w:type="character" w:styleId="770" w:customStyle="1">
    <w:name w:val="页脚 字符"/>
    <w:link w:val="730"/>
    <w:uiPriority w:val="99"/>
    <w:qFormat/>
  </w:style>
  <w:style w:type="table" w:styleId="77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2"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3"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4"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5"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6"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7"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4"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1"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5"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2"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1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9"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6"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3"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0"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7"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4"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8"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6" w:customStyle="1">
    <w:name w:val="脚注文本 字符1"/>
    <w:link w:val="736"/>
    <w:uiPriority w:val="99"/>
    <w:qFormat/>
    <w:rPr>
      <w:sz w:val="18"/>
    </w:rPr>
  </w:style>
  <w:style w:type="character" w:styleId="897" w:customStyle="1">
    <w:name w:val="尾注文本 字符"/>
    <w:link w:val="728"/>
    <w:uiPriority w:val="99"/>
    <w:qFormat/>
    <w:rPr>
      <w:sz w:val="20"/>
    </w:rPr>
  </w:style>
  <w:style w:type="paragraph" w:styleId="898" w:customStyle="1">
    <w:name w:val="TOC 标题1"/>
    <w:uiPriority w:val="39"/>
    <w:unhideWhenUsed/>
    <w:qFormat/>
    <w:rPr>
      <w:rFonts w:ascii="Calibri" w:hAnsi="Calibri" w:eastAsia="宋体" w:cs="Times New Roman"/>
      <w:lang w:val="en-US" w:eastAsia="zh-CN" w:bidi="ar-SA"/>
    </w:rPr>
  </w:style>
  <w:style w:type="paragraph" w:styleId="899" w:customStyle="1">
    <w:name w:val="标题 11"/>
    <w:basedOn w:val="706"/>
    <w:next w:val="706"/>
    <w:link w:val="911"/>
    <w:uiPriority w:val="9"/>
    <w:qFormat/>
    <w:pPr>
      <w:jc w:val="center"/>
      <w:keepNext/>
      <w:outlineLvl w:val="0"/>
    </w:pPr>
    <w:rPr>
      <w:rFonts w:ascii="楷体_GB2312" w:hAnsi="Times New Roman" w:eastAsia="楷体_GB2312"/>
      <w:sz w:val="28"/>
      <w:szCs w:val="28"/>
    </w:rPr>
  </w:style>
  <w:style w:type="paragraph" w:styleId="900" w:customStyle="1">
    <w:name w:val="标题 21"/>
    <w:basedOn w:val="706"/>
    <w:next w:val="706"/>
    <w:link w:val="91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01" w:customStyle="1">
    <w:name w:val="正文缩进1"/>
    <w:basedOn w:val="706"/>
    <w:link w:val="922"/>
    <w:uiPriority w:val="0"/>
    <w:qFormat/>
    <w:pPr>
      <w:ind w:firstLine="420"/>
    </w:pPr>
    <w:rPr>
      <w:szCs w:val="21"/>
    </w:rPr>
  </w:style>
  <w:style w:type="paragraph" w:styleId="902" w:customStyle="1">
    <w:name w:val="标题 31"/>
    <w:basedOn w:val="706"/>
    <w:next w:val="901"/>
    <w:link w:val="913"/>
    <w:uiPriority w:val="0"/>
    <w:qFormat/>
    <w:pPr>
      <w:keepLines/>
      <w:keepNext/>
      <w:spacing w:before="260" w:after="260" w:line="416" w:lineRule="auto"/>
      <w:outlineLvl w:val="2"/>
    </w:pPr>
    <w:rPr>
      <w:rFonts w:ascii="Times New Roman" w:hAnsi="Times New Roman"/>
      <w:b/>
      <w:bCs/>
      <w:sz w:val="32"/>
      <w:szCs w:val="32"/>
    </w:rPr>
  </w:style>
  <w:style w:type="paragraph" w:styleId="903" w:customStyle="1">
    <w:name w:val="标题 41"/>
    <w:basedOn w:val="706"/>
    <w:next w:val="901"/>
    <w:link w:val="914"/>
    <w:uiPriority w:val="0"/>
    <w:qFormat/>
    <w:pPr>
      <w:keepLines/>
      <w:keepNext/>
      <w:spacing w:before="280" w:after="290" w:line="376" w:lineRule="auto"/>
      <w:outlineLvl w:val="3"/>
    </w:pPr>
    <w:rPr>
      <w:rFonts w:ascii="Arial" w:hAnsi="Arial" w:eastAsia="黑体" w:cs="Arial"/>
      <w:b/>
      <w:bCs/>
      <w:sz w:val="28"/>
      <w:szCs w:val="28"/>
    </w:rPr>
  </w:style>
  <w:style w:type="paragraph" w:styleId="904" w:customStyle="1">
    <w:name w:val="标题 51"/>
    <w:basedOn w:val="706"/>
    <w:next w:val="901"/>
    <w:link w:val="915"/>
    <w:uiPriority w:val="0"/>
    <w:qFormat/>
    <w:pPr>
      <w:keepNext/>
      <w:outlineLvl w:val="4"/>
    </w:pPr>
    <w:rPr>
      <w:rFonts w:ascii="宋体" w:hAnsi="Times New Roman"/>
      <w:color w:val="000000"/>
      <w:sz w:val="28"/>
      <w:szCs w:val="28"/>
    </w:rPr>
  </w:style>
  <w:style w:type="paragraph" w:styleId="905" w:customStyle="1">
    <w:name w:val="标题 61"/>
    <w:basedOn w:val="706"/>
    <w:next w:val="706"/>
    <w:link w:val="916"/>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06" w:customStyle="1">
    <w:name w:val="标题 71"/>
    <w:basedOn w:val="706"/>
    <w:next w:val="706"/>
    <w:link w:val="917"/>
    <w:uiPriority w:val="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907" w:customStyle="1">
    <w:name w:val="标题 81"/>
    <w:basedOn w:val="706"/>
    <w:next w:val="706"/>
    <w:link w:val="918"/>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08" w:customStyle="1">
    <w:name w:val="标题 91"/>
    <w:basedOn w:val="706"/>
    <w:next w:val="706"/>
    <w:link w:val="919"/>
    <w:uiPriority w:val="0"/>
    <w:qFormat/>
    <w:pPr>
      <w:numPr>
        <w:ilvl w:val="8"/>
        <w:numId w:val="1"/>
      </w:numPr>
      <w:keepLines/>
      <w:keepNext/>
      <w:spacing w:before="240" w:after="64" w:line="320" w:lineRule="auto"/>
      <w:outlineLvl w:val="8"/>
    </w:pPr>
    <w:rPr>
      <w:rFonts w:ascii="Arial" w:hAnsi="Arial" w:eastAsia="黑体"/>
      <w:szCs w:val="21"/>
    </w:rPr>
  </w:style>
  <w:style w:type="character" w:styleId="909" w:customStyle="1">
    <w:name w:val="默认段落字体1"/>
    <w:uiPriority w:val="1"/>
    <w:semiHidden/>
    <w:unhideWhenUsed/>
    <w:qFormat/>
  </w:style>
  <w:style w:type="table" w:styleId="910" w:customStyle="1">
    <w:name w:val="普通表格1"/>
    <w:uiPriority w:val="99"/>
    <w:semiHidden/>
    <w:unhideWhenUsed/>
    <w:qFormat/>
    <w:tblPr>
      <w:tblCellMar>
        <w:left w:w="0" w:type="dxa"/>
        <w:top w:w="0" w:type="dxa"/>
        <w:right w:w="0" w:type="dxa"/>
        <w:bottom w:w="0" w:type="dxa"/>
      </w:tblCellMar>
    </w:tblPr>
  </w:style>
  <w:style w:type="character" w:styleId="911" w:customStyle="1">
    <w:name w:val="标题 1 Char"/>
    <w:link w:val="899"/>
    <w:uiPriority w:val="0"/>
    <w:qFormat/>
    <w:rPr>
      <w:rFonts w:ascii="楷体_GB2312" w:hAnsi="Times New Roman" w:eastAsia="楷体_GB2312" w:cs="Times New Roman"/>
      <w:sz w:val="28"/>
      <w:szCs w:val="28"/>
    </w:rPr>
  </w:style>
  <w:style w:type="character" w:styleId="912" w:customStyle="1">
    <w:name w:val="标题 2 Char"/>
    <w:link w:val="900"/>
    <w:uiPriority w:val="0"/>
    <w:qFormat/>
    <w:rPr>
      <w:rFonts w:ascii="Arial" w:hAnsi="Arial" w:eastAsia="幼圆" w:cs="Arial"/>
      <w:b/>
      <w:bCs/>
      <w:sz w:val="44"/>
      <w:szCs w:val="44"/>
    </w:rPr>
  </w:style>
  <w:style w:type="character" w:styleId="913" w:customStyle="1">
    <w:name w:val="标题 3 Char"/>
    <w:link w:val="902"/>
    <w:uiPriority w:val="0"/>
    <w:qFormat/>
    <w:rPr>
      <w:rFonts w:ascii="Times New Roman" w:hAnsi="Times New Roman" w:eastAsia="宋体" w:cs="Times New Roman"/>
      <w:b/>
      <w:bCs/>
      <w:sz w:val="32"/>
      <w:szCs w:val="32"/>
    </w:rPr>
  </w:style>
  <w:style w:type="character" w:styleId="914" w:customStyle="1">
    <w:name w:val="标题 4 Char"/>
    <w:link w:val="903"/>
    <w:uiPriority w:val="0"/>
    <w:qFormat/>
    <w:rPr>
      <w:rFonts w:ascii="Arial" w:hAnsi="Arial" w:eastAsia="黑体" w:cs="Arial"/>
      <w:b/>
      <w:bCs/>
      <w:sz w:val="28"/>
      <w:szCs w:val="28"/>
    </w:rPr>
  </w:style>
  <w:style w:type="character" w:styleId="915" w:customStyle="1">
    <w:name w:val="标题 5 Char"/>
    <w:link w:val="904"/>
    <w:uiPriority w:val="0"/>
    <w:qFormat/>
    <w:rPr>
      <w:rFonts w:ascii="宋体" w:hAnsi="Times New Roman" w:eastAsia="宋体" w:cs="Times New Roman"/>
      <w:color w:val="000000"/>
      <w:sz w:val="28"/>
      <w:szCs w:val="28"/>
    </w:rPr>
  </w:style>
  <w:style w:type="character" w:styleId="916" w:customStyle="1">
    <w:name w:val="标题 6 Char"/>
    <w:link w:val="905"/>
    <w:uiPriority w:val="0"/>
    <w:qFormat/>
    <w:rPr>
      <w:rFonts w:ascii="Arial" w:hAnsi="Arial" w:eastAsia="黑体" w:cs="Times New Roman"/>
      <w:b/>
      <w:bCs/>
      <w:sz w:val="24"/>
      <w:szCs w:val="24"/>
    </w:rPr>
  </w:style>
  <w:style w:type="character" w:styleId="917" w:customStyle="1">
    <w:name w:val="标题 7 Char"/>
    <w:link w:val="906"/>
    <w:uiPriority w:val="0"/>
    <w:qFormat/>
    <w:rPr>
      <w:rFonts w:ascii="Times New Roman" w:hAnsi="Times New Roman" w:eastAsia="宋体" w:cs="Times New Roman"/>
      <w:b/>
      <w:bCs/>
      <w:sz w:val="24"/>
      <w:szCs w:val="24"/>
    </w:rPr>
  </w:style>
  <w:style w:type="character" w:styleId="918" w:customStyle="1">
    <w:name w:val="标题 8 Char"/>
    <w:link w:val="907"/>
    <w:uiPriority w:val="0"/>
    <w:qFormat/>
    <w:rPr>
      <w:rFonts w:ascii="Arial" w:hAnsi="Arial" w:eastAsia="黑体" w:cs="Times New Roman"/>
      <w:sz w:val="24"/>
      <w:szCs w:val="24"/>
    </w:rPr>
  </w:style>
  <w:style w:type="character" w:styleId="919" w:customStyle="1">
    <w:name w:val="标题 9 Char"/>
    <w:link w:val="908"/>
    <w:uiPriority w:val="0"/>
    <w:qFormat/>
    <w:rPr>
      <w:rFonts w:ascii="Arial" w:hAnsi="Arial" w:eastAsia="黑体" w:cs="Times New Roman"/>
      <w:szCs w:val="21"/>
    </w:rPr>
  </w:style>
  <w:style w:type="character" w:styleId="920" w:customStyle="1">
    <w:name w:val="访问过的超链接1"/>
    <w:uiPriority w:val="0"/>
    <w:qFormat/>
    <w:rPr>
      <w:color w:val="800080"/>
      <w:u w:val="single"/>
    </w:rPr>
  </w:style>
  <w:style w:type="character" w:styleId="921" w:customStyle="1">
    <w:name w:val="font5 Char"/>
    <w:uiPriority w:val="0"/>
    <w:qFormat/>
    <w:rPr>
      <w:rFonts w:ascii="宋体" w:hAnsi="宋体" w:eastAsia="宋体"/>
      <w:sz w:val="28"/>
      <w:szCs w:val="28"/>
      <w:lang w:val="en-US" w:eastAsia="zh-CN" w:bidi="ar-SA"/>
    </w:rPr>
  </w:style>
  <w:style w:type="character" w:styleId="922" w:customStyle="1">
    <w:name w:val="正文缩进 Char"/>
    <w:link w:val="901"/>
    <w:uiPriority w:val="0"/>
    <w:qFormat/>
    <w:rPr>
      <w:szCs w:val="21"/>
    </w:rPr>
  </w:style>
  <w:style w:type="character" w:styleId="923" w:customStyle="1">
    <w:name w:val="批注引用1"/>
    <w:uiPriority w:val="0"/>
    <w:qFormat/>
    <w:rPr>
      <w:sz w:val="21"/>
      <w:szCs w:val="21"/>
    </w:rPr>
  </w:style>
  <w:style w:type="character" w:styleId="924" w:customStyle="1">
    <w:name w:val="要点1"/>
    <w:uiPriority w:val="22"/>
    <w:qFormat/>
    <w:rPr>
      <w:b/>
      <w:bCs/>
    </w:rPr>
  </w:style>
  <w:style w:type="character" w:styleId="925" w:customStyle="1">
    <w:name w:val="超链接1"/>
    <w:uiPriority w:val="99"/>
    <w:qFormat/>
    <w:rPr>
      <w:color w:val="0000ff"/>
      <w:u w:val="single"/>
    </w:rPr>
  </w:style>
  <w:style w:type="character" w:styleId="926" w:customStyle="1">
    <w:name w:val="页码1"/>
    <w:uiPriority w:val="0"/>
    <w:qFormat/>
  </w:style>
  <w:style w:type="character" w:styleId="927" w:customStyle="1">
    <w:name w:val="二级目录 Char"/>
    <w:link w:val="928"/>
    <w:uiPriority w:val="0"/>
    <w:qFormat/>
    <w:rPr>
      <w:b/>
      <w:sz w:val="30"/>
      <w:szCs w:val="28"/>
    </w:rPr>
  </w:style>
  <w:style w:type="paragraph" w:styleId="928" w:customStyle="1">
    <w:name w:val="二级目录"/>
    <w:next w:val="706"/>
    <w:link w:val="927"/>
    <w:uiPriority w:val="0"/>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929" w:customStyle="1">
    <w:name w:val="列出段落 Char"/>
    <w:link w:val="930"/>
    <w:uiPriority w:val="0"/>
    <w:qFormat/>
    <w:rPr>
      <w:rFonts w:ascii="Calibri" w:hAnsi="Calibri"/>
      <w:sz w:val="24"/>
      <w:szCs w:val="24"/>
      <w:lang w:eastAsia="en-US" w:bidi="en-US"/>
    </w:rPr>
  </w:style>
  <w:style w:type="paragraph" w:styleId="930" w:customStyle="1">
    <w:name w:val="列出段落1"/>
    <w:basedOn w:val="706"/>
    <w:link w:val="929"/>
    <w:uiPriority w:val="0"/>
    <w:qFormat/>
    <w:pPr>
      <w:contextualSpacing/>
      <w:ind w:left="720"/>
      <w:jc w:val="left"/>
      <w:widowControl/>
    </w:pPr>
    <w:rPr>
      <w:sz w:val="24"/>
      <w:szCs w:val="24"/>
      <w:lang w:eastAsia="en-US" w:bidi="en-US"/>
    </w:rPr>
  </w:style>
  <w:style w:type="paragraph" w:styleId="931" w:customStyle="1">
    <w:name w:val="Body Text(ch)"/>
    <w:basedOn w:val="706"/>
    <w:next w:val="932"/>
    <w:uiPriority w:val="0"/>
    <w:qFormat/>
    <w:pPr>
      <w:spacing w:after="120"/>
    </w:pPr>
    <w:rPr>
      <w:rFonts w:ascii="宋体" w:hAnsi="Arial"/>
      <w:bCs/>
      <w:iCs/>
      <w:szCs w:val="24"/>
    </w:rPr>
  </w:style>
  <w:style w:type="paragraph" w:styleId="932" w:customStyle="1">
    <w:name w:val="正文文本1"/>
    <w:basedOn w:val="706"/>
    <w:link w:val="937"/>
    <w:uiPriority w:val="0"/>
    <w:qFormat/>
    <w:rPr>
      <w:rFonts w:ascii="楷体_GB2312" w:hAnsi="Arial" w:eastAsia="楷体_GB2312"/>
      <w:sz w:val="28"/>
      <w:szCs w:val="28"/>
    </w:rPr>
  </w:style>
  <w:style w:type="paragraph" w:styleId="933" w:customStyle="1">
    <w:name w:val="目录 91"/>
    <w:basedOn w:val="706"/>
    <w:next w:val="706"/>
    <w:uiPriority w:val="0"/>
    <w:semiHidden/>
    <w:qFormat/>
    <w:pPr>
      <w:ind w:left="1680"/>
      <w:jc w:val="left"/>
    </w:pPr>
    <w:rPr>
      <w:rFonts w:ascii="Times New Roman" w:hAnsi="Times New Roman"/>
      <w:szCs w:val="21"/>
    </w:rPr>
  </w:style>
  <w:style w:type="paragraph" w:styleId="934" w:customStyle="1">
    <w:name w:val="xl27"/>
    <w:basedOn w:val="70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35" w:customStyle="1">
    <w:name w:val="正文文本缩进 21"/>
    <w:basedOn w:val="706"/>
    <w:link w:val="936"/>
    <w:uiPriority w:val="0"/>
    <w:qFormat/>
    <w:pPr>
      <w:ind w:left="630" w:firstLine="645"/>
    </w:pPr>
    <w:rPr>
      <w:rFonts w:ascii="Arial" w:hAnsi="Arial" w:eastAsia="仿宋_GB2312" w:cs="Arial"/>
      <w:sz w:val="32"/>
      <w:szCs w:val="32"/>
    </w:rPr>
  </w:style>
  <w:style w:type="character" w:styleId="936" w:customStyle="1">
    <w:name w:val="正文文本缩进 2 Char"/>
    <w:link w:val="935"/>
    <w:uiPriority w:val="0"/>
    <w:qFormat/>
    <w:rPr>
      <w:rFonts w:ascii="Arial" w:hAnsi="Arial" w:eastAsia="仿宋_GB2312" w:cs="Arial"/>
      <w:sz w:val="32"/>
      <w:szCs w:val="32"/>
    </w:rPr>
  </w:style>
  <w:style w:type="character" w:styleId="937" w:customStyle="1">
    <w:name w:val="正文文本 Char"/>
    <w:link w:val="932"/>
    <w:uiPriority w:val="0"/>
    <w:qFormat/>
    <w:rPr>
      <w:rFonts w:ascii="楷体_GB2312" w:hAnsi="Arial" w:eastAsia="楷体_GB2312" w:cs="Times New Roman"/>
      <w:sz w:val="28"/>
      <w:szCs w:val="28"/>
    </w:rPr>
  </w:style>
  <w:style w:type="paragraph" w:styleId="938" w:customStyle="1">
    <w:name w:val="图表目录1"/>
    <w:basedOn w:val="706"/>
    <w:next w:val="706"/>
    <w:uiPriority w:val="0"/>
    <w:semiHidden/>
    <w:qFormat/>
    <w:pPr>
      <w:ind w:left="840" w:hanging="420"/>
    </w:pPr>
    <w:rPr>
      <w:rFonts w:ascii="Times New Roman" w:hAnsi="Times New Roman"/>
      <w:szCs w:val="21"/>
    </w:rPr>
  </w:style>
  <w:style w:type="paragraph" w:styleId="939" w:customStyle="1">
    <w:name w:val="xl26"/>
    <w:basedOn w:val="7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40" w:customStyle="1">
    <w:name w:val="Char"/>
    <w:basedOn w:val="706"/>
    <w:uiPriority w:val="0"/>
    <w:qFormat/>
    <w:pPr>
      <w:ind w:firstLine="200"/>
      <w:tabs>
        <w:tab w:val="left" w:pos="360" w:leader="none"/>
      </w:tabs>
    </w:pPr>
    <w:rPr>
      <w:rFonts w:ascii="Times New Roman" w:hAnsi="Times New Roman"/>
      <w:sz w:val="28"/>
      <w:szCs w:val="30"/>
    </w:rPr>
  </w:style>
  <w:style w:type="paragraph" w:styleId="941" w:customStyle="1">
    <w:name w:val="Char1"/>
    <w:basedOn w:val="942"/>
    <w:uiPriority w:val="0"/>
    <w:qFormat/>
    <w:rPr>
      <w:rFonts w:ascii="Tahoma" w:hAnsi="Tahoma"/>
      <w:sz w:val="24"/>
      <w:szCs w:val="24"/>
    </w:rPr>
  </w:style>
  <w:style w:type="paragraph" w:styleId="942" w:customStyle="1">
    <w:name w:val="文档结构图1"/>
    <w:basedOn w:val="706"/>
    <w:link w:val="966"/>
    <w:uiPriority w:val="0"/>
    <w:semiHidden/>
    <w:qFormat/>
    <w:pPr>
      <w:shd w:val="clear" w:color="auto" w:fill="000080"/>
    </w:pPr>
    <w:rPr>
      <w:rFonts w:ascii="Times New Roman" w:hAnsi="Times New Roman"/>
      <w:szCs w:val="21"/>
    </w:rPr>
  </w:style>
  <w:style w:type="paragraph" w:styleId="943" w:customStyle="1">
    <w:name w:val="批注文字1"/>
    <w:basedOn w:val="706"/>
    <w:link w:val="944"/>
    <w:uiPriority w:val="0"/>
    <w:unhideWhenUsed/>
    <w:qFormat/>
    <w:pPr>
      <w:jc w:val="left"/>
    </w:pPr>
  </w:style>
  <w:style w:type="character" w:styleId="944" w:customStyle="1">
    <w:name w:val="批注文字 Char"/>
    <w:basedOn w:val="909"/>
    <w:link w:val="943"/>
    <w:uiPriority w:val="0"/>
    <w:qFormat/>
  </w:style>
  <w:style w:type="paragraph" w:styleId="945" w:customStyle="1">
    <w:name w:val="批注主题1"/>
    <w:basedOn w:val="943"/>
    <w:next w:val="943"/>
    <w:link w:val="946"/>
    <w:uiPriority w:val="0"/>
    <w:qFormat/>
    <w:rPr>
      <w:rFonts w:ascii="Times New Roman" w:hAnsi="Times New Roman"/>
      <w:b/>
      <w:bCs/>
      <w:szCs w:val="21"/>
    </w:rPr>
  </w:style>
  <w:style w:type="character" w:styleId="946" w:customStyle="1">
    <w:name w:val="批注主题 Char"/>
    <w:link w:val="945"/>
    <w:uiPriority w:val="0"/>
    <w:semiHidden/>
    <w:qFormat/>
    <w:rPr>
      <w:rFonts w:ascii="Times New Roman" w:hAnsi="Times New Roman" w:eastAsia="宋体" w:cs="Times New Roman"/>
      <w:b/>
      <w:bCs/>
      <w:szCs w:val="21"/>
    </w:rPr>
  </w:style>
  <w:style w:type="paragraph" w:styleId="947" w:customStyle="1">
    <w:name w:val="索引 11"/>
    <w:basedOn w:val="706"/>
    <w:next w:val="706"/>
    <w:uiPriority w:val="0"/>
    <w:semiHidden/>
    <w:qFormat/>
    <w:pPr>
      <w:spacing w:line="240" w:lineRule="atLeast"/>
    </w:pPr>
    <w:rPr>
      <w:rFonts w:ascii="Times New Roman" w:hAnsi="Times New Roman"/>
      <w:b/>
      <w:bCs/>
      <w:szCs w:val="21"/>
    </w:rPr>
  </w:style>
  <w:style w:type="paragraph" w:styleId="948" w:customStyle="1">
    <w:name w:val="普通正文"/>
    <w:basedOn w:val="706"/>
    <w:link w:val="1065"/>
    <w:uiPriority w:val="0"/>
    <w:qFormat/>
    <w:pPr>
      <w:ind w:firstLine="480"/>
      <w:jc w:val="left"/>
      <w:spacing w:before="120" w:after="120" w:line="360" w:lineRule="auto"/>
    </w:pPr>
    <w:rPr>
      <w:rFonts w:ascii="Arial" w:hAnsi="Arial"/>
      <w:sz w:val="24"/>
      <w:szCs w:val="24"/>
    </w:rPr>
  </w:style>
  <w:style w:type="paragraph" w:styleId="949" w:customStyle="1">
    <w:name w:val="table_lines"/>
    <w:basedOn w:val="706"/>
    <w:uiPriority w:val="0"/>
    <w:qFormat/>
    <w:pPr>
      <w:jc w:val="left"/>
      <w:widowControl/>
    </w:pPr>
    <w:rPr>
      <w:rFonts w:ascii="Times New Roman" w:hAnsi="Times New Roman"/>
      <w:sz w:val="20"/>
      <w:szCs w:val="20"/>
      <w:lang w:val="de-DE" w:eastAsia="de-DE"/>
    </w:rPr>
  </w:style>
  <w:style w:type="paragraph" w:styleId="950"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51" w:customStyle="1">
    <w:name w:val="目录 31"/>
    <w:basedOn w:val="706"/>
    <w:next w:val="706"/>
    <w:uiPriority w:val="39"/>
    <w:qFormat/>
    <w:pPr>
      <w:ind w:left="420"/>
      <w:jc w:val="left"/>
    </w:pPr>
    <w:rPr>
      <w:rFonts w:ascii="Times New Roman" w:hAnsi="Times New Roman"/>
      <w:i/>
      <w:iCs/>
      <w:szCs w:val="24"/>
    </w:rPr>
  </w:style>
  <w:style w:type="paragraph" w:styleId="952" w:customStyle="1">
    <w:name w:val="正文文本缩进1"/>
    <w:basedOn w:val="706"/>
    <w:link w:val="953"/>
    <w:uiPriority w:val="0"/>
    <w:unhideWhenUsed/>
    <w:qFormat/>
    <w:pPr>
      <w:ind w:left="420"/>
      <w:spacing w:after="120"/>
    </w:pPr>
  </w:style>
  <w:style w:type="character" w:styleId="953" w:customStyle="1">
    <w:name w:val="正文文本缩进 Char"/>
    <w:basedOn w:val="909"/>
    <w:link w:val="952"/>
    <w:uiPriority w:val="99"/>
    <w:semiHidden/>
    <w:qFormat/>
  </w:style>
  <w:style w:type="paragraph" w:styleId="954" w:customStyle="1">
    <w:name w:val="正文首行缩进 21"/>
    <w:basedOn w:val="952"/>
    <w:link w:val="955"/>
    <w:uiPriority w:val="0"/>
    <w:qFormat/>
    <w:pPr>
      <w:ind w:left="0" w:firstLine="420"/>
      <w:spacing w:after="0" w:line="360" w:lineRule="auto"/>
    </w:pPr>
    <w:rPr>
      <w:rFonts w:ascii="宋体" w:hAnsi="宋体"/>
      <w:szCs w:val="20"/>
    </w:rPr>
  </w:style>
  <w:style w:type="character" w:styleId="955" w:customStyle="1">
    <w:name w:val="正文首行缩进 2 Char"/>
    <w:link w:val="954"/>
    <w:uiPriority w:val="0"/>
    <w:qFormat/>
    <w:rPr>
      <w:rFonts w:ascii="宋体" w:hAnsi="宋体" w:eastAsia="宋体" w:cs="Times New Roman"/>
      <w:szCs w:val="20"/>
    </w:rPr>
  </w:style>
  <w:style w:type="paragraph" w:styleId="956" w:customStyle="1">
    <w:name w:val="正文文本缩进 31"/>
    <w:basedOn w:val="706"/>
    <w:link w:val="957"/>
    <w:uiPriority w:val="0"/>
    <w:qFormat/>
    <w:pPr>
      <w:ind w:left="645" w:firstLine="645"/>
    </w:pPr>
    <w:rPr>
      <w:rFonts w:ascii="Arial" w:hAnsi="Arial" w:eastAsia="仿宋_GB2312" w:cs="Arial"/>
      <w:color w:val="ffff00"/>
      <w:sz w:val="32"/>
      <w:szCs w:val="32"/>
    </w:rPr>
  </w:style>
  <w:style w:type="character" w:styleId="957" w:customStyle="1">
    <w:name w:val="正文文本缩进 3 Char"/>
    <w:link w:val="956"/>
    <w:uiPriority w:val="0"/>
    <w:qFormat/>
    <w:rPr>
      <w:rFonts w:ascii="Arial" w:hAnsi="Arial" w:eastAsia="仿宋_GB2312" w:cs="Arial"/>
      <w:color w:val="ffff00"/>
      <w:sz w:val="32"/>
      <w:szCs w:val="32"/>
    </w:rPr>
  </w:style>
  <w:style w:type="paragraph" w:styleId="958" w:customStyle="1">
    <w:name w:val="目录 61"/>
    <w:basedOn w:val="706"/>
    <w:next w:val="706"/>
    <w:uiPriority w:val="0"/>
    <w:semiHidden/>
    <w:qFormat/>
    <w:pPr>
      <w:ind w:left="1050"/>
      <w:jc w:val="left"/>
    </w:pPr>
    <w:rPr>
      <w:rFonts w:ascii="Times New Roman" w:hAnsi="Times New Roman"/>
      <w:szCs w:val="21"/>
    </w:rPr>
  </w:style>
  <w:style w:type="paragraph" w:styleId="959" w:customStyle="1">
    <w:name w:val="font7"/>
    <w:basedOn w:val="706"/>
    <w:uiPriority w:val="0"/>
    <w:qFormat/>
    <w:pPr>
      <w:jc w:val="left"/>
      <w:spacing w:before="100" w:beforeAutospacing="1" w:after="100" w:afterAutospacing="1"/>
      <w:widowControl/>
    </w:pPr>
    <w:rPr>
      <w:rFonts w:hint="eastAsia" w:ascii="宋体" w:hAnsi="宋体"/>
      <w:sz w:val="18"/>
      <w:szCs w:val="18"/>
    </w:rPr>
  </w:style>
  <w:style w:type="paragraph" w:styleId="960" w:customStyle="1">
    <w:name w:val="Char Char Char Char"/>
    <w:basedOn w:val="942"/>
    <w:uiPriority w:val="0"/>
    <w:qFormat/>
    <w:pPr>
      <w:spacing w:line="360" w:lineRule="auto"/>
    </w:pPr>
    <w:rPr>
      <w:rFonts w:ascii="Tahoma" w:hAnsi="Tahoma"/>
      <w:sz w:val="24"/>
      <w:szCs w:val="24"/>
    </w:rPr>
  </w:style>
  <w:style w:type="paragraph" w:styleId="961" w:customStyle="1">
    <w:name w:val="正文文本 31"/>
    <w:basedOn w:val="706"/>
    <w:link w:val="962"/>
    <w:uiPriority w:val="0"/>
    <w:qFormat/>
    <w:rPr>
      <w:rFonts w:ascii="仿宋_GB2312" w:hAnsi="Arial" w:eastAsia="仿宋_GB2312"/>
      <w:sz w:val="32"/>
      <w:szCs w:val="32"/>
    </w:rPr>
  </w:style>
  <w:style w:type="character" w:styleId="962" w:customStyle="1">
    <w:name w:val="正文文本 3 Char"/>
    <w:link w:val="961"/>
    <w:uiPriority w:val="0"/>
    <w:qFormat/>
    <w:rPr>
      <w:rFonts w:ascii="仿宋_GB2312" w:hAnsi="Arial" w:eastAsia="仿宋_GB2312" w:cs="Times New Roman"/>
      <w:sz w:val="32"/>
      <w:szCs w:val="32"/>
    </w:rPr>
  </w:style>
  <w:style w:type="paragraph" w:styleId="963" w:customStyle="1">
    <w:name w:val="普通(网站)1"/>
    <w:basedOn w:val="706"/>
    <w:uiPriority w:val="99"/>
    <w:qFormat/>
    <w:pPr>
      <w:jc w:val="left"/>
      <w:spacing w:before="100" w:beforeAutospacing="1" w:after="100" w:afterAutospacing="1"/>
      <w:widowControl/>
    </w:pPr>
    <w:rPr>
      <w:rFonts w:ascii="宋体" w:hAnsi="宋体" w:cs="宋体"/>
      <w:sz w:val="24"/>
      <w:szCs w:val="24"/>
    </w:rPr>
  </w:style>
  <w:style w:type="paragraph" w:styleId="964" w:customStyle="1">
    <w:name w:val="目录 41"/>
    <w:basedOn w:val="706"/>
    <w:next w:val="706"/>
    <w:uiPriority w:val="0"/>
    <w:semiHidden/>
    <w:qFormat/>
    <w:pPr>
      <w:ind w:left="630"/>
      <w:jc w:val="left"/>
    </w:pPr>
    <w:rPr>
      <w:rFonts w:ascii="Times New Roman" w:hAnsi="Times New Roman"/>
      <w:szCs w:val="21"/>
    </w:rPr>
  </w:style>
  <w:style w:type="paragraph" w:styleId="965" w:customStyle="1">
    <w:name w:val="列出段落2"/>
    <w:basedOn w:val="706"/>
    <w:link w:val="1041"/>
    <w:uiPriority w:val="34"/>
    <w:qFormat/>
    <w:pPr>
      <w:contextualSpacing/>
      <w:ind w:left="720"/>
      <w:jc w:val="left"/>
      <w:widowControl/>
    </w:pPr>
    <w:rPr>
      <w:sz w:val="24"/>
      <w:szCs w:val="24"/>
      <w:lang w:eastAsia="en-US" w:bidi="en-US"/>
    </w:rPr>
  </w:style>
  <w:style w:type="character" w:styleId="966" w:customStyle="1">
    <w:name w:val="文档结构图 Char"/>
    <w:link w:val="942"/>
    <w:uiPriority w:val="0"/>
    <w:semiHidden/>
    <w:qFormat/>
    <w:rPr>
      <w:rFonts w:ascii="Times New Roman" w:hAnsi="Times New Roman" w:eastAsia="宋体" w:cs="Times New Roman"/>
      <w:szCs w:val="21"/>
      <w:shd w:val="clear" w:color="auto" w:fill="000080"/>
    </w:rPr>
  </w:style>
  <w:style w:type="paragraph" w:styleId="967" w:customStyle="1">
    <w:name w:val="4"/>
    <w:basedOn w:val="706"/>
    <w:next w:val="956"/>
    <w:uiPriority w:val="0"/>
    <w:qFormat/>
    <w:pPr>
      <w:ind w:firstLine="420"/>
      <w:spacing w:line="360" w:lineRule="auto"/>
    </w:pPr>
    <w:rPr>
      <w:rFonts w:ascii="Times New Roman" w:hAnsi="Times New Roman"/>
      <w:color w:val="ff0000"/>
      <w:sz w:val="24"/>
      <w:szCs w:val="24"/>
    </w:rPr>
  </w:style>
  <w:style w:type="paragraph" w:styleId="968" w:customStyle="1">
    <w:name w:val="普通 (Web)"/>
    <w:basedOn w:val="706"/>
    <w:uiPriority w:val="0"/>
    <w:qFormat/>
    <w:pPr>
      <w:jc w:val="left"/>
      <w:spacing w:before="100" w:beforeAutospacing="1" w:after="100" w:afterAutospacing="1"/>
      <w:widowControl/>
    </w:pPr>
    <w:rPr>
      <w:rFonts w:ascii="宋体" w:hAnsi="宋体"/>
      <w:sz w:val="24"/>
      <w:szCs w:val="24"/>
    </w:rPr>
  </w:style>
  <w:style w:type="paragraph" w:styleId="969" w:customStyle="1">
    <w:name w:val="Char Char Char Char Char Char Char Char Char Char"/>
    <w:basedOn w:val="706"/>
    <w:uiPriority w:val="0"/>
    <w:qFormat/>
    <w:pPr>
      <w:spacing w:line="360" w:lineRule="auto"/>
    </w:pPr>
    <w:rPr>
      <w:rFonts w:ascii="Times New Roman" w:hAnsi="Times New Roman"/>
      <w:sz w:val="24"/>
      <w:szCs w:val="20"/>
    </w:rPr>
  </w:style>
  <w:style w:type="paragraph" w:styleId="970" w:customStyle="1">
    <w:name w:val="列表 21"/>
    <w:basedOn w:val="706"/>
    <w:uiPriority w:val="0"/>
    <w:qFormat/>
    <w:pPr>
      <w:ind w:left="100" w:hanging="200"/>
    </w:pPr>
    <w:rPr>
      <w:rFonts w:ascii="Times New Roman" w:hAnsi="Times New Roman"/>
      <w:szCs w:val="21"/>
    </w:rPr>
  </w:style>
  <w:style w:type="paragraph" w:styleId="971" w:customStyle="1">
    <w:name w:val="正文首行缩进1"/>
    <w:basedOn w:val="706"/>
    <w:link w:val="972"/>
    <w:uiPriority w:val="0"/>
    <w:qFormat/>
    <w:pPr>
      <w:ind w:firstLine="200"/>
      <w:spacing w:line="360" w:lineRule="auto"/>
    </w:pPr>
    <w:rPr>
      <w:rFonts w:ascii="仿宋_GB2312" w:hAnsi="Times New Roman" w:eastAsia="仿宋_GB2312"/>
      <w:sz w:val="30"/>
      <w:szCs w:val="30"/>
    </w:rPr>
  </w:style>
  <w:style w:type="character" w:styleId="972" w:customStyle="1">
    <w:name w:val="正文首行缩进 Char"/>
    <w:link w:val="971"/>
    <w:uiPriority w:val="0"/>
    <w:qFormat/>
    <w:rPr>
      <w:rFonts w:ascii="仿宋_GB2312" w:hAnsi="Times New Roman" w:eastAsia="仿宋_GB2312" w:cs="Times New Roman"/>
      <w:sz w:val="30"/>
      <w:szCs w:val="30"/>
    </w:rPr>
  </w:style>
  <w:style w:type="paragraph" w:styleId="973" w:customStyle="1">
    <w:name w:val="样式1"/>
    <w:basedOn w:val="706"/>
    <w:uiPriority w:val="0"/>
    <w:qFormat/>
    <w:pPr>
      <w:numPr>
        <w:ilvl w:val="0"/>
        <w:numId w:val="3"/>
      </w:numPr>
    </w:pPr>
    <w:rPr>
      <w:rFonts w:ascii="宋体" w:hAnsi="宋体"/>
      <w:szCs w:val="21"/>
    </w:rPr>
  </w:style>
  <w:style w:type="paragraph" w:styleId="974" w:customStyle="1">
    <w:name w:val="font6"/>
    <w:basedOn w:val="706"/>
    <w:uiPriority w:val="0"/>
    <w:qFormat/>
    <w:pPr>
      <w:jc w:val="left"/>
      <w:spacing w:before="100" w:beforeAutospacing="1" w:after="100" w:afterAutospacing="1"/>
      <w:widowControl/>
    </w:pPr>
    <w:rPr>
      <w:rFonts w:hint="eastAsia" w:ascii="宋体" w:hAnsi="宋体"/>
      <w:sz w:val="28"/>
      <w:szCs w:val="28"/>
      <w:u w:val="single"/>
    </w:rPr>
  </w:style>
  <w:style w:type="paragraph" w:styleId="975" w:customStyle="1">
    <w:name w:val="目录 51"/>
    <w:basedOn w:val="706"/>
    <w:next w:val="706"/>
    <w:uiPriority w:val="0"/>
    <w:semiHidden/>
    <w:qFormat/>
    <w:pPr>
      <w:ind w:left="840"/>
      <w:jc w:val="left"/>
    </w:pPr>
    <w:rPr>
      <w:rFonts w:ascii="Times New Roman" w:hAnsi="Times New Roman"/>
      <w:szCs w:val="21"/>
    </w:rPr>
  </w:style>
  <w:style w:type="paragraph" w:styleId="976" w:customStyle="1">
    <w:name w:val="目录 11"/>
    <w:basedOn w:val="706"/>
    <w:next w:val="706"/>
    <w:uiPriority w:val="39"/>
    <w:qFormat/>
    <w:pPr>
      <w:jc w:val="left"/>
      <w:spacing w:before="120" w:after="120" w:line="400" w:lineRule="exact"/>
      <w:tabs>
        <w:tab w:val="right" w:pos="8720" w:leader="dot"/>
      </w:tabs>
    </w:pPr>
    <w:rPr>
      <w:rFonts w:ascii="宋体" w:hAnsi="宋体"/>
      <w:caps/>
      <w:sz w:val="24"/>
      <w:szCs w:val="24"/>
    </w:rPr>
  </w:style>
  <w:style w:type="paragraph" w:styleId="977" w:customStyle="1">
    <w:name w:val="纯文本1"/>
    <w:basedOn w:val="706"/>
    <w:link w:val="978"/>
    <w:uiPriority w:val="0"/>
    <w:qFormat/>
    <w:rPr>
      <w:rFonts w:ascii="宋体" w:hAnsi="Courier New" w:cs="Courier New"/>
      <w:szCs w:val="21"/>
    </w:rPr>
  </w:style>
  <w:style w:type="character" w:styleId="978" w:customStyle="1">
    <w:name w:val="纯文本 Char"/>
    <w:link w:val="977"/>
    <w:uiPriority w:val="0"/>
    <w:qFormat/>
    <w:rPr>
      <w:rFonts w:ascii="宋体" w:hAnsi="Courier New" w:eastAsia="宋体" w:cs="Courier New"/>
      <w:szCs w:val="21"/>
    </w:rPr>
  </w:style>
  <w:style w:type="paragraph" w:styleId="979" w:customStyle="1">
    <w:name w:val="批注框文本1"/>
    <w:basedOn w:val="706"/>
    <w:link w:val="980"/>
    <w:uiPriority w:val="0"/>
    <w:qFormat/>
    <w:rPr>
      <w:rFonts w:ascii="Times New Roman" w:hAnsi="Times New Roman"/>
      <w:sz w:val="18"/>
      <w:szCs w:val="18"/>
    </w:rPr>
  </w:style>
  <w:style w:type="character" w:styleId="980" w:customStyle="1">
    <w:name w:val="批注框文本 Char"/>
    <w:link w:val="979"/>
    <w:uiPriority w:val="0"/>
    <w:semiHidden/>
    <w:qFormat/>
    <w:rPr>
      <w:rFonts w:ascii="Times New Roman" w:hAnsi="Times New Roman" w:eastAsia="宋体" w:cs="Times New Roman"/>
      <w:sz w:val="18"/>
      <w:szCs w:val="18"/>
    </w:rPr>
  </w:style>
  <w:style w:type="paragraph" w:styleId="981" w:customStyle="1">
    <w:name w:val="xl25"/>
    <w:basedOn w:val="70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2" w:customStyle="1">
    <w:name w:val="列表1"/>
    <w:basedOn w:val="706"/>
    <w:uiPriority w:val="0"/>
    <w:qFormat/>
    <w:pPr>
      <w:ind w:left="200" w:hanging="200"/>
    </w:pPr>
    <w:rPr>
      <w:rFonts w:ascii="Times New Roman" w:hAnsi="Times New Roman"/>
      <w:szCs w:val="21"/>
    </w:rPr>
  </w:style>
  <w:style w:type="paragraph" w:styleId="983" w:customStyle="1">
    <w:name w:val="图标"/>
    <w:basedOn w:val="706"/>
    <w:next w:val="706"/>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984" w:customStyle="1">
    <w:name w:val="日期1"/>
    <w:basedOn w:val="706"/>
    <w:next w:val="706"/>
    <w:link w:val="985"/>
    <w:uiPriority w:val="0"/>
    <w:qFormat/>
    <w:rPr>
      <w:rFonts w:ascii="Times New Roman" w:hAnsi="Times New Roman"/>
      <w:sz w:val="24"/>
      <w:szCs w:val="24"/>
    </w:rPr>
  </w:style>
  <w:style w:type="character" w:styleId="985" w:customStyle="1">
    <w:name w:val="日期 Char"/>
    <w:link w:val="984"/>
    <w:uiPriority w:val="0"/>
    <w:qFormat/>
    <w:rPr>
      <w:rFonts w:ascii="Times New Roman" w:hAnsi="Times New Roman" w:eastAsia="宋体" w:cs="Times New Roman"/>
      <w:sz w:val="24"/>
      <w:szCs w:val="24"/>
    </w:rPr>
  </w:style>
  <w:style w:type="paragraph" w:styleId="986" w:customStyle="1">
    <w:name w:val="标题3"/>
    <w:basedOn w:val="706"/>
    <w:next w:val="706"/>
    <w:uiPriority w:val="0"/>
    <w:qFormat/>
    <w:pPr>
      <w:ind w:firstLine="624"/>
      <w:spacing w:line="590" w:lineRule="atLeast"/>
    </w:pPr>
    <w:rPr>
      <w:rFonts w:ascii="方正黑体_GBK" w:hAnsi="Times New Roman" w:eastAsia="方正黑体_GBK"/>
      <w:sz w:val="32"/>
      <w:szCs w:val="32"/>
    </w:rPr>
  </w:style>
  <w:style w:type="paragraph" w:styleId="987" w:customStyle="1">
    <w:name w:val="xl24"/>
    <w:basedOn w:val="70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8" w:customStyle="1">
    <w:name w:val="xl29"/>
    <w:basedOn w:val="70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9" w:customStyle="1">
    <w:name w:val="Char Char Char Char Char Char Char Char"/>
    <w:basedOn w:val="706"/>
    <w:uiPriority w:val="0"/>
    <w:qFormat/>
    <w:pPr>
      <w:jc w:val="left"/>
      <w:spacing w:after="160" w:line="240" w:lineRule="exact"/>
      <w:widowControl/>
    </w:pPr>
    <w:rPr>
      <w:rFonts w:ascii="Verdana" w:hAnsi="Verdana"/>
      <w:sz w:val="20"/>
      <w:szCs w:val="20"/>
      <w:lang w:eastAsia="en-US"/>
    </w:rPr>
  </w:style>
  <w:style w:type="paragraph" w:styleId="990" w:customStyle="1">
    <w:name w:val="正文文本 21"/>
    <w:basedOn w:val="706"/>
    <w:link w:val="991"/>
    <w:uiPriority w:val="0"/>
    <w:qFormat/>
    <w:pPr>
      <w:jc w:val="center"/>
      <w:widowControl/>
    </w:pPr>
    <w:rPr>
      <w:rFonts w:ascii="楷体_GB2312" w:hAnsi="Times New Roman" w:eastAsia="楷体_GB2312"/>
      <w:sz w:val="28"/>
      <w:szCs w:val="28"/>
    </w:rPr>
  </w:style>
  <w:style w:type="character" w:styleId="991" w:customStyle="1">
    <w:name w:val="正文文本 2 Char"/>
    <w:link w:val="990"/>
    <w:uiPriority w:val="0"/>
    <w:qFormat/>
    <w:rPr>
      <w:rFonts w:ascii="楷体_GB2312" w:hAnsi="Times New Roman" w:eastAsia="楷体_GB2312" w:cs="Times New Roman"/>
      <w:sz w:val="28"/>
      <w:szCs w:val="28"/>
    </w:rPr>
  </w:style>
  <w:style w:type="paragraph" w:styleId="992" w:customStyle="1">
    <w:name w:val="列表 31"/>
    <w:basedOn w:val="706"/>
    <w:uiPriority w:val="0"/>
    <w:qFormat/>
    <w:pPr>
      <w:ind w:left="100" w:hanging="200"/>
    </w:pPr>
    <w:rPr>
      <w:rFonts w:ascii="Times New Roman" w:hAnsi="Times New Roman"/>
      <w:szCs w:val="21"/>
    </w:rPr>
  </w:style>
  <w:style w:type="paragraph" w:styleId="993" w:customStyle="1">
    <w:name w:val="目录 71"/>
    <w:basedOn w:val="706"/>
    <w:next w:val="706"/>
    <w:uiPriority w:val="0"/>
    <w:semiHidden/>
    <w:qFormat/>
    <w:pPr>
      <w:ind w:left="1260"/>
      <w:jc w:val="left"/>
    </w:pPr>
    <w:rPr>
      <w:rFonts w:ascii="Times New Roman" w:hAnsi="Times New Roman"/>
      <w:szCs w:val="21"/>
    </w:rPr>
  </w:style>
  <w:style w:type="paragraph" w:styleId="994" w:customStyle="1">
    <w:name w:val="目录 21"/>
    <w:basedOn w:val="706"/>
    <w:next w:val="706"/>
    <w:uiPriority w:val="39"/>
    <w:qFormat/>
    <w:pPr>
      <w:ind w:left="210"/>
      <w:jc w:val="left"/>
      <w:tabs>
        <w:tab w:val="right" w:pos="8719" w:leader="none"/>
      </w:tabs>
    </w:pPr>
    <w:rPr>
      <w:rFonts w:ascii="Times New Roman" w:hAnsi="Times New Roman"/>
      <w:smallCaps/>
      <w:szCs w:val="24"/>
    </w:rPr>
  </w:style>
  <w:style w:type="paragraph" w:styleId="995" w:customStyle="1">
    <w:name w:val="xl28"/>
    <w:basedOn w:val="70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6" w:customStyle="1">
    <w:name w:val="页眉1"/>
    <w:basedOn w:val="706"/>
    <w:link w:val="997"/>
    <w:uiPriority w:val="0"/>
    <w:qFormat/>
    <w:pPr>
      <w:ind w:firstLine="361"/>
      <w:jc w:val="right"/>
      <w:tabs>
        <w:tab w:val="center" w:pos="4153" w:leader="none"/>
        <w:tab w:val="right" w:pos="8306" w:leader="none"/>
      </w:tabs>
      <w:pBdr>
        <w:bottom w:val="none" w:color="000000" w:sz="0" w:space="0"/>
      </w:pBdr>
    </w:pPr>
    <w:rPr>
      <w:rFonts w:ascii="Times New Roman" w:hAnsi="Times New Roman"/>
      <w:sz w:val="18"/>
      <w:szCs w:val="18"/>
    </w:rPr>
  </w:style>
  <w:style w:type="character" w:styleId="997" w:customStyle="1">
    <w:name w:val="页眉 Char"/>
    <w:link w:val="996"/>
    <w:uiPriority w:val="0"/>
    <w:qFormat/>
    <w:rPr>
      <w:rFonts w:ascii="Times New Roman" w:hAnsi="Times New Roman"/>
      <w:sz w:val="18"/>
      <w:szCs w:val="18"/>
    </w:rPr>
  </w:style>
  <w:style w:type="paragraph" w:styleId="998" w:customStyle="1">
    <w:name w:val="页脚1"/>
    <w:basedOn w:val="706"/>
    <w:link w:val="999"/>
    <w:uiPriority w:val="0"/>
    <w:qFormat/>
    <w:pPr>
      <w:jc w:val="left"/>
      <w:tabs>
        <w:tab w:val="center" w:pos="4153" w:leader="none"/>
        <w:tab w:val="right" w:pos="8306" w:leader="none"/>
      </w:tabs>
    </w:pPr>
    <w:rPr>
      <w:rFonts w:ascii="Times New Roman" w:hAnsi="Times New Roman"/>
      <w:sz w:val="18"/>
      <w:szCs w:val="18"/>
    </w:rPr>
  </w:style>
  <w:style w:type="character" w:styleId="999" w:customStyle="1">
    <w:name w:val="页脚 Char"/>
    <w:link w:val="998"/>
    <w:uiPriority w:val="0"/>
    <w:qFormat/>
    <w:rPr>
      <w:rFonts w:ascii="Times New Roman" w:hAnsi="Times New Roman" w:eastAsia="宋体" w:cs="Times New Roman"/>
      <w:sz w:val="18"/>
      <w:szCs w:val="18"/>
    </w:rPr>
  </w:style>
  <w:style w:type="paragraph" w:styleId="1000" w:customStyle="1">
    <w:name w:val="Char Char Char Char Char Char Char Char1"/>
    <w:basedOn w:val="706"/>
    <w:uiPriority w:val="0"/>
    <w:qFormat/>
    <w:pPr>
      <w:jc w:val="left"/>
      <w:spacing w:after="160" w:line="240" w:lineRule="exact"/>
      <w:widowControl/>
    </w:pPr>
    <w:rPr>
      <w:rFonts w:ascii="Verdana" w:hAnsi="Verdana"/>
      <w:sz w:val="20"/>
      <w:szCs w:val="20"/>
      <w:lang w:eastAsia="en-US"/>
    </w:rPr>
  </w:style>
  <w:style w:type="paragraph" w:styleId="1001" w:customStyle="1">
    <w:name w:val="目录 81"/>
    <w:basedOn w:val="706"/>
    <w:next w:val="706"/>
    <w:uiPriority w:val="0"/>
    <w:semiHidden/>
    <w:qFormat/>
    <w:pPr>
      <w:ind w:left="1470"/>
      <w:jc w:val="left"/>
    </w:pPr>
    <w:rPr>
      <w:rFonts w:ascii="Times New Roman" w:hAnsi="Times New Roman"/>
      <w:szCs w:val="21"/>
    </w:rPr>
  </w:style>
  <w:style w:type="paragraph" w:styleId="1002" w:customStyle="1">
    <w:name w:val="xl30"/>
    <w:basedOn w:val="706"/>
    <w:uiPriority w:val="0"/>
    <w:qFormat/>
    <w:pPr>
      <w:jc w:val="center"/>
      <w:spacing w:before="100" w:beforeAutospacing="1" w:after="100" w:afterAutospacing="1"/>
      <w:widowControl/>
    </w:pPr>
    <w:rPr>
      <w:rFonts w:ascii="宋体" w:hAnsi="宋体"/>
      <w:b/>
      <w:bCs/>
      <w:sz w:val="36"/>
      <w:szCs w:val="36"/>
    </w:rPr>
  </w:style>
  <w:style w:type="paragraph" w:styleId="1003" w:customStyle="1">
    <w:name w:val="Char Char Char Char1"/>
    <w:basedOn w:val="942"/>
    <w:uiPriority w:val="0"/>
    <w:qFormat/>
    <w:pPr>
      <w:spacing w:line="360" w:lineRule="auto"/>
    </w:pPr>
    <w:rPr>
      <w:rFonts w:ascii="Tahoma" w:hAnsi="Tahoma"/>
      <w:sz w:val="24"/>
      <w:szCs w:val="24"/>
    </w:rPr>
  </w:style>
  <w:style w:type="paragraph" w:styleId="1004" w:customStyle="1">
    <w:name w:val="table_1stline"/>
    <w:basedOn w:val="706"/>
    <w:uiPriority w:val="0"/>
    <w:qFormat/>
    <w:pPr>
      <w:jc w:val="left"/>
      <w:spacing w:before="120"/>
      <w:widowControl/>
    </w:pPr>
    <w:rPr>
      <w:rFonts w:ascii="Times New Roman" w:hAnsi="Times New Roman"/>
      <w:bCs/>
      <w:sz w:val="20"/>
      <w:szCs w:val="20"/>
      <w:lang w:val="de-DE" w:eastAsia="de-DE"/>
    </w:rPr>
  </w:style>
  <w:style w:type="paragraph" w:styleId="1005" w:customStyle="1">
    <w:name w:val="font5"/>
    <w:basedOn w:val="706"/>
    <w:uiPriority w:val="0"/>
    <w:qFormat/>
    <w:pPr>
      <w:jc w:val="left"/>
      <w:spacing w:before="100" w:beforeAutospacing="1" w:after="100" w:afterAutospacing="1"/>
      <w:widowControl/>
    </w:pPr>
    <w:rPr>
      <w:rFonts w:hint="eastAsia" w:ascii="宋体" w:hAnsi="宋体"/>
      <w:sz w:val="28"/>
      <w:szCs w:val="28"/>
    </w:rPr>
  </w:style>
  <w:style w:type="paragraph" w:styleId="1006" w:customStyle="1">
    <w:name w:val="标题1"/>
    <w:basedOn w:val="706"/>
    <w:next w:val="706"/>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007" w:customStyle="1">
    <w:name w:val="修订1"/>
    <w:uiPriority w:val="99"/>
    <w:semiHidden/>
    <w:qFormat/>
    <w:rPr>
      <w:rFonts w:ascii="Times New Roman" w:hAnsi="Times New Roman" w:eastAsia="宋体" w:cs="Times New Roman"/>
      <w:sz w:val="21"/>
      <w:szCs w:val="21"/>
      <w:lang w:val="en-US" w:eastAsia="zh-CN" w:bidi="ar-SA"/>
    </w:rPr>
  </w:style>
  <w:style w:type="table" w:styleId="1008" w:customStyle="1">
    <w:name w:val="网格型1"/>
    <w:basedOn w:val="910"/>
    <w:uiPriority w:val="0"/>
    <w:qFormat/>
    <w:pPr>
      <w:jc w:val="both"/>
      <w:widowControl w:val="off"/>
    </w:pPr>
    <w:tblPr/>
  </w:style>
  <w:style w:type="paragraph" w:styleId="1009"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010" w:customStyle="1">
    <w:name w:val="索引 81"/>
    <w:basedOn w:val="706"/>
    <w:next w:val="706"/>
    <w:uiPriority w:val="0"/>
    <w:semiHidden/>
    <w:qFormat/>
    <w:pPr>
      <w:ind w:left="1400"/>
    </w:pPr>
    <w:rPr>
      <w:rFonts w:ascii="Times New Roman" w:hAnsi="Times New Roman"/>
      <w:szCs w:val="20"/>
    </w:rPr>
  </w:style>
  <w:style w:type="paragraph" w:styleId="1011" w:customStyle="1">
    <w:name w:val="索引 51"/>
    <w:basedOn w:val="706"/>
    <w:next w:val="706"/>
    <w:uiPriority w:val="0"/>
    <w:semiHidden/>
    <w:qFormat/>
    <w:pPr>
      <w:ind w:left="800"/>
    </w:pPr>
    <w:rPr>
      <w:rFonts w:ascii="Times New Roman" w:hAnsi="Times New Roman"/>
      <w:szCs w:val="20"/>
    </w:rPr>
  </w:style>
  <w:style w:type="paragraph" w:styleId="1012" w:customStyle="1">
    <w:name w:val="索引 61"/>
    <w:basedOn w:val="706"/>
    <w:next w:val="706"/>
    <w:uiPriority w:val="0"/>
    <w:semiHidden/>
    <w:qFormat/>
    <w:pPr>
      <w:ind w:left="1000"/>
    </w:pPr>
    <w:rPr>
      <w:rFonts w:ascii="Times New Roman" w:hAnsi="Times New Roman"/>
      <w:szCs w:val="20"/>
    </w:rPr>
  </w:style>
  <w:style w:type="paragraph" w:styleId="1013" w:customStyle="1">
    <w:name w:val="寄信人地址1"/>
    <w:basedOn w:val="706"/>
    <w:uiPriority w:val="0"/>
    <w:qFormat/>
    <w:rPr>
      <w:rFonts w:ascii="Arial" w:hAnsi="Arial"/>
      <w:szCs w:val="20"/>
    </w:rPr>
  </w:style>
  <w:style w:type="paragraph" w:styleId="1014" w:customStyle="1">
    <w:name w:val="文本块1"/>
    <w:basedOn w:val="706"/>
    <w:uiPriority w:val="0"/>
    <w:qFormat/>
    <w:pPr>
      <w:ind w:left="1890" w:right="11" w:hanging="1409"/>
      <w:spacing w:before="89"/>
      <w:tabs>
        <w:tab w:val="left" w:pos="822" w:leader="none"/>
        <w:tab w:val="left" w:pos="2205" w:leader="none"/>
        <w:tab w:val="left" w:pos="9000" w:leader="none"/>
      </w:tabs>
    </w:pPr>
    <w:rPr>
      <w:rFonts w:ascii="Times New Roman" w:hAnsi="Times New Roman"/>
      <w:sz w:val="24"/>
      <w:szCs w:val="20"/>
    </w:rPr>
  </w:style>
  <w:style w:type="paragraph" w:styleId="1015" w:customStyle="1">
    <w:name w:val="索引 41"/>
    <w:basedOn w:val="706"/>
    <w:next w:val="706"/>
    <w:uiPriority w:val="0"/>
    <w:semiHidden/>
    <w:qFormat/>
    <w:pPr>
      <w:ind w:left="600"/>
    </w:pPr>
    <w:rPr>
      <w:rFonts w:ascii="Times New Roman" w:hAnsi="Times New Roman"/>
      <w:szCs w:val="20"/>
    </w:rPr>
  </w:style>
  <w:style w:type="paragraph" w:styleId="1016" w:customStyle="1">
    <w:name w:val="索引 31"/>
    <w:basedOn w:val="706"/>
    <w:next w:val="706"/>
    <w:uiPriority w:val="0"/>
    <w:semiHidden/>
    <w:qFormat/>
    <w:pPr>
      <w:ind w:left="400"/>
    </w:pPr>
    <w:rPr>
      <w:rFonts w:ascii="Times New Roman" w:hAnsi="Times New Roman"/>
      <w:szCs w:val="20"/>
    </w:rPr>
  </w:style>
  <w:style w:type="paragraph" w:styleId="1017" w:customStyle="1">
    <w:name w:val="签名1"/>
    <w:basedOn w:val="706"/>
    <w:link w:val="1038"/>
    <w:uiPriority w:val="0"/>
    <w:qFormat/>
    <w:pPr>
      <w:jc w:val="center"/>
      <w:spacing w:after="600" w:line="312" w:lineRule="atLeast"/>
    </w:pPr>
    <w:rPr>
      <w:rFonts w:ascii="Times New Roman" w:hAnsi="Times New Roman" w:eastAsia="仿宋_GB2312"/>
      <w:sz w:val="24"/>
      <w:szCs w:val="20"/>
    </w:rPr>
  </w:style>
  <w:style w:type="character" w:styleId="1018" w:customStyle="1">
    <w:name w:val="签名 字符"/>
    <w:uiPriority w:val="0"/>
    <w:qFormat/>
    <w:rPr>
      <w:sz w:val="21"/>
      <w:szCs w:val="22"/>
    </w:rPr>
  </w:style>
  <w:style w:type="paragraph" w:styleId="1019" w:customStyle="1">
    <w:name w:val="索引标题1"/>
    <w:basedOn w:val="706"/>
    <w:next w:val="947"/>
    <w:uiPriority w:val="0"/>
    <w:semiHidden/>
    <w:qFormat/>
    <w:rPr>
      <w:rFonts w:ascii="Times New Roman" w:hAnsi="Times New Roman"/>
      <w:szCs w:val="20"/>
    </w:rPr>
  </w:style>
  <w:style w:type="paragraph" w:styleId="1020" w:customStyle="1">
    <w:name w:val="脚注文本1"/>
    <w:basedOn w:val="706"/>
    <w:link w:val="1021"/>
    <w:uiPriority w:val="0"/>
    <w:qFormat/>
    <w:pPr>
      <w:jc w:val="left"/>
    </w:pPr>
    <w:rPr>
      <w:rFonts w:ascii="Times New Roman" w:hAnsi="Times New Roman"/>
      <w:sz w:val="18"/>
      <w:szCs w:val="18"/>
    </w:rPr>
  </w:style>
  <w:style w:type="character" w:styleId="1021" w:customStyle="1">
    <w:name w:val="脚注文本 字符"/>
    <w:link w:val="1020"/>
    <w:uiPriority w:val="0"/>
    <w:qFormat/>
    <w:rPr>
      <w:rFonts w:ascii="Times New Roman" w:hAnsi="Times New Roman"/>
      <w:sz w:val="18"/>
      <w:szCs w:val="18"/>
    </w:rPr>
  </w:style>
  <w:style w:type="paragraph" w:styleId="1022" w:customStyle="1">
    <w:name w:val="索引 71"/>
    <w:basedOn w:val="706"/>
    <w:next w:val="706"/>
    <w:uiPriority w:val="0"/>
    <w:semiHidden/>
    <w:qFormat/>
    <w:pPr>
      <w:ind w:left="1200"/>
    </w:pPr>
    <w:rPr>
      <w:rFonts w:ascii="Times New Roman" w:hAnsi="Times New Roman"/>
      <w:szCs w:val="20"/>
    </w:rPr>
  </w:style>
  <w:style w:type="paragraph" w:styleId="1023" w:customStyle="1">
    <w:name w:val="索引 91"/>
    <w:basedOn w:val="706"/>
    <w:next w:val="706"/>
    <w:uiPriority w:val="0"/>
    <w:semiHidden/>
    <w:qFormat/>
    <w:pPr>
      <w:ind w:left="1600"/>
    </w:pPr>
    <w:rPr>
      <w:rFonts w:ascii="Times New Roman" w:hAnsi="Times New Roman"/>
      <w:szCs w:val="20"/>
    </w:rPr>
  </w:style>
  <w:style w:type="paragraph" w:styleId="1024" w:customStyle="1">
    <w:name w:val="HTML 预设格式1"/>
    <w:basedOn w:val="706"/>
    <w:link w:val="102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4"/>
    </w:rPr>
  </w:style>
  <w:style w:type="character" w:styleId="1025" w:customStyle="1">
    <w:name w:val="HTML 预设格式 字符"/>
    <w:link w:val="1024"/>
    <w:uiPriority w:val="0"/>
    <w:qFormat/>
    <w:rPr>
      <w:rFonts w:ascii="Arial" w:hAnsi="Arial"/>
      <w:sz w:val="24"/>
      <w:szCs w:val="24"/>
    </w:rPr>
  </w:style>
  <w:style w:type="paragraph" w:styleId="1026" w:customStyle="1">
    <w:name w:val="索引 21"/>
    <w:basedOn w:val="706"/>
    <w:next w:val="706"/>
    <w:uiPriority w:val="0"/>
    <w:semiHidden/>
    <w:qFormat/>
    <w:pPr>
      <w:ind w:left="200"/>
    </w:pPr>
    <w:rPr>
      <w:rFonts w:ascii="Times New Roman" w:hAnsi="Times New Roman"/>
      <w:szCs w:val="20"/>
    </w:rPr>
  </w:style>
  <w:style w:type="character" w:styleId="1027" w:customStyle="1">
    <w:name w:val="强调1"/>
    <w:uiPriority w:val="20"/>
    <w:qFormat/>
    <w:rPr>
      <w:i/>
      <w:iCs/>
    </w:rPr>
  </w:style>
  <w:style w:type="character" w:styleId="1028" w:customStyle="1">
    <w:name w:val="脚注引用1"/>
    <w:uiPriority w:val="0"/>
    <w:unhideWhenUsed/>
    <w:qFormat/>
    <w:rPr>
      <w:vertAlign w:val="superscript"/>
    </w:rPr>
  </w:style>
  <w:style w:type="character" w:styleId="1029" w:customStyle="1">
    <w:name w:val="标题 1 字符"/>
    <w:uiPriority w:val="9"/>
    <w:qFormat/>
    <w:rPr>
      <w:rFonts w:ascii="宋体" w:hAnsi="宋体"/>
      <w:b/>
      <w:sz w:val="36"/>
    </w:rPr>
  </w:style>
  <w:style w:type="character" w:styleId="1030" w:customStyle="1">
    <w:name w:val="标题 2 字符2"/>
    <w:uiPriority w:val="0"/>
    <w:qFormat/>
    <w:rPr>
      <w:rFonts w:eastAsia="楷体_GB2312"/>
      <w:b/>
      <w:bCs/>
      <w:sz w:val="28"/>
      <w:szCs w:val="28"/>
    </w:rPr>
  </w:style>
  <w:style w:type="character" w:styleId="1031" w:customStyle="1">
    <w:name w:val="正文缩进 字符"/>
    <w:uiPriority w:val="0"/>
    <w:qFormat/>
    <w:rPr>
      <w:sz w:val="21"/>
    </w:rPr>
  </w:style>
  <w:style w:type="character" w:styleId="1032" w:customStyle="1">
    <w:name w:val="批注文字 字符1"/>
    <w:uiPriority w:val="0"/>
    <w:qFormat/>
    <w:rPr>
      <w:sz w:val="21"/>
    </w:rPr>
  </w:style>
  <w:style w:type="character" w:styleId="1033" w:customStyle="1">
    <w:name w:val="正文文本 字符2"/>
    <w:uiPriority w:val="0"/>
    <w:qFormat/>
    <w:rPr>
      <w:rFonts w:ascii="楷体_GB2312" w:hAnsi="Arial" w:eastAsia="楷体_GB2312"/>
      <w:sz w:val="28"/>
    </w:rPr>
  </w:style>
  <w:style w:type="character" w:styleId="1034" w:customStyle="1">
    <w:name w:val="正文文本缩进 字符"/>
    <w:uiPriority w:val="0"/>
    <w:qFormat/>
    <w:rPr>
      <w:rFonts w:ascii="宋体"/>
      <w:sz w:val="28"/>
    </w:rPr>
  </w:style>
  <w:style w:type="character" w:styleId="1035" w:customStyle="1">
    <w:name w:val="纯文本 字符"/>
    <w:uiPriority w:val="0"/>
    <w:qFormat/>
    <w:rPr>
      <w:rFonts w:ascii="宋体" w:hAnsi="Courier New"/>
      <w:sz w:val="21"/>
    </w:rPr>
  </w:style>
  <w:style w:type="character" w:styleId="1036" w:customStyle="1">
    <w:name w:val="日期 字符1"/>
    <w:uiPriority w:val="0"/>
    <w:qFormat/>
    <w:rPr>
      <w:rFonts w:ascii="宋体"/>
      <w:sz w:val="28"/>
    </w:rPr>
  </w:style>
  <w:style w:type="character" w:styleId="1037" w:customStyle="1">
    <w:name w:val="批注框文本 字符"/>
    <w:uiPriority w:val="0"/>
    <w:qFormat/>
    <w:rPr>
      <w:sz w:val="18"/>
      <w:szCs w:val="18"/>
    </w:rPr>
  </w:style>
  <w:style w:type="character" w:styleId="1038" w:customStyle="1">
    <w:name w:val="签名 字符1"/>
    <w:link w:val="1017"/>
    <w:uiPriority w:val="0"/>
    <w:qFormat/>
    <w:rPr>
      <w:rFonts w:ascii="Times New Roman" w:hAnsi="Times New Roman" w:eastAsia="仿宋_GB2312"/>
      <w:sz w:val="24"/>
    </w:rPr>
  </w:style>
  <w:style w:type="character" w:styleId="1039" w:customStyle="1">
    <w:name w:val="批注主题 字符"/>
    <w:uiPriority w:val="0"/>
    <w:qFormat/>
    <w:rPr>
      <w:b/>
      <w:bCs/>
      <w:sz w:val="21"/>
    </w:rPr>
  </w:style>
  <w:style w:type="character" w:styleId="1040" w:customStyle="1">
    <w:name w:val="正文文本 字符"/>
    <w:uiPriority w:val="0"/>
    <w:qFormat/>
    <w:rPr>
      <w:rFonts w:ascii="楷体_GB2312" w:hAnsi="Arial" w:eastAsia="楷体_GB2312"/>
      <w:sz w:val="28"/>
    </w:rPr>
  </w:style>
  <w:style w:type="character" w:styleId="1041" w:customStyle="1">
    <w:name w:val="列表段落 字符"/>
    <w:link w:val="965"/>
    <w:uiPriority w:val="34"/>
    <w:qFormat/>
    <w:rPr>
      <w:sz w:val="24"/>
      <w:szCs w:val="24"/>
      <w:lang w:eastAsia="en-US" w:bidi="en-US"/>
    </w:rPr>
  </w:style>
  <w:style w:type="paragraph" w:styleId="1042" w:customStyle="1">
    <w:name w:val="Char Char Char"/>
    <w:basedOn w:val="706"/>
    <w:uiPriority w:val="0"/>
    <w:qFormat/>
    <w:pPr>
      <w:numPr>
        <w:ilvl w:val="0"/>
        <w:numId w:val="4"/>
      </w:numPr>
      <w:tabs>
        <w:tab w:val="left" w:pos="1545" w:leader="none"/>
      </w:tabs>
    </w:pPr>
    <w:rPr>
      <w:rFonts w:ascii="Times New Roman" w:hAnsi="Times New Roman"/>
      <w:szCs w:val="20"/>
    </w:rPr>
  </w:style>
  <w:style w:type="paragraph" w:styleId="1043" w:customStyle="1">
    <w:name w:val="Plain Text1"/>
    <w:basedOn w:val="706"/>
    <w:uiPriority w:val="0"/>
    <w:qFormat/>
    <w:rPr>
      <w:rFonts w:ascii="宋体" w:hAnsi="Courier New" w:eastAsia="楷体_GB2312"/>
      <w:sz w:val="28"/>
      <w:szCs w:val="20"/>
    </w:rPr>
  </w:style>
  <w:style w:type="paragraph" w:styleId="1044"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1045" w:customStyle="1">
    <w:name w:val="Char1 Char Char Char"/>
    <w:basedOn w:val="706"/>
    <w:uiPriority w:val="0"/>
    <w:qFormat/>
    <w:rPr>
      <w:rFonts w:ascii="Tahoma" w:hAnsi="Tahoma"/>
      <w:sz w:val="24"/>
      <w:szCs w:val="20"/>
    </w:rPr>
  </w:style>
  <w:style w:type="paragraph" w:styleId="1046" w:customStyle="1">
    <w:name w:val="Char Char1 Char Char Char Char Char Char Char"/>
    <w:basedOn w:val="706"/>
    <w:uiPriority w:val="0"/>
    <w:qFormat/>
    <w:rPr>
      <w:rFonts w:ascii="Calibri Light" w:hAnsi="Calibri Light" w:cs="Berlin Sans FB Demi"/>
      <w:sz w:val="24"/>
      <w:szCs w:val="20"/>
    </w:rPr>
  </w:style>
  <w:style w:type="paragraph" w:styleId="1047" w:customStyle="1">
    <w:name w:val="Char Char"/>
    <w:basedOn w:val="706"/>
    <w:uiPriority w:val="0"/>
    <w:qFormat/>
    <w:rPr>
      <w:rFonts w:ascii="Times New Roman" w:hAnsi="Times New Roman"/>
      <w:szCs w:val="21"/>
    </w:rPr>
  </w:style>
  <w:style w:type="paragraph" w:styleId="1048" w:customStyle="1">
    <w:name w:val="_Style 12"/>
    <w:basedOn w:val="942"/>
    <w:uiPriority w:val="0"/>
    <w:qFormat/>
    <w:pPr>
      <w:jc w:val="left"/>
      <w:spacing w:line="360" w:lineRule="auto"/>
      <w:widowControl/>
    </w:pPr>
    <w:rPr>
      <w:sz w:val="24"/>
      <w:szCs w:val="24"/>
    </w:rPr>
  </w:style>
  <w:style w:type="character" w:styleId="1049" w:customStyle="1">
    <w:name w:val="正文缩进 Char1"/>
    <w:uiPriority w:val="0"/>
    <w:qFormat/>
    <w:rPr>
      <w:rFonts w:eastAsia="楷体_GB2312"/>
      <w:sz w:val="24"/>
    </w:rPr>
  </w:style>
  <w:style w:type="character" w:styleId="1050" w:customStyle="1">
    <w:name w:val="纯文本 字符1"/>
    <w:uiPriority w:val="0"/>
    <w:qFormat/>
    <w:rPr>
      <w:rFonts w:ascii="宋体" w:hAnsi="Courier New"/>
    </w:rPr>
  </w:style>
  <w:style w:type="character" w:styleId="1051" w:customStyle="1">
    <w:name w:val="未处理的提及1"/>
    <w:uiPriority w:val="99"/>
    <w:unhideWhenUsed/>
    <w:qFormat/>
    <w:rPr>
      <w:color w:val="605e5c"/>
      <w:shd w:val="clear" w:color="auto" w:fill="e1dfdd"/>
    </w:rPr>
  </w:style>
  <w:style w:type="character" w:styleId="1052" w:customStyle="1">
    <w:name w:val="批注文字 字符"/>
    <w:uiPriority w:val="0"/>
    <w:qFormat/>
    <w:rPr>
      <w:sz w:val="21"/>
    </w:rPr>
  </w:style>
  <w:style w:type="character" w:styleId="1053" w:customStyle="1">
    <w:name w:val="标题 2 字符"/>
    <w:uiPriority w:val="0"/>
    <w:qFormat/>
    <w:rPr>
      <w:rFonts w:eastAsia="楷体_GB2312"/>
      <w:b/>
      <w:bCs/>
      <w:sz w:val="28"/>
      <w:szCs w:val="28"/>
    </w:rPr>
  </w:style>
  <w:style w:type="character" w:styleId="1054" w:customStyle="1">
    <w:name w:val="日期 字符"/>
    <w:uiPriority w:val="0"/>
    <w:qFormat/>
    <w:rPr>
      <w:rFonts w:ascii="宋体"/>
      <w:sz w:val="28"/>
    </w:rPr>
  </w:style>
  <w:style w:type="character" w:styleId="1055" w:customStyle="1">
    <w:name w:val="正文文本 字符1"/>
    <w:uiPriority w:val="0"/>
    <w:qFormat/>
    <w:rPr>
      <w:rFonts w:ascii="楷体_GB2312" w:hAnsi="Arial" w:eastAsia="楷体_GB2312"/>
      <w:sz w:val="28"/>
    </w:rPr>
  </w:style>
  <w:style w:type="paragraph" w:styleId="1056" w:customStyle="1">
    <w:name w:val="正文1"/>
    <w:next w:val="706"/>
    <w:uiPriority w:val="0"/>
    <w:qFormat/>
    <w:pPr>
      <w:jc w:val="both"/>
      <w:widowControl w:val="off"/>
    </w:pPr>
    <w:rPr>
      <w:rFonts w:ascii="Times New Roman" w:hAnsi="Times New Roman" w:eastAsia="Times New Roman" w:cs="Times New Roman"/>
      <w:color w:val="000000"/>
      <w:sz w:val="21"/>
      <w:szCs w:val="21"/>
      <w:lang w:val="en-US" w:eastAsia="zh-CN" w:bidi="ar-SA"/>
    </w:rPr>
  </w:style>
  <w:style w:type="paragraph" w:styleId="1057" w:customStyle="1">
    <w:name w:val="_正文段落"/>
    <w:basedOn w:val="706"/>
    <w:link w:val="1058"/>
    <w:uiPriority w:val="0"/>
    <w:qFormat/>
    <w:pPr>
      <w:ind w:firstLine="480"/>
      <w:spacing w:line="360" w:lineRule="auto"/>
    </w:pPr>
    <w:rPr>
      <w:rFonts w:ascii="宋体" w:hAnsi="宋体"/>
      <w:sz w:val="24"/>
      <w:szCs w:val="24"/>
    </w:rPr>
  </w:style>
  <w:style w:type="character" w:styleId="1058" w:customStyle="1">
    <w:name w:val="_正文段落 Char"/>
    <w:link w:val="1057"/>
    <w:uiPriority w:val="0"/>
    <w:qFormat/>
    <w:rPr>
      <w:rFonts w:ascii="宋体" w:hAnsi="宋体"/>
      <w:sz w:val="24"/>
      <w:szCs w:val="24"/>
    </w:rPr>
  </w:style>
  <w:style w:type="character" w:styleId="1059" w:customStyle="1">
    <w:name w:val="cf01"/>
    <w:uiPriority w:val="0"/>
    <w:qFormat/>
    <w:rPr>
      <w:rFonts w:hint="eastAsia" w:ascii="Microsoft YaHei UI" w:hAnsi="Microsoft YaHei UI" w:eastAsia="Microsoft YaHei UI"/>
      <w:b/>
      <w:bCs/>
      <w:sz w:val="18"/>
      <w:szCs w:val="18"/>
    </w:rPr>
  </w:style>
  <w:style w:type="character" w:styleId="1060" w:customStyle="1">
    <w:name w:val="标题 2 字符1"/>
    <w:uiPriority w:val="0"/>
    <w:qFormat/>
    <w:rPr>
      <w:rFonts w:eastAsia="楷体_GB2312"/>
      <w:b/>
      <w:bCs/>
      <w:sz w:val="28"/>
      <w:szCs w:val="28"/>
    </w:rPr>
  </w:style>
  <w:style w:type="paragraph" w:styleId="1061" w:customStyle="1">
    <w:name w:val="pf0"/>
    <w:basedOn w:val="706"/>
    <w:uiPriority w:val="0"/>
    <w:qFormat/>
    <w:pPr>
      <w:jc w:val="left"/>
      <w:spacing w:before="100" w:beforeAutospacing="1" w:after="100" w:afterAutospacing="1"/>
      <w:widowControl/>
    </w:pPr>
    <w:rPr>
      <w:rFonts w:ascii="宋体" w:hAnsi="宋体" w:cs="宋体"/>
      <w:sz w:val="24"/>
      <w:szCs w:val="24"/>
    </w:rPr>
  </w:style>
  <w:style w:type="character" w:styleId="1062" w:customStyle="1">
    <w:name w:val="cf11"/>
    <w:uiPriority w:val="0"/>
    <w:qFormat/>
    <w:rPr>
      <w:rFonts w:hint="eastAsia" w:ascii="Microsoft YaHei UI" w:hAnsi="Microsoft YaHei UI" w:eastAsia="Microsoft YaHei UI"/>
      <w:sz w:val="18"/>
      <w:szCs w:val="18"/>
    </w:rPr>
  </w:style>
  <w:style w:type="character" w:styleId="1063" w:customStyle="1">
    <w:name w:val="cf21"/>
    <w:uiPriority w:val="0"/>
    <w:qFormat/>
    <w:rPr>
      <w:rFonts w:hint="eastAsia" w:ascii="Microsoft YaHei UI" w:hAnsi="Microsoft YaHei UI" w:eastAsia="Microsoft YaHei UI"/>
      <w:b/>
      <w:bCs/>
      <w:sz w:val="18"/>
      <w:szCs w:val="18"/>
    </w:rPr>
  </w:style>
  <w:style w:type="paragraph" w:styleId="1064" w:customStyle="1">
    <w:name w:val="TOC 标题11"/>
    <w:basedOn w:val="899"/>
    <w:next w:val="706"/>
    <w:uiPriority w:val="39"/>
    <w:unhideWhenUsed/>
    <w:qFormat/>
    <w:pPr>
      <w:jc w:val="left"/>
      <w:keepLines/>
      <w:spacing w:before="240" w:line="259" w:lineRule="auto"/>
      <w:widowControl/>
      <w:outlineLvl w:val="9"/>
    </w:pPr>
    <w:rPr>
      <w:rFonts w:ascii="等线 Light" w:hAnsi="等线 Light" w:eastAsia="黑体"/>
      <w:color w:val="2f5496"/>
      <w:sz w:val="32"/>
      <w:szCs w:val="32"/>
    </w:rPr>
  </w:style>
  <w:style w:type="character" w:styleId="1065" w:customStyle="1">
    <w:name w:val="普通正文 Char"/>
    <w:link w:val="948"/>
    <w:uiPriority w:val="0"/>
    <w:qFormat/>
    <w:rPr>
      <w:rFonts w:ascii="Arial" w:hAnsi="Arial"/>
      <w:sz w:val="24"/>
      <w:szCs w:val="24"/>
    </w:rPr>
  </w:style>
  <w:style w:type="character" w:styleId="1066" w:customStyle="1">
    <w:name w:val="批注文字 字符2"/>
    <w:basedOn w:val="716"/>
    <w:link w:val="722"/>
    <w:uiPriority w:val="99"/>
    <w:semiHidden/>
    <w:qFormat/>
    <w:rPr>
      <w:sz w:val="21"/>
      <w:szCs w:val="22"/>
    </w:rPr>
  </w:style>
  <w:style w:type="character" w:styleId="1067" w:customStyle="1">
    <w:name w:val="批注主题 字符1"/>
    <w:basedOn w:val="1066"/>
    <w:link w:val="743"/>
    <w:uiPriority w:val="99"/>
    <w:semiHidden/>
    <w:qFormat/>
    <w:rPr>
      <w:b/>
      <w:bCs/>
      <w:sz w:val="21"/>
      <w:szCs w:val="22"/>
    </w:rPr>
  </w:style>
  <w:style w:type="character" w:styleId="1068" w:customStyle="1">
    <w:name w:val="批注框文本 字符1"/>
    <w:basedOn w:val="716"/>
    <w:link w:val="729"/>
    <w:uiPriority w:val="99"/>
    <w:semiHidden/>
    <w:qFormat/>
    <w:rPr>
      <w:sz w:val="18"/>
      <w:szCs w:val="18"/>
    </w:rPr>
  </w:style>
  <w:style w:type="character" w:styleId="1069" w:customStyle="1">
    <w:name w:val="1、 字符"/>
    <w:link w:val="1070"/>
    <w:uiPriority w:val="0"/>
    <w:qFormat/>
    <w:rPr>
      <w:sz w:val="24"/>
      <w:szCs w:val="24"/>
    </w:rPr>
  </w:style>
  <w:style w:type="paragraph" w:styleId="1070" w:customStyle="1">
    <w:name w:val="1、"/>
    <w:basedOn w:val="706"/>
    <w:link w:val="1069"/>
    <w:uiPriority w:val="0"/>
    <w:qFormat/>
    <w:pPr>
      <w:ind w:firstLine="200"/>
      <w:spacing w:line="440" w:lineRule="exact"/>
    </w:pPr>
    <w:rPr>
      <w:sz w:val="24"/>
      <w:szCs w:val="24"/>
    </w:rPr>
  </w:style>
  <w:style w:type="paragraph" w:styleId="1071" w:customStyle="1">
    <w:name w:val="段"/>
    <w:next w:val="706"/>
    <w:uiPriority w:val="0"/>
    <w:qFormat/>
    <w:pPr>
      <w:ind w:firstLine="200"/>
      <w:jc w:val="both"/>
      <w:spacing w:line="360" w:lineRule="auto"/>
    </w:pPr>
    <w:rPr>
      <w:rFonts w:ascii="宋体" w:hAnsi="Calibri" w:eastAsia="宋体" w:cs="Times New Roman"/>
      <w:sz w:val="24"/>
      <w:szCs w:val="22"/>
      <w:lang w:val="en-US" w:eastAsia="zh-CN" w:bidi="ar-SA"/>
    </w:rPr>
  </w:style>
  <w:style w:type="character" w:styleId="1072" w:customStyle="1">
    <w:name w:val="15"/>
    <w:basedOn w:val="716"/>
    <w:uiPriority w:val="0"/>
    <w:qFormat/>
    <w:rPr>
      <w:rFonts w:hint="default" w:ascii="Calibri" w:hAnsi="Calibri" w:cs="Calibri"/>
    </w:rPr>
  </w:style>
  <w:style w:type="paragraph" w:styleId="1073" w:customStyle="1">
    <w:name w:val="Char Char1 Char Char Char Char Char Char Char2"/>
    <w:basedOn w:val="706"/>
    <w:uiPriority w:val="0"/>
    <w:qFormat/>
    <w:rPr>
      <w:rFonts w:ascii="Tahoma" w:hAnsi="Tahoma"/>
      <w:sz w:val="24"/>
    </w:rPr>
  </w:style>
  <w:style w:type="paragraph" w:styleId="1074" w:customStyle="1">
    <w:name w:val=" Char Char1 Char Char Char Char Char Char Char"/>
    <w:basedOn w:val="706"/>
    <w:uiPriority w:val="0"/>
    <w:qFormat/>
    <w:rPr>
      <w:rFonts w:ascii="Tahoma" w:hAnsi="Tahoma"/>
      <w:sz w:val="24"/>
    </w:rPr>
  </w:style>
  <w:style w:type="numbering" w:styleId="1466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陈佳雪</cp:lastModifiedBy>
  <cp:revision>7</cp:revision>
  <dcterms:created xsi:type="dcterms:W3CDTF">2024-11-13T09:00:00Z</dcterms:created>
  <dcterms:modified xsi:type="dcterms:W3CDTF">2024-12-17T00:46:19Z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AD11D12280D048E0BDBC6796AA251204_13</vt:lpwstr>
  </property>
</Properties>
</file>