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cs="宋体" w:asciiTheme="minorEastAsia" w:hAnsiTheme="minorEastAsia" w:eastAsiaTheme="minorEastAsia"/>
          <w:b/>
          <w:sz w:val="84"/>
        </w:rPr>
      </w:pPr>
      <w:r>
        <w:rPr>
          <w:rFonts w:hint="eastAsia" w:cs="宋体" w:asciiTheme="minorEastAsia" w:hAnsiTheme="minorEastAsia" w:eastAsiaTheme="minorEastAsia"/>
          <w:b/>
          <w:sz w:val="84"/>
        </w:rPr>
      </w:r>
      <w:r/>
    </w:p>
    <w:p>
      <w:pPr>
        <w:jc w:val="center"/>
        <w:spacing w:line="360" w:lineRule="auto"/>
        <w:rPr>
          <w:rFonts w:hint="eastAsia" w:cs="宋体" w:asciiTheme="minorEastAsia" w:hAnsiTheme="minorEastAsia" w:eastAsiaTheme="minorEastAsia"/>
          <w:b/>
          <w:sz w:val="84"/>
        </w:rPr>
      </w:pPr>
      <w:r>
        <w:rPr>
          <w:rFonts w:hint="eastAsia" w:cs="宋体" w:asciiTheme="minorEastAsia" w:hAnsiTheme="minorEastAsia" w:eastAsiaTheme="minorEastAsia"/>
          <w:b/>
          <w:sz w:val="84"/>
        </w:rPr>
        <w:t xml:space="preserve">招标文件</w:t>
      </w:r>
      <w:r/>
    </w:p>
    <w:p>
      <w:pPr>
        <w:jc w:val="center"/>
        <w:spacing w:line="360" w:lineRule="auto"/>
        <w:rPr>
          <w:rFonts w:hint="eastAsia"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（电子招投标）</w:t>
      </w:r>
      <w:r/>
    </w:p>
    <w:p>
      <w:pPr>
        <w:ind w:right="-2"/>
        <w:jc w:val="center"/>
        <w:spacing w:line="360" w:lineRule="auto"/>
        <w:rPr>
          <w:rFonts w:hint="eastAsia" w:cs="宋体" w:asciiTheme="minorEastAsia" w:hAnsiTheme="minorEastAsia" w:eastAsiaTheme="minorEastAsia"/>
          <w:i/>
          <w:iCs/>
          <w:sz w:val="44"/>
          <w:szCs w:val="44"/>
        </w:rPr>
      </w:pPr>
      <w:r>
        <w:rPr>
          <w:rFonts w:hint="eastAsia" w:cs="宋体" w:asciiTheme="minorEastAsia" w:hAnsiTheme="minorEastAsia" w:eastAsiaTheme="minorEastAsia"/>
          <w:i/>
          <w:iCs/>
          <w:sz w:val="44"/>
          <w:szCs w:val="44"/>
        </w:rPr>
      </w:r>
      <w:r/>
    </w:p>
    <w:p>
      <w:pPr>
        <w:jc w:val="center"/>
        <w:spacing w:line="360" w:lineRule="auto"/>
        <w:rPr>
          <w:rFonts w:hint="eastAsia" w:cs="宋体" w:asciiTheme="minorEastAsia" w:hAnsiTheme="minorEastAsia" w:eastAsiaTheme="minorEastAsia"/>
          <w:sz w:val="32"/>
        </w:rPr>
      </w:pPr>
      <w:r>
        <w:rPr>
          <w:rFonts w:hint="eastAsia" w:cs="宋体" w:asciiTheme="minorEastAsia" w:hAnsiTheme="minorEastAsia" w:eastAsiaTheme="minorEastAsia"/>
          <w:sz w:val="32"/>
        </w:rPr>
      </w:r>
      <w:r/>
    </w:p>
    <w:p>
      <w:pPr>
        <w:jc w:val="center"/>
        <w:spacing w:line="360" w:lineRule="auto"/>
        <w:rPr>
          <w:rFonts w:hint="eastAsia" w:cs="宋体" w:asciiTheme="minorEastAsia" w:hAnsiTheme="minorEastAsia" w:eastAsiaTheme="minorEastAsia"/>
          <w:sz w:val="32"/>
        </w:rPr>
      </w:pPr>
      <w:r>
        <w:rPr>
          <w:rFonts w:hint="eastAsia" w:cs="宋体" w:asciiTheme="minorEastAsia" w:hAnsiTheme="minorEastAsia" w:eastAsiaTheme="minorEastAsia"/>
          <w:sz w:val="32"/>
        </w:rPr>
      </w:r>
      <w:r/>
    </w:p>
    <w:p>
      <w:pPr>
        <w:jc w:val="center"/>
        <w:spacing w:line="360" w:lineRule="auto"/>
        <w:rPr>
          <w:rFonts w:hint="eastAsia" w:cs="宋体" w:asciiTheme="minorEastAsia" w:hAnsiTheme="minorEastAsia" w:eastAsiaTheme="minorEastAsia"/>
          <w:b/>
          <w:sz w:val="36"/>
        </w:rPr>
      </w:pPr>
      <w:r>
        <w:rPr>
          <w:rFonts w:hint="eastAsia" w:cs="宋体" w:asciiTheme="minorEastAsia" w:hAnsiTheme="minorEastAsia" w:eastAsiaTheme="minorEastAsia"/>
          <w:b/>
          <w:sz w:val="36"/>
        </w:rPr>
        <w:t xml:space="preserve">项目编号：</w:t>
      </w:r>
      <w:r>
        <w:rPr>
          <w:rFonts w:cs="宋体" w:asciiTheme="minorEastAsia" w:hAnsiTheme="minorEastAsia" w:eastAsiaTheme="minorEastAsia"/>
          <w:b/>
          <w:sz w:val="36"/>
        </w:rPr>
        <w:tab/>
        <w:t xml:space="preserve">JSZC-321100-TXJS-G2025-0021</w:t>
      </w:r>
      <w:r/>
    </w:p>
    <w:p>
      <w:pPr>
        <w:spacing w:line="360" w:lineRule="auto"/>
        <w:rPr>
          <w:rFonts w:hint="eastAsia" w:cs="宋体" w:asciiTheme="minorEastAsia" w:hAnsiTheme="minorEastAsia" w:eastAsiaTheme="minorEastAsia"/>
          <w:sz w:val="32"/>
        </w:rPr>
      </w:pPr>
      <w:r>
        <w:rPr>
          <w:rFonts w:hint="eastAsia" w:cs="宋体" w:asciiTheme="minorEastAsia" w:hAnsiTheme="minorEastAsia" w:eastAsiaTheme="minorEastAsia"/>
          <w:sz w:val="32"/>
        </w:rPr>
      </w:r>
      <w:r/>
    </w:p>
    <w:p>
      <w:pPr>
        <w:jc w:val="center"/>
        <w:spacing w:line="360" w:lineRule="auto"/>
        <w:rPr>
          <w:rFonts w:hint="eastAsia" w:cs="宋体" w:asciiTheme="minorEastAsia" w:hAnsiTheme="minorEastAsia" w:eastAsiaTheme="minorEastAsia"/>
          <w:sz w:val="32"/>
        </w:rPr>
      </w:pPr>
      <w:r>
        <w:rPr>
          <w:rFonts w:hint="eastAsia" w:cs="宋体" w:asciiTheme="minorEastAsia" w:hAnsiTheme="minorEastAsia" w:eastAsiaTheme="minorEastAsia"/>
          <w:sz w:val="32"/>
        </w:rPr>
      </w:r>
      <w:r/>
    </w:p>
    <w:p>
      <w:pPr>
        <w:jc w:val="center"/>
        <w:spacing w:line="360" w:lineRule="auto"/>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项目名称</w:t>
      </w:r>
      <w:r>
        <w:rPr>
          <w:rFonts w:hint="eastAsia" w:cs="宋体" w:asciiTheme="minorEastAsia" w:hAnsiTheme="minorEastAsia" w:eastAsiaTheme="minorEastAsia"/>
          <w:sz w:val="36"/>
          <w:szCs w:val="36"/>
        </w:rPr>
        <w:t xml:space="preserve">：</w:t>
      </w:r>
      <w:r>
        <w:rPr>
          <w:rFonts w:hint="eastAsia" w:cs="宋体" w:asciiTheme="minorEastAsia" w:hAnsiTheme="minorEastAsia" w:eastAsiaTheme="minorEastAsia"/>
          <w:b/>
          <w:sz w:val="36"/>
          <w:szCs w:val="36"/>
        </w:rPr>
        <w:t xml:space="preserve">市属高中实验室改造及设备购置项目</w:t>
      </w:r>
      <w:r/>
    </w:p>
    <w:p>
      <w:pPr>
        <w:spacing w:line="360" w:lineRule="auto"/>
        <w:rPr>
          <w:rFonts w:hint="eastAsia" w:cs="宋体" w:asciiTheme="minorEastAsia" w:hAnsiTheme="minorEastAsia" w:eastAsiaTheme="minorEastAsia"/>
          <w:b/>
          <w:sz w:val="36"/>
        </w:rPr>
      </w:pPr>
      <w:r>
        <w:rPr>
          <w:rFonts w:hint="eastAsia" w:cs="宋体" w:asciiTheme="minorEastAsia" w:hAnsiTheme="minorEastAsia" w:eastAsiaTheme="minorEastAsia"/>
          <w:b/>
          <w:sz w:val="36"/>
        </w:rPr>
      </w:r>
      <w:r/>
    </w:p>
    <w:p>
      <w:pPr>
        <w:jc w:val="center"/>
        <w:spacing w:line="360" w:lineRule="auto"/>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jc w:val="center"/>
        <w:spacing w:line="360" w:lineRule="auto"/>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r>
      <w:r/>
    </w:p>
    <w:p>
      <w:pPr>
        <w:jc w:val="center"/>
        <w:spacing w:line="360" w:lineRule="auto"/>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江苏天信建设项目咨询有限公司</w:t>
      </w:r>
      <w:r/>
    </w:p>
    <w:p>
      <w:pPr>
        <w:jc w:val="center"/>
        <w:spacing w:line="360" w:lineRule="auto"/>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2025-0</w:t>
      </w:r>
      <w:r>
        <w:rPr>
          <w:rFonts w:hint="eastAsia" w:cs="宋体" w:asciiTheme="minorEastAsia" w:hAnsiTheme="minorEastAsia" w:eastAsiaTheme="minorEastAsia"/>
          <w:b/>
          <w:sz w:val="36"/>
          <w:szCs w:val="36"/>
        </w:rPr>
        <w:t xml:space="preserve">9</w:t>
      </w:r>
      <w:r>
        <w:rPr>
          <w:rFonts w:hint="eastAsia" w:cs="宋体" w:asciiTheme="minorEastAsia" w:hAnsiTheme="minorEastAsia" w:eastAsiaTheme="minorEastAsia"/>
          <w:b/>
          <w:sz w:val="36"/>
          <w:szCs w:val="36"/>
        </w:rPr>
        <w:t xml:space="preserve">-</w:t>
      </w:r>
      <w:r>
        <w:rPr>
          <w:rFonts w:hint="eastAsia" w:cs="宋体" w:asciiTheme="minorEastAsia" w:hAnsiTheme="minorEastAsia" w:eastAsiaTheme="minorEastAsia"/>
          <w:b/>
          <w:sz w:val="36"/>
          <w:szCs w:val="36"/>
        </w:rPr>
        <w:t xml:space="preserve">08</w:t>
      </w:r>
      <w:r/>
    </w:p>
    <w:p>
      <w:pPr>
        <w:spacing w:line="360" w:lineRule="auto"/>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r>
      <w:r/>
    </w:p>
    <w:p>
      <w:pPr>
        <w:jc w:val="center"/>
        <w:spacing w:line="360" w:lineRule="auto"/>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r>
      <w:r/>
    </w:p>
    <w:p>
      <w:pPr>
        <w:jc w:val="center"/>
        <w:spacing w:line="360" w:lineRule="auto"/>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r>
      <w:r/>
    </w:p>
    <w:p>
      <w:pPr>
        <w:jc w:val="center"/>
        <w:spacing w:line="360" w:lineRule="auto"/>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r>
      <w:r/>
    </w:p>
    <w:sdt>
      <w:sdtPr>
        <w15:appearance w15:val="boundingBox"/>
        <w:id w:val="147472932"/>
        <w:docPartObj>
          <w:docPartGallery w:val="Table of Contents"/>
          <w:docPartUnique w:val="true"/>
        </w:docPartObj>
        <w:rPr>
          <w:rFonts w:hint="eastAsia" w:cs="宋体" w:asciiTheme="minorEastAsia" w:hAnsiTheme="minorEastAsia" w:eastAsiaTheme="minorEastAsia"/>
        </w:rPr>
      </w:sdtPr>
      <w:sdtContent>
        <w:p>
          <w:pPr>
            <w:jc w:val="center"/>
            <w:spacing w:line="360" w:lineRule="auto"/>
            <w:rPr>
              <w:rFonts w:hint="eastAsia" w:cs="宋体" w:asciiTheme="minorEastAsia" w:hAnsiTheme="minorEastAsia" w:eastAsiaTheme="minorEastAsia"/>
              <w:b/>
              <w:sz w:val="44"/>
            </w:rPr>
          </w:pPr>
          <w:r>
            <w:rPr>
              <w:rFonts w:hint="eastAsia" w:cs="宋体" w:asciiTheme="minorEastAsia" w:hAnsiTheme="minorEastAsia" w:eastAsiaTheme="minorEastAsia"/>
              <w:b/>
              <w:sz w:val="44"/>
            </w:rPr>
            <w:t xml:space="preserve">招 标 文 件 目录</w:t>
          </w:r>
          <w:r/>
        </w:p>
        <w:p>
          <w:pPr>
            <w:jc w:val="center"/>
            <w:spacing w:line="360" w:lineRule="auto"/>
            <w:rPr>
              <w:rFonts w:hint="eastAsia" w:cs="宋体" w:asciiTheme="minorEastAsia" w:hAnsiTheme="minorEastAsia" w:eastAsiaTheme="minorEastAsia"/>
              <w:b/>
              <w:sz w:val="44"/>
            </w:rPr>
          </w:pPr>
          <w:r>
            <w:rPr>
              <w:rFonts w:hint="eastAsia" w:cs="宋体" w:asciiTheme="minorEastAsia" w:hAnsiTheme="minorEastAsia" w:eastAsiaTheme="minorEastAsia"/>
              <w:b/>
              <w:sz w:val="44"/>
            </w:rPr>
          </w:r>
          <w:r/>
        </w:p>
        <w:p>
          <w:pPr>
            <w:pStyle w:val="1118"/>
            <w:spacing w:line="360" w:lineRule="auto"/>
            <w:tabs>
              <w:tab w:val="right" w:pos="8279" w:leader="dot"/>
            </w:tabs>
            <w:rPr>
              <w:rFonts w:hint="eastAsia" w:cs="宋体" w:asciiTheme="minorEastAsia" w:hAnsiTheme="minorEastAsia" w:eastAsiaTheme="minorEastAsia"/>
              <w:b/>
              <w:bCs/>
              <w:sz w:val="36"/>
              <w:szCs w:val="36"/>
            </w:rPr>
          </w:pPr>
          <w:r>
            <w:rPr>
              <w:rFonts w:hint="eastAsia" w:cs="宋体" w:asciiTheme="minorEastAsia" w:hAnsiTheme="minorEastAsia" w:eastAsiaTheme="minorEastAsia"/>
            </w:rPr>
            <w:fldChar w:fldCharType="begin"/>
          </w:r>
          <w:r>
            <w:rPr>
              <w:rFonts w:hint="eastAsia" w:cs="宋体" w:asciiTheme="minorEastAsia" w:hAnsiTheme="minorEastAsia" w:eastAsiaTheme="minorEastAsia"/>
            </w:rPr>
            <w:instrText xml:space="preserve">TOC \o "1-1" \h \u </w:instrText>
          </w:r>
          <w:r>
            <w:rPr>
              <w:rFonts w:hint="eastAsia" w:cs="宋体" w:asciiTheme="minorEastAsia" w:hAnsiTheme="minorEastAsia" w:eastAsiaTheme="minorEastAsia"/>
            </w:rPr>
            <w:fldChar w:fldCharType="separate"/>
          </w:r>
          <w:hyperlink w:tooltip="#_Toc18996" w:anchor="_Toc18996" w:history="1">
            <w:r>
              <w:rPr>
                <w:rFonts w:hint="eastAsia" w:cs="宋体" w:asciiTheme="minorEastAsia" w:hAnsiTheme="minorEastAsia" w:eastAsiaTheme="minorEastAsia"/>
                <w:b/>
                <w:bCs/>
                <w:sz w:val="36"/>
                <w:szCs w:val="36"/>
              </w:rPr>
              <w:t xml:space="preserve">第一部分 投标邀请</w:t>
            </w:r>
          </w:hyperlink>
          <w:r/>
          <w:r/>
        </w:p>
        <w:p>
          <w:pPr>
            <w:spacing w:line="360" w:lineRule="auto"/>
            <w:rPr>
              <w:rFonts w:hint="eastAsia" w:cs="宋体" w:asciiTheme="minorEastAsia" w:hAnsiTheme="minorEastAsia" w:eastAsiaTheme="minorEastAsia"/>
              <w:sz w:val="36"/>
              <w:szCs w:val="36"/>
            </w:rPr>
          </w:pPr>
          <w:r>
            <w:rPr>
              <w:rFonts w:hint="eastAsia" w:cs="宋体" w:asciiTheme="minorEastAsia" w:hAnsiTheme="minorEastAsia" w:eastAsiaTheme="minorEastAsia"/>
              <w:sz w:val="36"/>
              <w:szCs w:val="36"/>
            </w:rPr>
          </w:r>
          <w:r/>
        </w:p>
        <w:p>
          <w:pPr>
            <w:pStyle w:val="1118"/>
            <w:spacing w:line="360" w:lineRule="auto"/>
            <w:tabs>
              <w:tab w:val="right" w:pos="8279" w:leader="dot"/>
            </w:tabs>
            <w:rPr>
              <w:rFonts w:hint="eastAsia" w:cs="宋体" w:asciiTheme="minorEastAsia" w:hAnsiTheme="minorEastAsia" w:eastAsiaTheme="minorEastAsia"/>
              <w:b/>
              <w:bCs/>
              <w:sz w:val="36"/>
              <w:szCs w:val="36"/>
            </w:rPr>
          </w:pPr>
          <w:r/>
          <w:hyperlink w:tooltip="#_Toc31270" w:anchor="_Toc31270" w:history="1">
            <w:r>
              <w:rPr>
                <w:rFonts w:hint="eastAsia" w:cs="宋体" w:asciiTheme="minorEastAsia" w:hAnsiTheme="minorEastAsia" w:eastAsiaTheme="minorEastAsia"/>
                <w:b/>
                <w:bCs/>
                <w:sz w:val="36"/>
                <w:szCs w:val="36"/>
              </w:rPr>
              <w:t xml:space="preserve">第二部分 投标人须知</w:t>
            </w:r>
          </w:hyperlink>
          <w:r/>
          <w:r/>
        </w:p>
        <w:p>
          <w:pPr>
            <w:spacing w:line="360" w:lineRule="auto"/>
            <w:rPr>
              <w:rFonts w:hint="eastAsia" w:cs="宋体" w:asciiTheme="minorEastAsia" w:hAnsiTheme="minorEastAsia" w:eastAsiaTheme="minorEastAsia"/>
              <w:sz w:val="36"/>
              <w:szCs w:val="36"/>
            </w:rPr>
          </w:pPr>
          <w:r>
            <w:rPr>
              <w:rFonts w:hint="eastAsia" w:cs="宋体" w:asciiTheme="minorEastAsia" w:hAnsiTheme="minorEastAsia" w:eastAsiaTheme="minorEastAsia"/>
              <w:sz w:val="36"/>
              <w:szCs w:val="36"/>
            </w:rPr>
          </w:r>
          <w:r/>
        </w:p>
        <w:p>
          <w:pPr>
            <w:pStyle w:val="1118"/>
            <w:spacing w:line="360" w:lineRule="auto"/>
            <w:tabs>
              <w:tab w:val="right" w:pos="8279" w:leader="dot"/>
            </w:tabs>
            <w:rPr>
              <w:rFonts w:hint="eastAsia" w:cs="宋体" w:asciiTheme="minorEastAsia" w:hAnsiTheme="minorEastAsia" w:eastAsiaTheme="minorEastAsia"/>
              <w:b/>
              <w:bCs/>
              <w:sz w:val="36"/>
              <w:szCs w:val="36"/>
            </w:rPr>
          </w:pPr>
          <w:r/>
          <w:hyperlink w:tooltip="#_Toc11759" w:anchor="_Toc11759" w:history="1">
            <w:r>
              <w:rPr>
                <w:rFonts w:hint="eastAsia" w:cs="宋体" w:asciiTheme="minorEastAsia" w:hAnsiTheme="minorEastAsia" w:eastAsiaTheme="minorEastAsia"/>
                <w:b/>
                <w:bCs/>
                <w:sz w:val="36"/>
                <w:szCs w:val="36"/>
              </w:rPr>
              <w:t xml:space="preserve">第三部分 拟签订的合同文本（货物）</w:t>
            </w:r>
          </w:hyperlink>
          <w:r/>
          <w:r/>
        </w:p>
        <w:p>
          <w:pPr>
            <w:spacing w:line="360" w:lineRule="auto"/>
            <w:rPr>
              <w:rFonts w:hint="eastAsia" w:cs="宋体" w:asciiTheme="minorEastAsia" w:hAnsiTheme="minorEastAsia" w:eastAsiaTheme="minorEastAsia"/>
              <w:sz w:val="36"/>
              <w:szCs w:val="36"/>
            </w:rPr>
          </w:pPr>
          <w:r>
            <w:rPr>
              <w:rFonts w:hint="eastAsia" w:cs="宋体" w:asciiTheme="minorEastAsia" w:hAnsiTheme="minorEastAsia" w:eastAsiaTheme="minorEastAsia"/>
              <w:sz w:val="36"/>
              <w:szCs w:val="36"/>
            </w:rPr>
          </w:r>
          <w:r/>
        </w:p>
        <w:p>
          <w:pPr>
            <w:pStyle w:val="1118"/>
            <w:spacing w:line="360" w:lineRule="auto"/>
            <w:tabs>
              <w:tab w:val="right" w:pos="8279" w:leader="dot"/>
            </w:tabs>
            <w:rPr>
              <w:rFonts w:hint="eastAsia" w:cs="宋体" w:asciiTheme="minorEastAsia" w:hAnsiTheme="minorEastAsia" w:eastAsiaTheme="minorEastAsia"/>
              <w:b/>
              <w:bCs/>
              <w:sz w:val="36"/>
              <w:szCs w:val="36"/>
            </w:rPr>
          </w:pPr>
          <w:r/>
          <w:hyperlink w:tooltip="#_Toc4967" w:anchor="_Toc4967" w:history="1">
            <w:r>
              <w:rPr>
                <w:rFonts w:hint="eastAsia" w:cs="宋体" w:asciiTheme="minorEastAsia" w:hAnsiTheme="minorEastAsia" w:eastAsiaTheme="minorEastAsia"/>
                <w:b/>
                <w:bCs/>
                <w:sz w:val="36"/>
                <w:szCs w:val="36"/>
              </w:rPr>
              <w:t xml:space="preserve">第四部分 采购需求</w:t>
            </w:r>
          </w:hyperlink>
          <w:r/>
          <w:r/>
        </w:p>
        <w:p>
          <w:pPr>
            <w:spacing w:line="360" w:lineRule="auto"/>
            <w:rPr>
              <w:rFonts w:hint="eastAsia" w:cs="宋体" w:asciiTheme="minorEastAsia" w:hAnsiTheme="minorEastAsia" w:eastAsiaTheme="minorEastAsia"/>
              <w:sz w:val="36"/>
              <w:szCs w:val="36"/>
            </w:rPr>
          </w:pPr>
          <w:r>
            <w:rPr>
              <w:rFonts w:hint="eastAsia" w:cs="宋体" w:asciiTheme="minorEastAsia" w:hAnsiTheme="minorEastAsia" w:eastAsiaTheme="minorEastAsia"/>
              <w:sz w:val="36"/>
              <w:szCs w:val="36"/>
            </w:rPr>
          </w:r>
          <w:r/>
        </w:p>
        <w:p>
          <w:pPr>
            <w:pStyle w:val="1118"/>
            <w:spacing w:line="360" w:lineRule="auto"/>
            <w:tabs>
              <w:tab w:val="right" w:pos="8279" w:leader="dot"/>
            </w:tabs>
            <w:rPr>
              <w:rFonts w:hint="eastAsia" w:cs="宋体" w:asciiTheme="minorEastAsia" w:hAnsiTheme="minorEastAsia" w:eastAsiaTheme="minorEastAsia"/>
              <w:b/>
              <w:bCs/>
              <w:sz w:val="36"/>
              <w:szCs w:val="36"/>
            </w:rPr>
          </w:pPr>
          <w:r/>
          <w:hyperlink w:tooltip="#_Toc15735" w:anchor="_Toc15735" w:history="1">
            <w:r>
              <w:rPr>
                <w:rFonts w:hint="eastAsia" w:cs="宋体" w:asciiTheme="minorEastAsia" w:hAnsiTheme="minorEastAsia" w:eastAsiaTheme="minorEastAsia"/>
                <w:b/>
                <w:bCs/>
                <w:sz w:val="36"/>
                <w:szCs w:val="36"/>
              </w:rPr>
              <w:t xml:space="preserve">第五部分 评标办法和标准</w:t>
            </w:r>
          </w:hyperlink>
          <w:r/>
          <w:r/>
        </w:p>
        <w:p>
          <w:pPr>
            <w:spacing w:line="360" w:lineRule="auto"/>
            <w:rPr>
              <w:rFonts w:hint="eastAsia" w:cs="宋体" w:asciiTheme="minorEastAsia" w:hAnsiTheme="minorEastAsia" w:eastAsiaTheme="minorEastAsia"/>
              <w:sz w:val="36"/>
              <w:szCs w:val="36"/>
            </w:rPr>
          </w:pPr>
          <w:r>
            <w:rPr>
              <w:rFonts w:hint="eastAsia" w:cs="宋体" w:asciiTheme="minorEastAsia" w:hAnsiTheme="minorEastAsia" w:eastAsiaTheme="minorEastAsia"/>
              <w:sz w:val="36"/>
              <w:szCs w:val="36"/>
            </w:rPr>
          </w:r>
          <w:r/>
        </w:p>
        <w:p>
          <w:pPr>
            <w:pStyle w:val="1118"/>
            <w:spacing w:line="360" w:lineRule="auto"/>
            <w:tabs>
              <w:tab w:val="right" w:pos="8279" w:leader="dot"/>
            </w:tabs>
            <w:rPr>
              <w:rFonts w:hint="eastAsia" w:cs="宋体" w:asciiTheme="minorEastAsia" w:hAnsiTheme="minorEastAsia" w:eastAsiaTheme="minorEastAsia"/>
              <w:b/>
              <w:bCs/>
              <w:sz w:val="36"/>
              <w:szCs w:val="36"/>
            </w:rPr>
          </w:pPr>
          <w:r/>
          <w:hyperlink w:tooltip="#_Toc22798" w:anchor="_Toc22798" w:history="1">
            <w:r>
              <w:rPr>
                <w:rFonts w:hint="eastAsia" w:cs="宋体" w:asciiTheme="minorEastAsia" w:hAnsiTheme="minorEastAsia" w:eastAsiaTheme="minorEastAsia"/>
                <w:b/>
                <w:bCs/>
                <w:sz w:val="36"/>
                <w:szCs w:val="36"/>
              </w:rPr>
              <w:t xml:space="preserve">第六部分 投标文件（格式）</w:t>
            </w:r>
          </w:hyperlink>
          <w:r/>
          <w:r/>
        </w:p>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r>
          <w:r/>
        </w:p>
        <w:p>
          <w:pP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fldChar w:fldCharType="end"/>
          </w:r>
          <w:r/>
        </w:p>
      </w:sdtContent>
    </w:sdt>
    <w:p>
      <w:pPr>
        <w:jc w:val="center"/>
        <w:spacing w:before="200" w:after="200" w:line="360" w:lineRule="auto"/>
        <w:rPr>
          <w:rFonts w:hint="eastAsia" w:cs="宋体" w:asciiTheme="minorEastAsia" w:hAnsiTheme="minorEastAsia" w:eastAsiaTheme="minorEastAsia"/>
          <w:b/>
          <w:bCs/>
          <w:sz w:val="36"/>
          <w:szCs w:val="36"/>
        </w:rPr>
        <w:outlineLvl w:val="0"/>
      </w:pPr>
      <w:r>
        <w:rPr>
          <w:rFonts w:hint="eastAsia" w:cs="宋体" w:asciiTheme="minorEastAsia" w:hAnsiTheme="minorEastAsia" w:eastAsiaTheme="minorEastAsia"/>
          <w:sz w:val="30"/>
        </w:rPr>
        <w:br w:type="page" w:clear="all"/>
      </w:r>
      <w:bookmarkStart w:id="0" w:name="_Toc18996"/>
      <w:r/>
      <w:bookmarkStart w:id="1" w:name="_Toc100386033"/>
      <w:r/>
      <w:bookmarkStart w:id="2" w:name="_Toc92167999"/>
      <w:r/>
      <w:bookmarkStart w:id="3" w:name="_Toc20732967"/>
      <w:r>
        <w:rPr>
          <w:rFonts w:hint="eastAsia" w:cs="宋体" w:asciiTheme="minorEastAsia" w:hAnsiTheme="minorEastAsia" w:eastAsiaTheme="minorEastAsia"/>
          <w:b/>
          <w:bCs/>
          <w:sz w:val="36"/>
          <w:szCs w:val="36"/>
        </w:rPr>
        <w:t xml:space="preserve">第一部分 投标邀请</w:t>
      </w:r>
      <w:bookmarkEnd w:id="0"/>
      <w:r/>
      <w:r/>
    </w:p>
    <w:p>
      <w:pPr>
        <w:ind w:firstLine="480"/>
        <w:spacing w:line="360" w:lineRule="auto"/>
        <w:rPr>
          <w:rFonts w:hint="eastAsia" w:cs="宋体" w:asciiTheme="minorEastAsia" w:hAnsiTheme="minorEastAsia" w:eastAsiaTheme="minorEastAsia"/>
          <w:sz w:val="24"/>
          <w:szCs w:val="28"/>
        </w:rPr>
        <w:pBdr>
          <w:top w:val="single" w:color="auto" w:sz="4" w:space="1"/>
          <w:left w:val="single" w:color="auto" w:sz="4" w:space="4"/>
          <w:bottom w:val="single" w:color="auto" w:sz="4" w:space="1"/>
          <w:right w:val="single" w:color="auto" w:sz="4" w:space="4"/>
        </w:pBdr>
      </w:pPr>
      <w:r/>
      <w:bookmarkStart w:id="4" w:name="_Toc98669341"/>
      <w:r/>
      <w:bookmarkStart w:id="5" w:name="_Toc98669699"/>
      <w:r/>
      <w:bookmarkStart w:id="6" w:name="_Toc20732978"/>
      <w:r/>
      <w:bookmarkStart w:id="7" w:name="_Toc100386044"/>
      <w:r/>
      <w:bookmarkStart w:id="8" w:name="_Toc92168010"/>
      <w:r/>
      <w:bookmarkEnd w:id="1"/>
      <w:r/>
      <w:bookmarkEnd w:id="2"/>
      <w:r/>
      <w:bookmarkEnd w:id="3"/>
      <w:r>
        <w:rPr>
          <w:rFonts w:hint="eastAsia" w:cs="宋体" w:asciiTheme="minorEastAsia" w:hAnsiTheme="minorEastAsia" w:eastAsiaTheme="minorEastAsia"/>
          <w:sz w:val="24"/>
          <w:szCs w:val="28"/>
        </w:rPr>
        <w:t xml:space="preserve">项目概况</w:t>
      </w:r>
      <w:r/>
    </w:p>
    <w:p>
      <w:pPr>
        <w:ind w:firstLine="480"/>
        <w:spacing w:line="360" w:lineRule="auto"/>
        <w:rPr>
          <w:rFonts w:hint="eastAsia" w:cs="宋体" w:asciiTheme="minorEastAsia" w:hAnsiTheme="minorEastAsia" w:eastAsiaTheme="minorEastAsia"/>
          <w:sz w:val="24"/>
          <w:szCs w:val="28"/>
          <w:u w:val="singl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z w:val="24"/>
          <w:szCs w:val="28"/>
          <w:u w:val="single"/>
        </w:rPr>
        <w:t xml:space="preserve">市属高中实验室改造及设备购置项目</w:t>
      </w:r>
      <w:r>
        <w:rPr>
          <w:rFonts w:hint="eastAsia" w:cs="宋体" w:asciiTheme="minorEastAsia" w:hAnsiTheme="minorEastAsia" w:eastAsiaTheme="minorEastAsia"/>
          <w:sz w:val="24"/>
          <w:szCs w:val="28"/>
        </w:rPr>
        <w:t xml:space="preserve">项目的潜在投标人应在</w:t>
      </w:r>
      <w:r>
        <w:rPr>
          <w:rFonts w:hint="eastAsia" w:cs="宋体" w:asciiTheme="minorEastAsia" w:hAnsiTheme="minorEastAsia" w:eastAsiaTheme="minorEastAsia"/>
          <w:sz w:val="24"/>
          <w:szCs w:val="28"/>
          <w:u w:val="single"/>
        </w:rPr>
        <w:t xml:space="preserve">苏采云电子交易平台网址http://jszfcg.jscz.gov.cn/jszc/login</w:t>
      </w:r>
      <w:r>
        <w:rPr>
          <w:rFonts w:hint="eastAsia" w:cs="宋体" w:asciiTheme="minorEastAsia" w:hAnsiTheme="minorEastAsia" w:eastAsiaTheme="minorEastAsia"/>
          <w:sz w:val="24"/>
          <w:szCs w:val="28"/>
        </w:rPr>
        <w:t xml:space="preserve">获取招标文件，并于</w:t>
      </w:r>
      <w:r>
        <w:rPr>
          <w:rFonts w:hint="eastAsia" w:cs="宋体" w:asciiTheme="minorEastAsia" w:hAnsiTheme="minorEastAsia" w:eastAsiaTheme="minorEastAsia"/>
          <w:sz w:val="24"/>
          <w:szCs w:val="28"/>
          <w:u w:val="single"/>
        </w:rPr>
        <w:t xml:space="preserve">2025年0</w:t>
      </w:r>
      <w:r>
        <w:rPr>
          <w:rFonts w:hint="eastAsia" w:cs="宋体" w:asciiTheme="minorEastAsia" w:hAnsiTheme="minorEastAsia" w:eastAsiaTheme="minorEastAsia"/>
          <w:sz w:val="24"/>
          <w:szCs w:val="28"/>
          <w:u w:val="single"/>
        </w:rPr>
        <w:t xml:space="preserve">9</w:t>
      </w:r>
      <w:r>
        <w:rPr>
          <w:rFonts w:hint="eastAsia" w:cs="宋体" w:asciiTheme="minorEastAsia" w:hAnsiTheme="minorEastAsia" w:eastAsiaTheme="minorEastAsia"/>
          <w:sz w:val="24"/>
          <w:szCs w:val="28"/>
          <w:u w:val="single"/>
        </w:rPr>
        <w:t xml:space="preserve">月</w:t>
      </w:r>
      <w:r>
        <w:rPr>
          <w:rFonts w:hint="eastAsia" w:cs="宋体" w:asciiTheme="minorEastAsia" w:hAnsiTheme="minorEastAsia" w:eastAsiaTheme="minorEastAsia"/>
          <w:sz w:val="24"/>
          <w:szCs w:val="28"/>
          <w:u w:val="single"/>
        </w:rPr>
        <w:t xml:space="preserve">2</w:t>
      </w:r>
      <w:r>
        <w:rPr>
          <w:rFonts w:hint="eastAsia" w:cs="宋体" w:asciiTheme="minorEastAsia" w:hAnsiTheme="minorEastAsia" w:eastAsiaTheme="minorEastAsia"/>
          <w:sz w:val="24"/>
          <w:szCs w:val="28"/>
          <w:u w:val="single"/>
        </w:rPr>
        <w:t xml:space="preserve">4日9:30</w:t>
      </w:r>
      <w:r>
        <w:rPr>
          <w:rFonts w:hint="eastAsia" w:cs="宋体" w:asciiTheme="minorEastAsia" w:hAnsiTheme="minorEastAsia" w:eastAsiaTheme="minorEastAsia"/>
          <w:sz w:val="24"/>
          <w:szCs w:val="28"/>
        </w:rPr>
        <w:t xml:space="preserve">（</w:t>
      </w:r>
      <w:r>
        <w:rPr>
          <w:rFonts w:hint="eastAsia" w:cs="宋体" w:asciiTheme="minorEastAsia" w:hAnsiTheme="minorEastAsia" w:eastAsiaTheme="minorEastAsia"/>
          <w:bCs/>
          <w:sz w:val="24"/>
          <w:szCs w:val="28"/>
        </w:rPr>
        <w:t xml:space="preserve">北京时间）前按要求递交投标文件</w:t>
      </w:r>
      <w:r>
        <w:rPr>
          <w:rFonts w:hint="eastAsia" w:cs="宋体" w:asciiTheme="minorEastAsia" w:hAnsiTheme="minorEastAsia" w:eastAsiaTheme="minorEastAsia"/>
          <w:sz w:val="24"/>
          <w:szCs w:val="28"/>
        </w:rPr>
        <w:t xml:space="preserve">。</w:t>
      </w:r>
      <w:r/>
    </w:p>
    <w:p>
      <w:pPr>
        <w:ind w:left="-142"/>
        <w:spacing w:line="360" w:lineRule="auto"/>
        <w:rPr>
          <w:rFonts w:hint="eastAsia" w:cs="宋体" w:asciiTheme="minorEastAsia" w:hAnsiTheme="minorEastAsia" w:eastAsiaTheme="minorEastAsia"/>
          <w:sz w:val="24"/>
          <w:szCs w:val="28"/>
        </w:rPr>
      </w:pPr>
      <w:r/>
      <w:bookmarkStart w:id="9" w:name="_Toc35393621"/>
      <w:r/>
      <w:bookmarkStart w:id="10" w:name="_Toc28359079"/>
      <w:r/>
      <w:bookmarkStart w:id="11" w:name="_Toc35393790"/>
      <w:r/>
      <w:bookmarkStart w:id="12" w:name="_Toc28359002"/>
      <w:r/>
      <w:bookmarkStart w:id="13" w:name="_Hlk24379207"/>
      <w:r>
        <w:rPr>
          <w:rFonts w:hint="eastAsia" w:cs="宋体" w:asciiTheme="minorEastAsia" w:hAnsiTheme="minorEastAsia" w:eastAsiaTheme="minorEastAsia"/>
          <w:sz w:val="24"/>
          <w:szCs w:val="28"/>
        </w:rPr>
        <w:t xml:space="preserve">一、项目基本情况</w:t>
      </w:r>
      <w:bookmarkEnd w:id="9"/>
      <w:r/>
      <w:bookmarkEnd w:id="10"/>
      <w:r/>
      <w:bookmarkEnd w:id="11"/>
      <w:r/>
      <w:bookmarkEnd w:id="12"/>
      <w:r/>
      <w:r/>
    </w:p>
    <w:p>
      <w:pPr>
        <w:ind w:firstLine="480"/>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项目编号：</w:t>
      </w:r>
      <w:r>
        <w:rPr>
          <w:rFonts w:cs="宋体" w:asciiTheme="minorEastAsia" w:hAnsiTheme="minorEastAsia" w:eastAsiaTheme="minorEastAsia"/>
          <w:sz w:val="24"/>
          <w:szCs w:val="28"/>
        </w:rPr>
        <w:t xml:space="preserve">JSZC-321100-TXJS-G2025-0021</w:t>
      </w:r>
      <w:r/>
    </w:p>
    <w:p>
      <w:pPr>
        <w:ind w:firstLine="480"/>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项目名称：市属高中实验室改造及设备购置项目</w:t>
      </w:r>
      <w:bookmarkEnd w:id="13"/>
      <w:r/>
      <w:r/>
    </w:p>
    <w:p>
      <w:pPr>
        <w:ind w:firstLine="480"/>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预算金额：</w:t>
      </w:r>
      <w:r/>
    </w:p>
    <w:p>
      <w:pPr>
        <w:ind w:firstLine="480"/>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1.标段一：</w:t>
      </w:r>
      <w:r>
        <w:rPr>
          <w:rFonts w:hint="eastAsia" w:cs="宋体" w:asciiTheme="minorEastAsia" w:hAnsiTheme="minorEastAsia" w:eastAsiaTheme="minorEastAsia"/>
          <w:sz w:val="24"/>
          <w:szCs w:val="28"/>
          <w:u w:val="single"/>
        </w:rPr>
        <w:t xml:space="preserve">189.9674 </w:t>
      </w:r>
      <w:r>
        <w:rPr>
          <w:rFonts w:hint="eastAsia" w:cs="宋体" w:asciiTheme="minorEastAsia" w:hAnsiTheme="minorEastAsia" w:eastAsiaTheme="minorEastAsia"/>
          <w:sz w:val="24"/>
          <w:szCs w:val="28"/>
        </w:rPr>
        <w:t xml:space="preserve">万元，江苏省镇江中学实验室改造及设备购置。</w:t>
      </w:r>
      <w:r/>
    </w:p>
    <w:p>
      <w:pPr>
        <w:ind w:firstLine="480"/>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2.标段二：</w:t>
      </w:r>
      <w:r>
        <w:rPr>
          <w:rFonts w:hint="eastAsia" w:cs="宋体" w:asciiTheme="minorEastAsia" w:hAnsiTheme="minorEastAsia" w:eastAsiaTheme="minorEastAsia"/>
          <w:sz w:val="24"/>
          <w:szCs w:val="28"/>
          <w:u w:val="single"/>
        </w:rPr>
        <w:t xml:space="preserve">277.605</w:t>
      </w:r>
      <w:r>
        <w:rPr>
          <w:rFonts w:hint="eastAsia" w:cs="宋体" w:asciiTheme="minorEastAsia" w:hAnsiTheme="minorEastAsia" w:eastAsiaTheme="minorEastAsia"/>
          <w:sz w:val="24"/>
          <w:szCs w:val="28"/>
        </w:rPr>
        <w:t xml:space="preserve">万元，镇江市实验高级中学实验室改造及设备购置。</w:t>
      </w:r>
      <w:r/>
    </w:p>
    <w:p>
      <w:pPr>
        <w:ind w:firstLine="480"/>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3.标段三：</w:t>
      </w:r>
      <w:r>
        <w:rPr>
          <w:rFonts w:hint="eastAsia" w:cs="宋体" w:asciiTheme="minorEastAsia" w:hAnsiTheme="minorEastAsia" w:eastAsiaTheme="minorEastAsia"/>
          <w:sz w:val="24"/>
          <w:szCs w:val="28"/>
          <w:u w:val="single"/>
        </w:rPr>
        <w:t xml:space="preserve">144.793</w:t>
      </w:r>
      <w:r>
        <w:rPr>
          <w:rFonts w:hint="eastAsia" w:cs="宋体" w:asciiTheme="minorEastAsia" w:hAnsiTheme="minorEastAsia" w:eastAsiaTheme="minorEastAsia"/>
          <w:sz w:val="24"/>
          <w:szCs w:val="28"/>
        </w:rPr>
        <w:t xml:space="preserve">万元，镇江市朱方高级中学实验室改造及设备购置。</w:t>
      </w:r>
      <w:r/>
    </w:p>
    <w:p>
      <w:pPr>
        <w:ind w:firstLine="480"/>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采购需求：(1)江苏省镇江中学：2间物理实验室、1间物理仪器准备室、1间物理仪器室、物理数字化实验室升级改</w:t>
      </w:r>
      <w:r>
        <w:rPr>
          <w:rFonts w:hint="eastAsia" w:cs="宋体" w:asciiTheme="minorEastAsia" w:hAnsiTheme="minorEastAsia" w:eastAsiaTheme="minorEastAsia"/>
          <w:sz w:val="24"/>
          <w:szCs w:val="28"/>
        </w:rPr>
        <w:t xml:space="preserve">造、物理实验仪器一批。1间化学实验室、1间化学准备室、1间化学药品(危化品)室、1间化学仪器室、化学实验仪器一批。1间生物实验室、1间生物实验准备室、1间生物实验仪器室、生物实验仪器一批；(2)镇江市实验高级中学:2间物理实验室、1 间物理仪器准备室、2间化学实验室、1间化学准备室、1间化学药品(危化品)室、2间生物实验室、1间生物实验准备室改造升级及仪器设备采购;(3)镇江市朱方高级中学:1 间物理实验室、1 间化学实验室、1 间化学药品(危化品)室、1间生物实验室、2间实验准备室改造升级及仪器设备采购。</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服务期限：标段一：签订合同后</w:t>
      </w:r>
      <w:r>
        <w:rPr>
          <w:rFonts w:hint="eastAsia" w:cs="宋体" w:asciiTheme="minorEastAsia" w:hAnsiTheme="minorEastAsia" w:eastAsiaTheme="minorEastAsia"/>
          <w:sz w:val="24"/>
          <w:szCs w:val="28"/>
          <w:u w:val="single"/>
        </w:rPr>
        <w:t xml:space="preserve"> 45  </w:t>
      </w:r>
      <w:r>
        <w:rPr>
          <w:rFonts w:hint="eastAsia" w:cs="宋体" w:asciiTheme="minorEastAsia" w:hAnsiTheme="minorEastAsia" w:eastAsiaTheme="minorEastAsia"/>
          <w:sz w:val="24"/>
          <w:szCs w:val="28"/>
        </w:rPr>
        <w:t xml:space="preserve">日历天内完成改造升级及仪器设备采购、安装调试并交付使用。标段二：签订合同后</w:t>
      </w:r>
      <w:r>
        <w:rPr>
          <w:rFonts w:hint="eastAsia" w:cs="宋体" w:asciiTheme="minorEastAsia" w:hAnsiTheme="minorEastAsia" w:eastAsiaTheme="minorEastAsia"/>
          <w:sz w:val="24"/>
          <w:szCs w:val="28"/>
          <w:u w:val="single"/>
        </w:rPr>
        <w:t xml:space="preserve">  30 </w:t>
      </w:r>
      <w:r>
        <w:rPr>
          <w:rFonts w:hint="eastAsia" w:cs="宋体" w:asciiTheme="minorEastAsia" w:hAnsiTheme="minorEastAsia" w:eastAsiaTheme="minorEastAsia"/>
          <w:sz w:val="24"/>
          <w:szCs w:val="28"/>
        </w:rPr>
        <w:t xml:space="preserve">日历天内完成改造升级及仪器设备采购、安装调试并交付使用。标段三：签订合同后</w:t>
      </w:r>
      <w:r>
        <w:rPr>
          <w:rFonts w:hint="eastAsia" w:cs="宋体" w:asciiTheme="minorEastAsia" w:hAnsiTheme="minorEastAsia" w:eastAsiaTheme="minorEastAsia"/>
          <w:sz w:val="24"/>
          <w:szCs w:val="28"/>
          <w:u w:val="single"/>
        </w:rPr>
        <w:t xml:space="preserve"> 45 </w:t>
      </w:r>
      <w:r>
        <w:rPr>
          <w:rFonts w:hint="eastAsia" w:cs="宋体" w:asciiTheme="minorEastAsia" w:hAnsiTheme="minorEastAsia" w:eastAsiaTheme="minorEastAsia"/>
          <w:sz w:val="24"/>
          <w:szCs w:val="28"/>
        </w:rPr>
        <w:t xml:space="preserve">日历天内完成改造升级及仪器设备采购、安装调试并交付使用。</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rPr>
        <w:t xml:space="preserve">本项目是否接受联合体投标：</w:t>
      </w:r>
      <w:r>
        <w:rPr>
          <w:rFonts w:hint="eastAsia" w:ascii="MS Gothic" w:hAnsi="MS Gothic" w:eastAsia="MS Gothic" w:cs="MS Gothic"/>
          <w:sz w:val="24"/>
          <w:szCs w:val="28"/>
        </w:rPr>
        <w:t xml:space="preserve">☑</w:t>
      </w:r>
      <w:r>
        <w:rPr>
          <w:rFonts w:hint="eastAsia" w:ascii="宋体" w:hAnsi="宋体" w:cs="宋体"/>
          <w:sz w:val="24"/>
          <w:szCs w:val="28"/>
        </w:rPr>
        <w:t xml:space="preserve">不接受□接受。</w:t>
      </w:r>
      <w:r/>
    </w:p>
    <w:p>
      <w:pPr>
        <w:ind w:firstLine="482"/>
        <w:jc w:val="left"/>
        <w:spacing w:line="360" w:lineRule="auto"/>
        <w:rPr>
          <w:rFonts w:hint="eastAsia"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本次采购确定的中标人数量：每标段1名，本项目评审按标段一至标段三的顺序进行，投标人可选择上述任意标段进行投报，同时提交中标标段选择说明，每个投标人中标标段数量1个。</w:t>
      </w:r>
      <w:r/>
    </w:p>
    <w:p>
      <w:pPr>
        <w:ind w:left="-142"/>
        <w:spacing w:line="360" w:lineRule="auto"/>
        <w:rPr>
          <w:rFonts w:hint="eastAsia" w:cs="宋体" w:asciiTheme="minorEastAsia" w:hAnsiTheme="minorEastAsia" w:eastAsiaTheme="minorEastAsia"/>
          <w:sz w:val="24"/>
          <w:szCs w:val="28"/>
        </w:rPr>
      </w:pPr>
      <w:r/>
      <w:bookmarkStart w:id="14" w:name="_Toc28359080"/>
      <w:r/>
      <w:bookmarkStart w:id="15" w:name="_Toc35393622"/>
      <w:r/>
      <w:bookmarkStart w:id="16" w:name="_Toc35393791"/>
      <w:r/>
      <w:bookmarkStart w:id="17" w:name="_Toc28359003"/>
      <w:r>
        <w:rPr>
          <w:rFonts w:hint="eastAsia" w:cs="宋体" w:asciiTheme="minorEastAsia" w:hAnsiTheme="minorEastAsia" w:eastAsiaTheme="minorEastAsia"/>
          <w:sz w:val="24"/>
          <w:szCs w:val="28"/>
        </w:rPr>
        <w:t xml:space="preserve">二、申请人的资格要求</w:t>
      </w:r>
      <w:bookmarkEnd w:id="14"/>
      <w:r/>
      <w:bookmarkEnd w:id="15"/>
      <w:r/>
      <w:bookmarkEnd w:id="16"/>
      <w:r/>
      <w:bookmarkEnd w:id="17"/>
      <w:r/>
      <w:r/>
    </w:p>
    <w:p>
      <w:pPr>
        <w:ind w:firstLine="480"/>
        <w:jc w:val="left"/>
        <w:spacing w:line="360" w:lineRule="auto"/>
        <w:rPr>
          <w:rFonts w:hint="eastAsia" w:cs="宋体" w:asciiTheme="minorEastAsia" w:hAnsiTheme="minorEastAsia" w:eastAsiaTheme="minorEastAsia"/>
          <w:sz w:val="24"/>
          <w:szCs w:val="28"/>
        </w:rPr>
      </w:pPr>
      <w:r/>
      <w:bookmarkStart w:id="18" w:name="_Toc35393623"/>
      <w:r/>
      <w:bookmarkStart w:id="19" w:name="_Toc28359081"/>
      <w:r/>
      <w:bookmarkStart w:id="20" w:name="_Toc35393792"/>
      <w:r/>
      <w:bookmarkStart w:id="21" w:name="_Toc28359004"/>
      <w:r>
        <w:rPr>
          <w:rFonts w:hint="eastAsia" w:cs="宋体" w:asciiTheme="minorEastAsia" w:hAnsiTheme="minorEastAsia" w:eastAsiaTheme="minorEastAsia"/>
          <w:sz w:val="24"/>
          <w:szCs w:val="28"/>
        </w:rPr>
        <w:t xml:space="preserve">1.满足《中华人民共和国政府采购法》第二十二条规定：</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1.1具有独立承担民事责任的能力（提供法人或者其他组织的营业执照等证明文件扫描件；投标人为自然人的，提供其身份证扫描件）；</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1.2具有良好的商业信誉和健全的财务会计制度[提供2024年度财务报告、成立不满一年的提供至少一个月财务报告，或银行出具的资信证明，或财政部门认可的政府采购专业担保机构出具的</w:t>
      </w:r>
      <w:r>
        <w:rPr>
          <w:rFonts w:hint="eastAsia" w:cs="宋体" w:asciiTheme="minorEastAsia" w:hAnsiTheme="minorEastAsia" w:eastAsiaTheme="minorEastAsia"/>
          <w:sz w:val="24"/>
          <w:szCs w:val="28"/>
        </w:rPr>
        <w:t xml:space="preserve">投标担保函等，或资格承诺函（格式见第六部分）]；</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1.3具有履行合同所必需的设备和专业技术能力[提供投标人相关信息一览表或资格承诺函（格式见第六部分）]；</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1.4有依法缴纳税收和社会保障资金的良好记录[提供参加本次政府采购活动近半年内至少一个月依法缴纳税收和社会保障的凭据或资格承诺函（格式见第六部分）]；</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1.5参加政府采购活动前三年内，在经营活动中没有重大违法记录[见投标函或提供资格承诺函（格式见第六部分）];</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1.6法律、行政法规规定的其他条件：</w:t>
      </w:r>
      <w:r>
        <w:rPr>
          <w:rFonts w:hint="eastAsia" w:cs="宋体" w:asciiTheme="minorEastAsia" w:hAnsiTheme="minorEastAsia" w:eastAsiaTheme="minorEastAsia"/>
          <w:b/>
          <w:sz w:val="24"/>
          <w:szCs w:val="28"/>
        </w:rPr>
        <w:t xml:space="preserve">无</w:t>
      </w:r>
      <w:r>
        <w:rPr>
          <w:rFonts w:hint="eastAsia" w:cs="宋体" w:asciiTheme="minorEastAsia" w:hAnsiTheme="minorEastAsia" w:eastAsiaTheme="minorEastAsia"/>
          <w:sz w:val="24"/>
          <w:szCs w:val="28"/>
        </w:rPr>
        <w:t xml:space="preserve">。</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2.落实政府采购政策需满足的资格要求：</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2.1本项目专门面向中小微企业采购。</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2.2货物全部由符合政策要求的中小企业制造，提供中小企业声明函。</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2.3 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2.4 本项目属于货物类项目，本项目采购标的对应的行业主要为工业（行业）。</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szCs w:val="28"/>
        </w:rPr>
        <w:t xml:space="preserve">3.本项目的特定资格要求：无。</w:t>
      </w:r>
      <w:r/>
    </w:p>
    <w:p>
      <w:pPr>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三、获取招标文件</w:t>
      </w:r>
      <w:bookmarkEnd w:id="18"/>
      <w:r/>
      <w:bookmarkEnd w:id="19"/>
      <w:r/>
      <w:bookmarkEnd w:id="20"/>
      <w:r/>
      <w:bookmarkEnd w:id="21"/>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获取时间：公告之时起至2025年07月18日23:59（北京时间）</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获取地点：苏采云电子交易平台获取招标文件</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获取方式：在线获取（登录http://jszfcg.jscz.gov.cn/jszc/login点击供应商进入系统），“苏采云”系统用户注册--获取“CA数字证书”--CA绑定与登录--网上报名--下载招标文件(后缀名为.kedt”)。 </w:t>
      </w:r>
      <w:r/>
    </w:p>
    <w:p>
      <w:pPr>
        <w:jc w:val="left"/>
        <w:spacing w:line="360" w:lineRule="auto"/>
        <w:rPr>
          <w:rFonts w:hint="eastAsia" w:cs="宋体" w:asciiTheme="minorEastAsia" w:hAnsiTheme="minorEastAsia" w:eastAsiaTheme="minorEastAsia"/>
          <w:sz w:val="24"/>
          <w:szCs w:val="28"/>
        </w:rPr>
      </w:pPr>
      <w:r/>
      <w:bookmarkStart w:id="22" w:name="_Toc28359016"/>
      <w:r/>
      <w:bookmarkStart w:id="23" w:name="_Toc28359093"/>
      <w:r/>
      <w:bookmarkStart w:id="24" w:name="_Toc35393633"/>
      <w:r/>
      <w:bookmarkStart w:id="25" w:name="_Toc35393802"/>
      <w:r>
        <w:rPr>
          <w:rFonts w:hint="eastAsia" w:cs="宋体" w:asciiTheme="minorEastAsia" w:hAnsiTheme="minorEastAsia" w:eastAsiaTheme="minorEastAsia"/>
          <w:sz w:val="24"/>
          <w:szCs w:val="28"/>
        </w:rPr>
        <w:t xml:space="preserve">四、提交投标文件截止时间、开标时间和地点</w:t>
      </w:r>
      <w:r/>
    </w:p>
    <w:p>
      <w:pPr>
        <w:ind w:firstLine="480"/>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投标文件上传截止时间、开标时间：2025年0</w:t>
      </w:r>
      <w:r>
        <w:rPr>
          <w:rFonts w:hint="eastAsia" w:cs="宋体" w:asciiTheme="minorEastAsia" w:hAnsiTheme="minorEastAsia" w:eastAsiaTheme="minorEastAsia"/>
          <w:sz w:val="24"/>
          <w:szCs w:val="28"/>
        </w:rPr>
        <w:t xml:space="preserve">9</w:t>
      </w:r>
      <w:r>
        <w:rPr>
          <w:rFonts w:hint="eastAsia" w:cs="宋体" w:asciiTheme="minorEastAsia" w:hAnsiTheme="minorEastAsia" w:eastAsiaTheme="minorEastAsia"/>
          <w:sz w:val="24"/>
          <w:szCs w:val="28"/>
        </w:rPr>
        <w:t xml:space="preserve">月</w:t>
      </w:r>
      <w:r>
        <w:rPr>
          <w:rFonts w:hint="eastAsia" w:cs="宋体" w:asciiTheme="minorEastAsia" w:hAnsiTheme="minorEastAsia" w:eastAsiaTheme="minorEastAsia"/>
          <w:sz w:val="24"/>
          <w:szCs w:val="28"/>
        </w:rPr>
        <w:t xml:space="preserve">2</w:t>
      </w:r>
      <w:r>
        <w:rPr>
          <w:rFonts w:hint="eastAsia" w:cs="宋体" w:asciiTheme="minorEastAsia" w:hAnsiTheme="minorEastAsia" w:eastAsiaTheme="minorEastAsia"/>
          <w:sz w:val="24"/>
          <w:szCs w:val="28"/>
        </w:rPr>
        <w:t xml:space="preserve">4日9:30（北京时间）</w:t>
      </w:r>
      <w:r/>
    </w:p>
    <w:p>
      <w:pPr>
        <w:ind w:firstLine="480"/>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上传地点：苏采云（政府采购一体化平台）</w:t>
      </w:r>
      <w:r/>
    </w:p>
    <w:p>
      <w:pPr>
        <w:jc w:val="left"/>
        <w:spacing w:line="360" w:lineRule="auto"/>
        <w:rPr>
          <w:rFonts w:hint="eastAsia" w:cs="宋体" w:asciiTheme="minorEastAsia" w:hAnsiTheme="minorEastAsia" w:eastAsiaTheme="minorEastAsia"/>
          <w:bCs/>
          <w:sz w:val="24"/>
          <w:szCs w:val="28"/>
        </w:rPr>
      </w:pPr>
      <w:r/>
      <w:bookmarkStart w:id="26" w:name="_Toc28359007"/>
      <w:r/>
      <w:bookmarkStart w:id="27" w:name="_Toc35393625"/>
      <w:r/>
      <w:bookmarkStart w:id="28" w:name="_Toc35393794"/>
      <w:r/>
      <w:bookmarkStart w:id="29" w:name="_Toc28359084"/>
      <w:r/>
      <w:bookmarkEnd w:id="22"/>
      <w:r/>
      <w:bookmarkEnd w:id="23"/>
      <w:r/>
      <w:bookmarkEnd w:id="24"/>
      <w:r/>
      <w:bookmarkEnd w:id="25"/>
      <w:r>
        <w:rPr>
          <w:rFonts w:hint="eastAsia" w:cs="宋体" w:asciiTheme="minorEastAsia" w:hAnsiTheme="minorEastAsia" w:eastAsiaTheme="minorEastAsia"/>
          <w:bCs/>
          <w:sz w:val="24"/>
          <w:szCs w:val="28"/>
        </w:rPr>
        <w:t xml:space="preserve">五、公告期限</w:t>
      </w:r>
      <w:bookmarkEnd w:id="26"/>
      <w:r/>
      <w:bookmarkEnd w:id="27"/>
      <w:r/>
      <w:bookmarkEnd w:id="28"/>
      <w:r/>
      <w:bookmarkEnd w:id="29"/>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自本公告发布之日起5个工作日。</w:t>
      </w:r>
      <w:r/>
    </w:p>
    <w:p>
      <w:pPr>
        <w:jc w:val="left"/>
        <w:spacing w:line="360" w:lineRule="auto"/>
        <w:rPr>
          <w:rFonts w:hint="eastAsia" w:cs="宋体" w:asciiTheme="minorEastAsia" w:hAnsiTheme="minorEastAsia" w:eastAsiaTheme="minorEastAsia"/>
          <w:sz w:val="24"/>
          <w:szCs w:val="28"/>
        </w:rPr>
      </w:pPr>
      <w:r/>
      <w:bookmarkStart w:id="30" w:name="_Toc35393795"/>
      <w:r/>
      <w:bookmarkStart w:id="31" w:name="_Toc35393626"/>
      <w:r>
        <w:rPr>
          <w:rFonts w:hint="eastAsia" w:cs="宋体" w:asciiTheme="minorEastAsia" w:hAnsiTheme="minorEastAsia" w:eastAsiaTheme="minorEastAsia"/>
          <w:sz w:val="24"/>
          <w:szCs w:val="28"/>
        </w:rPr>
        <w:t xml:space="preserve">六、其他补充事宜</w:t>
      </w:r>
      <w:bookmarkEnd w:id="30"/>
      <w:r/>
      <w:bookmarkEnd w:id="31"/>
      <w:r/>
      <w:r/>
    </w:p>
    <w:p>
      <w:pPr>
        <w:ind w:firstLine="480"/>
        <w:jc w:val="left"/>
        <w:spacing w:line="360" w:lineRule="auto"/>
        <w:rPr>
          <w:rFonts w:hint="eastAsia" w:cs="宋体" w:asciiTheme="minorEastAsia" w:hAnsiTheme="minorEastAsia" w:eastAsiaTheme="minorEastAsia"/>
          <w:sz w:val="24"/>
          <w:szCs w:val="28"/>
        </w:rPr>
      </w:pPr>
      <w:r/>
      <w:bookmarkStart w:id="32" w:name="_Toc35393796"/>
      <w:r/>
      <w:bookmarkStart w:id="33" w:name="_Toc35393627"/>
      <w:r/>
      <w:bookmarkStart w:id="34" w:name="_Toc28359085"/>
      <w:r/>
      <w:bookmarkStart w:id="35" w:name="_Toc28359008"/>
      <w:r>
        <w:rPr>
          <w:rFonts w:hint="eastAsia" w:cs="宋体" w:asciiTheme="minorEastAsia" w:hAnsiTheme="minorEastAsia" w:eastAsiaTheme="minorEastAsia"/>
          <w:sz w:val="24"/>
          <w:szCs w:val="28"/>
        </w:rPr>
        <w:t xml:space="preserve">1. 供应商请随时关注江苏政府采购网 http://www.ccgp-jiangsu.gov.cn/发布的更正公告，如因未关注更正公告发生的任何问题，由供应商自行承担一切后果。</w:t>
      </w:r>
      <w:r/>
    </w:p>
    <w:p>
      <w:pPr>
        <w:pStyle w:val="2456"/>
        <w:jc w:val="right"/>
        <w:rPr>
          <w:rFonts w:hint="eastAsia" w:cs="宋体" w:asciiTheme="minorEastAsia" w:hAnsiTheme="minorEastAsia" w:eastAsiaTheme="minorEastAsia"/>
        </w:rPr>
      </w:pPr>
      <w:r>
        <w:rPr>
          <w:rFonts w:hint="eastAsia" w:cs="宋体" w:asciiTheme="minorEastAsia" w:hAnsiTheme="minorEastAsia" w:eastAsiaTheme="minorEastAsia"/>
        </w:rPr>
      </w:r>
      <w:r/>
    </w:p>
    <w:p>
      <w:pPr>
        <w:ind w:left="-142"/>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七、对本次招标提出询问，请按以下方式联系。</w:t>
      </w:r>
      <w:bookmarkEnd w:id="32"/>
      <w:r/>
      <w:bookmarkEnd w:id="33"/>
      <w:r/>
      <w:bookmarkEnd w:id="34"/>
      <w:r/>
      <w:bookmarkEnd w:id="35"/>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1.采购人信息</w:t>
      </w:r>
      <w:r/>
    </w:p>
    <w:p>
      <w:pPr>
        <w:ind w:firstLine="480"/>
        <w:jc w:val="left"/>
        <w:spacing w:line="360" w:lineRule="auto"/>
        <w:rPr>
          <w:rFonts w:hint="eastAsia" w:cs="宋体" w:asciiTheme="minorEastAsia" w:hAnsiTheme="minorEastAsia" w:eastAsiaTheme="minorEastAsia"/>
          <w:sz w:val="24"/>
          <w:szCs w:val="28"/>
        </w:rPr>
      </w:pPr>
      <w:r/>
      <w:bookmarkStart w:id="36" w:name="_Toc28359009"/>
      <w:r/>
      <w:bookmarkStart w:id="37" w:name="_Toc28359086"/>
      <w:r>
        <w:rPr>
          <w:rFonts w:hint="eastAsia" w:cs="宋体" w:asciiTheme="minorEastAsia" w:hAnsiTheme="minorEastAsia" w:eastAsiaTheme="minorEastAsia"/>
          <w:sz w:val="24"/>
          <w:szCs w:val="28"/>
        </w:rPr>
        <w:t xml:space="preserve">名 称：镇江市教育装备与勤工俭学管理中心</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地 址：江苏省镇江市京口区斜桥街4号</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联系人：马老师</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联系方式：85018808</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2.采购代理机构信息</w:t>
      </w:r>
      <w:bookmarkEnd w:id="36"/>
      <w:r/>
      <w:bookmarkEnd w:id="37"/>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名 称：江苏天信建设项目咨询有限公司</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地 址：丹徒区驸马街168-15号</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联系方式：</w:t>
      </w:r>
      <w:bookmarkStart w:id="38" w:name="_Toc28359087"/>
      <w:r/>
      <w:bookmarkStart w:id="39" w:name="_Toc28359010"/>
      <w:r>
        <w:rPr>
          <w:rFonts w:hint="eastAsia" w:cs="宋体" w:asciiTheme="minorEastAsia" w:hAnsiTheme="minorEastAsia" w:eastAsiaTheme="minorEastAsia"/>
          <w:sz w:val="24"/>
          <w:szCs w:val="28"/>
        </w:rPr>
        <w:t xml:space="preserve">18652824164</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3.项目联系方式</w:t>
      </w:r>
      <w:bookmarkEnd w:id="38"/>
      <w:r/>
      <w:bookmarkEnd w:id="39"/>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项目联系人：史圣雨</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电 话：18652824164</w:t>
      </w:r>
      <w:r/>
    </w:p>
    <w:p>
      <w:pPr>
        <w:ind w:firstLine="480"/>
        <w:jc w:val="left"/>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r>
      <w:r/>
    </w:p>
    <w:p>
      <w:pPr>
        <w:jc w:val="left"/>
        <w:widowControl/>
        <w:rPr>
          <w:rFonts w:hint="eastAsia" w:cs="宋体" w:asciiTheme="minorEastAsia" w:hAnsiTheme="minorEastAsia" w:eastAsiaTheme="minorEastAsia"/>
          <w:sz w:val="24"/>
          <w:szCs w:val="28"/>
        </w:rPr>
      </w:pPr>
      <w:r>
        <w:rPr>
          <w:rFonts w:cs="宋体" w:asciiTheme="minorEastAsia" w:hAnsiTheme="minorEastAsia" w:eastAsiaTheme="minorEastAsia"/>
          <w:sz w:val="24"/>
          <w:szCs w:val="28"/>
        </w:rPr>
        <w:br w:type="page" w:clear="all"/>
      </w:r>
      <w:r/>
    </w:p>
    <w:p>
      <w:pPr>
        <w:jc w:val="center"/>
        <w:spacing w:before="200" w:after="200" w:line="360" w:lineRule="auto"/>
        <w:rPr>
          <w:rFonts w:hint="eastAsia" w:cs="宋体" w:asciiTheme="minorEastAsia" w:hAnsiTheme="minorEastAsia" w:eastAsiaTheme="minorEastAsia"/>
          <w:b/>
          <w:bCs/>
          <w:sz w:val="36"/>
          <w:szCs w:val="36"/>
        </w:rPr>
        <w:outlineLvl w:val="0"/>
      </w:pPr>
      <w:r/>
      <w:bookmarkStart w:id="40" w:name="_Toc31270"/>
      <w:r/>
      <w:bookmarkStart w:id="41" w:name="_Toc92168000"/>
      <w:r/>
      <w:bookmarkStart w:id="42" w:name="_Toc100386034"/>
      <w:r/>
      <w:bookmarkEnd w:id="4"/>
      <w:r/>
      <w:bookmarkEnd w:id="5"/>
      <w:r/>
      <w:bookmarkEnd w:id="6"/>
      <w:r/>
      <w:bookmarkEnd w:id="7"/>
      <w:r/>
      <w:bookmarkEnd w:id="8"/>
      <w:r>
        <w:rPr>
          <w:rFonts w:hint="eastAsia" w:cs="宋体" w:asciiTheme="minorEastAsia" w:hAnsiTheme="minorEastAsia" w:eastAsiaTheme="minorEastAsia"/>
          <w:b/>
          <w:bCs/>
          <w:sz w:val="36"/>
          <w:szCs w:val="36"/>
        </w:rPr>
        <w:t xml:space="preserve">第二部分 投标人须知</w:t>
      </w:r>
      <w:bookmarkEnd w:id="40"/>
      <w:r/>
      <w:r/>
    </w:p>
    <w:p>
      <w:pPr>
        <w:jc w:val="center"/>
        <w:spacing w:line="360" w:lineRule="auto"/>
        <w:rPr>
          <w:rFonts w:hint="eastAsia" w:cs="宋体" w:asciiTheme="minorEastAsia" w:hAnsiTheme="minorEastAsia" w:eastAsiaTheme="minorEastAsia"/>
          <w:b/>
          <w:bCs/>
          <w:sz w:val="32"/>
          <w:szCs w:val="32"/>
        </w:rPr>
        <w:outlineLvl w:val="1"/>
      </w:pPr>
      <w:r>
        <w:rPr>
          <w:rFonts w:hint="eastAsia" w:cs="宋体" w:asciiTheme="minorEastAsia" w:hAnsiTheme="minorEastAsia" w:eastAsiaTheme="minorEastAsia"/>
          <w:b/>
          <w:bCs/>
          <w:sz w:val="32"/>
          <w:szCs w:val="32"/>
        </w:rPr>
        <w:t xml:space="preserve">前附表</w:t>
      </w:r>
      <w:r/>
    </w:p>
    <w:tbl>
      <w:tblPr>
        <w:tblStyle w:val="1137"/>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2"/>
        <w:gridCol w:w="1998"/>
        <w:gridCol w:w="7833"/>
      </w:tblGrid>
      <w:tr>
        <w:trPr/>
        <w:tc>
          <w:tcPr>
            <w:tcW w:w="399"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W w:w="935"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事项</w:t>
            </w:r>
            <w:r/>
          </w:p>
        </w:tc>
        <w:tc>
          <w:tcPr>
            <w:tcW w:w="3665"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本项目规定</w:t>
            </w:r>
            <w:r/>
          </w:p>
        </w:tc>
      </w:tr>
      <w:tr>
        <w:trPr/>
        <w:tc>
          <w:tcPr>
            <w:tcW w:w="399"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935"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报价要求</w:t>
            </w:r>
            <w:r/>
          </w:p>
        </w:tc>
        <w:tc>
          <w:tcPr>
            <w:tcW w:w="3665" w:type="pct"/>
            <w:vAlign w:val="center"/>
            <w:textDirection w:val="lrTb"/>
            <w:noWrap w:val="false"/>
          </w:tcPr>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本次投标报价的币种为人民币。</w:t>
            </w:r>
            <w:r/>
          </w:p>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投标人应按招标文件所提供的各报价表格式报价。</w:t>
            </w:r>
            <w:r/>
          </w:p>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投标人应对本项目报出最具有竞争力的价格，应包括本次招标要求提供的货物（服务）已支付或将支付的所有费用（含税费）。</w:t>
            </w:r>
            <w:r/>
          </w:p>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最低投标报价不能作为中标的保证。</w:t>
            </w:r>
            <w:r/>
          </w:p>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中标价即为合同签约价。</w:t>
            </w:r>
            <w:r/>
          </w:p>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如出现报价前后不一致的，将按招标文件第五部分“评标办法和标准”第5项规定进行修正。</w:t>
            </w:r>
            <w:r/>
          </w:p>
        </w:tc>
      </w:tr>
      <w:tr>
        <w:trPr>
          <w:trHeight w:val="1366"/>
        </w:trPr>
        <w:tc>
          <w:tcPr>
            <w:tcW w:w="399"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935"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转包及分包</w:t>
            </w:r>
            <w:r/>
          </w:p>
        </w:tc>
        <w:tc>
          <w:tcPr>
            <w:tcW w:w="3665" w:type="pct"/>
            <w:vAlign w:val="center"/>
            <w:textDirection w:val="lrTb"/>
            <w:noWrap w:val="false"/>
          </w:tcPr>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项目依法不得转包</w:t>
            </w:r>
            <w:r/>
          </w:p>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本项目不同意分包。</w:t>
            </w:r>
            <w:r/>
          </w:p>
        </w:tc>
      </w:tr>
      <w:tr>
        <w:trPr>
          <w:trHeight w:val="1366"/>
        </w:trPr>
        <w:tc>
          <w:tcPr>
            <w:tcW w:w="399"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935"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开标前答疑会</w:t>
            </w:r>
            <w:r/>
          </w:p>
        </w:tc>
        <w:tc>
          <w:tcPr>
            <w:tcW w:w="3665" w:type="pct"/>
            <w:vAlign w:val="center"/>
            <w:textDirection w:val="lrTb"/>
            <w:noWrap w:val="false"/>
          </w:tcPr>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√A不组织</w:t>
            </w:r>
            <w:r/>
          </w:p>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□B组织</w:t>
            </w:r>
            <w:r/>
          </w:p>
          <w:p>
            <w:pPr>
              <w:pStyle w:val="1085"/>
              <w:ind w:firstLine="0"/>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时间：</w:t>
            </w:r>
            <w:r/>
          </w:p>
          <w:p>
            <w:pPr>
              <w:pStyle w:val="1085"/>
              <w:ind w:firstLine="0"/>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地点：</w:t>
            </w:r>
            <w:r/>
          </w:p>
          <w:p>
            <w:pPr>
              <w:pStyle w:val="1085"/>
              <w:ind w:firstLine="0"/>
              <w:rPr>
                <w:rFonts w:hint="eastAsia" w:cs="宋体" w:asciiTheme="minorEastAsia" w:hAnsiTheme="minorEastAsia" w:eastAsiaTheme="minorEastAsia"/>
                <w:b/>
                <w:sz w:val="24"/>
              </w:rPr>
            </w:pPr>
            <w:r>
              <w:rPr>
                <w:rFonts w:hint="eastAsia" w:cs="宋体" w:asciiTheme="minorEastAsia" w:hAnsiTheme="minorEastAsia" w:eastAsiaTheme="minorEastAsia"/>
                <w:sz w:val="24"/>
              </w:rPr>
              <w:t xml:space="preserve">联系人：联系方式：</w:t>
            </w:r>
            <w:r/>
          </w:p>
        </w:tc>
      </w:tr>
      <w:tr>
        <w:trPr>
          <w:trHeight w:val="1366"/>
        </w:trPr>
        <w:tc>
          <w:tcPr>
            <w:tcW w:w="399"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935"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现场踏勘</w:t>
            </w:r>
            <w:r/>
          </w:p>
        </w:tc>
        <w:tc>
          <w:tcPr>
            <w:tcW w:w="3665" w:type="pct"/>
            <w:vAlign w:val="center"/>
            <w:textDirection w:val="lrTb"/>
            <w:noWrap w:val="false"/>
          </w:tcPr>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□A不统一组织</w:t>
            </w:r>
            <w:r/>
          </w:p>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√B统一组织</w:t>
            </w:r>
            <w:r/>
          </w:p>
          <w:p>
            <w:pPr>
              <w:pStyle w:val="1085"/>
              <w:ind w:firstLine="0"/>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标段一：时间：2025年07月25日 09：30时</w:t>
            </w:r>
            <w:r/>
          </w:p>
          <w:p>
            <w:pPr>
              <w:pStyle w:val="1085"/>
              <w:ind w:firstLine="0"/>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地点：江苏省镇江中学</w:t>
            </w:r>
            <w:r/>
          </w:p>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联系人：许红波</w:t>
            </w:r>
            <w:r/>
          </w:p>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联系方式：13852912301</w:t>
            </w:r>
            <w:r/>
          </w:p>
          <w:p>
            <w:pPr>
              <w:pStyle w:val="1085"/>
              <w:ind w:firstLine="0"/>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标段二：时间：2025年07月20日 09：00时</w:t>
            </w:r>
            <w:r/>
          </w:p>
          <w:p>
            <w:pPr>
              <w:pStyle w:val="1085"/>
              <w:ind w:firstLine="0"/>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地点：镇江市实验高级中学</w:t>
            </w:r>
            <w:r/>
          </w:p>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联系人：顾扬</w:t>
            </w:r>
            <w:r/>
          </w:p>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联系方式：13952943991</w:t>
            </w:r>
            <w:r/>
          </w:p>
          <w:p>
            <w:pPr>
              <w:pStyle w:val="1085"/>
              <w:ind w:firstLine="0"/>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标段三：时间：2025年07月21日 14：30时</w:t>
            </w:r>
            <w:r/>
          </w:p>
          <w:p>
            <w:pPr>
              <w:pStyle w:val="1085"/>
              <w:ind w:firstLine="0"/>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地点：镇江市朱方高级中学</w:t>
            </w:r>
            <w:r/>
          </w:p>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联系人：王加镇</w:t>
            </w:r>
            <w:r/>
          </w:p>
          <w:p>
            <w:pPr>
              <w:pStyle w:val="1085"/>
              <w:ind w:firstLine="0"/>
              <w:rPr>
                <w:rFonts w:hint="eastAsia" w:cs="宋体" w:asciiTheme="minorEastAsia" w:hAnsiTheme="minorEastAsia" w:eastAsiaTheme="minorEastAsia"/>
              </w:rPr>
            </w:pPr>
            <w:r>
              <w:rPr>
                <w:rFonts w:hint="eastAsia" w:cs="宋体" w:asciiTheme="minorEastAsia" w:hAnsiTheme="minorEastAsia" w:eastAsiaTheme="minorEastAsia"/>
                <w:sz w:val="24"/>
              </w:rPr>
              <w:t xml:space="preserve">联系方式：13615114874</w:t>
            </w:r>
            <w:r/>
          </w:p>
        </w:tc>
      </w:tr>
      <w:tr>
        <w:trPr>
          <w:trHeight w:val="741"/>
        </w:trPr>
        <w:tc>
          <w:tcPr>
            <w:tcW w:w="399"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935"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演示</w:t>
            </w:r>
            <w:r/>
          </w:p>
        </w:tc>
        <w:tc>
          <w:tcPr>
            <w:tcW w:w="3665" w:type="pct"/>
            <w:vAlign w:val="center"/>
            <w:textDirection w:val="lrTb"/>
            <w:noWrap w:val="false"/>
          </w:tcPr>
          <w:p>
            <w:pPr>
              <w:spacing w:before="220" w:line="85" w:lineRule="atLeast"/>
              <w:rPr>
                <w:rFonts w:hint="eastAsia"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□A</w:t>
            </w:r>
            <w:r>
              <w:rPr>
                <w:rFonts w:cs="宋体" w:asciiTheme="minorEastAsia" w:hAnsiTheme="minorEastAsia" w:eastAsiaTheme="minorEastAsia"/>
                <w:sz w:val="24"/>
              </w:rPr>
              <w:t xml:space="preserve">无</w:t>
            </w:r>
            <w:r/>
          </w:p>
          <w:p>
            <w:pPr>
              <w:spacing w:before="220" w:line="85" w:lineRule="atLeast"/>
              <w:rPr>
                <w:rFonts w:hint="eastAsia"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MS Gothic" w:hAnsi="MS Gothic" w:eastAsia="MS Gothic" w:cs="MS Gothic"/>
                <w:sz w:val="24"/>
              </w:rPr>
              <w:t xml:space="preserve">☑</w:t>
            </w:r>
            <w:r>
              <w:rPr>
                <w:rFonts w:cs="宋体" w:asciiTheme="minorEastAsia" w:hAnsiTheme="minorEastAsia" w:eastAsiaTheme="minorEastAsia"/>
                <w:sz w:val="24"/>
              </w:rPr>
              <w:t xml:space="preserve">B有，本项目演示使用录播上传形式，各投标人自行将录播内容上传至苏采云平台的演示视频上传模块。操作指南详见《“苏采云”系统供应商操作手册》（网址：http://www.ccgp-jiangsu.gov.cn/jiangsu/zlxz/ee/ee3a4bc5a3454aa2b0d9312230633ce9.html）。</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演示视频时间不超过30分钟。文件单个大小50M，整体大小300M。</w:t>
            </w:r>
            <w:r/>
          </w:p>
        </w:tc>
      </w:tr>
      <w:tr>
        <w:trPr>
          <w:trHeight w:val="601"/>
        </w:trPr>
        <w:tc>
          <w:tcPr>
            <w:tcW w:w="399"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935"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样品</w:t>
            </w:r>
            <w:r/>
          </w:p>
        </w:tc>
        <w:tc>
          <w:tcPr>
            <w:tcW w:w="3665" w:type="pct"/>
            <w:vAlign w:val="center"/>
            <w:textDirection w:val="lrTb"/>
            <w:noWrap w:val="false"/>
          </w:tcPr>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不要求提供。</w:t>
            </w:r>
            <w:r/>
          </w:p>
        </w:tc>
      </w:tr>
      <w:tr>
        <w:trPr/>
        <w:tc>
          <w:tcPr>
            <w:tcW w:w="399"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935"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是否允许采购进口产品</w:t>
            </w:r>
            <w:r/>
          </w:p>
        </w:tc>
        <w:tc>
          <w:tcPr>
            <w:tcW w:w="3665" w:type="pct"/>
            <w:vAlign w:val="center"/>
            <w:textDirection w:val="lrTb"/>
            <w:noWrap w:val="false"/>
          </w:tcPr>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本项目不允许采购进口产品。</w:t>
            </w:r>
            <w:r/>
          </w:p>
        </w:tc>
      </w:tr>
      <w:tr>
        <w:trPr>
          <w:trHeight w:val="90"/>
        </w:trPr>
        <w:tc>
          <w:tcPr>
            <w:tcW w:w="399"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935"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项目属性与核心产品</w:t>
            </w:r>
            <w:r/>
          </w:p>
        </w:tc>
        <w:tc>
          <w:tcPr>
            <w:tcW w:w="3665" w:type="pct"/>
            <w:vAlign w:val="center"/>
            <w:textDirection w:val="lrTb"/>
            <w:noWrap w:val="false"/>
          </w:tcPr>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货物类。</w:t>
            </w:r>
            <w:r/>
          </w:p>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本项目核心产品为：（1）标段一核心产品为</w:t>
            </w:r>
            <w:r>
              <w:rPr>
                <w:rFonts w:hint="eastAsia" w:cs="宋体" w:asciiTheme="minorEastAsia" w:hAnsiTheme="minorEastAsia" w:eastAsiaTheme="minorEastAsia"/>
                <w:sz w:val="24"/>
                <w:u w:val="single"/>
              </w:rPr>
              <w:t xml:space="preserve">通风系统（型号一）、智能吊装系统、实验室废水处理设备、教师演示设备、学生实验设备 </w:t>
            </w:r>
            <w:r>
              <w:rPr>
                <w:rFonts w:hint="eastAsia" w:cs="宋体" w:asciiTheme="minorEastAsia" w:hAnsiTheme="minorEastAsia" w:eastAsiaTheme="minorEastAsia"/>
                <w:sz w:val="24"/>
              </w:rPr>
              <w:t xml:space="preserve">。</w:t>
            </w:r>
            <w:r/>
          </w:p>
          <w:p>
            <w:pPr>
              <w:pStyle w:val="1085"/>
              <w:numPr>
                <w:ilvl w:val="0"/>
                <w:numId w:val="1"/>
              </w:numPr>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标段二核心产品为</w:t>
            </w:r>
            <w:r>
              <w:rPr>
                <w:rFonts w:hint="eastAsia" w:cs="宋体" w:asciiTheme="minorEastAsia" w:hAnsiTheme="minorEastAsia" w:eastAsiaTheme="minorEastAsia"/>
                <w:sz w:val="24"/>
                <w:u w:val="single"/>
              </w:rPr>
              <w:t xml:space="preserve">教室通风系统（化学上通风实验室）、智能吊装系统、多功能移动水槽台、</w:t>
            </w:r>
            <w:r>
              <w:rPr>
                <w:rFonts w:hint="eastAsia" w:cs="宋体" w:asciiTheme="minorEastAsia" w:hAnsiTheme="minorEastAsia" w:eastAsiaTheme="minorEastAsia"/>
                <w:sz w:val="24"/>
              </w:rPr>
              <w:t xml:space="preserve">。</w:t>
            </w:r>
            <w:r/>
          </w:p>
          <w:p>
            <w:pPr>
              <w:pStyle w:val="1085"/>
              <w:numPr>
                <w:ilvl w:val="0"/>
                <w:numId w:val="1"/>
              </w:numPr>
              <w:ind w:firstLine="0"/>
              <w:rPr>
                <w:rFonts w:hint="eastAsia" w:cs="宋体" w:asciiTheme="minorEastAsia" w:hAnsiTheme="minorEastAsia" w:eastAsiaTheme="minorEastAsia"/>
                <w:u w:val="single"/>
              </w:rPr>
            </w:pPr>
            <w:r>
              <w:rPr>
                <w:rFonts w:hint="eastAsia" w:cs="宋体" w:asciiTheme="minorEastAsia" w:hAnsiTheme="minorEastAsia" w:eastAsiaTheme="minorEastAsia"/>
                <w:sz w:val="24"/>
              </w:rPr>
              <w:t xml:space="preserve">标段三核心产品为</w:t>
            </w:r>
            <w:r>
              <w:rPr>
                <w:rFonts w:hint="eastAsia" w:cs="宋体" w:asciiTheme="minorEastAsia" w:hAnsiTheme="minorEastAsia" w:eastAsiaTheme="minorEastAsia"/>
                <w:sz w:val="24"/>
                <w:u w:val="single"/>
              </w:rPr>
              <w:t xml:space="preserve">通风系统（型号一）、教师演示设备、学生实验设备</w:t>
            </w:r>
            <w:r>
              <w:rPr>
                <w:rFonts w:hint="eastAsia" w:cs="宋体" w:asciiTheme="minorEastAsia" w:hAnsiTheme="minorEastAsia" w:eastAsiaTheme="minorEastAsia"/>
                <w:sz w:val="24"/>
              </w:rPr>
              <w:t xml:space="preserve">。</w:t>
            </w:r>
            <w:r/>
          </w:p>
        </w:tc>
      </w:tr>
      <w:tr>
        <w:trPr/>
        <w:tc>
          <w:tcPr>
            <w:tcW w:w="399"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w:t>
            </w:r>
            <w:r/>
          </w:p>
        </w:tc>
        <w:tc>
          <w:tcPr>
            <w:tcW w:w="935"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采购标的对应的中小企业划分标准所属行业</w:t>
            </w:r>
            <w:r/>
          </w:p>
        </w:tc>
        <w:tc>
          <w:tcPr>
            <w:tcW w:w="3665" w:type="pct"/>
            <w:vAlign w:val="center"/>
            <w:textDirection w:val="lrTb"/>
            <w:noWrap w:val="false"/>
          </w:tcPr>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（1）标的：</w:t>
            </w:r>
            <w:r>
              <w:rPr>
                <w:rFonts w:hint="eastAsia" w:cs="宋体" w:asciiTheme="minorEastAsia" w:hAnsiTheme="minorEastAsia" w:eastAsiaTheme="minorEastAsia"/>
                <w:sz w:val="24"/>
                <w:u w:val="single"/>
              </w:rPr>
              <w:t xml:space="preserve">市属高中实验室改造及设备购置项目</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工业</w:t>
            </w:r>
            <w:r>
              <w:rPr>
                <w:rFonts w:hint="eastAsia" w:cs="宋体" w:asciiTheme="minorEastAsia" w:hAnsiTheme="minorEastAsia" w:eastAsiaTheme="minorEastAsia"/>
                <w:sz w:val="24"/>
              </w:rPr>
              <w:t xml:space="preserve">行业；</w:t>
            </w:r>
            <w:r/>
          </w:p>
        </w:tc>
      </w:tr>
      <w:tr>
        <w:trPr/>
        <w:tc>
          <w:tcPr>
            <w:tcW w:w="399"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w:t>
            </w:r>
            <w:r/>
          </w:p>
        </w:tc>
        <w:tc>
          <w:tcPr>
            <w:tcW w:w="935"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节能产品、环境标志产品</w:t>
            </w:r>
            <w:r/>
          </w:p>
        </w:tc>
        <w:tc>
          <w:tcPr>
            <w:tcW w:w="3665" w:type="pct"/>
            <w:vAlign w:val="center"/>
            <w:textDirection w:val="lrTb"/>
            <w:noWrap w:val="false"/>
          </w:tcPr>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399"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w:t>
            </w:r>
            <w:r/>
          </w:p>
        </w:tc>
        <w:tc>
          <w:tcPr>
            <w:tcW w:w="935"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中小企业信用融资</w:t>
            </w:r>
            <w:r/>
          </w:p>
        </w:tc>
        <w:tc>
          <w:tcPr>
            <w:tcW w:w="3665" w:type="pct"/>
            <w:vAlign w:val="center"/>
            <w:textDirection w:val="lrTb"/>
            <w:noWrap w:val="false"/>
          </w:tcPr>
          <w:p>
            <w:pPr>
              <w:pStyle w:val="1085"/>
              <w:ind w:firstLine="0"/>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cs="宋体" w:asciiTheme="minorEastAsia" w:hAnsiTheme="minorEastAsia" w:eastAsiaTheme="minorEastAsia"/>
                <w:sz w:val="24"/>
              </w:rPr>
              <w:t xml:space="preserve">镇江市财政局和中国人民银行镇江市中心支行联合印发《关于转发〈关于深入推进政府采购线上合同信用融资工作的通知〉的通知》</w:t>
            </w:r>
            <w:bookmarkEnd w:id="43"/>
            <w:r>
              <w:rPr>
                <w:rFonts w:hint="eastAsia" w:cs="宋体" w:asciiTheme="minorEastAsia" w:hAnsiTheme="minorEastAsia" w:eastAsiaTheme="minorEastAsia"/>
                <w:sz w:val="24"/>
              </w:rPr>
              <w:t xml:space="preserve">，</w:t>
            </w:r>
            <w:bookmarkStart w:id="44" w:name="_Hlk136444446"/>
            <w:r>
              <w:rPr>
                <w:rFonts w:hint="eastAsia" w:cs="宋体" w:asciiTheme="minorEastAsia" w:hAnsiTheme="minorEastAsia" w:eastAsiaTheme="minorEastAsia"/>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cs="宋体" w:asciiTheme="minorEastAsia" w:hAnsiTheme="minorEastAsia" w:eastAsiaTheme="minorEastAsia"/>
                <w:sz w:val="24"/>
              </w:rPr>
              <w:t xml:space="preserve">办理流程详见江苏政府采购网“政采贷”栏目，网址：http://www.ccgp-jiangsu.gov.cn/jiangsu/paying.html咨询电话：镇江市财政局政府采购处0511-80909958。</w:t>
            </w:r>
            <w:r/>
          </w:p>
        </w:tc>
      </w:tr>
      <w:tr>
        <w:trPr/>
        <w:tc>
          <w:tcPr>
            <w:tcW w:w="399"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12</w:t>
            </w:r>
            <w:r/>
          </w:p>
        </w:tc>
        <w:tc>
          <w:tcPr>
            <w:tcW w:w="935" w:type="pct"/>
            <w:vAlign w:val="center"/>
            <w:textDirection w:val="lrTb"/>
            <w:noWrap w:val="false"/>
          </w:tcPr>
          <w:p>
            <w:pPr>
              <w:pStyle w:val="1085"/>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特别说明</w:t>
            </w:r>
            <w:r/>
          </w:p>
        </w:tc>
        <w:tc>
          <w:tcPr>
            <w:tcW w:w="3665" w:type="pct"/>
            <w:vAlign w:val="center"/>
            <w:textDirection w:val="lrTb"/>
            <w:noWrap w:val="false"/>
          </w:tcPr>
          <w:p>
            <w:pPr>
              <w:pStyle w:val="1085"/>
              <w:ind w:firstLine="0"/>
              <w:rPr>
                <w:rFonts w:hint="eastAsia" w:cs="宋体" w:asciiTheme="minorEastAsia" w:hAnsiTheme="minorEastAsia" w:eastAsiaTheme="minorEastAsia"/>
                <w:i/>
                <w:iCs/>
                <w:sz w:val="24"/>
              </w:rPr>
            </w:pPr>
            <w:r>
              <w:rPr>
                <w:rFonts w:hint="eastAsia" w:cs="宋体" w:asciiTheme="minorEastAsia" w:hAnsiTheme="minorEastAsia" w:eastAsiaTheme="minorEastAsia"/>
                <w:sz w:val="24"/>
              </w:rPr>
              <w:t xml:space="preserve">无。</w:t>
            </w:r>
            <w:r/>
          </w:p>
        </w:tc>
      </w:tr>
    </w:tbl>
    <w:p>
      <w:pPr>
        <w:pStyle w:val="1085"/>
        <w:rPr>
          <w:rFonts w:hint="eastAsia" w:cs="宋体" w:asciiTheme="minorEastAsia" w:hAnsiTheme="minorEastAsia" w:eastAsiaTheme="minorEastAsia"/>
        </w:rPr>
      </w:pPr>
      <w:r>
        <w:rPr>
          <w:rFonts w:hint="eastAsia" w:cs="宋体" w:asciiTheme="minorEastAsia" w:hAnsiTheme="minorEastAsia" w:eastAsiaTheme="minorEastAsia"/>
        </w:rPr>
      </w:r>
      <w:r/>
    </w:p>
    <w:p>
      <w:pPr>
        <w:jc w:val="center"/>
        <w:spacing w:line="360" w:lineRule="auto"/>
        <w:rPr>
          <w:rFonts w:hint="eastAsia" w:cs="宋体" w:asciiTheme="minorEastAsia" w:hAnsiTheme="minorEastAsia" w:eastAsiaTheme="minorEastAsia"/>
          <w:b/>
          <w:bCs/>
          <w:sz w:val="32"/>
          <w:szCs w:val="32"/>
        </w:rPr>
        <w:sectPr>
          <w:footerReference w:type="default" r:id="rId9"/>
          <w:footnotePr/>
          <w:endnotePr/>
          <w:type w:val="nextPage"/>
          <w:pgSz w:w="11907" w:h="16840" w:orient="portrait"/>
          <w:pgMar w:top="720" w:right="720" w:bottom="720" w:left="720" w:header="851" w:footer="851" w:gutter="0"/>
          <w:cols w:num="1" w:sep="0" w:space="720" w:equalWidth="1"/>
          <w:docGrid w:linePitch="360"/>
        </w:sectPr>
        <w:outlineLvl w:val="1"/>
      </w:pPr>
      <w:r>
        <w:rPr>
          <w:rFonts w:hint="eastAsia" w:cs="宋体" w:asciiTheme="minorEastAsia" w:hAnsiTheme="minorEastAsia" w:eastAsiaTheme="minorEastAsia"/>
          <w:b/>
          <w:bCs/>
          <w:sz w:val="32"/>
          <w:szCs w:val="32"/>
        </w:rPr>
      </w:r>
      <w:r/>
    </w:p>
    <w:p>
      <w:pPr>
        <w:jc w:val="center"/>
        <w:spacing w:line="360" w:lineRule="auto"/>
        <w:rPr>
          <w:rFonts w:hint="eastAsia" w:cs="宋体" w:asciiTheme="minorEastAsia" w:hAnsiTheme="minorEastAsia" w:eastAsiaTheme="minorEastAsia"/>
          <w:b/>
          <w:bCs/>
          <w:sz w:val="32"/>
          <w:szCs w:val="32"/>
        </w:rPr>
        <w:outlineLvl w:val="1"/>
      </w:pPr>
      <w:r>
        <w:rPr>
          <w:rFonts w:hint="eastAsia" w:cs="宋体" w:asciiTheme="minorEastAsia" w:hAnsiTheme="minorEastAsia" w:eastAsiaTheme="minorEastAsia"/>
          <w:b/>
          <w:bCs/>
          <w:sz w:val="32"/>
          <w:szCs w:val="32"/>
        </w:rPr>
        <w:t xml:space="preserve">一、总则</w:t>
      </w:r>
      <w:bookmarkEnd w:id="41"/>
      <w:r/>
      <w:bookmarkEnd w:id="42"/>
      <w:r/>
      <w:r/>
    </w:p>
    <w:p>
      <w:pPr>
        <w:ind w:firstLine="446"/>
        <w:spacing w:before="200" w:after="200" w:line="360" w:lineRule="auto"/>
        <w:rPr>
          <w:rFonts w:hint="eastAsia" w:cs="宋体" w:asciiTheme="minorEastAsia" w:hAnsiTheme="minorEastAsia" w:eastAsiaTheme="minorEastAsia"/>
          <w:b/>
          <w:bCs/>
          <w:sz w:val="30"/>
        </w:rPr>
      </w:pPr>
      <w:r/>
      <w:bookmarkStart w:id="45" w:name="_Toc92168001"/>
      <w:r/>
      <w:bookmarkStart w:id="46" w:name="_Toc100386035"/>
      <w:r>
        <w:rPr>
          <w:rFonts w:hint="eastAsia" w:cs="宋体" w:asciiTheme="minorEastAsia" w:hAnsiTheme="minorEastAsia" w:eastAsiaTheme="minorEastAsia"/>
          <w:b/>
          <w:bCs/>
          <w:sz w:val="30"/>
        </w:rPr>
        <w:t xml:space="preserve">1.适用范围</w:t>
      </w:r>
      <w:bookmarkEnd w:id="45"/>
      <w:r/>
      <w:bookmarkEnd w:id="46"/>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1.1本招标文件仅适用于市属高中实验室改造及设备购置项目。</w:t>
      </w:r>
      <w:r/>
    </w:p>
    <w:p>
      <w:pPr>
        <w:ind w:firstLine="446"/>
        <w:spacing w:before="200" w:after="200" w:line="360" w:lineRule="auto"/>
        <w:rPr>
          <w:rFonts w:hint="eastAsia" w:cs="宋体" w:asciiTheme="minorEastAsia" w:hAnsiTheme="minorEastAsia" w:eastAsiaTheme="minorEastAsia"/>
          <w:b/>
          <w:bCs/>
          <w:sz w:val="30"/>
        </w:rPr>
      </w:pPr>
      <w:r/>
      <w:bookmarkStart w:id="47" w:name="_Toc92168002"/>
      <w:r/>
      <w:bookmarkStart w:id="48" w:name="_Toc100386036"/>
      <w:r>
        <w:rPr>
          <w:rFonts w:hint="eastAsia" w:cs="宋体" w:asciiTheme="minorEastAsia" w:hAnsiTheme="minorEastAsia" w:eastAsiaTheme="minorEastAsia"/>
          <w:b/>
          <w:bCs/>
          <w:sz w:val="30"/>
        </w:rPr>
        <w:t xml:space="preserve">2.定义</w:t>
      </w:r>
      <w:bookmarkEnd w:id="47"/>
      <w:r/>
      <w:bookmarkEnd w:id="48"/>
      <w:r/>
      <w:r/>
    </w:p>
    <w:p>
      <w:pPr>
        <w:ind w:firstLine="480"/>
        <w:spacing w:line="360" w:lineRule="auto"/>
        <w:rPr>
          <w:rFonts w:hint="eastAsia" w:cs="宋体" w:asciiTheme="minorEastAsia" w:hAnsiTheme="minorEastAsia" w:eastAsiaTheme="minorEastAsia"/>
          <w:sz w:val="24"/>
        </w:rPr>
      </w:pPr>
      <w:r/>
      <w:bookmarkStart w:id="49" w:name="_Toc20732971"/>
      <w:r/>
      <w:bookmarkStart w:id="50" w:name="_Toc98669335"/>
      <w:r/>
      <w:bookmarkStart w:id="51" w:name="_Toc98669693"/>
      <w:r/>
      <w:bookmarkStart w:id="52" w:name="_Toc92168004"/>
      <w:r/>
      <w:bookmarkStart w:id="53" w:name="_Toc100386038"/>
      <w:r>
        <w:rPr>
          <w:rFonts w:hint="eastAsia" w:cs="宋体" w:asciiTheme="minorEastAsia" w:hAnsiTheme="minorEastAsia" w:eastAsiaTheme="minorEastAsia"/>
          <w:sz w:val="24"/>
        </w:rPr>
        <w:t xml:space="preserve">招标文件中下列术语应解释为：</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2.1“采购人”系指依法进行政府采购的国家机关、事业单位、团体组织，即：</w:t>
      </w:r>
      <w:r>
        <w:rPr>
          <w:rFonts w:hint="eastAsia" w:cs="宋体" w:asciiTheme="minorEastAsia" w:hAnsiTheme="minorEastAsia" w:eastAsiaTheme="minorEastAsia"/>
          <w:sz w:val="24"/>
          <w:u w:val="single"/>
        </w:rPr>
        <w:t xml:space="preserve">  镇江市教育装备与勤工俭学管理中心  </w:t>
      </w:r>
      <w:r>
        <w:rPr>
          <w:rFonts w:hint="eastAsia" w:cs="宋体" w:asciiTheme="minorEastAsia" w:hAnsiTheme="minorEastAsia" w:eastAsiaTheme="minorEastAsia"/>
          <w:sz w:val="24"/>
        </w:rPr>
        <w:t xml:space="preserve">。</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2.2“投标人”系指响应招标、参加投标竞争的法人、其他组织或者自然人。</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2.3“采购代理机构”系指组织本次采购活动的单位，即：</w:t>
      </w:r>
      <w:r>
        <w:rPr>
          <w:rFonts w:hint="eastAsia" w:cs="宋体" w:asciiTheme="minorEastAsia" w:hAnsiTheme="minorEastAsia" w:eastAsiaTheme="minorEastAsia"/>
          <w:sz w:val="24"/>
          <w:u w:val="single"/>
        </w:rPr>
        <w:t xml:space="preserve">江苏天信建设项目咨询有限公司</w:t>
      </w:r>
      <w:r>
        <w:rPr>
          <w:rFonts w:hint="eastAsia" w:cs="宋体" w:asciiTheme="minorEastAsia" w:hAnsiTheme="minorEastAsia" w:eastAsiaTheme="minorEastAsia"/>
          <w:sz w:val="24"/>
        </w:rPr>
        <w:t xml:space="preserve">。</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2.4“货物”系指本招标文件所述采购标的涉及的各种形态和种类的物品，即市属高中实验室改造及设备购置。</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2.5“服务”系指本招标文件所述供应商应该履行的承诺和义务</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2.6“</w:t>
      </w:r>
      <w:r>
        <w:rPr>
          <w:rFonts w:hint="eastAsia" w:cs="宋体" w:asciiTheme="minorEastAsia" w:hAnsiTheme="minorEastAsia" w:eastAsiaTheme="minorEastAsia"/>
          <w:sz w:val="24"/>
        </w:rPr>
      </w:r>
      <w:r>
        <w:rPr>
          <w:rFonts w:ascii="MS Gothic" w:hAnsi="MS Gothic" w:eastAsia="MS Gothic" w:cs="MS Gothic"/>
          <w:color w:val="000000"/>
          <w:sz w:val="24"/>
        </w:rPr>
        <w:t xml:space="preserve">☑</w:t>
      </w:r>
      <w:r>
        <w:rPr>
          <w:rFonts w:hint="eastAsia" w:cs="宋体" w:asciiTheme="minorEastAsia" w:hAnsiTheme="minorEastAsia" w:eastAsiaTheme="minorEastAsia"/>
          <w:sz w:val="24"/>
        </w:rPr>
        <w:t xml:space="preserve">”系指适用本项目的要求，“</w:t>
      </w:r>
      <w:sdt>
        <w:sdtPr>
          <w15:appearance w15:val="boundingBox"/>
          <w:id w:val="-1120139095"/>
          <w:rPr>
            <w:rFonts w:hint="eastAsia" w:cs="宋体" w:asciiTheme="minorEastAsia" w:hAnsiTheme="minorEastAsia" w:eastAsiaTheme="minorEastAsia"/>
            <w:sz w:val="24"/>
          </w:rPr>
        </w:sdtPr>
        <w:sdtContent>
          <w:r>
            <w:rPr>
              <w:rFonts w:hint="eastAsia" w:ascii="MS Gothic" w:hAnsi="MS Gothic" w:eastAsia="MS Gothic" w:cs="MS Gothic"/>
              <w:sz w:val="24"/>
            </w:rPr>
            <w:t xml:space="preserve">☐</w:t>
          </w:r>
        </w:sdtContent>
      </w:sdt>
      <w:r>
        <w:rPr>
          <w:rFonts w:hint="eastAsia" w:cs="宋体" w:asciiTheme="minorEastAsia" w:hAnsiTheme="minorEastAsia" w:eastAsiaTheme="minorEastAsia"/>
          <w:sz w:val="24"/>
        </w:rPr>
        <w:t xml:space="preserve">”系指不适用本项目的要求。</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3.采购方式</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3.1本次采购采取公开招标方式</w:t>
      </w:r>
      <w:r>
        <w:rPr>
          <w:rFonts w:hint="eastAsia" w:ascii="MS Gothic" w:hAnsi="MS Gothic" w:eastAsia="MS Gothic" w:cs="MS Gothic"/>
          <w:sz w:val="24"/>
        </w:rPr>
        <w:t xml:space="preserve">☑</w:t>
      </w:r>
      <w:r>
        <w:rPr>
          <w:rFonts w:hint="eastAsia" w:ascii="宋体" w:hAnsi="宋体" w:cs="宋体"/>
          <w:sz w:val="24"/>
        </w:rPr>
        <w:t xml:space="preserve">综合评分法□最低评标价法。</w:t>
      </w:r>
      <w:r/>
    </w:p>
    <w:p>
      <w:pPr>
        <w:ind w:firstLine="480"/>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3.2本项目资格审查方式：</w:t>
      </w:r>
      <w:r>
        <w:rPr>
          <w:rFonts w:hint="eastAsia" w:ascii="MS Gothic" w:hAnsi="MS Gothic" w:eastAsia="MS Gothic" w:cs="MS Gothic"/>
          <w:sz w:val="24"/>
          <w:szCs w:val="28"/>
        </w:rPr>
        <w:t xml:space="preserve">☑</w:t>
      </w:r>
      <w:r>
        <w:rPr>
          <w:rFonts w:hint="eastAsia" w:ascii="宋体" w:hAnsi="宋体" w:cs="宋体"/>
          <w:sz w:val="24"/>
          <w:szCs w:val="28"/>
        </w:rPr>
        <w:t xml:space="preserve">资格后审</w:t>
      </w:r>
      <w:r>
        <w:rPr>
          <w:rFonts w:hint="eastAsia" w:cs="宋体" w:asciiTheme="minorEastAsia" w:hAnsiTheme="minorEastAsia" w:eastAsiaTheme="minorEastAsia"/>
          <w:sz w:val="24"/>
          <w:szCs w:val="28"/>
        </w:rPr>
        <w:t xml:space="preserve"> □资格预审</w:t>
      </w:r>
      <w:r/>
    </w:p>
    <w:p>
      <w:pPr>
        <w:ind w:firstLine="482"/>
        <w:spacing w:line="360" w:lineRule="auto"/>
        <w:rPr>
          <w:rFonts w:hint="eastAsia" w:cs="宋体" w:asciiTheme="minorEastAsia" w:hAnsiTheme="minorEastAsia" w:eastAsiaTheme="minorEastAsia"/>
          <w:b/>
          <w:sz w:val="24"/>
          <w:szCs w:val="28"/>
        </w:rPr>
      </w:pPr>
      <w:r>
        <w:rPr>
          <w:rFonts w:hint="eastAsia" w:cs="宋体" w:asciiTheme="minorEastAsia" w:hAnsiTheme="minorEastAsia" w:eastAsiaTheme="minorEastAsia"/>
          <w:b/>
          <w:sz w:val="24"/>
          <w:szCs w:val="28"/>
        </w:rPr>
        <w:t xml:space="preserve">3.3本次采购确定的中标人数量：每标段1名，本项目评审按标段一至标段三的顺序进行，投标人可选择上述任意标段进行投报，同时提交中标标段选择说明，每个投标人中标标段数量1个。</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4.投标费用</w:t>
      </w:r>
      <w:bookmarkEnd w:id="49"/>
      <w:r/>
      <w:bookmarkEnd w:id="50"/>
      <w:r/>
      <w:bookmarkEnd w:id="51"/>
      <w:r/>
      <w:bookmarkEnd w:id="52"/>
      <w:r/>
      <w:bookmarkEnd w:id="53"/>
      <w:r/>
      <w:r/>
    </w:p>
    <w:p>
      <w:pPr>
        <w:ind w:firstLine="480"/>
        <w:jc w:val="left"/>
        <w:spacing w:line="360" w:lineRule="auto"/>
        <w:rPr>
          <w:rFonts w:hint="eastAsia" w:cs="宋体" w:asciiTheme="minorEastAsia" w:hAnsiTheme="minorEastAsia" w:eastAsiaTheme="minorEastAsia"/>
          <w:b/>
          <w:sz w:val="24"/>
          <w:szCs w:val="28"/>
        </w:rPr>
      </w:pPr>
      <w:r>
        <w:rPr>
          <w:rFonts w:hint="eastAsia" w:cs="宋体" w:asciiTheme="minorEastAsia" w:hAnsiTheme="minorEastAsia" w:eastAsiaTheme="minorEastAsia"/>
          <w:sz w:val="24"/>
        </w:rPr>
        <w:t xml:space="preserve">4.1投标人应自行承担所有与参加投标有关的费用</w:t>
      </w:r>
      <w:r>
        <w:rPr>
          <w:rFonts w:hint="eastAsia" w:cs="宋体" w:asciiTheme="minorEastAsia" w:hAnsiTheme="minorEastAsia" w:eastAsiaTheme="minorEastAsia"/>
          <w:b/>
          <w:sz w:val="24"/>
        </w:rPr>
        <w:t xml:space="preserve">。</w:t>
      </w:r>
      <w:r>
        <w:rPr>
          <w:rFonts w:hint="eastAsia" w:cs="宋体" w:asciiTheme="minorEastAsia" w:hAnsiTheme="minorEastAsia" w:eastAsiaTheme="minorEastAsia"/>
          <w:b/>
          <w:sz w:val="24"/>
          <w:szCs w:val="28"/>
        </w:rPr>
        <w:t xml:space="preserve">其中一标段招标代理服务费为 20000.00 元；二标段招标代理服务费为 25000.00元；三标段招标代理服务费为 15000.00 元。</w:t>
      </w:r>
      <w:r/>
    </w:p>
    <w:p>
      <w:pPr>
        <w:ind w:firstLine="482"/>
        <w:jc w:val="left"/>
        <w:spacing w:line="360" w:lineRule="auto"/>
        <w:rPr>
          <w:rFonts w:hint="eastAsia" w:cs="宋体" w:asciiTheme="minorEastAsia" w:hAnsiTheme="minorEastAsia" w:eastAsiaTheme="minorEastAsia"/>
        </w:rPr>
      </w:pPr>
      <w:r>
        <w:rPr>
          <w:rFonts w:hint="eastAsia" w:ascii="MS Gothic" w:hAnsi="MS Gothic" w:eastAsia="MS Gothic" w:cs="MS Gothic"/>
          <w:b/>
          <w:sz w:val="24"/>
        </w:rPr>
        <w:t xml:space="preserve">☑</w:t>
      </w:r>
      <w:r>
        <w:rPr>
          <w:rFonts w:hint="eastAsia" w:cs="宋体" w:asciiTheme="minorEastAsia" w:hAnsiTheme="minorEastAsia" w:eastAsiaTheme="minorEastAsia"/>
          <w:sz w:val="24"/>
        </w:rPr>
        <w:t xml:space="preserve">中标人需向代理机构缴纳招标代理服务费。</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收费标准：根据《江苏省招标代理服务收费的指导意见》的通知-苏招协[2022]002号收费文件。</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采购代理费用收款信息：</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收款单位：江苏天信建设项目咨询有限公司镇江分公司   </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收款账号：546977440581</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开户银行：中国银行股份有限公司镇江龙山路支行</w:t>
      </w:r>
      <w:r/>
    </w:p>
    <w:p>
      <w:pPr>
        <w:ind w:firstLine="482"/>
        <w:jc w:val="left"/>
        <w:spacing w:line="360" w:lineRule="auto"/>
        <w:rPr>
          <w:rFonts w:hint="eastAsia" w:cs="宋体" w:asciiTheme="minorEastAsia" w:hAnsiTheme="minorEastAsia" w:eastAsiaTheme="minorEastAsia"/>
          <w:sz w:val="24"/>
        </w:rPr>
      </w:pPr>
      <w:r>
        <w:rPr>
          <w:rFonts w:hint="eastAsia" w:ascii="MS Gothic" w:hAnsi="MS Gothic" w:eastAsia="MS Gothic" w:cs="MS Gothic"/>
          <w:b/>
          <w:sz w:val="24"/>
        </w:rPr>
        <w:t xml:space="preserve">☑</w:t>
      </w:r>
      <w:r>
        <w:rPr>
          <w:rFonts w:hint="eastAsia" w:ascii="宋体" w:hAnsi="宋体" w:cs="宋体"/>
          <w:b/>
          <w:sz w:val="24"/>
        </w:rPr>
        <w:t xml:space="preserve">其他费用：如有其他费用，按实际发生结算</w:t>
      </w:r>
      <w:r>
        <w:rPr>
          <w:rFonts w:hint="eastAsia" w:cs="宋体" w:asciiTheme="minorEastAsia" w:hAnsiTheme="minorEastAsia" w:eastAsiaTheme="minorEastAsia"/>
          <w:sz w:val="24"/>
        </w:rPr>
        <w:t xml:space="preserve">。</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4.2不论投标的结果如何，采购人和采购代理机构在任何情况下均无义务和责任承担上述费用。</w:t>
      </w:r>
      <w:r/>
    </w:p>
    <w:p>
      <w:pPr>
        <w:ind w:firstLine="446"/>
        <w:spacing w:before="200" w:after="200" w:line="360" w:lineRule="auto"/>
        <w:rPr>
          <w:rFonts w:hint="eastAsia" w:cs="宋体" w:asciiTheme="minorEastAsia" w:hAnsiTheme="minorEastAsia" w:eastAsiaTheme="minorEastAsia"/>
          <w:b/>
          <w:bCs/>
          <w:sz w:val="30"/>
        </w:rPr>
      </w:pPr>
      <w:r/>
      <w:bookmarkStart w:id="54" w:name="_Toc98669336"/>
      <w:r/>
      <w:bookmarkStart w:id="55" w:name="_Toc100386039"/>
      <w:r/>
      <w:bookmarkStart w:id="56" w:name="_Toc20732973"/>
      <w:r/>
      <w:bookmarkStart w:id="57" w:name="_Toc92168005"/>
      <w:r/>
      <w:bookmarkStart w:id="58" w:name="_Toc98669694"/>
      <w:r>
        <w:rPr>
          <w:rFonts w:hint="eastAsia" w:cs="宋体" w:asciiTheme="minorEastAsia" w:hAnsiTheme="minorEastAsia" w:eastAsiaTheme="minorEastAsia"/>
          <w:b/>
          <w:bCs/>
          <w:sz w:val="30"/>
        </w:rPr>
        <w:t xml:space="preserve">5.政策功能</w:t>
      </w:r>
      <w:bookmarkEnd w:id="54"/>
      <w:r/>
      <w:bookmarkEnd w:id="55"/>
      <w:r/>
      <w:bookmarkEnd w:id="56"/>
      <w:r/>
      <w:bookmarkEnd w:id="57"/>
      <w:r/>
      <w:bookmarkEnd w:id="58"/>
      <w:r/>
      <w:r/>
    </w:p>
    <w:p>
      <w:pPr>
        <w:pStyle w:val="1085"/>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5.1支持中小企业发展</w:t>
      </w:r>
      <w:r/>
    </w:p>
    <w:p>
      <w:pPr>
        <w:pStyle w:val="1085"/>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1085"/>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符合中小企业划分标准的个体工商户，在政府采购活动中视同中小企业。</w:t>
      </w:r>
      <w:r/>
    </w:p>
    <w:p>
      <w:pPr>
        <w:pStyle w:val="1085"/>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5.1.2在政府采购活动中，投标人提供的货物、工程或者服务符合下列情形的，享受中小企业扶持政策：</w:t>
      </w:r>
      <w:r/>
    </w:p>
    <w:p>
      <w:pPr>
        <w:pStyle w:val="1085"/>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5.1.2.1在货物采购项目中，货物由中小企业制造，即货物由中小企业生产且使用该中小企业商号或者注册商标；</w:t>
      </w:r>
      <w:r/>
    </w:p>
    <w:p>
      <w:pPr>
        <w:pStyle w:val="1085"/>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5.1.2.2在工程采购项目中，工程由中小企业承建，即工程施工单位为中小企业；</w:t>
      </w:r>
      <w:r/>
    </w:p>
    <w:p>
      <w:pPr>
        <w:pStyle w:val="1085"/>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5.1.2.3在服务采购项目中，服务由中小企业承接，即提供服务的人员为中小企业依照《中华人民共和国劳动合同法》订立劳动合同的从业人员。</w:t>
      </w:r>
      <w:r/>
    </w:p>
    <w:p>
      <w:pPr>
        <w:pStyle w:val="1085"/>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在货物采购项目中，投标人提供的货物既有中小企业制造货物，也有大型企业制造货物的，不享受中小企业扶持政策。</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1085"/>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sz w:val="24"/>
        </w:rPr>
        <w:t xml:space="preserve">5.1.4</w:t>
      </w:r>
      <w:r>
        <w:rPr>
          <w:rFonts w:hint="eastAsia" w:cs="宋体" w:asciiTheme="minorEastAsia" w:hAnsiTheme="minorEastAsia" w:eastAsiaTheme="minorEastAsia"/>
          <w:bCs/>
          <w:sz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5.2强制采购信息安全产品</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信息安全产品指国家质检总局国家认监委《信息安全产品强制性认证目录》，并获得强制性产品认证证书的产品。</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5.3支持绿色发展</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5.3.2本项目中涉及商品包装和快递包装的，参考《财政部办公厅关于印发《商品包装政府采购需求标准（试行）》、《快递包装政府采购需求标准（试行）》的通知》</w:t>
      </w:r>
      <w:bookmarkStart w:id="59" w:name="_Hlk132634610"/>
      <w:r>
        <w:rPr>
          <w:rFonts w:hint="eastAsia" w:cs="宋体" w:asciiTheme="minorEastAsia" w:hAnsiTheme="minorEastAsia" w:eastAsiaTheme="minorEastAsia"/>
          <w:sz w:val="24"/>
        </w:rPr>
        <w:t xml:space="preserve">（财办库〔2020〕123号）</w:t>
      </w:r>
      <w:bookmarkEnd w:id="59"/>
      <w:r>
        <w:rPr>
          <w:rFonts w:hint="eastAsia" w:cs="宋体" w:asciiTheme="minorEastAsia" w:hAnsiTheme="minorEastAsia" w:eastAsiaTheme="minorEastAsia"/>
          <w:sz w:val="24"/>
        </w:rPr>
        <w:t xml:space="preserve">规定的包装需求标准。</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5.3.4采购人采购数据中心相关设备、运维服务，按照《绿色数据中心政府采购需求标准（试行）》实施相关采购活动。</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5.4根据国家扶持中小企业的有关政策，采购项目中标人在履约过程中如遇到资金困难，凭政府采购合同在相关金融机构办理授信申请，相关事宜请查阅江苏政府采购网“政采贷”栏目。</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5.5支持创新发展</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5.5.1采购人优先采购被认定为重点推广应用、首台（套）重大装备、重点领域首版次软件的自主创新产品。</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5.6平等对待内外资企业和符合条件的破产重整企业</w:t>
      </w:r>
      <w:r/>
    </w:p>
    <w:p>
      <w:pPr>
        <w:ind w:firstLine="480"/>
        <w:spacing w:line="360" w:lineRule="auto"/>
        <w:rPr>
          <w:rFonts w:hint="eastAsia"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5.6.1平等对待内外资企业和符合条件的破产重整企业，切实保障企业公平竞争，平等维护企业的合法利益。</w:t>
      </w:r>
      <w:r/>
    </w:p>
    <w:p>
      <w:pPr>
        <w:jc w:val="center"/>
        <w:spacing w:line="360" w:lineRule="auto"/>
        <w:rPr>
          <w:rFonts w:hint="eastAsia" w:cs="宋体" w:asciiTheme="minorEastAsia" w:hAnsiTheme="minorEastAsia" w:eastAsiaTheme="minorEastAsia"/>
          <w:b/>
          <w:bCs/>
          <w:sz w:val="32"/>
          <w:szCs w:val="32"/>
        </w:rPr>
        <w:outlineLvl w:val="1"/>
      </w:pPr>
      <w:r>
        <w:rPr>
          <w:rFonts w:hint="eastAsia" w:cs="宋体" w:asciiTheme="minorEastAsia" w:hAnsiTheme="minorEastAsia" w:eastAsiaTheme="minorEastAsia"/>
          <w:b/>
          <w:bCs/>
          <w:sz w:val="32"/>
          <w:szCs w:val="32"/>
        </w:rPr>
        <w:t xml:space="preserve">二、招标文件</w:t>
      </w:r>
      <w:r/>
    </w:p>
    <w:p>
      <w:pPr>
        <w:ind w:firstLine="446"/>
        <w:spacing w:before="200" w:after="200" w:line="360" w:lineRule="auto"/>
        <w:rPr>
          <w:rFonts w:hint="eastAsia" w:cs="宋体" w:asciiTheme="minorEastAsia" w:hAnsiTheme="minorEastAsia" w:eastAsiaTheme="minorEastAsia"/>
          <w:b/>
          <w:bCs/>
          <w:sz w:val="30"/>
        </w:rPr>
      </w:pPr>
      <w:r/>
      <w:bookmarkStart w:id="60" w:name="_Toc100386042"/>
      <w:r/>
      <w:bookmarkStart w:id="61" w:name="_Toc92168008"/>
      <w:r/>
      <w:bookmarkStart w:id="62" w:name="_Toc98669697"/>
      <w:r/>
      <w:bookmarkStart w:id="63" w:name="_Toc98669339"/>
      <w:r/>
      <w:bookmarkStart w:id="64" w:name="_Toc20732976"/>
      <w:r>
        <w:rPr>
          <w:rFonts w:hint="eastAsia" w:cs="宋体" w:asciiTheme="minorEastAsia" w:hAnsiTheme="minorEastAsia" w:eastAsiaTheme="minorEastAsia"/>
          <w:b/>
          <w:bCs/>
          <w:sz w:val="30"/>
        </w:rPr>
        <w:t xml:space="preserve">6.招标文件组成</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6.1招标文件包括：</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（1）投标邀请</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（2）投标人须知                  </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（3）拟签订的合同文本</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（4）采购需求</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（5）评标办法和标准</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（6）投标文件（格式）</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6.2投标人获取本文件后，应认真阅读本文件中所有的事项、格式条款和规范等要求。</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6.3</w:t>
      </w:r>
      <w:r>
        <w:rPr>
          <w:rFonts w:hint="eastAsia" w:cs="宋体" w:asciiTheme="minorEastAsia" w:hAnsiTheme="minorEastAsia" w:eastAsiaTheme="minorEastAsia"/>
          <w:b/>
          <w:sz w:val="24"/>
          <w:u w:val="single"/>
        </w:rPr>
        <w:t xml:space="preserve">除非有特殊要求，招标文件不单独提供招标标的所在地自然环境、气象条件、公用设施等情况，投标人被视为熟悉上述与签订和履行合同有关的一切情况</w:t>
      </w:r>
      <w:r>
        <w:rPr>
          <w:rFonts w:hint="eastAsia" w:cs="宋体" w:asciiTheme="minorEastAsia" w:hAnsiTheme="minorEastAsia" w:eastAsiaTheme="minorEastAsia"/>
          <w:sz w:val="24"/>
        </w:rPr>
        <w:t xml:space="preserve">。</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7.招标文件的澄清</w:t>
      </w:r>
      <w:bookmarkStart w:id="65" w:name="_Toc92168009"/>
      <w:r/>
      <w:bookmarkStart w:id="66" w:name="_Toc100386043"/>
      <w:r/>
      <w:bookmarkStart w:id="67" w:name="_Toc98669340"/>
      <w:r/>
      <w:bookmarkStart w:id="68" w:name="_Toc20732977"/>
      <w:r/>
      <w:bookmarkStart w:id="69" w:name="_Toc98669698"/>
      <w:r/>
      <w:bookmarkEnd w:id="60"/>
      <w:r/>
      <w:bookmarkEnd w:id="61"/>
      <w:r/>
      <w:bookmarkEnd w:id="62"/>
      <w:r/>
      <w:bookmarkEnd w:id="63"/>
      <w:r/>
      <w:bookmarkEnd w:id="64"/>
      <w:r>
        <w:rPr>
          <w:rFonts w:hint="eastAsia" w:cs="宋体" w:asciiTheme="minorEastAsia" w:hAnsiTheme="minorEastAsia" w:eastAsiaTheme="minorEastAsia"/>
          <w:b/>
          <w:bCs/>
          <w:sz w:val="30"/>
        </w:rPr>
        <w:t xml:space="preserve">和修改</w:t>
      </w:r>
      <w:bookmarkEnd w:id="65"/>
      <w:r/>
      <w:bookmarkEnd w:id="66"/>
      <w:r/>
      <w:bookmarkEnd w:id="67"/>
      <w:r/>
      <w:bookmarkEnd w:id="68"/>
      <w:r/>
      <w:bookmarkEnd w:id="69"/>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7.1任何要求对招标文件进行澄清的潜在投标人，应及时联系项目联系人。</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7.2</w:t>
      </w:r>
      <w:r>
        <w:rPr>
          <w:rFonts w:hint="eastAsia" w:cs="宋体" w:asciiTheme="minorEastAsia" w:hAnsiTheme="minorEastAsia" w:eastAsiaTheme="minorEastAsia"/>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spacing w:line="360" w:lineRule="auto"/>
        <w:tabs>
          <w:tab w:val="left" w:pos="492" w:leader="none"/>
        </w:tabs>
        <w:rPr>
          <w:rFonts w:hint="eastAsia" w:cs="宋体" w:asciiTheme="minorEastAsia" w:hAnsiTheme="minorEastAsia" w:eastAsiaTheme="minorEastAsia"/>
          <w:sz w:val="24"/>
        </w:rPr>
      </w:pPr>
      <w:r>
        <w:rPr>
          <w:rFonts w:hint="eastAsia" w:cs="宋体" w:asciiTheme="minorEastAsia" w:hAnsiTheme="minorEastAsia" w:eastAsiaTheme="minorEastAsia"/>
          <w:sz w:val="24"/>
        </w:rPr>
        <w:tab/>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hint="eastAsia" w:cs="宋体" w:asciiTheme="minorEastAsia" w:hAnsiTheme="minorEastAsia" w:eastAsiaTheme="minorEastAsia"/>
          <w:b/>
          <w:bCs/>
          <w:sz w:val="32"/>
          <w:szCs w:val="32"/>
        </w:rPr>
        <w:outlineLvl w:val="1"/>
      </w:pPr>
      <w:r>
        <w:rPr>
          <w:rFonts w:hint="eastAsia" w:cs="宋体" w:asciiTheme="minorEastAsia" w:hAnsiTheme="minorEastAsia" w:eastAsiaTheme="minorEastAsia"/>
          <w:b/>
          <w:bCs/>
          <w:sz w:val="32"/>
          <w:szCs w:val="32"/>
        </w:rPr>
        <w:t xml:space="preserve">三、投标文件</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8.编制投标文件的工具</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8.1投标人须通过苏采云提供的最新响应文件制作软件编制投标文件。</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9.投标文件语言及度量衡单位</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9.2投标文件中所使用的计量单位除招标文件中另有特殊规定外，一律使用法定计量单位。</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10.投标文件的构成</w:t>
      </w:r>
      <w:r/>
    </w:p>
    <w:p>
      <w:pPr>
        <w:pStyle w:val="2073"/>
        <w:ind w:firstLine="425"/>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10.1投标文件分为资格部分、商务部分、技术部分和价格部分。</w:t>
      </w:r>
      <w:r/>
    </w:p>
    <w:p>
      <w:pPr>
        <w:pStyle w:val="2073"/>
        <w:ind w:firstLine="425"/>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10.2资格部分系指投标人提交的证明其有资格参加投标的文件。</w:t>
      </w:r>
      <w:r/>
    </w:p>
    <w:p>
      <w:pPr>
        <w:pStyle w:val="2073"/>
        <w:ind w:firstLine="425"/>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10.2商务部分系指投标人提交的证明其中标后有能力履行合同的文件。</w:t>
      </w:r>
      <w:r/>
    </w:p>
    <w:p>
      <w:pPr>
        <w:pStyle w:val="2073"/>
        <w:ind w:firstLine="425"/>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10.3技术部分系指投标人提交的能够证明投标人提供的货物（服务）符合招标文件规定的文件。</w:t>
      </w:r>
      <w:r/>
    </w:p>
    <w:p>
      <w:pPr>
        <w:pStyle w:val="2073"/>
        <w:ind w:firstLine="425"/>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10.4具体填写格式详见招标文件第六部分。</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11.投标文件的编制</w:t>
      </w:r>
      <w:r/>
    </w:p>
    <w:p>
      <w:pPr>
        <w:ind w:left="1" w:firstLine="480"/>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sz w:val="24"/>
        </w:rPr>
        <w:t xml:space="preserve">11.1投标人应仔细阅读招标文件，按照招标文件的要求编制投标文件。投标文件应当对招标文件提出的要求和条件作出明确响应。</w:t>
      </w:r>
      <w:r/>
    </w:p>
    <w:p>
      <w:pPr>
        <w:ind w:left="1" w:firstLine="480"/>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sz w:val="24"/>
        </w:rPr>
        <w:t xml:space="preserve">11.2</w:t>
      </w:r>
      <w:r>
        <w:rPr>
          <w:rFonts w:hint="eastAsia" w:cs="宋体" w:asciiTheme="minorEastAsia" w:hAnsiTheme="minorEastAsia" w:eastAsiaTheme="minorEastAsia"/>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sz w:val="24"/>
        </w:rPr>
        <w:t xml:space="preserve">11.4</w:t>
      </w:r>
      <w:r>
        <w:rPr>
          <w:rFonts w:hint="eastAsia" w:cs="宋体" w:asciiTheme="minorEastAsia" w:hAnsiTheme="minorEastAsia" w:eastAsiaTheme="minorEastAsia"/>
          <w:b/>
          <w:sz w:val="24"/>
        </w:rPr>
        <w:t xml:space="preserve">投标人必须保证投标文件所提供的全部资料合法、真实、可靠。</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12.投标保证金</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12.1本项目不收投标保证金。</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13.投标有效期</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13.1投标有效期为：投标文件自</w:t>
      </w:r>
      <w:r>
        <w:rPr>
          <w:rFonts w:hint="eastAsia" w:cs="宋体" w:asciiTheme="minorEastAsia" w:hAnsiTheme="minorEastAsia" w:eastAsiaTheme="minorEastAsia"/>
          <w:sz w:val="24"/>
          <w:szCs w:val="28"/>
        </w:rPr>
        <w:t xml:space="preserve">提交投标文件截止时间</w:t>
      </w:r>
      <w:r>
        <w:rPr>
          <w:rFonts w:hint="eastAsia" w:cs="宋体" w:asciiTheme="minorEastAsia" w:hAnsiTheme="minorEastAsia" w:eastAsiaTheme="minorEastAsia"/>
          <w:sz w:val="24"/>
        </w:rPr>
        <w:t xml:space="preserve">之日起90天内有效。投标人一旦获取了本招标文件并参加投标，即被认为接受了投标有效期的约定。</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14.投标文件的式样和签署</w:t>
      </w:r>
      <w:r/>
    </w:p>
    <w:p>
      <w:pPr>
        <w:ind w:firstLine="42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14.1投标人应通过响应文件制作软件使用数字认证证书对投标文件进行合成、电子签章及加密打包。</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15.投标文件的提交</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15.1投标文件提交</w:t>
      </w:r>
      <w:r/>
    </w:p>
    <w:p>
      <w:pPr>
        <w:ind w:left="1" w:firstLine="480"/>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15.1.1投标人须在招标文件规定的截止时间前，通过响应文件编制软件或登录电子交易平台在</w:t>
      </w:r>
      <w:r>
        <w:rPr>
          <w:rFonts w:hint="eastAsia" w:cs="宋体" w:asciiTheme="minorEastAsia" w:hAnsiTheme="minorEastAsia" w:eastAsiaTheme="minorEastAsia"/>
          <w:sz w:val="24"/>
        </w:rPr>
        <w:t xml:space="preserve">规定时间内完成提交，提交成功后系统将发送投标回执。</w:t>
      </w:r>
      <w:r>
        <w:rPr>
          <w:rFonts w:hint="eastAsia" w:cs="宋体" w:asciiTheme="minorEastAsia" w:hAnsiTheme="minorEastAsia" w:eastAsiaTheme="minorEastAsia"/>
          <w:b/>
          <w:sz w:val="24"/>
          <w:u w:val="single"/>
        </w:rPr>
        <w:t xml:space="preserve">时间以电子交易平台时间为准。</w:t>
      </w:r>
      <w:r/>
    </w:p>
    <w:p>
      <w:pPr>
        <w:ind w:left="1" w:firstLine="480"/>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15.1.2</w:t>
      </w:r>
      <w:r>
        <w:rPr>
          <w:rFonts w:hint="eastAsia" w:cs="宋体" w:asciiTheme="minorEastAsia" w:hAnsiTheme="minorEastAsia" w:eastAsiaTheme="minorEastAsia"/>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cs="宋体" w:asciiTheme="minorEastAsia" w:hAnsiTheme="minorEastAsia" w:eastAsiaTheme="minorEastAsia"/>
          <w:b/>
          <w:sz w:val="24"/>
          <w:szCs w:val="20"/>
          <w:u w:val="single"/>
        </w:rPr>
      </w:pPr>
      <w:r>
        <w:rPr>
          <w:rFonts w:hint="eastAsia" w:cs="宋体" w:asciiTheme="minorEastAsia" w:hAnsiTheme="minorEastAsia" w:eastAsiaTheme="minorEastAsia"/>
          <w:sz w:val="24"/>
        </w:rPr>
        <w:t xml:space="preserve">15.1.3</w:t>
      </w:r>
      <w:r>
        <w:rPr>
          <w:rFonts w:hint="eastAsia" w:cs="宋体" w:asciiTheme="minorEastAsia" w:hAnsiTheme="minorEastAsia" w:eastAsiaTheme="minorEastAsia"/>
          <w:b/>
          <w:sz w:val="24"/>
          <w:szCs w:val="20"/>
          <w:u w:val="single"/>
        </w:rPr>
        <w:t xml:space="preserve">提交投标文件时，投标人须使用制作该投标文件的同一数字认证证书进行提交操作。</w:t>
      </w:r>
      <w:r/>
    </w:p>
    <w:p>
      <w:pPr>
        <w:ind w:firstLine="480"/>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15.1.4</w:t>
      </w:r>
      <w:r>
        <w:rPr>
          <w:rFonts w:hint="eastAsia" w:cs="宋体" w:asciiTheme="minorEastAsia" w:hAnsiTheme="minorEastAsia" w:eastAsiaTheme="minorEastAsia"/>
          <w:b/>
          <w:sz w:val="24"/>
          <w:u w:val="single"/>
        </w:rPr>
        <w:t xml:space="preserve">提交完成后至解密前，</w:t>
      </w:r>
      <w:r>
        <w:rPr>
          <w:rFonts w:hint="eastAsia" w:cs="宋体" w:asciiTheme="minorEastAsia" w:hAnsiTheme="minorEastAsia" w:eastAsiaTheme="minorEastAsia"/>
          <w:b/>
          <w:sz w:val="24"/>
          <w:szCs w:val="20"/>
          <w:u w:val="single"/>
        </w:rPr>
        <w:t xml:space="preserve">投标人</w:t>
      </w:r>
      <w:r>
        <w:rPr>
          <w:rFonts w:hint="eastAsia" w:cs="宋体" w:asciiTheme="minorEastAsia" w:hAnsiTheme="minorEastAsia" w:eastAsiaTheme="minorEastAsia"/>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15.1.5因不可抗力事件造成的投标文件的损坏、丢失的，采购代理机构不承担责任。</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16.投标文件的补充、修改或者撤回</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16.1在提交截止时间前，投标人可以对所提交的投标文件进行补充、修改或者撤回。</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16.2投标人在提交截止时间前需要对投标文件进行补充、修改的，应当使用响应文件制作软件重新制作并提交。</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16.3在提交截止时间之后，投标人不得对其投标文件作任何修改或撤回。</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16.4在提交截止时间至招标文件中规定的投标有效期满之间，投标人不得撤回其投标。</w:t>
      </w:r>
      <w:r/>
    </w:p>
    <w:p>
      <w:pPr>
        <w:jc w:val="center"/>
        <w:spacing w:line="360" w:lineRule="auto"/>
        <w:rPr>
          <w:rFonts w:hint="eastAsia" w:cs="宋体" w:asciiTheme="minorEastAsia" w:hAnsiTheme="minorEastAsia" w:eastAsiaTheme="minorEastAsia"/>
          <w:b/>
          <w:bCs/>
          <w:sz w:val="32"/>
          <w:szCs w:val="32"/>
        </w:rPr>
        <w:outlineLvl w:val="1"/>
      </w:pPr>
      <w:r>
        <w:rPr>
          <w:rFonts w:hint="eastAsia" w:cs="宋体" w:asciiTheme="minorEastAsia" w:hAnsiTheme="minorEastAsia" w:eastAsiaTheme="minorEastAsia"/>
          <w:b/>
          <w:bCs/>
          <w:sz w:val="32"/>
          <w:szCs w:val="32"/>
        </w:rPr>
        <w:t xml:space="preserve">四、开标及评标</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17.开标</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17.1采购代理机构将按招标文件规定的时间、地点主持开标。</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17.2投标人应当在开标前做好充分准备，使用制作该投标文件的同一数字认证证书准时参加开标。</w:t>
      </w:r>
      <w:r/>
    </w:p>
    <w:p>
      <w:pPr>
        <w:ind w:left="1" w:firstLine="482"/>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17.3投标人不足3家，不进入解密程序。</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17.4开标时，采购代理机构将在系统内发出解密的指令，投标人自行实施解密，限定在主持人发布解密指令后</w:t>
      </w:r>
      <w:r>
        <w:rPr>
          <w:rFonts w:hint="eastAsia" w:cs="宋体" w:asciiTheme="minorEastAsia" w:hAnsiTheme="minorEastAsia" w:eastAsiaTheme="minorEastAsia"/>
          <w:sz w:val="24"/>
          <w:u w:val="single"/>
        </w:rPr>
        <w:t xml:space="preserve">30</w:t>
      </w:r>
      <w:r>
        <w:rPr>
          <w:rFonts w:hint="eastAsia" w:cs="宋体" w:asciiTheme="minorEastAsia" w:hAnsiTheme="minorEastAsia" w:eastAsiaTheme="minorEastAsia"/>
          <w:sz w:val="24"/>
        </w:rPr>
        <w:t xml:space="preserve">分钟内完成。解密时，投标人必须使用与制作投标文件时同一数字认证证书对投标文件进行解密，否则解密将会失败。</w:t>
      </w:r>
      <w:r/>
    </w:p>
    <w:p>
      <w:pPr>
        <w:ind w:left="2"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cs="宋体" w:asciiTheme="minorEastAsia" w:hAnsiTheme="minorEastAsia" w:eastAsiaTheme="minorEastAsia"/>
          <w:b/>
          <w:sz w:val="24"/>
        </w:rPr>
        <w:t xml:space="preserve">若解密成功的投标人不足三家，不进入后续程序。</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17.6本项目在限定的解密时间内，只要有任意一家投标人解密成功，即视为电子交易平台运行无故障。</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17.7电子投标文件解密全部完成后，按</w:t>
      </w:r>
      <w:r>
        <w:rPr>
          <w:rFonts w:hint="eastAsia" w:cs="宋体" w:asciiTheme="minorEastAsia" w:hAnsiTheme="minorEastAsia" w:eastAsiaTheme="minorEastAsia"/>
          <w:b/>
          <w:sz w:val="24"/>
        </w:rPr>
        <w:t xml:space="preserve">投标文件解密成功顺序</w:t>
      </w:r>
      <w:r>
        <w:rPr>
          <w:rFonts w:hint="eastAsia" w:cs="宋体" w:asciiTheme="minorEastAsia" w:hAnsiTheme="minorEastAsia" w:eastAsiaTheme="minorEastAsia"/>
          <w:sz w:val="24"/>
        </w:rPr>
        <w:t xml:space="preserve">向所有投标人宣布投标人名称、投标价格以及招标文件规定的其他内容。</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17.8电子交易平台自动记录开标过程，由参加开标的各投标人代表和相关工作人员确认开标结果。</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17.10 投标人须配合开标工作，否则一切后果由投标人自行承担。</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18.投标人资格审查</w:t>
      </w:r>
      <w:r/>
    </w:p>
    <w:p>
      <w:pPr>
        <w:pStyle w:val="1085"/>
        <w:ind w:firstLine="480"/>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sz w:val="24"/>
        </w:rPr>
        <w:t xml:space="preserve">18.1开标结束后，采购人或者采购代理机构将依法对投标人的资格进行审查。</w:t>
      </w:r>
      <w:r>
        <w:rPr>
          <w:rFonts w:hint="eastAsia" w:cs="宋体" w:asciiTheme="minorEastAsia" w:hAnsiTheme="minorEastAsia" w:eastAsiaTheme="minorEastAsia"/>
          <w:b/>
          <w:sz w:val="24"/>
        </w:rPr>
        <w:t xml:space="preserve">合格投标人不足3家的，不进入后续程序。</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19.评标委员会组成</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19.1评标委员会由采购人代表和评审专家组成，成员人数应当为5人以上单数，其中评审专家不得少于成员总数的三分之二。</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采购项目符合下列情形之一的，评标委员会成员人数应当为7人以上单数：</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（一）采购预算金额在1000万元以上；</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（二）技术复杂；</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（三）社会影响较大。</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评标委员会成员名单在评标结果公告前应当保密。</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20.投标人符合性审查</w:t>
      </w:r>
      <w:r/>
    </w:p>
    <w:p>
      <w:pPr>
        <w:pStyle w:val="1085"/>
        <w:ind w:firstLine="480"/>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sz w:val="24"/>
        </w:rPr>
        <w:t xml:space="preserve">20.1评标委员会将按照招标文件第四部分“评标办法和标准”第7项规定对通过资格审查的投标人的投标文件进行符合性审查，以确定是否满足招标文件的实质性要求。</w:t>
      </w:r>
      <w:r>
        <w:rPr>
          <w:rFonts w:hint="eastAsia" w:cs="宋体" w:asciiTheme="minorEastAsia" w:hAnsiTheme="minorEastAsia" w:eastAsiaTheme="minorEastAsia"/>
          <w:b/>
          <w:sz w:val="24"/>
        </w:rPr>
        <w:t xml:space="preserve">符合性审查合格投标人不足3家的，不进入详细评审环节。</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20.2投标文件澄清</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20.2.1投标人应根据评标委员会要求以书面形式对相关问题进行澄清、说明或者补正，并加盖</w:t>
      </w:r>
      <w:r>
        <w:rPr>
          <w:rFonts w:hint="eastAsia" w:cs="宋体" w:asciiTheme="minorEastAsia" w:hAnsiTheme="minorEastAsia" w:eastAsiaTheme="minorEastAsia"/>
          <w:sz w:val="24"/>
        </w:rPr>
        <w:t xml:space="preserve">公章，或者由法定代表人或其授权的代表签字确认。投标人的澄清、说明或者补正不得超出投标文件的范围或者改变投标文件的实质性内容。</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20.2.2投标人的澄清应登录电子交易平台进入“澄清事项”模块进行。</w:t>
      </w:r>
      <w:r/>
    </w:p>
    <w:p>
      <w:pPr>
        <w:ind w:firstLine="480"/>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sz w:val="24"/>
        </w:rPr>
        <w:t xml:space="preserve">20.3开标至评标结束期间，投标人应保持系统在线，如因</w:t>
      </w:r>
      <w:r>
        <w:rPr>
          <w:rFonts w:hint="eastAsia" w:cs="宋体" w:asciiTheme="minorEastAsia" w:hAnsiTheme="minorEastAsia" w:eastAsiaTheme="minorEastAsia"/>
          <w:b/>
          <w:bCs/>
          <w:sz w:val="24"/>
        </w:rPr>
        <w:t xml:space="preserve">投标人自身原因</w:t>
      </w:r>
      <w:r>
        <w:rPr>
          <w:rFonts w:hint="eastAsia" w:cs="宋体" w:asciiTheme="minorEastAsia" w:hAnsiTheme="minorEastAsia" w:eastAsiaTheme="minorEastAsia"/>
          <w:b/>
          <w:sz w:val="24"/>
        </w:rPr>
        <w:t xml:space="preserve">未在规定时间内按评标委员会要求进行澄清、说明或者补正的，一切后果由投标人自行承担。</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21.无效投标的情形</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21.1投标人存在下列情况之一的，其投标无效：　</w:t>
      </w:r>
      <w:r/>
    </w:p>
    <w:p>
      <w:pPr>
        <w:ind w:firstLine="482"/>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（1）投标文件未按招标文件要求进行有效签章的；</w:t>
      </w:r>
      <w:r/>
    </w:p>
    <w:p>
      <w:pPr>
        <w:ind w:left="1" w:firstLine="482"/>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（2）报价超过招标文件中规定的预算金额或最高限价的；</w:t>
      </w:r>
      <w:r/>
    </w:p>
    <w:p>
      <w:pPr>
        <w:ind w:left="1" w:firstLine="482"/>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（4）投标文件含有采购人不能接受的附加条件的;</w:t>
      </w:r>
      <w:r/>
    </w:p>
    <w:p>
      <w:pPr>
        <w:ind w:left="1" w:firstLine="482"/>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（6）投标人对根据修正原则修正后的报价不确认的；</w:t>
      </w:r>
      <w:r/>
    </w:p>
    <w:p>
      <w:pPr>
        <w:ind w:left="1" w:firstLine="482"/>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（7）投标文件中提供了虚假或失实资料的；</w:t>
      </w:r>
      <w:r/>
    </w:p>
    <w:p>
      <w:pPr>
        <w:ind w:left="1" w:firstLine="482"/>
        <w:spacing w:line="360" w:lineRule="auto"/>
        <w:rPr>
          <w:rFonts w:hint="eastAsia" w:cs="宋体" w:asciiTheme="minorEastAsia" w:hAnsiTheme="minorEastAsia" w:eastAsiaTheme="minorEastAsia"/>
          <w:b/>
          <w:bCs/>
          <w:sz w:val="24"/>
          <w:u w:val="single"/>
        </w:rPr>
      </w:pPr>
      <w:r>
        <w:rPr>
          <w:rFonts w:hint="eastAsia" w:cs="宋体" w:asciiTheme="minorEastAsia" w:hAnsiTheme="minorEastAsia" w:eastAsiaTheme="minorEastAsia"/>
          <w:b/>
          <w:bCs/>
          <w:sz w:val="24"/>
          <w:u w:val="single"/>
        </w:rPr>
        <w:t xml:space="preserve">（8）不同投标人的电子投标文件出自同一台电脑；</w:t>
      </w:r>
      <w:r/>
    </w:p>
    <w:p>
      <w:pPr>
        <w:ind w:left="1" w:firstLine="482"/>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（9）投标人存在串通投标情形的；</w:t>
      </w:r>
      <w:r/>
    </w:p>
    <w:p>
      <w:pPr>
        <w:ind w:left="1" w:firstLine="482"/>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（10）为本项目提供整体设计、规范编制或者项目管理、监理、检测等服务的；</w:t>
      </w:r>
      <w:r/>
    </w:p>
    <w:p>
      <w:pPr>
        <w:ind w:left="1" w:firstLine="482"/>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（11）不同投标人的法定代表人或单位负责人为同一个人或者存在直接控股、管理关系的；</w:t>
      </w:r>
      <w:r/>
    </w:p>
    <w:p>
      <w:pPr>
        <w:ind w:left="1" w:firstLine="482"/>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（12）投标文件不满足招标文件的加</w:t>
      </w:r>
      <w:r>
        <w:rPr>
          <w:rFonts w:cs="宋体" w:asciiTheme="minorEastAsia" w:hAnsiTheme="minorEastAsia" w:eastAsiaTheme="minorEastAsia"/>
          <w:b/>
          <w:sz w:val="24"/>
          <w:u w:val="single"/>
        </w:rPr>
        <w:t xml:space="preserve">★项</w:t>
      </w:r>
      <w:r>
        <w:rPr>
          <w:rFonts w:hint="eastAsia" w:cs="宋体" w:asciiTheme="minorEastAsia" w:hAnsiTheme="minorEastAsia" w:eastAsiaTheme="minorEastAsia"/>
          <w:b/>
          <w:sz w:val="24"/>
          <w:u w:val="single"/>
        </w:rPr>
        <w:t xml:space="preserve">实质性要求的；</w:t>
      </w:r>
      <w:r/>
    </w:p>
    <w:p>
      <w:pPr>
        <w:ind w:left="1" w:firstLine="482"/>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（13）法律、法规、规章（适用本市的）及省级以上规范性文件（适用本市的）规定的其他无效情形。</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22.串通投标的情形</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22.1有下列情形之一的，视为投标人串通投标，投标无效：</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（1）不同投标人的投标文件由同一单位或者个人编制；</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（2）不同投标人委托同一单位或者个人办理投标事宜；</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（3）不同投标人的投标文件载明的项目管理成员或者联系人员为同一人；</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（4）不同投标人的投标文件异常一致或者投标报价呈规律性差异；</w:t>
      </w:r>
      <w:r/>
    </w:p>
    <w:p>
      <w:pPr>
        <w:ind w:firstLine="480"/>
        <w:spacing w:line="360" w:lineRule="auto"/>
        <w:rPr>
          <w:rFonts w:hint="eastAsia" w:cs="宋体" w:asciiTheme="minorEastAsia" w:hAnsiTheme="minorEastAsia" w:eastAsiaTheme="minorEastAsia"/>
        </w:rPr>
      </w:pPr>
      <w:r>
        <w:rPr>
          <w:rFonts w:hint="eastAsia" w:cs="宋体" w:asciiTheme="minorEastAsia" w:hAnsiTheme="minorEastAsia" w:eastAsiaTheme="minorEastAsia"/>
          <w:sz w:val="24"/>
        </w:rPr>
        <w:t xml:space="preserve">（5）不同投标人的投标文件相互混装。</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23.投标文件详细评审</w:t>
      </w:r>
      <w:r/>
    </w:p>
    <w:p>
      <w:pPr>
        <w:pStyle w:val="1085"/>
        <w:ind w:firstLine="480"/>
        <w:spacing w:line="360" w:lineRule="auto"/>
        <w:rPr>
          <w:rFonts w:hint="eastAsia" w:cs="宋体" w:asciiTheme="minorEastAsia" w:hAnsiTheme="minorEastAsia" w:eastAsiaTheme="minorEastAsia"/>
        </w:rPr>
      </w:pPr>
      <w:r>
        <w:rPr>
          <w:rFonts w:hint="eastAsia" w:cs="宋体" w:asciiTheme="minorEastAsia" w:hAnsiTheme="minorEastAsia" w:eastAsiaTheme="minorEastAsia"/>
          <w:sz w:val="24"/>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24.评标过程的保密</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24.1在评标过程中，如果投标人试图在投标文件审查、澄清、比较及授标建议等方面向采购人、采购代理机构或参加评标的人员施加任何影响，都将会导致其投标无效。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24.2</w:t>
      </w:r>
      <w:r>
        <w:rPr>
          <w:rFonts w:hint="eastAsia" w:cs="宋体" w:asciiTheme="minorEastAsia" w:hAnsiTheme="minorEastAsia" w:eastAsiaTheme="minorEastAsia"/>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25.废标的情形</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25.1出现下列情形之一的，将予废标：</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（1）符合专业条件的供应商或者对招标文件作实质响应的供应商不足三家的；  </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（2）出现影响采购公正的违法、违规行为的；  </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（3）投标人的报价均超过了采购预算，采购人不能支付的；</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（4）因重大变故，采购任务取消的； </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废标后，采购人应当将废标理由通知所有投标人。</w:t>
      </w:r>
      <w:r/>
    </w:p>
    <w:p>
      <w:pPr>
        <w:jc w:val="center"/>
        <w:spacing w:line="360" w:lineRule="auto"/>
        <w:rPr>
          <w:rFonts w:hint="eastAsia" w:cs="宋体" w:asciiTheme="minorEastAsia" w:hAnsiTheme="minorEastAsia" w:eastAsiaTheme="minorEastAsia"/>
          <w:b/>
          <w:bCs/>
          <w:sz w:val="32"/>
          <w:szCs w:val="32"/>
        </w:rPr>
        <w:outlineLvl w:val="1"/>
      </w:pPr>
      <w:r>
        <w:rPr>
          <w:rFonts w:hint="eastAsia" w:cs="宋体" w:asciiTheme="minorEastAsia" w:hAnsiTheme="minorEastAsia" w:eastAsiaTheme="minorEastAsia"/>
          <w:b/>
          <w:bCs/>
          <w:sz w:val="32"/>
          <w:szCs w:val="32"/>
        </w:rPr>
        <w:t xml:space="preserve">五、确定结果</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26.确定中标人</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26.1采购代理机构在评标结束后2个工作日内将评标报告送采购人。</w:t>
      </w:r>
      <w:r/>
    </w:p>
    <w:p>
      <w:pPr>
        <w:ind w:firstLine="480"/>
        <w:spacing w:line="360" w:lineRule="auto"/>
        <w:rPr>
          <w:rFonts w:hint="eastAsia" w:cs="宋体" w:asciiTheme="minorEastAsia" w:hAnsiTheme="minorEastAsia" w:eastAsiaTheme="minorEastAsia"/>
          <w:sz w:val="24"/>
        </w:rPr>
      </w:pPr>
      <w:r/>
      <w:bookmarkStart w:id="70" w:name="_Hlk132702541"/>
      <w:r/>
      <w:bookmarkStart w:id="71" w:name="_Hlk132702790"/>
      <w:r>
        <w:rPr>
          <w:rFonts w:hint="eastAsia" w:cs="宋体" w:asciiTheme="minorEastAsia" w:hAnsiTheme="minorEastAsia" w:eastAsiaTheme="minorEastAsia"/>
          <w:sz w:val="24"/>
        </w:rPr>
        <w:t xml:space="preserve">26.</w:t>
      </w:r>
      <w:bookmarkEnd w:id="70"/>
      <w:r>
        <w:rPr>
          <w:rFonts w:hint="eastAsia" w:cs="宋体" w:asciiTheme="minorEastAsia" w:hAnsiTheme="minorEastAsia" w:eastAsiaTheme="minorEastAsia"/>
          <w:sz w:val="24"/>
        </w:rPr>
        <w:t xml:space="preserve">2</w:t>
      </w:r>
      <w:bookmarkEnd w:id="71"/>
      <w:r>
        <w:rPr>
          <w:rFonts w:hint="eastAsia" w:cs="宋体" w:asciiTheme="minorEastAsia" w:hAnsiTheme="minorEastAsia" w:eastAsiaTheme="minorEastAsia"/>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hint="eastAsia" w:cs="宋体" w:asciiTheme="minorEastAsia" w:hAnsiTheme="minorEastAsia" w:eastAsiaTheme="minorEastAsia"/>
          <w:b/>
          <w:bCs/>
          <w:sz w:val="32"/>
          <w:szCs w:val="32"/>
        </w:rPr>
        <w:outlineLvl w:val="1"/>
      </w:pPr>
      <w:r>
        <w:rPr>
          <w:rFonts w:hint="eastAsia" w:cs="宋体" w:asciiTheme="minorEastAsia" w:hAnsiTheme="minorEastAsia" w:eastAsiaTheme="minorEastAsia"/>
          <w:b/>
          <w:bCs/>
          <w:sz w:val="32"/>
          <w:szCs w:val="32"/>
        </w:rPr>
        <w:t xml:space="preserve">六、授予合同</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27.中标通知书</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27.1自中标人确定之日起2个工作日内，采购代理机构向中标人发出中标通知书，同时编制发</w:t>
      </w:r>
      <w:r>
        <w:rPr>
          <w:rFonts w:hint="eastAsia" w:cs="宋体" w:asciiTheme="minorEastAsia" w:hAnsiTheme="minorEastAsia" w:eastAsiaTheme="minorEastAsia"/>
          <w:sz w:val="24"/>
        </w:rPr>
        <w:t xml:space="preserve">布采购结果公告。</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27.2中标通知书发出后，采购人不得违法改变中标结果，中标人无正当理由不得放弃中标。</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28.履约保证金</w:t>
      </w:r>
      <w:r/>
    </w:p>
    <w:p>
      <w:pPr>
        <w:pStyle w:val="1085"/>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28.1A </w:t>
      </w:r>
      <w:r>
        <w:rPr>
          <w:rFonts w:hint="eastAsia" w:ascii="MS Gothic" w:hAnsi="MS Gothic" w:eastAsia="MS Gothic" w:cs="MS Gothic"/>
          <w:sz w:val="24"/>
        </w:rPr>
        <w:t xml:space="preserve">☑</w:t>
      </w:r>
      <w:r>
        <w:rPr>
          <w:rFonts w:hint="eastAsia" w:ascii="宋体" w:hAnsi="宋体" w:cs="宋体"/>
          <w:sz w:val="24"/>
        </w:rPr>
        <w:t xml:space="preserve">本项目不收取履约保证金。</w:t>
      </w:r>
      <w:r/>
    </w:p>
    <w:p>
      <w:pPr>
        <w:pStyle w:val="1085"/>
        <w:ind w:firstLine="960"/>
        <w:spacing w:line="360" w:lineRule="auto"/>
        <w:rPr>
          <w:rFonts w:hint="eastAsia" w:cs="宋体" w:asciiTheme="minorEastAsia" w:hAnsiTheme="minorEastAsia" w:eastAsiaTheme="minorEastAsia"/>
          <w:sz w:val="24"/>
          <w:szCs w:val="20"/>
        </w:rPr>
      </w:pPr>
      <w:r>
        <w:rPr>
          <w:rFonts w:hint="eastAsia" w:cs="宋体" w:asciiTheme="minorEastAsia" w:hAnsiTheme="minorEastAsia" w:eastAsiaTheme="minorEastAsia"/>
          <w:sz w:val="24"/>
        </w:rPr>
        <w:t xml:space="preserve">B □</w:t>
      </w:r>
      <w:r>
        <w:rPr>
          <w:rFonts w:hint="eastAsia" w:cs="宋体" w:asciiTheme="minorEastAsia" w:hAnsiTheme="minorEastAsia" w:eastAsiaTheme="minorEastAsia"/>
          <w:sz w:val="24"/>
          <w:szCs w:val="20"/>
        </w:rPr>
        <w:t xml:space="preserve">本项目</w:t>
      </w:r>
      <w:r>
        <w:rPr>
          <w:rFonts w:hint="eastAsia" w:cs="宋体" w:asciiTheme="minorEastAsia" w:hAnsiTheme="minorEastAsia" w:eastAsiaTheme="minorEastAsia"/>
          <w:sz w:val="24"/>
        </w:rPr>
        <w:t xml:space="preserve">中标人应提交标段预算金额5%的履约保证金，履约保证金</w:t>
      </w:r>
      <w:r>
        <w:rPr>
          <w:rFonts w:hint="eastAsia" w:cs="宋体" w:asciiTheme="minorEastAsia" w:hAnsiTheme="minorEastAsia" w:eastAsiaTheme="minorEastAsia"/>
          <w:sz w:val="24"/>
          <w:szCs w:val="20"/>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29.签订合同</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29.1采购人应当自中标通知书发出之日起</w:t>
      </w:r>
      <w:r>
        <w:rPr>
          <w:rFonts w:hint="eastAsia" w:cs="宋体" w:asciiTheme="minorEastAsia" w:hAnsiTheme="minorEastAsia" w:eastAsiaTheme="minorEastAsia"/>
          <w:sz w:val="24"/>
          <w:u w:val="single"/>
        </w:rPr>
        <w:t xml:space="preserve">15</w:t>
      </w:r>
      <w:r>
        <w:rPr>
          <w:rFonts w:hint="eastAsia" w:cs="宋体" w:asciiTheme="minorEastAsia" w:hAnsiTheme="minorEastAsia" w:eastAsiaTheme="minorEastAsia"/>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29.2中标人拒绝与采购人签订合同的，采购人可以按照评审报告推荐的中标人名单排序，确定下一候选人为中标人，也可以重新开展政府采购活动。中标供应商无正当理由拒不与采购人签订合同的，报政府采购监管部门依法处理。</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29.4采购人应当自采购合同签订之日起2个工作日内，将政府采购合同在政府采购指定媒体予以公告。</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spacing w:line="360" w:lineRule="auto"/>
        <w:rPr>
          <w:rFonts w:hint="eastAsia" w:cs="宋体" w:asciiTheme="minorEastAsia" w:hAnsiTheme="minorEastAsia" w:eastAsiaTheme="minorEastAsia"/>
          <w:b/>
          <w:bCs/>
          <w:sz w:val="32"/>
          <w:szCs w:val="32"/>
        </w:rPr>
        <w:outlineLvl w:val="1"/>
      </w:pPr>
      <w:r>
        <w:rPr>
          <w:rFonts w:hint="eastAsia" w:cs="宋体" w:asciiTheme="minorEastAsia" w:hAnsiTheme="minorEastAsia" w:eastAsiaTheme="minorEastAsia"/>
          <w:b/>
          <w:bCs/>
          <w:sz w:val="32"/>
          <w:szCs w:val="32"/>
        </w:rPr>
        <w:t xml:space="preserve">七、询问、质疑、投诉</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30.询问</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30.1供应商对招标活动事项有疑问的，可以向采购人或采购代理机构提出询问，采购人或采购</w:t>
      </w:r>
      <w:r>
        <w:rPr>
          <w:rFonts w:hint="eastAsia" w:cs="宋体" w:asciiTheme="minorEastAsia" w:hAnsiTheme="minorEastAsia" w:eastAsiaTheme="minorEastAsia"/>
          <w:sz w:val="24"/>
        </w:rPr>
        <w:t xml:space="preserve">代理机构将在3个工作日内对供应商依法提出的询问作出答复，但答复的内容不得涉及商业秘密。</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31.质疑</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31.1提出质疑的供应商应当是参与所质疑项目采购活动的供应商。潜在供应商已依法获取其可质疑的招标文件的，可以对该文件提出质疑。供应商认为招标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以上规定的供应商应知其权益受到损害之日，是指：</w:t>
      </w:r>
      <w:r/>
    </w:p>
    <w:p>
      <w:pPr>
        <w:ind w:firstLine="36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（1）对可以质疑的招标文件提出质疑的，为收到招标文件之日或者招标文件公告期限届满之日；</w:t>
      </w:r>
      <w:r/>
    </w:p>
    <w:p>
      <w:pPr>
        <w:ind w:firstLine="36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（2）对采购过程提出质疑的，为各采购程序环节结束之日；</w:t>
      </w:r>
      <w:r/>
    </w:p>
    <w:p>
      <w:pPr>
        <w:ind w:firstLine="36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（3）对中标结果提出质疑的，为中标结果公告期限届满之日。</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cs="宋体" w:asciiTheme="minorEastAsia" w:hAnsiTheme="minorEastAsia" w:eastAsiaTheme="minorEastAsia"/>
          <w:sz w:val="24"/>
        </w:rPr>
        <w:t xml:space="preserve">政府采购监管部门</w:t>
      </w:r>
      <w:bookmarkEnd w:id="72"/>
      <w:r>
        <w:rPr>
          <w:rFonts w:hint="eastAsia" w:cs="宋体" w:asciiTheme="minorEastAsia" w:hAnsiTheme="minorEastAsia" w:eastAsiaTheme="minorEastAsia"/>
          <w:sz w:val="24"/>
        </w:rPr>
        <w:t xml:space="preserve">将其列入不良行为记录名单，并依法予以处罚。</w:t>
      </w:r>
      <w:r/>
    </w:p>
    <w:p>
      <w:pPr>
        <w:ind w:firstLine="480"/>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sz w:val="24"/>
        </w:rPr>
        <w:t xml:space="preserve">31.3供应商应当在法定质疑期内一次性提出针对同一采购程序环节的质疑。供应商如在法定期限内对同一采购程序环节提出多次质疑的，将只对供应商第一次质疑作出答复。</w:t>
      </w:r>
      <w:r>
        <w:rPr>
          <w:rFonts w:hint="eastAsia" w:cs="宋体" w:asciiTheme="minorEastAsia" w:hAnsiTheme="minorEastAsia" w:eastAsiaTheme="minorEastAsia"/>
          <w:b/>
          <w:sz w:val="24"/>
        </w:rPr>
        <w:t xml:space="preserve">供应商如对采购需求提出质疑，采购人负责处理和答复涉及采购需求的质疑内容。</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31.4分散采购接受质疑函联系部门、联系电话和通讯地址</w:t>
      </w:r>
      <w:r>
        <w:rPr>
          <w:rFonts w:hint="eastAsia" w:cs="宋体" w:asciiTheme="minorEastAsia" w:hAnsiTheme="minorEastAsia" w:eastAsiaTheme="minorEastAsia"/>
          <w:sz w:val="24"/>
          <w:u w:val="single"/>
        </w:rPr>
        <w:t xml:space="preserve">联系单位：江苏天信建设项目咨询有限公司；联系电话：18652824164；通讯地址：镇江市丹徒区驸马街168-15号 </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质疑流程及注意事项见“镇江市公共资源交易平台”网站-政民互动-质疑投诉渠道。</w:t>
      </w:r>
      <w:r>
        <w:rPr>
          <w:rFonts w:hint="eastAsia" w:cs="宋体" w:asciiTheme="minorEastAsia" w:hAnsiTheme="minorEastAsia" w:eastAsiaTheme="minorEastAsia"/>
          <w:sz w:val="24"/>
        </w:rPr>
        <w:t xml:space="preserve">）</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31.5采购人、采购代理机构不得拒收质疑供应商在法定质疑期内发出的质疑函，应当在收到质疑函后7个工作日内作出答复，并以书面形式通知质疑供应商和其他有关供应商。</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32.投诉</w:t>
      </w:r>
      <w:r/>
    </w:p>
    <w:p>
      <w:pPr>
        <w:ind w:firstLine="480"/>
        <w:jc w:val="left"/>
        <w:spacing w:line="360"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32.1质疑供应商对采购人、采购代理机构的答复不满意，或者采购人、采购代理机构未在规定的时间内</w:t>
      </w:r>
      <w:r>
        <w:rPr>
          <w:rFonts w:hint="eastAsia" w:cs="宋体" w:asciiTheme="minorEastAsia" w:hAnsiTheme="minorEastAsia" w:eastAsiaTheme="minorEastAsia"/>
          <w:sz w:val="24"/>
        </w:rPr>
        <w:t xml:space="preserve">作出答复的，可以在答复期满后十五个工作日内向采购人所属预算级次本级政府采购监管部门投诉。</w:t>
      </w:r>
      <w:r/>
    </w:p>
    <w:p>
      <w:pPr>
        <w:ind w:firstLine="480"/>
        <w:jc w:val="left"/>
        <w:spacing w:line="360"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32.2以联合体形</w:t>
      </w:r>
      <w:r>
        <w:rPr>
          <w:rFonts w:hint="eastAsia" w:cs="宋体" w:asciiTheme="minorEastAsia" w:hAnsiTheme="minorEastAsia" w:eastAsiaTheme="minorEastAsia"/>
          <w:sz w:val="24"/>
        </w:rPr>
        <w:t xml:space="preserve">式参加政府采购活动的，其投诉应当由组成联合体的所有供应商共同提出。</w:t>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32.3投诉流程及注意事项见“镇江市公共资源交易服务平台”</w:t>
      </w:r>
      <w:r>
        <w:rPr>
          <w:rFonts w:cs="宋体" w:asciiTheme="minorEastAsia" w:hAnsiTheme="minorEastAsia" w:eastAsiaTheme="minorEastAsia"/>
          <w:sz w:val="24"/>
        </w:rPr>
        <w:t xml:space="preserve"> 网站“投诉指引”</w:t>
      </w:r>
      <w:r>
        <w:rPr>
          <w:rFonts w:hint="eastAsia" w:cs="宋体" w:asciiTheme="minorEastAsia" w:hAnsiTheme="minorEastAsia" w:eastAsiaTheme="minorEastAsia"/>
          <w:sz w:val="24"/>
        </w:rPr>
        <w:t xml:space="preserve">。</w:t>
      </w:r>
      <w:r/>
    </w:p>
    <w:p>
      <w:pPr>
        <w:jc w:val="center"/>
        <w:spacing w:line="360" w:lineRule="auto"/>
        <w:rPr>
          <w:rFonts w:hint="eastAsia" w:cs="宋体" w:asciiTheme="minorEastAsia" w:hAnsiTheme="minorEastAsia" w:eastAsiaTheme="minorEastAsia"/>
          <w:b/>
          <w:bCs/>
          <w:sz w:val="32"/>
          <w:szCs w:val="32"/>
        </w:rPr>
        <w:outlineLvl w:val="1"/>
      </w:pPr>
      <w:r>
        <w:rPr>
          <w:rFonts w:hint="eastAsia" w:cs="宋体" w:asciiTheme="minorEastAsia" w:hAnsiTheme="minorEastAsia" w:eastAsiaTheme="minorEastAsia"/>
          <w:b/>
          <w:bCs/>
          <w:sz w:val="32"/>
          <w:szCs w:val="32"/>
        </w:rPr>
        <w:t xml:space="preserve">八、诚实信用和解释权</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33.诚实信用</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33.3供应商不得虚假承诺，否则，按照提供虚假材料谋取中标处理。</w:t>
      </w:r>
      <w:r/>
    </w:p>
    <w:p>
      <w:pPr>
        <w:ind w:left="2"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cs="宋体" w:asciiTheme="minorEastAsia" w:hAnsiTheme="minorEastAsia" w:eastAsiaTheme="minorEastAsia"/>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34.适用法律及约束力</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34.1</w:t>
      </w:r>
      <w:r>
        <w:rPr>
          <w:rFonts w:hint="eastAsia" w:cs="宋体" w:asciiTheme="minorEastAsia" w:hAnsiTheme="minorEastAsia" w:eastAsiaTheme="minorEastAsia"/>
          <w:b/>
          <w:sz w:val="24"/>
        </w:rPr>
        <w:t xml:space="preserve">投标人一旦获取了本招标文件并参加投标，即被认为接受了本招标文件的规定和约束。</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34.2本次招标及由本次招标产生的合同受中华人民共和国法律制约和保护。</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35.解释权</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除相关法律、法规规定外，本招标文件的解释权归</w:t>
      </w:r>
      <w:r>
        <w:rPr>
          <w:rFonts w:hint="eastAsia" w:cs="宋体" w:asciiTheme="minorEastAsia" w:hAnsiTheme="minorEastAsia" w:eastAsiaTheme="minorEastAsia"/>
          <w:sz w:val="24"/>
          <w:u w:val="single"/>
        </w:rPr>
        <w:t xml:space="preserve">采购代理机构</w:t>
      </w:r>
      <w:r>
        <w:rPr>
          <w:rFonts w:hint="eastAsia" w:cs="宋体" w:asciiTheme="minorEastAsia" w:hAnsiTheme="minorEastAsia" w:eastAsiaTheme="minorEastAsia"/>
          <w:sz w:val="24"/>
        </w:rPr>
        <w:t xml:space="preserve">所有。</w:t>
      </w:r>
      <w:r/>
    </w:p>
    <w:p>
      <w:pPr>
        <w:jc w:val="left"/>
        <w:widowControl/>
        <w:rPr>
          <w:rFonts w:hint="eastAsia" w:cs="宋体" w:asciiTheme="minorEastAsia" w:hAnsiTheme="minorEastAsia" w:eastAsiaTheme="minorEastAsia"/>
          <w:b/>
          <w:sz w:val="30"/>
        </w:rPr>
      </w:pPr>
      <w:r>
        <w:rPr>
          <w:rFonts w:hint="eastAsia" w:cs="宋体" w:asciiTheme="minorEastAsia" w:hAnsiTheme="minorEastAsia" w:eastAsiaTheme="minorEastAsia"/>
          <w:b/>
          <w:sz w:val="30"/>
        </w:rPr>
        <w:br w:type="page" w:clear="all"/>
      </w:r>
      <w:r/>
    </w:p>
    <w:p>
      <w:pPr>
        <w:jc w:val="center"/>
        <w:spacing w:before="200" w:after="200" w:line="360" w:lineRule="auto"/>
        <w:rPr>
          <w:rFonts w:hint="eastAsia" w:cs="宋体" w:asciiTheme="minorEastAsia" w:hAnsiTheme="minorEastAsia" w:eastAsiaTheme="minorEastAsia"/>
          <w:b/>
          <w:bCs/>
          <w:sz w:val="36"/>
          <w:szCs w:val="36"/>
        </w:rPr>
        <w:outlineLvl w:val="0"/>
      </w:pPr>
      <w:r/>
      <w:bookmarkStart w:id="73" w:name="_Toc11759"/>
      <w:r>
        <w:rPr>
          <w:rFonts w:hint="eastAsia" w:cs="宋体" w:asciiTheme="minorEastAsia" w:hAnsiTheme="minorEastAsia" w:eastAsiaTheme="minorEastAsia"/>
          <w:b/>
          <w:bCs/>
          <w:sz w:val="36"/>
          <w:szCs w:val="36"/>
        </w:rPr>
        <w:t xml:space="preserve">第三部分 拟签订的合同文本（货物、服务类）</w:t>
      </w:r>
      <w:bookmarkEnd w:id="73"/>
      <w:r/>
      <w:r/>
    </w:p>
    <w:p>
      <w:pPr>
        <w:rPr>
          <w:rFonts w:hint="eastAsia" w:cs="宋体" w:asciiTheme="minorEastAsia" w:hAnsiTheme="minorEastAsia" w:eastAsiaTheme="minorEastAsia"/>
          <w:sz w:val="24"/>
          <w:u w:val="single"/>
        </w:rPr>
      </w:pPr>
      <w:r/>
      <w:bookmarkStart w:id="74" w:name="_Toc22000633"/>
      <w:r>
        <w:rPr>
          <w:rFonts w:hint="eastAsia" w:cs="宋体" w:asciiTheme="minorEastAsia" w:hAnsiTheme="minorEastAsia" w:eastAsiaTheme="minorEastAsia"/>
          <w:sz w:val="24"/>
        </w:rPr>
        <w:t xml:space="preserve">合同编号：</w:t>
      </w:r>
      <w:r/>
    </w:p>
    <w:p>
      <w:pPr>
        <w:jc w:val="center"/>
        <w:spacing w:line="480" w:lineRule="auto"/>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r>
      <w:r/>
    </w:p>
    <w:p>
      <w:pPr>
        <w:jc w:val="center"/>
        <w:spacing w:line="48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center"/>
        <w:spacing w:line="48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center"/>
        <w:spacing w:line="480" w:lineRule="auto"/>
        <w:rPr>
          <w:rFonts w:hint="eastAsia" w:cs="宋体" w:asciiTheme="minorEastAsia" w:hAnsiTheme="minorEastAsia" w:eastAsiaTheme="minorEastAsia"/>
          <w:b/>
          <w:i/>
          <w:iCs/>
          <w:sz w:val="36"/>
          <w:szCs w:val="36"/>
          <w:u w:val="single"/>
        </w:rPr>
      </w:pPr>
      <w:r>
        <w:rPr>
          <w:rFonts w:hint="eastAsia" w:cs="宋体" w:asciiTheme="minorEastAsia" w:hAnsiTheme="minorEastAsia" w:eastAsiaTheme="minorEastAsia"/>
          <w:b/>
          <w:i/>
          <w:iCs/>
          <w:sz w:val="36"/>
          <w:szCs w:val="36"/>
          <w:u w:val="single"/>
        </w:rPr>
        <w:t xml:space="preserve">政府采购合同参考范本</w:t>
      </w:r>
      <w:r/>
    </w:p>
    <w:p>
      <w:pPr>
        <w:jc w:val="center"/>
        <w:spacing w:line="480" w:lineRule="auto"/>
        <w:rPr>
          <w:rFonts w:hint="eastAsia"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（货物）</w:t>
      </w:r>
      <w:r/>
    </w:p>
    <w:p>
      <w:pPr>
        <w:pStyle w:val="2212"/>
        <w:rPr>
          <w:rFonts w:hint="eastAsia" w:cs="宋体" w:asciiTheme="minorEastAsia" w:hAnsiTheme="minorEastAsia" w:eastAsiaTheme="minorEastAsia"/>
          <w:szCs w:val="24"/>
        </w:rPr>
      </w:pPr>
      <w:r>
        <w:rPr>
          <w:rFonts w:hint="eastAsia" w:cs="宋体" w:asciiTheme="minorEastAsia" w:hAnsiTheme="minorEastAsia" w:eastAsiaTheme="minorEastAsia"/>
          <w:szCs w:val="24"/>
        </w:rPr>
      </w:r>
      <w:r/>
    </w:p>
    <w:p>
      <w:pPr>
        <w:pStyle w:val="2212"/>
        <w:rPr>
          <w:rFonts w:hint="eastAsia" w:cs="宋体" w:asciiTheme="minorEastAsia" w:hAnsiTheme="minorEastAsia" w:eastAsiaTheme="minorEastAsia"/>
          <w:szCs w:val="24"/>
        </w:rPr>
      </w:pPr>
      <w:r>
        <w:rPr>
          <w:rFonts w:hint="eastAsia" w:cs="宋体" w:asciiTheme="minorEastAsia" w:hAnsiTheme="minorEastAsia" w:eastAsiaTheme="minorEastAsia"/>
          <w:szCs w:val="24"/>
        </w:rPr>
      </w:r>
      <w:r/>
    </w:p>
    <w:p>
      <w:pPr>
        <w:pStyle w:val="2212"/>
        <w:jc w:val="center"/>
        <w:rPr>
          <w:rFonts w:hint="eastAsia" w:cs="宋体" w:asciiTheme="minorEastAsia" w:hAnsiTheme="minorEastAsia" w:eastAsiaTheme="minorEastAsia"/>
          <w:szCs w:val="24"/>
        </w:rPr>
      </w:pPr>
      <w:r>
        <w:rPr>
          <w:rFonts w:hint="eastAsia" w:cs="宋体" w:asciiTheme="minorEastAsia" w:hAnsiTheme="minorEastAsia" w:eastAsiaTheme="minorEastAsia"/>
          <w:szCs w:val="24"/>
        </w:rPr>
      </w:r>
      <w:r/>
    </w:p>
    <w:p>
      <w:pPr>
        <w:pStyle w:val="2212"/>
        <w:ind w:firstLine="0"/>
        <w:jc w:val="center"/>
        <w:rPr>
          <w:rFonts w:hint="eastAsia" w:cs="宋体" w:asciiTheme="minorEastAsia" w:hAnsiTheme="minorEastAsia" w:eastAsiaTheme="minorEastAsia"/>
          <w:b/>
          <w:sz w:val="28"/>
          <w:szCs w:val="28"/>
        </w:rPr>
        <w:outlineLvl w:val="1"/>
      </w:pPr>
      <w:r>
        <w:rPr>
          <w:rFonts w:hint="eastAsia" w:cs="宋体" w:asciiTheme="minorEastAsia" w:hAnsiTheme="minorEastAsia" w:eastAsiaTheme="minorEastAsia"/>
          <w:b/>
          <w:sz w:val="28"/>
          <w:szCs w:val="28"/>
        </w:rPr>
        <w:t xml:space="preserve">第一</w:t>
      </w:r>
      <w:bookmarkStart w:id="75" w:name="_Hlk136502621"/>
      <w:r>
        <w:rPr>
          <w:rFonts w:hint="eastAsia" w:cs="宋体" w:asciiTheme="minorEastAsia" w:hAnsiTheme="minorEastAsia" w:eastAsiaTheme="minorEastAsia"/>
          <w:b/>
          <w:sz w:val="28"/>
          <w:szCs w:val="28"/>
        </w:rPr>
        <w:t xml:space="preserve">部分</w:t>
      </w:r>
      <w:bookmarkEnd w:id="75"/>
      <w:r>
        <w:rPr>
          <w:rFonts w:hint="eastAsia" w:cs="宋体" w:asciiTheme="minorEastAsia" w:hAnsiTheme="minorEastAsia" w:eastAsiaTheme="minorEastAsia"/>
          <w:b/>
          <w:sz w:val="28"/>
          <w:szCs w:val="28"/>
        </w:rPr>
        <w:t xml:space="preserve">合同书</w:t>
      </w:r>
      <w:r/>
    </w:p>
    <w:p>
      <w:pPr>
        <w:pStyle w:val="2212"/>
        <w:rPr>
          <w:rFonts w:hint="eastAsia" w:cs="宋体" w:asciiTheme="minorEastAsia" w:hAnsiTheme="minorEastAsia" w:eastAsiaTheme="minorEastAsia"/>
          <w:szCs w:val="24"/>
        </w:rPr>
      </w:pPr>
      <w:r>
        <w:rPr>
          <w:rFonts w:hint="eastAsia" w:cs="宋体" w:asciiTheme="minorEastAsia" w:hAnsiTheme="minorEastAsia" w:eastAsiaTheme="minorEastAsia"/>
          <w:szCs w:val="24"/>
        </w:rPr>
      </w:r>
      <w:r/>
    </w:p>
    <w:p>
      <w:pPr>
        <w:pStyle w:val="2212"/>
        <w:rPr>
          <w:rFonts w:hint="eastAsia" w:cs="宋体" w:asciiTheme="minorEastAsia" w:hAnsiTheme="minorEastAsia" w:eastAsiaTheme="minorEastAsia"/>
          <w:szCs w:val="24"/>
        </w:rPr>
      </w:pPr>
      <w:r>
        <w:rPr>
          <w:rFonts w:hint="eastAsia" w:cs="宋体" w:asciiTheme="minorEastAsia" w:hAnsiTheme="minorEastAsia" w:eastAsiaTheme="minorEastAsia"/>
          <w:szCs w:val="24"/>
        </w:rPr>
      </w:r>
      <w:r/>
    </w:p>
    <w:p>
      <w:pPr>
        <w:spacing w:before="120" w:line="22" w:lineRule="atLeas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left="960"/>
        <w:spacing w:before="120" w:line="22" w:lineRule="atLeas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rPr>
          <w:rFonts w:hint="eastAsia" w:cs="宋体" w:asciiTheme="minorEastAsia" w:hAnsiTheme="minorEastAsia" w:eastAsiaTheme="minorEastAsia"/>
          <w:sz w:val="24"/>
          <w:u w:val="single"/>
        </w:rPr>
        <w:t xml:space="preserve">市属高中实验室改造及设备购置项目（标段    ）</w:t>
      </w:r>
      <w:r/>
    </w:p>
    <w:p>
      <w:pPr>
        <w:pStyle w:val="2460"/>
        <w:spacing w:before="120" w:line="22" w:lineRule="atLeast"/>
        <w:rPr>
          <w:rFonts w:hint="eastAsia" w:cs="宋体" w:asciiTheme="minorEastAsia" w:hAnsiTheme="minorEastAsia" w:eastAsiaTheme="minorEastAsia"/>
          <w:szCs w:val="24"/>
        </w:rPr>
      </w:pPr>
      <w:r>
        <w:rPr>
          <w:rFonts w:hint="eastAsia" w:cs="宋体" w:asciiTheme="minorEastAsia" w:hAnsiTheme="minorEastAsia" w:eastAsiaTheme="minorEastAsia"/>
          <w:szCs w:val="24"/>
        </w:rPr>
      </w:r>
      <w:r/>
    </w:p>
    <w:p>
      <w:pPr>
        <w:pStyle w:val="2460"/>
        <w:spacing w:before="120" w:line="22" w:lineRule="atLeast"/>
        <w:rPr>
          <w:rFonts w:hint="eastAsia" w:cs="宋体" w:asciiTheme="minorEastAsia" w:hAnsiTheme="minorEastAsia" w:eastAsiaTheme="minorEastAsia"/>
          <w:szCs w:val="24"/>
        </w:rPr>
      </w:pPr>
      <w:r>
        <w:rPr>
          <w:rFonts w:hint="eastAsia" w:cs="宋体" w:asciiTheme="minorEastAsia" w:hAnsiTheme="minorEastAsia" w:eastAsiaTheme="minorEastAsia"/>
          <w:szCs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left="960"/>
        <w:spacing w:before="120" w:line="22" w:lineRule="atLeast"/>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甲方：</w:t>
      </w:r>
      <w:r/>
    </w:p>
    <w:p>
      <w:pPr>
        <w:spacing w:before="120" w:line="22" w:lineRule="atLeas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left="960"/>
        <w:spacing w:before="120" w:line="22" w:lineRule="atLeas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乙方：</w:t>
      </w:r>
      <w:r/>
    </w:p>
    <w:p>
      <w:pPr>
        <w:ind w:left="960"/>
        <w:spacing w:before="120" w:line="22" w:lineRule="atLeas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left="960"/>
        <w:spacing w:before="120" w:line="22" w:lineRule="atLeas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见证方：</w:t>
      </w:r>
      <w:r/>
    </w:p>
    <w:p>
      <w:pPr>
        <w:spacing w:before="120" w:line="22" w:lineRule="atLeas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960"/>
        <w:spacing w:before="120" w:line="22" w:lineRule="atLeas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960"/>
        <w:spacing w:before="120" w:line="22" w:lineRule="atLeas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960"/>
        <w:spacing w:before="120" w:line="22" w:lineRule="atLeas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960"/>
        <w:spacing w:before="120" w:line="22" w:lineRule="atLeast"/>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签订日期： 年  月  日</w:t>
      </w:r>
      <w:bookmarkEnd w:id="74"/>
      <w:r/>
      <w:r/>
    </w:p>
    <w:p>
      <w:pPr>
        <w:jc w:val="left"/>
        <w:widowControl/>
        <w:rPr>
          <w:rFonts w:hint="eastAsia" w:cs="宋体" w:asciiTheme="minorEastAsia" w:hAnsiTheme="minorEastAsia" w:eastAsiaTheme="minorEastAsia"/>
          <w:sz w:val="24"/>
        </w:rPr>
        <w:sectPr>
          <w:footnotePr/>
          <w:endnotePr/>
          <w:type w:val="nextPage"/>
          <w:pgSz w:w="11907" w:h="16840" w:orient="portrait"/>
          <w:pgMar w:top="720" w:right="720" w:bottom="720" w:left="720" w:header="851" w:footer="851" w:gutter="0"/>
          <w:cols w:num="1" w:sep="0" w:space="720" w:equalWidth="1"/>
          <w:docGrid w:linePitch="360"/>
        </w:sectPr>
      </w:pPr>
      <w:r>
        <w:rPr>
          <w:rFonts w:hint="eastAsia" w:cs="宋体" w:asciiTheme="minorEastAsia" w:hAnsiTheme="minorEastAsia" w:eastAsiaTheme="minorEastAsia"/>
          <w:sz w:val="24"/>
        </w:rPr>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根据《中华人民共和国民法典》《中华人民共和国政府采购法》等相关法律法规之规定和</w:t>
      </w:r>
      <w:r>
        <w:rPr>
          <w:rFonts w:hint="eastAsia" w:cs="宋体" w:asciiTheme="minorEastAsia" w:hAnsiTheme="minorEastAsia" w:eastAsiaTheme="minorEastAsia"/>
          <w:sz w:val="24"/>
          <w:u w:val="single"/>
        </w:rPr>
        <w:t xml:space="preserve"> 市属高中实验室改造及设备购置项目（标段    ）</w:t>
      </w:r>
      <w:r>
        <w:rPr>
          <w:rFonts w:hint="eastAsia" w:cs="宋体" w:asciiTheme="minorEastAsia" w:hAnsiTheme="minorEastAsia" w:eastAsiaTheme="minorEastAsia"/>
          <w:sz w:val="24"/>
        </w:rPr>
        <w:t xml:space="preserve">的招标结果，</w:t>
      </w:r>
      <w:r>
        <w:rPr>
          <w:rFonts w:hint="eastAsia" w:cs="宋体" w:asciiTheme="minorEastAsia" w:hAnsiTheme="minorEastAsia" w:eastAsiaTheme="minorEastAsia"/>
          <w:sz w:val="24"/>
          <w:lang w:val="zh-CN"/>
        </w:rPr>
        <w:t xml:space="preserve">按照平等、自愿、公平、诚实信用和绿色的原则，经甲方和乙方协商一致，</w:t>
      </w:r>
      <w:r>
        <w:rPr>
          <w:rFonts w:hint="eastAsia" w:cs="宋体" w:asciiTheme="minorEastAsia" w:hAnsiTheme="minorEastAsia" w:eastAsiaTheme="minorEastAsia"/>
          <w:sz w:val="24"/>
        </w:rPr>
        <w:t xml:space="preserve">在见证方的见证下，</w:t>
      </w:r>
      <w:r>
        <w:rPr>
          <w:rFonts w:hint="eastAsia" w:cs="宋体" w:asciiTheme="minorEastAsia" w:hAnsiTheme="minorEastAsia" w:eastAsiaTheme="minorEastAsia"/>
          <w:sz w:val="24"/>
          <w:lang w:val="zh-CN"/>
        </w:rPr>
        <w:t xml:space="preserve">约定以下合同</w:t>
      </w:r>
      <w:r>
        <w:rPr>
          <w:rFonts w:hint="eastAsia" w:cs="宋体" w:asciiTheme="minorEastAsia" w:hAnsiTheme="minorEastAsia" w:eastAsiaTheme="minorEastAsia"/>
          <w:sz w:val="24"/>
        </w:rPr>
        <w:t xml:space="preserve">条款,以兹共同遵守、全面履行。</w:t>
      </w:r>
      <w:r/>
    </w:p>
    <w:p>
      <w:pPr>
        <w:ind w:firstLine="482"/>
        <w:spacing w:line="360" w:lineRule="auto"/>
        <w:rPr>
          <w:rFonts w:hint="eastAsia" w:cs="宋体" w:asciiTheme="minorEastAsia" w:hAnsiTheme="minorEastAsia" w:eastAsiaTheme="minorEastAsia"/>
          <w:b/>
          <w:sz w:val="24"/>
        </w:rPr>
      </w:pPr>
      <w:r/>
      <w:bookmarkStart w:id="76" w:name="_Toc24059"/>
      <w:r/>
      <w:bookmarkStart w:id="77" w:name="_Toc2232"/>
      <w:r/>
      <w:bookmarkStart w:id="78" w:name="_Toc3029"/>
      <w:r>
        <w:rPr>
          <w:rFonts w:hint="eastAsia" w:cs="宋体" w:asciiTheme="minorEastAsia" w:hAnsiTheme="minorEastAsia" w:eastAsiaTheme="minorEastAsia"/>
          <w:b/>
          <w:sz w:val="24"/>
        </w:rPr>
        <w:t xml:space="preserve">1.1合同组成部分</w:t>
      </w:r>
      <w:bookmarkEnd w:id="76"/>
      <w:r/>
      <w:bookmarkEnd w:id="77"/>
      <w:r/>
      <w:bookmarkEnd w:id="78"/>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2"/>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b/>
          <w:sz w:val="24"/>
        </w:rPr>
        <w:t xml:space="preserve">1</w:t>
      </w:r>
      <w:r>
        <w:rPr>
          <w:rFonts w:hint="eastAsia" w:cs="宋体" w:asciiTheme="minorEastAsia" w:hAnsiTheme="minorEastAsia" w:eastAsiaTheme="minorEastAsia"/>
          <w:sz w:val="24"/>
        </w:rPr>
        <w:t xml:space="preserve">.1.1本合同第一部分、第二部分、第三部分及其补充合同、变更协议；</w:t>
      </w:r>
      <w:r/>
    </w:p>
    <w:p>
      <w:pPr>
        <w:ind w:firstLine="482"/>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b/>
          <w:sz w:val="24"/>
        </w:rPr>
        <w:t xml:space="preserve">1</w:t>
      </w:r>
      <w:r>
        <w:rPr>
          <w:rFonts w:hint="eastAsia" w:cs="宋体" w:asciiTheme="minorEastAsia" w:hAnsiTheme="minorEastAsia" w:eastAsiaTheme="minorEastAsia"/>
          <w:sz w:val="24"/>
        </w:rPr>
        <w:t xml:space="preserve">.1.2中标或者成交通知书；</w:t>
      </w:r>
      <w:r/>
    </w:p>
    <w:p>
      <w:pPr>
        <w:ind w:firstLine="482"/>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b/>
          <w:sz w:val="24"/>
        </w:rPr>
        <w:t xml:space="preserve">1</w:t>
      </w:r>
      <w:r>
        <w:rPr>
          <w:rFonts w:hint="eastAsia" w:cs="宋体" w:asciiTheme="minorEastAsia" w:hAnsiTheme="minorEastAsia" w:eastAsiaTheme="minorEastAsia"/>
          <w:sz w:val="24"/>
        </w:rPr>
        <w:t xml:space="preserve">.1.3投标或者响应文件（含澄清或者说明文件）；</w:t>
      </w:r>
      <w:r/>
    </w:p>
    <w:p>
      <w:pPr>
        <w:ind w:firstLine="482"/>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b/>
          <w:sz w:val="24"/>
        </w:rPr>
        <w:t xml:space="preserve">1</w:t>
      </w:r>
      <w:r>
        <w:rPr>
          <w:rFonts w:hint="eastAsia" w:cs="宋体" w:asciiTheme="minorEastAsia" w:hAnsiTheme="minorEastAsia" w:eastAsiaTheme="minorEastAsia"/>
          <w:sz w:val="24"/>
        </w:rPr>
        <w:t xml:space="preserve">.1.4招标文件（含澄清或者修改文件）；</w:t>
      </w:r>
      <w:r/>
    </w:p>
    <w:p>
      <w:pPr>
        <w:ind w:firstLine="482"/>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b/>
          <w:sz w:val="24"/>
        </w:rPr>
        <w:t xml:space="preserve">1</w:t>
      </w:r>
      <w:r>
        <w:rPr>
          <w:rFonts w:hint="eastAsia" w:cs="宋体" w:asciiTheme="minorEastAsia" w:hAnsiTheme="minorEastAsia" w:eastAsiaTheme="minorEastAsia"/>
          <w:sz w:val="24"/>
        </w:rPr>
        <w:t xml:space="preserve">.1.5其他相关招标文件。</w:t>
      </w:r>
      <w:r/>
    </w:p>
    <w:p>
      <w:pPr>
        <w:ind w:firstLine="482"/>
        <w:spacing w:line="360" w:lineRule="auto"/>
        <w:rPr>
          <w:rFonts w:hint="eastAsia" w:cs="宋体" w:asciiTheme="minorEastAsia" w:hAnsiTheme="minorEastAsia" w:eastAsiaTheme="minorEastAsia"/>
          <w:b/>
          <w:sz w:val="24"/>
        </w:rPr>
      </w:pPr>
      <w:r/>
      <w:bookmarkStart w:id="79" w:name="_Toc24300"/>
      <w:r/>
      <w:bookmarkStart w:id="80" w:name="_Toc21295"/>
      <w:r/>
      <w:bookmarkStart w:id="81" w:name="_Toc27126"/>
      <w:r>
        <w:rPr>
          <w:rFonts w:hint="eastAsia" w:cs="宋体" w:asciiTheme="minorEastAsia" w:hAnsiTheme="minorEastAsia" w:eastAsiaTheme="minorEastAsia"/>
          <w:b/>
          <w:sz w:val="24"/>
        </w:rPr>
        <w:t xml:space="preserve">1.2货物</w:t>
      </w:r>
      <w:bookmarkEnd w:id="79"/>
      <w:r/>
      <w:bookmarkEnd w:id="80"/>
      <w:r/>
      <w:bookmarkEnd w:id="81"/>
      <w:r>
        <w:rPr>
          <w:rFonts w:hint="eastAsia" w:cs="宋体" w:asciiTheme="minorEastAsia" w:hAnsiTheme="minorEastAsia" w:eastAsiaTheme="minorEastAsia"/>
          <w:b/>
          <w:i/>
          <w:iCs/>
          <w:sz w:val="24"/>
        </w:rPr>
        <w:t xml:space="preserve">（可附货物清单）</w:t>
      </w:r>
      <w:r/>
    </w:p>
    <w:p>
      <w:pPr>
        <w:ind w:firstLine="482"/>
        <w:spacing w:line="360" w:lineRule="auto"/>
        <w:rPr>
          <w:rFonts w:hint="eastAsia" w:cs="宋体" w:asciiTheme="minorEastAsia" w:hAnsiTheme="minorEastAsia" w:eastAsiaTheme="minorEastAsia"/>
          <w:b/>
          <w:sz w:val="24"/>
        </w:rPr>
      </w:pPr>
      <w:r/>
      <w:bookmarkStart w:id="82" w:name="_Toc21631"/>
      <w:r/>
      <w:bookmarkStart w:id="83" w:name="_Toc21551"/>
      <w:r/>
      <w:bookmarkStart w:id="84" w:name="_Toc23292"/>
      <w:r>
        <w:rPr>
          <w:rFonts w:hint="eastAsia" w:cs="宋体" w:asciiTheme="minorEastAsia" w:hAnsiTheme="minorEastAsia" w:eastAsiaTheme="minorEastAsia"/>
          <w:b/>
          <w:sz w:val="24"/>
        </w:rPr>
        <w:t xml:space="preserve">1.</w:t>
      </w:r>
      <w:r>
        <w:rPr>
          <w:rFonts w:cs="宋体" w:asciiTheme="minorEastAsia" w:hAnsiTheme="minorEastAsia" w:eastAsiaTheme="minorEastAsia"/>
          <w:b/>
          <w:sz w:val="24"/>
        </w:rPr>
        <w:t xml:space="preserve">3</w:t>
      </w:r>
      <w:r>
        <w:rPr>
          <w:rFonts w:hint="eastAsia" w:cs="宋体" w:asciiTheme="minorEastAsia" w:hAnsiTheme="minorEastAsia" w:eastAsiaTheme="minorEastAsia"/>
          <w:b/>
          <w:sz w:val="24"/>
        </w:rPr>
        <w:t xml:space="preserve"> 服务</w:t>
      </w:r>
      <w:r>
        <w:rPr>
          <w:rFonts w:hint="eastAsia" w:cs="宋体" w:asciiTheme="minorEastAsia" w:hAnsiTheme="minorEastAsia" w:eastAsiaTheme="minorEastAsia"/>
          <w:b/>
          <w:i/>
          <w:iCs/>
          <w:sz w:val="24"/>
        </w:rPr>
        <w:t xml:space="preserve">（可附服务清单）</w:t>
      </w:r>
      <w:r/>
    </w:p>
    <w:p>
      <w:pPr>
        <w:ind w:firstLine="480"/>
        <w:spacing w:line="360" w:lineRule="auto"/>
        <w:rPr>
          <w:rFonts w:hint="eastAsia" w:cs="宋体" w:asciiTheme="minorEastAsia" w:hAnsiTheme="minorEastAsia" w:eastAsiaTheme="minorEastAsia"/>
          <w:sz w:val="24"/>
          <w:u w:val="single"/>
        </w:rPr>
      </w:pPr>
      <w:r>
        <w:rPr>
          <w:rFonts w:cs="宋体" w:asciiTheme="minorEastAsia" w:hAnsiTheme="minorEastAsia" w:eastAsiaTheme="minorEastAsia"/>
          <w:sz w:val="24"/>
        </w:rPr>
        <w:t xml:space="preserve">1.3.1</w:t>
      </w:r>
      <w:r>
        <w:rPr>
          <w:rFonts w:hint="eastAsia" w:cs="宋体" w:asciiTheme="minorEastAsia" w:hAnsiTheme="minorEastAsia" w:eastAsiaTheme="minorEastAsia"/>
          <w:sz w:val="24"/>
        </w:rPr>
        <w:t xml:space="preserve">服务内容</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市属高中实验室改造及设备购置项目(标段    ）</w:t>
      </w:r>
      <w:r>
        <w:rPr>
          <w:rFonts w:hint="eastAsia" w:cs="宋体" w:asciiTheme="minorEastAsia" w:hAnsiTheme="minorEastAsia" w:eastAsiaTheme="minorEastAsia"/>
          <w:sz w:val="24"/>
        </w:rPr>
        <w:t xml:space="preserve">；</w:t>
      </w:r>
      <w:r/>
    </w:p>
    <w:p>
      <w:pPr>
        <w:ind w:firstLine="480"/>
        <w:spacing w:line="360" w:lineRule="auto"/>
        <w:rPr>
          <w:rFonts w:hint="eastAsia" w:cs="宋体" w:asciiTheme="minorEastAsia" w:hAnsiTheme="minorEastAsia" w:eastAsiaTheme="minorEastAsia"/>
          <w:sz w:val="24"/>
          <w:u w:val="single"/>
        </w:rPr>
      </w:pPr>
      <w:r>
        <w:rPr>
          <w:rFonts w:cs="宋体" w:asciiTheme="minorEastAsia" w:hAnsiTheme="minorEastAsia" w:eastAsiaTheme="minorEastAsia"/>
          <w:sz w:val="24"/>
        </w:rPr>
        <w:t xml:space="preserve">1.3.2</w:t>
      </w:r>
      <w:r>
        <w:rPr>
          <w:rFonts w:hint="eastAsia" w:cs="宋体" w:asciiTheme="minorEastAsia" w:hAnsiTheme="minorEastAsia" w:eastAsiaTheme="minorEastAsia"/>
          <w:sz w:val="24"/>
        </w:rPr>
        <w:t xml:space="preserve">服务标准</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详见采购需求中相关要求             </w:t>
      </w:r>
      <w:r>
        <w:rPr>
          <w:rFonts w:hint="eastAsia" w:cs="宋体" w:asciiTheme="minorEastAsia" w:hAnsiTheme="minorEastAsia" w:eastAsiaTheme="minorEastAsia"/>
          <w:sz w:val="24"/>
        </w:rPr>
        <w:t xml:space="preserve">；</w:t>
      </w:r>
      <w:r/>
    </w:p>
    <w:p>
      <w:pPr>
        <w:ind w:firstLine="480"/>
        <w:spacing w:line="360" w:lineRule="auto"/>
        <w:rPr>
          <w:rFonts w:hint="eastAsia" w:cs="宋体" w:asciiTheme="minorEastAsia" w:hAnsiTheme="minorEastAsia" w:eastAsiaTheme="minorEastAsia"/>
          <w:sz w:val="24"/>
          <w:u w:val="single"/>
        </w:rPr>
      </w:pPr>
      <w:r>
        <w:rPr>
          <w:rFonts w:cs="宋体" w:asciiTheme="minorEastAsia" w:hAnsiTheme="minorEastAsia" w:eastAsiaTheme="minorEastAsia"/>
          <w:sz w:val="24"/>
        </w:rPr>
        <w:t xml:space="preserve">1.3.3</w:t>
      </w:r>
      <w:r>
        <w:rPr>
          <w:rFonts w:hint="eastAsia" w:cs="宋体" w:asciiTheme="minorEastAsia" w:hAnsiTheme="minorEastAsia" w:eastAsiaTheme="minorEastAsia"/>
          <w:sz w:val="24"/>
        </w:rPr>
        <w:t xml:space="preserve">技术保障：</w:t>
      </w:r>
      <w:r>
        <w:rPr>
          <w:rFonts w:hint="eastAsia" w:cs="宋体" w:asciiTheme="minorEastAsia" w:hAnsiTheme="minorEastAsia" w:eastAsiaTheme="minorEastAsia"/>
          <w:sz w:val="24"/>
          <w:u w:val="single"/>
        </w:rPr>
        <w:t xml:space="preserve">详见采购需求中相关要求    </w:t>
      </w:r>
      <w:r>
        <w:rPr>
          <w:rFonts w:cs="宋体" w:asciiTheme="minorEastAsia" w:hAnsiTheme="minorEastAsia" w:eastAsiaTheme="minorEastAsia"/>
          <w:sz w:val="24"/>
          <w:u w:val="single"/>
        </w:rPr>
        <w:t xml:space="preserve">   　      </w:t>
      </w:r>
      <w:r>
        <w:rPr>
          <w:rFonts w:hint="eastAsia" w:cs="宋体" w:asciiTheme="minorEastAsia" w:hAnsiTheme="minorEastAsia" w:eastAsiaTheme="minorEastAsia"/>
          <w:sz w:val="24"/>
          <w:u w:val="single"/>
        </w:rPr>
        <w:t xml:space="preserve">；</w:t>
      </w:r>
      <w:r/>
    </w:p>
    <w:p>
      <w:pPr>
        <w:ind w:firstLine="480"/>
        <w:jc w:val="left"/>
        <w:spacing w:line="360" w:lineRule="auto"/>
        <w:rPr>
          <w:rFonts w:hint="eastAsia" w:cs="宋体" w:asciiTheme="minorEastAsia" w:hAnsiTheme="minorEastAsia" w:eastAsiaTheme="minorEastAsia"/>
          <w:i/>
          <w:iCs/>
          <w:sz w:val="24"/>
          <w:u w:val="single"/>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.4服务人员组成：</w:t>
      </w:r>
      <w:r>
        <w:rPr>
          <w:rFonts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p>
    <w:p>
      <w:pPr>
        <w:ind w:firstLine="482"/>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1.</w:t>
      </w:r>
      <w:r>
        <w:rPr>
          <w:rFonts w:cs="宋体" w:asciiTheme="minorEastAsia" w:hAnsiTheme="minorEastAsia" w:eastAsiaTheme="minorEastAsia"/>
          <w:b/>
          <w:sz w:val="24"/>
        </w:rPr>
        <w:t xml:space="preserve">4</w:t>
      </w:r>
      <w:bookmarkEnd w:id="82"/>
      <w:r/>
      <w:bookmarkEnd w:id="83"/>
      <w:r/>
      <w:bookmarkEnd w:id="84"/>
      <w:r>
        <w:rPr>
          <w:rFonts w:hint="eastAsia" w:cs="宋体" w:asciiTheme="minorEastAsia" w:hAnsiTheme="minorEastAsia" w:eastAsiaTheme="minorEastAsia"/>
          <w:b/>
          <w:sz w:val="24"/>
        </w:rPr>
        <w:t xml:space="preserve">合同金额</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cs="宋体" w:asciiTheme="minorEastAsia" w:hAnsiTheme="minorEastAsia" w:eastAsiaTheme="minorEastAsia"/>
          <w:sz w:val="24"/>
          <w:u w:val="single"/>
        </w:rPr>
        <w:t xml:space="preserve">  1.4.1 </w:t>
      </w:r>
      <w:r>
        <w:rPr>
          <w:rFonts w:hint="eastAsia" w:cs="宋体" w:asciiTheme="minorEastAsia" w:hAnsiTheme="minorEastAsia" w:eastAsiaTheme="minorEastAsia"/>
          <w:sz w:val="24"/>
        </w:rPr>
        <w:t xml:space="preserve">条款规定的计价方式计价。</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.1总价合同。本合同总价（含税）为：¥/元（大写：/元人民币）。</w:t>
      </w:r>
      <w:r/>
    </w:p>
    <w:p>
      <w:pPr>
        <w:ind w:firstLine="480"/>
        <w:spacing w:line="360" w:lineRule="auto"/>
        <w:rPr>
          <w:rFonts w:hint="eastAsia" w:cs="宋体" w:asciiTheme="minorEastAsia" w:hAnsiTheme="minorEastAsia" w:eastAsiaTheme="minorEastAsia"/>
          <w:sz w:val="24"/>
        </w:rPr>
      </w:pPr>
      <w:r/>
      <w:bookmarkStart w:id="85" w:name="_Hlk134193576"/>
      <w:r/>
      <w:bookmarkStart w:id="86" w:name="_Toc14993"/>
      <w:r/>
      <w:bookmarkStart w:id="87" w:name="_Toc26916"/>
      <w:r/>
      <w:bookmarkStart w:id="88" w:name="_Toc30158"/>
      <w:r/>
      <w:bookmarkStart w:id="89" w:name="_Toc3654"/>
      <w:r/>
      <w:bookmarkStart w:id="90" w:name="_Toc30506"/>
      <w:r/>
      <w:bookmarkStart w:id="91" w:name="_Toc22618"/>
      <w:r/>
      <w:bookmarkStart w:id="92" w:name="_Toc10340"/>
      <w:r/>
      <w:bookmarkStart w:id="93" w:name="_Toc1814"/>
      <w:r>
        <w:rPr>
          <w:rFonts w:hint="eastAsia" w:cs="宋体" w:asciiTheme="minorEastAsia" w:hAnsiTheme="minorEastAsia" w:eastAsiaTheme="minorEastAsia"/>
          <w:bCs/>
          <w:sz w:val="24"/>
        </w:rPr>
        <w:t xml:space="preserve">1.</w:t>
      </w:r>
      <w:r>
        <w:rPr>
          <w:rFonts w:cs="宋体" w:asciiTheme="minorEastAsia" w:hAnsiTheme="minorEastAsia" w:eastAsiaTheme="minorEastAsia"/>
          <w:bCs/>
          <w:sz w:val="24"/>
        </w:rPr>
        <w:t xml:space="preserve">4</w:t>
      </w:r>
      <w:r>
        <w:rPr>
          <w:rFonts w:hint="eastAsia" w:cs="宋体" w:asciiTheme="minorEastAsia" w:hAnsiTheme="minorEastAsia" w:eastAsiaTheme="minorEastAsia"/>
          <w:bCs/>
          <w:sz w:val="24"/>
        </w:rPr>
        <w:t xml:space="preserve">.2</w:t>
      </w:r>
      <w:bookmarkEnd w:id="85"/>
      <w:r>
        <w:rPr>
          <w:rFonts w:hint="eastAsia" w:cs="宋体" w:asciiTheme="minorEastAsia" w:hAnsiTheme="minorEastAsia" w:eastAsiaTheme="minorEastAsia"/>
          <w:bCs/>
          <w:sz w:val="24"/>
        </w:rPr>
        <w:t xml:space="preserve">单价合同，本合同单价（含税）标准为：</w:t>
      </w:r>
      <w:r>
        <w:rPr>
          <w:rFonts w:hint="eastAsia" w:cs="宋体" w:asciiTheme="minorEastAsia" w:hAnsiTheme="minorEastAsia" w:eastAsiaTheme="minorEastAsia"/>
          <w:sz w:val="24"/>
        </w:rPr>
        <w:t xml:space="preserve">计量方式为：</w:t>
      </w:r>
      <w:r>
        <w:rPr>
          <w:rFonts w:hint="eastAsia" w:cs="宋体" w:asciiTheme="minorEastAsia" w:hAnsiTheme="minorEastAsia" w:eastAsiaTheme="minorEastAsia"/>
          <w:b/>
          <w:iCs/>
          <w:sz w:val="24"/>
          <w:u w:val="single"/>
        </w:rPr>
        <w:t xml:space="preserve">合同专用条款</w:t>
      </w:r>
      <w:r>
        <w:rPr>
          <w:rFonts w:hint="eastAsia" w:cs="宋体" w:asciiTheme="minorEastAsia" w:hAnsiTheme="minorEastAsia" w:eastAsiaTheme="minorEastAsia"/>
          <w:bCs/>
          <w:iCs/>
          <w:sz w:val="24"/>
          <w:u w:val="single"/>
        </w:rPr>
        <w:t xml:space="preserve"> 1.</w:t>
      </w:r>
      <w:r>
        <w:rPr>
          <w:rFonts w:cs="宋体" w:asciiTheme="minorEastAsia" w:hAnsiTheme="minorEastAsia" w:eastAsiaTheme="minorEastAsia"/>
          <w:bCs/>
          <w:iCs/>
          <w:sz w:val="24"/>
          <w:u w:val="single"/>
        </w:rPr>
        <w:t xml:space="preserve">4</w:t>
      </w:r>
      <w:r>
        <w:rPr>
          <w:rFonts w:hint="eastAsia" w:cs="宋体" w:asciiTheme="minorEastAsia" w:hAnsiTheme="minorEastAsia" w:eastAsiaTheme="minorEastAsia"/>
          <w:bCs/>
          <w:iCs/>
          <w:sz w:val="24"/>
          <w:u w:val="single"/>
        </w:rPr>
        <w:t xml:space="preserve">.2</w:t>
      </w:r>
      <w:r>
        <w:rPr>
          <w:rFonts w:cs="宋体" w:asciiTheme="minorEastAsia" w:hAnsiTheme="minorEastAsia" w:eastAsiaTheme="minorEastAsia"/>
          <w:sz w:val="24"/>
        </w:rPr>
        <w:t xml:space="preserve">。</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.3其他计价方式：/</w:t>
      </w:r>
      <w:bookmarkEnd w:id="86"/>
      <w:r/>
      <w:bookmarkEnd w:id="87"/>
      <w:r/>
      <w:bookmarkEnd w:id="88"/>
      <w:r/>
      <w:bookmarkEnd w:id="89"/>
      <w:r/>
      <w:bookmarkEnd w:id="90"/>
      <w:r/>
      <w:r/>
    </w:p>
    <w:p>
      <w:pPr>
        <w:pStyle w:val="2454"/>
        <w:ind w:firstLine="480"/>
        <w:spacing w:before="0" w:beforeAutospacing="0" w:after="0" w:afterAutospacing="0" w:line="360" w:lineRule="auto"/>
        <w:rPr>
          <w:rFonts w:hint="eastAsia" w:asciiTheme="minorEastAsia" w:hAnsiTheme="minorEastAsia" w:eastAsiaTheme="minorEastAsia"/>
          <w:b/>
        </w:rPr>
      </w:pPr>
      <w:r>
        <w:rPr>
          <w:rFonts w:hint="eastAsia" w:asciiTheme="minorEastAsia" w:hAnsiTheme="minorEastAsia" w:eastAsiaTheme="minorEastAsia"/>
          <w:b/>
        </w:rPr>
        <w:t xml:space="preserve">1.</w:t>
      </w:r>
      <w:r>
        <w:rPr>
          <w:rFonts w:asciiTheme="minorEastAsia" w:hAnsiTheme="minorEastAsia" w:eastAsiaTheme="minorEastAsia"/>
          <w:b/>
        </w:rPr>
        <w:t xml:space="preserve">5</w:t>
      </w:r>
      <w:r>
        <w:rPr>
          <w:rFonts w:hint="eastAsia" w:asciiTheme="minorEastAsia" w:hAnsiTheme="minorEastAsia" w:eastAsiaTheme="minorEastAsia"/>
          <w:b/>
        </w:rPr>
        <w:t xml:space="preserve">履约保证金</w:t>
      </w:r>
      <w:r/>
    </w:p>
    <w:p>
      <w:pPr>
        <w:pStyle w:val="2454"/>
        <w:ind w:firstLine="480"/>
        <w:spacing w:before="0" w:beforeAutospacing="0" w:after="0" w:afterAutospacing="0" w:line="360" w:lineRule="auto"/>
        <w:rPr>
          <w:rFonts w:hint="eastAsia" w:asciiTheme="minorEastAsia" w:hAnsiTheme="minorEastAsia" w:eastAsiaTheme="minorEastAsia"/>
        </w:rPr>
      </w:pPr>
      <w:r>
        <w:rPr>
          <w:rFonts w:hint="eastAsia" w:asciiTheme="minorEastAsia" w:hAnsiTheme="minorEastAsia" w:eastAsiaTheme="minorEastAsia"/>
        </w:rPr>
        <w:t xml:space="preserve">乙方（</w:t>
      </w:r>
      <w:r>
        <w:rPr>
          <w:rFonts w:hint="eastAsia" w:asciiTheme="minorEastAsia" w:hAnsiTheme="minorEastAsia" w:eastAsiaTheme="minorEastAsia"/>
          <w:b/>
          <w:bCs/>
          <w:u w:val="single"/>
        </w:rPr>
        <w:t xml:space="preserve">否</w:t>
      </w:r>
      <w:r>
        <w:rPr>
          <w:rFonts w:hint="eastAsia" w:asciiTheme="minorEastAsia" w:hAnsiTheme="minorEastAsia" w:eastAsiaTheme="minorEastAsia"/>
        </w:rPr>
        <w:t xml:space="preserve">）需要支付履约保证金。若需要支付履约保证金的，则：</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.1履约保证金的比例为对应标段预算金额的5%；</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.2履约保证金支付方式详见</w:t>
      </w:r>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iCs/>
          <w:sz w:val="24"/>
          <w:u w:val="single"/>
        </w:rPr>
        <w:t xml:space="preserve">1.5.2</w:t>
      </w:r>
      <w:r>
        <w:rPr>
          <w:rFonts w:hint="eastAsia" w:cs="宋体" w:asciiTheme="minorEastAsia" w:hAnsiTheme="minorEastAsia" w:eastAsiaTheme="minorEastAsia"/>
          <w:sz w:val="24"/>
        </w:rPr>
        <w:t xml:space="preserve">；</w:t>
      </w:r>
      <w:r/>
    </w:p>
    <w:p>
      <w:pPr>
        <w:ind w:firstLine="480"/>
        <w:jc w:val="left"/>
        <w:spacing w:line="360" w:lineRule="auto"/>
        <w:tabs>
          <w:tab w:val="left" w:pos="0" w:leader="none"/>
        </w:tabs>
        <w:rPr>
          <w:rFonts w:hint="eastAsia" w:cs="宋体" w:asciiTheme="minorEastAsia" w:hAnsiTheme="minorEastAsia" w:eastAsiaTheme="minorEastAsia"/>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.3如果乙方不履行合同，履约保证金不予退还；如果乙方未能按合同约定全面履行义务，那么甲方有权从履约保证金中取得补偿或赔偿，同时不影响甲方要求乙方承担合同约定的超过履约</w:t>
      </w:r>
      <w:r>
        <w:rPr>
          <w:rFonts w:hint="eastAsia" w:cs="宋体" w:asciiTheme="minorEastAsia" w:hAnsiTheme="minorEastAsia" w:eastAsiaTheme="minorEastAsia"/>
          <w:sz w:val="24"/>
        </w:rPr>
        <w:t xml:space="preserve">保证金的违约责任的权利；</w:t>
      </w:r>
      <w:r/>
    </w:p>
    <w:p>
      <w:pPr>
        <w:ind w:firstLine="480"/>
        <w:spacing w:line="360" w:lineRule="auto"/>
        <w:rPr>
          <w:rFonts w:hint="eastAsia" w:cs="宋体" w:asciiTheme="minorEastAsia" w:hAnsiTheme="minorEastAsia" w:eastAsiaTheme="minorEastAsia"/>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.4甲方在项目验收结束后及时退还履约保证金。甲方在项目通过验</w:t>
      </w:r>
      <w:r>
        <w:rPr>
          <w:rFonts w:hint="eastAsia" w:cs="宋体" w:asciiTheme="minorEastAsia" w:hAnsiTheme="minorEastAsia" w:eastAsiaTheme="minorEastAsia"/>
          <w:sz w:val="24"/>
        </w:rPr>
        <w:tab/>
        <w:t xml:space="preserve">收之日起</w:t>
      </w:r>
      <w:r>
        <w:rPr>
          <w:rFonts w:cs="宋体" w:asciiTheme="minorEastAsia" w:hAnsiTheme="minorEastAsia" w:eastAsiaTheme="minorEastAsia"/>
          <w:sz w:val="24"/>
          <w:u w:val="single"/>
        </w:rPr>
        <w:t xml:space="preserve">5</w:t>
      </w:r>
      <w:r>
        <w:rPr>
          <w:rFonts w:hint="eastAsia" w:cs="宋体" w:asciiTheme="minorEastAsia" w:hAnsiTheme="minorEastAsia" w:eastAsiaTheme="minorEastAsia"/>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cs="宋体" w:asciiTheme="minorEastAsia" w:hAnsiTheme="minorEastAsia" w:eastAsiaTheme="minorEastAsia"/>
          <w:i/>
          <w:iCs/>
          <w:sz w:val="24"/>
          <w:u w:val="single"/>
        </w:rPr>
        <w:t xml:space="preserve">按同期银行活期存款利息</w:t>
      </w:r>
      <w:r>
        <w:rPr>
          <w:rFonts w:hint="eastAsia" w:cs="宋体" w:asciiTheme="minorEastAsia" w:hAnsiTheme="minorEastAsia" w:eastAsiaTheme="minorEastAsia"/>
          <w:sz w:val="24"/>
        </w:rPr>
        <w:t xml:space="preserve">计算，最高限额为本合同履约保证金的</w:t>
      </w:r>
      <w:r>
        <w:rPr>
          <w:rFonts w:hint="eastAsia" w:cs="宋体" w:asciiTheme="minorEastAsia" w:hAnsiTheme="minorEastAsia" w:eastAsiaTheme="minorEastAsia"/>
          <w:sz w:val="24"/>
          <w:u w:val="single"/>
        </w:rPr>
        <w:t xml:space="preserve">10</w:t>
      </w:r>
      <w:r>
        <w:rPr>
          <w:rFonts w:hint="eastAsia" w:cs="宋体" w:asciiTheme="minorEastAsia" w:hAnsiTheme="minorEastAsia" w:eastAsiaTheme="minorEastAsia"/>
          <w:sz w:val="24"/>
        </w:rPr>
        <w:t xml:space="preserve">%。</w:t>
      </w:r>
      <w:r/>
    </w:p>
    <w:p>
      <w:pPr>
        <w:ind w:firstLine="482"/>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1.</w:t>
      </w:r>
      <w:bookmarkEnd w:id="91"/>
      <w:r/>
      <w:bookmarkEnd w:id="92"/>
      <w:r/>
      <w:bookmarkEnd w:id="93"/>
      <w:r>
        <w:rPr>
          <w:rFonts w:cs="宋体" w:asciiTheme="minorEastAsia" w:hAnsiTheme="minorEastAsia" w:eastAsiaTheme="minorEastAsia"/>
          <w:b/>
          <w:sz w:val="24"/>
        </w:rPr>
        <w:t xml:space="preserve">6</w:t>
      </w:r>
      <w:r>
        <w:rPr>
          <w:rFonts w:hint="eastAsia" w:cs="宋体" w:asciiTheme="minorEastAsia" w:hAnsiTheme="minorEastAsia" w:eastAsiaTheme="minorEastAsia"/>
          <w:b/>
          <w:sz w:val="24"/>
        </w:rPr>
        <w:t xml:space="preserve">预付款</w:t>
      </w:r>
      <w:r/>
    </w:p>
    <w:p>
      <w:pPr>
        <w:pStyle w:val="2454"/>
        <w:ind w:firstLine="480"/>
        <w:spacing w:before="0" w:beforeAutospacing="0" w:after="0" w:afterAutospacing="0" w:line="360" w:lineRule="auto"/>
        <w:rPr>
          <w:rFonts w:hint="eastAsia" w:asciiTheme="minorEastAsia" w:hAnsiTheme="minorEastAsia" w:eastAsiaTheme="minorEastAsia"/>
        </w:rPr>
      </w:pPr>
      <w:r>
        <w:rPr>
          <w:rFonts w:hint="eastAsia" w:asciiTheme="minorEastAsia" w:hAnsiTheme="minorEastAsia" w:eastAsiaTheme="minorEastAsia"/>
        </w:rPr>
        <w:t xml:space="preserve">乙方（需要）甲方支付预付款。若需要支付预付款的，则：</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.1预付款比例、支付方式、时间详见</w:t>
      </w:r>
      <w:r>
        <w:rPr>
          <w:rFonts w:hint="eastAsia" w:cs="宋体" w:asciiTheme="minorEastAsia" w:hAnsiTheme="minorEastAsia" w:eastAsiaTheme="minorEastAsia"/>
          <w:b/>
          <w:iCs/>
          <w:sz w:val="24"/>
          <w:u w:val="single"/>
        </w:rPr>
        <w:t xml:space="preserve">合同专用条款</w:t>
      </w:r>
      <w:r>
        <w:rPr>
          <w:rFonts w:cs="宋体" w:asciiTheme="minorEastAsia" w:hAnsiTheme="minorEastAsia" w:eastAsiaTheme="minorEastAsia"/>
          <w:iCs/>
          <w:sz w:val="24"/>
          <w:u w:val="single"/>
        </w:rPr>
        <w:t xml:space="preserve">1.6.1</w:t>
      </w:r>
      <w:r>
        <w:rPr>
          <w:rFonts w:hint="eastAsia" w:cs="宋体" w:asciiTheme="minorEastAsia" w:hAnsiTheme="minorEastAsia" w:eastAsiaTheme="minorEastAsia"/>
          <w:sz w:val="24"/>
        </w:rPr>
        <w:t xml:space="preserve">；</w:t>
      </w:r>
      <w:r/>
    </w:p>
    <w:p>
      <w:pPr>
        <w:pStyle w:val="2454"/>
        <w:ind w:firstLine="480"/>
        <w:spacing w:before="0" w:beforeAutospacing="0" w:after="0" w:afterAutospacing="0"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1.</w:t>
      </w:r>
      <w:r>
        <w:rPr>
          <w:rFonts w:asciiTheme="minorEastAsia" w:hAnsiTheme="minorEastAsia" w:eastAsiaTheme="minorEastAsia"/>
          <w:b/>
          <w:bCs/>
        </w:rPr>
        <w:t xml:space="preserve">7</w:t>
      </w:r>
      <w:r>
        <w:rPr>
          <w:rFonts w:hint="eastAsia" w:asciiTheme="minorEastAsia" w:hAnsiTheme="minorEastAsia" w:eastAsiaTheme="minorEastAsia"/>
          <w:b/>
          <w:bCs/>
        </w:rPr>
        <w:t xml:space="preserve">资金支付</w:t>
      </w:r>
      <w:r/>
    </w:p>
    <w:p>
      <w:pPr>
        <w:pStyle w:val="2454"/>
        <w:ind w:firstLine="480"/>
        <w:spacing w:before="0" w:beforeAutospacing="0" w:after="0" w:afterAutospacing="0" w:line="360" w:lineRule="auto"/>
        <w:rPr>
          <w:rFonts w:hint="eastAsia" w:asciiTheme="minorEastAsia" w:hAnsiTheme="minorEastAsia" w:eastAsiaTheme="minorEastAsia"/>
        </w:rPr>
      </w:pPr>
      <w:r>
        <w:rPr>
          <w:rFonts w:hint="eastAsia" w:asciiTheme="minorEastAsia" w:hAnsiTheme="minorEastAsia" w:eastAsiaTheme="minorEastAsia"/>
        </w:rPr>
        <w:t xml:space="preserve">1.</w:t>
      </w:r>
      <w:r>
        <w:rPr>
          <w:rFonts w:asciiTheme="minorEastAsia" w:hAnsiTheme="minorEastAsia" w:eastAsiaTheme="minorEastAsia"/>
        </w:rPr>
        <w:t xml:space="preserve">7</w:t>
      </w:r>
      <w:r>
        <w:rPr>
          <w:rFonts w:hint="eastAsia" w:asciiTheme="minorEastAsia" w:hAnsiTheme="minorEastAsia" w:eastAsiaTheme="minorEastAsia"/>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7</w:t>
      </w:r>
      <w:r>
        <w:rPr>
          <w:rFonts w:hint="eastAsia" w:cs="宋体" w:asciiTheme="minorEastAsia" w:hAnsiTheme="minorEastAsia" w:eastAsiaTheme="minorEastAsia"/>
          <w:sz w:val="24"/>
        </w:rPr>
        <w:t xml:space="preserve">.2资金支付的方式、时间和条件详见</w:t>
      </w:r>
      <w:r>
        <w:rPr>
          <w:rFonts w:hint="eastAsia" w:cs="宋体" w:asciiTheme="minorEastAsia" w:hAnsiTheme="minorEastAsia" w:eastAsiaTheme="minorEastAsia"/>
          <w:b/>
          <w:iCs/>
          <w:sz w:val="24"/>
          <w:u w:val="single"/>
        </w:rPr>
        <w:t xml:space="preserve">合同专用条款1</w:t>
      </w:r>
      <w:r>
        <w:rPr>
          <w:rFonts w:cs="宋体" w:asciiTheme="minorEastAsia" w:hAnsiTheme="minorEastAsia" w:eastAsiaTheme="minorEastAsia"/>
          <w:b/>
          <w:iCs/>
          <w:sz w:val="24"/>
          <w:u w:val="single"/>
        </w:rPr>
        <w:t xml:space="preserve">.7.2</w:t>
      </w:r>
      <w:r>
        <w:rPr>
          <w:rFonts w:hint="eastAsia" w:cs="宋体" w:asciiTheme="minorEastAsia" w:hAnsiTheme="minorEastAsia" w:eastAsiaTheme="minorEastAsia"/>
          <w:iCs/>
          <w:sz w:val="24"/>
        </w:rPr>
        <w:t xml:space="preserve">。</w:t>
      </w:r>
      <w:r/>
    </w:p>
    <w:p>
      <w:pPr>
        <w:ind w:firstLine="482"/>
        <w:spacing w:line="360" w:lineRule="auto"/>
        <w:rPr>
          <w:rFonts w:hint="eastAsia" w:cs="宋体" w:asciiTheme="minorEastAsia" w:hAnsiTheme="minorEastAsia" w:eastAsiaTheme="minorEastAsia"/>
          <w:b/>
          <w:sz w:val="24"/>
        </w:rPr>
      </w:pPr>
      <w:r/>
      <w:bookmarkStart w:id="94" w:name="_Toc2846"/>
      <w:r/>
      <w:bookmarkStart w:id="95" w:name="_Toc32071"/>
      <w:r/>
      <w:bookmarkStart w:id="96" w:name="_Toc19304"/>
      <w:r>
        <w:rPr>
          <w:rFonts w:hint="eastAsia" w:cs="宋体" w:asciiTheme="minorEastAsia" w:hAnsiTheme="minorEastAsia" w:eastAsiaTheme="minorEastAsia"/>
          <w:b/>
          <w:sz w:val="24"/>
        </w:rPr>
        <w:t xml:space="preserve">1.</w:t>
      </w:r>
      <w:r>
        <w:rPr>
          <w:rFonts w:cs="宋体" w:asciiTheme="minorEastAsia" w:hAnsiTheme="minorEastAsia" w:eastAsiaTheme="minorEastAsia"/>
          <w:b/>
          <w:sz w:val="24"/>
        </w:rPr>
        <w:t xml:space="preserve">8</w:t>
      </w:r>
      <w:r>
        <w:rPr>
          <w:rFonts w:hint="eastAsia" w:cs="宋体" w:asciiTheme="minorEastAsia" w:hAnsiTheme="minorEastAsia" w:eastAsiaTheme="minorEastAsia"/>
          <w:b/>
          <w:sz w:val="24"/>
        </w:rPr>
        <w:t xml:space="preserve">货物（服务）交付期限、地点和方式</w:t>
      </w:r>
      <w:bookmarkEnd w:id="94"/>
      <w:r/>
      <w:bookmarkEnd w:id="95"/>
      <w:r/>
      <w:bookmarkEnd w:id="96"/>
      <w:r/>
      <w:r/>
    </w:p>
    <w:p>
      <w:pPr>
        <w:ind w:firstLine="480"/>
        <w:spacing w:line="360"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8</w:t>
      </w:r>
      <w:r>
        <w:rPr>
          <w:rFonts w:hint="eastAsia" w:cs="宋体" w:asciiTheme="minorEastAsia" w:hAnsiTheme="minorEastAsia" w:eastAsiaTheme="minorEastAsia"/>
          <w:sz w:val="24"/>
        </w:rPr>
        <w:t xml:space="preserve">.1交付期限：</w:t>
      </w:r>
      <w:bookmarkStart w:id="97" w:name="_Hlk134193824"/>
      <w:r>
        <w:rPr>
          <w:rFonts w:hint="eastAsia" w:cs="宋体" w:asciiTheme="minorEastAsia" w:hAnsiTheme="minorEastAsia" w:eastAsiaTheme="minorEastAsia"/>
          <w:sz w:val="24"/>
        </w:rPr>
        <w:t xml:space="preserve">详见</w:t>
      </w:r>
      <w:bookmarkEnd w:id="97"/>
      <w:r>
        <w:rPr>
          <w:rFonts w:hint="eastAsia" w:cs="宋体" w:asciiTheme="minorEastAsia" w:hAnsiTheme="minorEastAsia" w:eastAsiaTheme="minorEastAsia"/>
          <w:b/>
          <w:iCs/>
          <w:sz w:val="24"/>
          <w:u w:val="single"/>
        </w:rPr>
        <w:t xml:space="preserve">合同专用条款1</w:t>
      </w:r>
      <w:r>
        <w:rPr>
          <w:rFonts w:cs="宋体" w:asciiTheme="minorEastAsia" w:hAnsiTheme="minorEastAsia" w:eastAsiaTheme="minorEastAsia"/>
          <w:b/>
          <w:iCs/>
          <w:sz w:val="24"/>
          <w:u w:val="single"/>
        </w:rPr>
        <w:t xml:space="preserve">.8.1</w:t>
      </w:r>
      <w:r>
        <w:rPr>
          <w:rFonts w:hint="eastAsia" w:cs="宋体" w:asciiTheme="minorEastAsia" w:hAnsiTheme="minorEastAsia" w:eastAsiaTheme="minorEastAsia"/>
          <w:iCs/>
          <w:sz w:val="24"/>
        </w:rPr>
        <w:t xml:space="preserve">；</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8</w:t>
      </w:r>
      <w:r>
        <w:rPr>
          <w:rFonts w:hint="eastAsia" w:cs="宋体" w:asciiTheme="minorEastAsia" w:hAnsiTheme="minorEastAsia" w:eastAsiaTheme="minorEastAsia"/>
          <w:sz w:val="24"/>
        </w:rPr>
        <w:t xml:space="preserve">.2交付地点：详见</w:t>
      </w:r>
      <w:r>
        <w:rPr>
          <w:rFonts w:hint="eastAsia" w:cs="宋体" w:asciiTheme="minorEastAsia" w:hAnsiTheme="minorEastAsia" w:eastAsiaTheme="minorEastAsia"/>
          <w:b/>
          <w:iCs/>
          <w:sz w:val="24"/>
          <w:u w:val="single"/>
        </w:rPr>
        <w:t xml:space="preserve">合同专用条款1</w:t>
      </w:r>
      <w:r>
        <w:rPr>
          <w:rFonts w:cs="宋体" w:asciiTheme="minorEastAsia" w:hAnsiTheme="minorEastAsia" w:eastAsiaTheme="minorEastAsia"/>
          <w:b/>
          <w:iCs/>
          <w:sz w:val="24"/>
          <w:u w:val="single"/>
        </w:rPr>
        <w:t xml:space="preserve">.8.2</w:t>
      </w:r>
      <w:r>
        <w:rPr>
          <w:rFonts w:hint="eastAsia" w:cs="宋体" w:asciiTheme="minorEastAsia" w:hAnsiTheme="minorEastAsia" w:eastAsiaTheme="minorEastAsia"/>
          <w:iCs/>
          <w:sz w:val="24"/>
        </w:rPr>
        <w:t xml:space="preserve">；</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8</w:t>
      </w:r>
      <w:r>
        <w:rPr>
          <w:rFonts w:hint="eastAsia" w:cs="宋体" w:asciiTheme="minorEastAsia" w:hAnsiTheme="minorEastAsia" w:eastAsiaTheme="minorEastAsia"/>
          <w:sz w:val="24"/>
        </w:rPr>
        <w:t xml:space="preserve">.3交付方式：详见</w:t>
      </w:r>
      <w:r>
        <w:rPr>
          <w:rFonts w:hint="eastAsia" w:cs="宋体" w:asciiTheme="minorEastAsia" w:hAnsiTheme="minorEastAsia" w:eastAsiaTheme="minorEastAsia"/>
          <w:b/>
          <w:iCs/>
          <w:sz w:val="24"/>
          <w:u w:val="single"/>
        </w:rPr>
        <w:t xml:space="preserve">合同专用条款1</w:t>
      </w:r>
      <w:r>
        <w:rPr>
          <w:rFonts w:cs="宋体" w:asciiTheme="minorEastAsia" w:hAnsiTheme="minorEastAsia" w:eastAsiaTheme="minorEastAsia"/>
          <w:b/>
          <w:iCs/>
          <w:sz w:val="24"/>
          <w:u w:val="single"/>
        </w:rPr>
        <w:t xml:space="preserve">.8.3</w:t>
      </w:r>
      <w:r>
        <w:rPr>
          <w:rFonts w:hint="eastAsia" w:cs="宋体" w:asciiTheme="minorEastAsia" w:hAnsiTheme="minorEastAsia" w:eastAsiaTheme="minorEastAsia"/>
          <w:iCs/>
          <w:sz w:val="24"/>
        </w:rPr>
        <w:t xml:space="preserve">。</w:t>
      </w:r>
      <w:r/>
    </w:p>
    <w:p>
      <w:pPr>
        <w:ind w:firstLine="482"/>
        <w:spacing w:line="360" w:lineRule="auto"/>
        <w:rPr>
          <w:rFonts w:hint="eastAsia" w:cs="宋体" w:asciiTheme="minorEastAsia" w:hAnsiTheme="minorEastAsia" w:eastAsiaTheme="minorEastAsia"/>
          <w:b/>
          <w:sz w:val="24"/>
        </w:rPr>
      </w:pPr>
      <w:r/>
      <w:bookmarkStart w:id="98" w:name="_Toc27250"/>
      <w:r/>
      <w:bookmarkStart w:id="99" w:name="_Toc19554"/>
      <w:r/>
      <w:bookmarkStart w:id="100" w:name="_Toc21423"/>
      <w:r>
        <w:rPr>
          <w:rFonts w:hint="eastAsia" w:cs="宋体" w:asciiTheme="minorEastAsia" w:hAnsiTheme="minorEastAsia" w:eastAsiaTheme="minorEastAsia"/>
          <w:b/>
          <w:sz w:val="24"/>
        </w:rPr>
        <w:t xml:space="preserve">1.</w:t>
      </w:r>
      <w:r>
        <w:rPr>
          <w:rFonts w:cs="宋体" w:asciiTheme="minorEastAsia" w:hAnsiTheme="minorEastAsia" w:eastAsiaTheme="minorEastAsia"/>
          <w:b/>
          <w:sz w:val="24"/>
        </w:rPr>
        <w:t xml:space="preserve">9</w:t>
      </w:r>
      <w:r>
        <w:rPr>
          <w:rFonts w:hint="eastAsia" w:cs="宋体" w:asciiTheme="minorEastAsia" w:hAnsiTheme="minorEastAsia" w:eastAsiaTheme="minorEastAsia"/>
          <w:b/>
          <w:sz w:val="24"/>
        </w:rPr>
        <w:t xml:space="preserve">违约责任</w:t>
      </w:r>
      <w:bookmarkEnd w:id="98"/>
      <w:r/>
      <w:bookmarkEnd w:id="99"/>
      <w:r/>
      <w:bookmarkEnd w:id="100"/>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9</w:t>
      </w:r>
      <w:r>
        <w:rPr>
          <w:rFonts w:hint="eastAsia" w:cs="宋体" w:asciiTheme="minorEastAsia" w:hAnsiTheme="minorEastAsia" w:eastAsiaTheme="minorEastAsia"/>
          <w:sz w:val="24"/>
        </w:rPr>
        <w:t xml:space="preserve">.1除不可抗力外，如果乙方没有按照本合同约定的期限、地点和方式交付货物或服务，那么甲方可要求乙方支付违约金，每延迟一日，违约金按合同金额的</w:t>
      </w:r>
      <w:r>
        <w:rPr>
          <w:rFonts w:hint="eastAsia" w:cs="宋体" w:asciiTheme="minorEastAsia" w:hAnsiTheme="minorEastAsia" w:eastAsiaTheme="minorEastAsia"/>
          <w:sz w:val="24"/>
          <w:u w:val="single"/>
        </w:rPr>
        <w:t xml:space="preserve">0.2</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计算，最高限额为本合同金额的</w:t>
      </w:r>
      <w:r>
        <w:rPr>
          <w:rFonts w:hint="eastAsia"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迟延交付货物或服务的违约金计算数额达到前述最高限额之日起，甲方有权在要求乙方支付违约金的同时，书面通知乙方解除本合同；</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9</w:t>
      </w:r>
      <w:r>
        <w:rPr>
          <w:rFonts w:hint="eastAsia" w:cs="宋体" w:asciiTheme="minorEastAsia" w:hAnsiTheme="minorEastAsia" w:eastAsiaTheme="minorEastAsia"/>
          <w:sz w:val="24"/>
        </w:rPr>
        <w:t xml:space="preserve">.2除不可抗力外，如果甲方没有按照本合同约定的付款方式付款，乙方可要求甲方支付违约金，每延迟一日，违约金按应付而未付款的</w:t>
      </w:r>
      <w:r>
        <w:rPr>
          <w:rFonts w:hint="eastAsia" w:cs="宋体" w:asciiTheme="minorEastAsia" w:hAnsiTheme="minorEastAsia" w:eastAsiaTheme="minorEastAsia"/>
          <w:sz w:val="24"/>
          <w:u w:val="single"/>
        </w:rPr>
        <w:t xml:space="preserve">0.2</w:t>
      </w:r>
      <w:r>
        <w:rPr>
          <w:rFonts w:cs="宋体" w:asciiTheme="minorEastAsia" w:hAnsiTheme="minorEastAsia" w:eastAsiaTheme="minorEastAsia"/>
          <w:sz w:val="24"/>
        </w:rPr>
        <w:t xml:space="preserve">%计算，最高限额为本合同总价的</w:t>
      </w:r>
      <w:r>
        <w:rPr>
          <w:rFonts w:hint="eastAsia"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迟延付款的违约金计算数额达到前述最高限额之日起，乙方有权在要求甲方支付违约金的同时，书面通知甲方解除本合同；</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9</w:t>
      </w:r>
      <w:r>
        <w:rPr>
          <w:rFonts w:hint="eastAsia" w:cs="宋体" w:asciiTheme="minorEastAsia" w:hAnsiTheme="minorEastAsia" w:eastAsiaTheme="minorEastAsia"/>
          <w:sz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9</w:t>
      </w:r>
      <w:r>
        <w:rPr>
          <w:rFonts w:hint="eastAsia" w:cs="宋体" w:asciiTheme="minorEastAsia" w:hAnsiTheme="minorEastAsia" w:eastAsiaTheme="minorEastAsia"/>
          <w:sz w:val="24"/>
        </w:rPr>
        <w:t xml:space="preserve">.4除前述约定外，任何一方未能履行本合同约定的义务，对方当事人均有权要求继续履行、</w:t>
      </w:r>
      <w:r>
        <w:rPr>
          <w:rFonts w:hint="eastAsia" w:cs="宋体" w:asciiTheme="minorEastAsia" w:hAnsiTheme="minorEastAsia" w:eastAsiaTheme="minorEastAsia"/>
          <w:sz w:val="24"/>
        </w:rPr>
        <w:t xml:space="preserve">采取补救措施或者赔偿损失等，且对方当事人行使的任何权利救济方式均不视为其放弃了其他法定或者约定的权利救济方式；</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9</w:t>
      </w:r>
      <w:r>
        <w:rPr>
          <w:rFonts w:hint="eastAsia" w:cs="宋体" w:asciiTheme="minorEastAsia" w:hAnsiTheme="minorEastAsia" w:eastAsiaTheme="minorEastAsia"/>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hint="eastAsia" w:cs="宋体" w:asciiTheme="minorEastAsia" w:hAnsiTheme="minorEastAsia" w:eastAsiaTheme="minorEastAsia"/>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9</w:t>
      </w:r>
      <w:r>
        <w:rPr>
          <w:rFonts w:hint="eastAsia" w:cs="宋体" w:asciiTheme="minorEastAsia" w:hAnsiTheme="minorEastAsia" w:eastAsiaTheme="minorEastAsia"/>
          <w:sz w:val="24"/>
        </w:rPr>
        <w:t xml:space="preserve">.6违约责任</w:t>
      </w:r>
      <w:r>
        <w:rPr>
          <w:rFonts w:hint="eastAsia" w:cs="宋体" w:asciiTheme="minorEastAsia" w:hAnsiTheme="minorEastAsia" w:eastAsiaTheme="minorEastAsia"/>
          <w:b/>
          <w:iCs/>
          <w:sz w:val="24"/>
          <w:u w:val="single"/>
        </w:rPr>
        <w:t xml:space="preserve">合同专用条款1</w:t>
      </w:r>
      <w:r>
        <w:rPr>
          <w:rFonts w:cs="宋体" w:asciiTheme="minorEastAsia" w:hAnsiTheme="minorEastAsia" w:eastAsiaTheme="minorEastAsia"/>
          <w:b/>
          <w:iCs/>
          <w:sz w:val="24"/>
          <w:u w:val="single"/>
        </w:rPr>
        <w:t xml:space="preserve">.9.6</w:t>
      </w:r>
      <w:r>
        <w:rPr>
          <w:rFonts w:hint="eastAsia" w:cs="宋体" w:asciiTheme="minorEastAsia" w:hAnsiTheme="minorEastAsia" w:eastAsiaTheme="minorEastAsia"/>
          <w:sz w:val="24"/>
        </w:rPr>
        <w:t xml:space="preserve">约定其他责任的，从其约定。</w:t>
      </w:r>
      <w:r/>
    </w:p>
    <w:p>
      <w:pPr>
        <w:ind w:firstLine="482"/>
        <w:spacing w:line="360" w:lineRule="auto"/>
        <w:rPr>
          <w:rFonts w:hint="eastAsia" w:cs="宋体" w:asciiTheme="minorEastAsia" w:hAnsiTheme="minorEastAsia" w:eastAsiaTheme="minorEastAsia"/>
          <w:b/>
          <w:sz w:val="24"/>
        </w:rPr>
      </w:pPr>
      <w:r/>
      <w:bookmarkStart w:id="101" w:name="_Toc28375"/>
      <w:r/>
      <w:bookmarkStart w:id="102" w:name="_Toc15583"/>
      <w:r/>
      <w:bookmarkStart w:id="103" w:name="_Toc16021"/>
      <w:r>
        <w:rPr>
          <w:rFonts w:cs="宋体" w:asciiTheme="minorEastAsia" w:hAnsiTheme="minorEastAsia" w:eastAsiaTheme="minorEastAsia"/>
          <w:b/>
          <w:sz w:val="24"/>
        </w:rPr>
        <w:t xml:space="preserve">1.10</w:t>
      </w:r>
      <w:r>
        <w:rPr>
          <w:rFonts w:hint="eastAsia" w:cs="宋体" w:asciiTheme="minorEastAsia" w:hAnsiTheme="minorEastAsia" w:eastAsiaTheme="minorEastAsia"/>
          <w:b/>
          <w:sz w:val="24"/>
        </w:rPr>
        <w:t xml:space="preserve">合同争议的解决</w:t>
      </w:r>
      <w:bookmarkEnd w:id="101"/>
      <w:r/>
      <w:bookmarkEnd w:id="102"/>
      <w:r/>
      <w:bookmarkEnd w:id="103"/>
      <w:r/>
      <w:r/>
    </w:p>
    <w:p>
      <w:pPr>
        <w:ind w:firstLine="480"/>
        <w:jc w:val="lef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1.10.1本合同履行过程中发生的任何争议，双方当事人均可通过和解或者调解解决；不愿和解、调解或者和解、调解不成的，向</w:t>
      </w:r>
      <w:r>
        <w:rPr>
          <w:rFonts w:hint="eastAsia" w:cs="宋体" w:asciiTheme="minorEastAsia" w:hAnsiTheme="minorEastAsia" w:eastAsiaTheme="minorEastAsia"/>
          <w:b/>
          <w:sz w:val="24"/>
        </w:rPr>
        <w:t xml:space="preserve">甲方所在地</w:t>
      </w:r>
      <w:r>
        <w:rPr>
          <w:rFonts w:hint="eastAsia" w:cs="宋体" w:asciiTheme="minorEastAsia" w:hAnsiTheme="minorEastAsia" w:eastAsiaTheme="minorEastAsia"/>
          <w:sz w:val="24"/>
        </w:rPr>
        <w:t xml:space="preserve">人民法院起诉。</w:t>
      </w:r>
      <w:r/>
    </w:p>
    <w:p>
      <w:pPr>
        <w:ind w:firstLine="480"/>
        <w:jc w:val="left"/>
        <w:spacing w:line="360"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.2如对任何争议向人民法院提起诉讼，除争议事项或争议事项所涉及的条款外，双方应继续履行本合同项下的其它义务。</w:t>
      </w:r>
      <w:r/>
    </w:p>
    <w:p>
      <w:pPr>
        <w:ind w:firstLine="480"/>
        <w:spacing w:line="360"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1.11</w:t>
      </w:r>
      <w:r>
        <w:rPr>
          <w:rFonts w:hint="eastAsia" w:cs="宋体" w:asciiTheme="minorEastAsia" w:hAnsiTheme="minorEastAsia" w:eastAsiaTheme="minorEastAsia"/>
          <w:sz w:val="24"/>
        </w:rPr>
        <w:t xml:space="preserve">合同生效及其他</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1.11.1本合同自双方当事人盖章时生效。</w:t>
      </w:r>
      <w:r/>
    </w:p>
    <w:p>
      <w:pPr>
        <w:ind w:firstLine="480"/>
        <w:jc w:val="left"/>
        <w:spacing w:line="360" w:lineRule="auto"/>
        <w:widowControl/>
        <w:rPr>
          <w:rFonts w:hint="eastAsia" w:cs="宋体" w:asciiTheme="minorEastAsia" w:hAnsiTheme="minorEastAsia" w:eastAsiaTheme="minorEastAsia"/>
        </w:rPr>
      </w:pPr>
      <w:r>
        <w:rPr>
          <w:rFonts w:hint="eastAsia" w:cs="宋体" w:asciiTheme="minorEastAsia" w:hAnsiTheme="minorEastAsia" w:eastAsiaTheme="minorEastAsia"/>
          <w:sz w:val="24"/>
        </w:rPr>
        <w:t xml:space="preserve">1.11.2本合同未尽事宜，遵照《中华人民共和国民法典》有关条文执行。 </w:t>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b/>
          <w:sz w:val="24"/>
          <w:lang w:val="zh-CN"/>
        </w:rPr>
        <w:t xml:space="preserve">甲方（</w:t>
      </w:r>
      <w:r>
        <w:rPr>
          <w:rFonts w:hint="eastAsia" w:cs="宋体" w:asciiTheme="minorEastAsia" w:hAnsiTheme="minorEastAsia" w:eastAsiaTheme="minorEastAsia"/>
          <w:b/>
          <w:sz w:val="24"/>
        </w:rPr>
        <w:t xml:space="preserve">盖章</w:t>
      </w:r>
      <w:r>
        <w:rPr>
          <w:rFonts w:hint="eastAsia" w:cs="宋体" w:asciiTheme="minorEastAsia" w:hAnsiTheme="minorEastAsia" w:eastAsiaTheme="minorEastAsia"/>
          <w:b/>
          <w:sz w:val="24"/>
          <w:lang w:val="zh-CN"/>
        </w:rPr>
        <w:t xml:space="preserve">）</w:t>
      </w:r>
      <w:r>
        <w:rPr>
          <w:rFonts w:hint="eastAsia" w:cs="宋体" w:asciiTheme="minorEastAsia" w:hAnsiTheme="minorEastAsia" w:eastAsiaTheme="minorEastAsia"/>
          <w:sz w:val="24"/>
          <w:lang w:val="zh-CN"/>
        </w:rPr>
        <w:t xml:space="preserve">：                           </w:t>
      </w:r>
      <w:r>
        <w:rPr>
          <w:rFonts w:hint="eastAsia" w:cs="宋体" w:asciiTheme="minorEastAsia" w:hAnsiTheme="minorEastAsia" w:eastAsiaTheme="minorEastAsia"/>
          <w:b/>
          <w:sz w:val="24"/>
          <w:lang w:val="zh-CN"/>
        </w:rPr>
        <w:t xml:space="preserve">乙方（</w:t>
      </w:r>
      <w:r>
        <w:rPr>
          <w:rFonts w:hint="eastAsia" w:cs="宋体" w:asciiTheme="minorEastAsia" w:hAnsiTheme="minorEastAsia" w:eastAsiaTheme="minorEastAsia"/>
          <w:b/>
          <w:sz w:val="24"/>
        </w:rPr>
        <w:t xml:space="preserve">盖章</w:t>
      </w:r>
      <w:r>
        <w:rPr>
          <w:rFonts w:hint="eastAsia" w:cs="宋体" w:asciiTheme="minorEastAsia" w:hAnsiTheme="minorEastAsia" w:eastAsiaTheme="minorEastAsia"/>
          <w:b/>
          <w:sz w:val="24"/>
          <w:lang w:val="zh-CN"/>
        </w:rPr>
        <w:t xml:space="preserve">）</w:t>
      </w:r>
      <w:r>
        <w:rPr>
          <w:rFonts w:hint="eastAsia" w:cs="宋体" w:asciiTheme="minorEastAsia" w:hAnsiTheme="minorEastAsia" w:eastAsiaTheme="minorEastAsia"/>
          <w:sz w:val="24"/>
          <w:lang w:val="zh-CN"/>
        </w:rPr>
        <w:t xml:space="preserve">：</w:t>
      </w:r>
      <w:r/>
    </w:p>
    <w:p>
      <w:pPr>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统一社会信用代码：                   统一社会信用代码或身份证号码（乙方为自然人）：</w:t>
      </w:r>
      <w:r/>
    </w:p>
    <w:p>
      <w:pPr>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法定代表人或授权代表姓名：           法定代表人或授权代表姓名:</w:t>
      </w:r>
      <w:r/>
    </w:p>
    <w:p>
      <w:pPr>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                           </w:t>
      </w:r>
      <w:r/>
    </w:p>
    <w:p>
      <w:pPr>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约定送达地址：                       约定送达地址：</w:t>
      </w:r>
      <w:r/>
    </w:p>
    <w:p>
      <w:pPr>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lang w:val="zh-CN"/>
        </w:rPr>
        <w:t xml:space="preserve">见证方（盖章）：</w:t>
      </w:r>
      <w:r/>
    </w:p>
    <w:p>
      <w:pPr>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统一社会信用代码：                </w:t>
      </w:r>
      <w:r/>
    </w:p>
    <w:p>
      <w:pPr>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法定代表人或授权代表姓名：                           </w:t>
      </w:r>
      <w:r/>
    </w:p>
    <w:p>
      <w:pPr>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约定送达地址：                          </w:t>
      </w:r>
      <w:r/>
    </w:p>
    <w:p>
      <w:pPr>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r>
      <w:r/>
    </w:p>
    <w:p>
      <w:pPr>
        <w:pStyle w:val="2212"/>
        <w:ind w:firstLine="0"/>
        <w:jc w:val="center"/>
        <w:spacing w:line="560" w:lineRule="exact"/>
        <w:rPr>
          <w:rFonts w:hint="eastAsia" w:cs="宋体" w:asciiTheme="minorEastAsia" w:hAnsiTheme="minorEastAsia" w:eastAsiaTheme="minorEastAsia"/>
          <w:b/>
          <w:sz w:val="28"/>
          <w:szCs w:val="28"/>
        </w:rPr>
        <w:outlineLvl w:val="1"/>
      </w:pPr>
      <w:r>
        <w:rPr>
          <w:rFonts w:hint="eastAsia" w:cs="宋体" w:asciiTheme="minorEastAsia" w:hAnsiTheme="minorEastAsia" w:eastAsiaTheme="minorEastAsia"/>
          <w:b/>
          <w:sz w:val="28"/>
          <w:szCs w:val="28"/>
        </w:rPr>
        <w:t xml:space="preserve">第二部分 合同一般条款</w:t>
      </w:r>
      <w:r/>
    </w:p>
    <w:p>
      <w:pPr>
        <w:ind w:firstLine="482"/>
        <w:spacing w:line="560" w:lineRule="exact"/>
        <w:rPr>
          <w:rFonts w:hint="eastAsia" w:cs="宋体" w:asciiTheme="minorEastAsia" w:hAnsiTheme="minorEastAsia" w:eastAsiaTheme="minorEastAsia"/>
          <w:b/>
          <w:sz w:val="24"/>
        </w:rPr>
        <w:outlineLvl w:val="0"/>
      </w:pPr>
      <w:r/>
      <w:bookmarkStart w:id="104" w:name="_Ref467378499"/>
      <w:r/>
      <w:bookmarkStart w:id="105" w:name="_Toc279701240"/>
      <w:r/>
      <w:bookmarkStart w:id="106" w:name="_Toc487900349"/>
      <w:r/>
      <w:bookmarkStart w:id="107" w:name="_Toc16917"/>
      <w:r/>
      <w:bookmarkStart w:id="108" w:name="_Ref467379094"/>
      <w:r/>
      <w:bookmarkStart w:id="109" w:name="_Ref467379225"/>
      <w:r/>
      <w:bookmarkStart w:id="110" w:name="_Toc259093669"/>
      <w:r/>
      <w:bookmarkStart w:id="111" w:name="_Ref467379205"/>
      <w:r/>
      <w:bookmarkStart w:id="112" w:name="_Ref467378404"/>
      <w:r/>
      <w:bookmarkStart w:id="113" w:name="_Ref467379101"/>
      <w:r/>
      <w:bookmarkStart w:id="114" w:name="_Ref467378463"/>
      <w:r/>
      <w:bookmarkStart w:id="115" w:name="_Ref467379214"/>
      <w:r/>
      <w:bookmarkStart w:id="116" w:name="_Ref467379109"/>
      <w:r/>
      <w:bookmarkStart w:id="117" w:name="_Toc19614"/>
      <w:r/>
      <w:bookmarkStart w:id="118" w:name="_Ref467379195"/>
      <w:r/>
      <w:bookmarkStart w:id="119" w:name="_Toc28763"/>
      <w:r>
        <w:rPr>
          <w:rFonts w:hint="eastAsia" w:cs="宋体" w:asciiTheme="minorEastAsia" w:hAnsiTheme="minorEastAsia" w:eastAsiaTheme="minorEastAsia"/>
          <w:b/>
          <w:sz w:val="24"/>
        </w:rPr>
        <w:t xml:space="preserve">2.1定义</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本合同中的下列词语应按以下内容进行解释：</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2.1.1“合同”系指采购人和中标或成交供应商签订的载明双方当事人所达成的协议，并包括所有的附件、附录和构成合同的其他文件。</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2.1.2“合同价”系指根据合同约定，中标或成交供应商在完全履行合同义务后，采购人应支付给中标或成交供应商的价格。</w:t>
      </w:r>
      <w:r/>
    </w:p>
    <w:p>
      <w:pPr>
        <w:ind w:firstLine="480"/>
        <w:spacing w:line="560" w:lineRule="exact"/>
        <w:rPr>
          <w:rFonts w:hint="eastAsia" w:cs="宋体" w:asciiTheme="minorEastAsia" w:hAnsiTheme="minorEastAsia" w:eastAsiaTheme="minorEastAsia"/>
          <w:sz w:val="24"/>
        </w:rPr>
      </w:pPr>
      <w:r/>
      <w:bookmarkStart w:id="120" w:name="_Hlk132880551"/>
      <w:r>
        <w:rPr>
          <w:rFonts w:hint="eastAsia" w:cs="宋体" w:asciiTheme="minorEastAsia" w:hAnsiTheme="minorEastAsia" w:eastAsiaTheme="minorEastAsia"/>
          <w:sz w:val="24"/>
        </w:rPr>
        <w:t xml:space="preserve">2.1.3</w:t>
      </w:r>
      <w:bookmarkEnd w:id="120"/>
      <w:r>
        <w:rPr>
          <w:rFonts w:hint="eastAsia" w:cs="宋体" w:asciiTheme="minorEastAsia" w:hAnsiTheme="minorEastAsia" w:eastAsiaTheme="minorEastAsia"/>
          <w:sz w:val="24"/>
        </w:rPr>
        <w:t xml:space="preserve">“货物”系指中标或成交供应商根据合同约定应向采购人交付的一切各种形态和种类的物品，包括各种实验仪器设备等，并包括工具、手册等其他相关资料。</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服务</w:t>
      </w:r>
      <w:r>
        <w:rPr>
          <w:rFonts w:cs="宋体" w:asciiTheme="minorEastAsia" w:hAnsiTheme="minorEastAsia" w:eastAsiaTheme="minorEastAsia"/>
          <w:sz w:val="24"/>
        </w:rPr>
        <w:t xml:space="preserve">”系指</w:t>
      </w:r>
      <w:r>
        <w:rPr>
          <w:rFonts w:hint="eastAsia" w:cs="宋体" w:asciiTheme="minorEastAsia" w:hAnsiTheme="minorEastAsia" w:eastAsiaTheme="minorEastAsia"/>
          <w:sz w:val="24"/>
        </w:rPr>
        <w:t xml:space="preserve">中标或成交供应商</w:t>
      </w:r>
      <w:r>
        <w:rPr>
          <w:rFonts w:cs="宋体" w:asciiTheme="minorEastAsia" w:hAnsiTheme="minorEastAsia" w:eastAsiaTheme="minorEastAsia"/>
          <w:sz w:val="24"/>
        </w:rPr>
        <w:t xml:space="preserve">根据合同约定应向采购人</w:t>
      </w:r>
      <w:r>
        <w:rPr>
          <w:rFonts w:hint="eastAsia" w:cs="宋体" w:asciiTheme="minorEastAsia" w:hAnsiTheme="minorEastAsia" w:eastAsiaTheme="minorEastAsia"/>
          <w:sz w:val="24"/>
        </w:rPr>
        <w:t xml:space="preserve">履行</w:t>
      </w:r>
      <w:r>
        <w:rPr>
          <w:rFonts w:cs="宋体" w:asciiTheme="minorEastAsia" w:hAnsiTheme="minorEastAsia" w:eastAsiaTheme="minorEastAsia"/>
          <w:sz w:val="24"/>
        </w:rPr>
        <w:t xml:space="preserve">的</w:t>
      </w:r>
      <w:r>
        <w:rPr>
          <w:rFonts w:hint="eastAsia" w:cs="宋体" w:asciiTheme="minorEastAsia" w:hAnsiTheme="minorEastAsia" w:eastAsiaTheme="minorEastAsia"/>
          <w:sz w:val="24"/>
        </w:rPr>
        <w:t xml:space="preserve">除货物和工程以外的其他政府采购对象，包括采购人自身需要的服务和向社会公众提供的公共服务。</w:t>
      </w:r>
      <w:r/>
    </w:p>
    <w:p>
      <w:pPr>
        <w:ind w:firstLine="480"/>
        <w:spacing w:line="560" w:lineRule="exact"/>
        <w:rPr>
          <w:rFonts w:hint="eastAsia" w:cs="宋体" w:asciiTheme="minorEastAsia" w:hAnsiTheme="minorEastAsia" w:eastAsiaTheme="minorEastAsia"/>
          <w:sz w:val="24"/>
        </w:rPr>
      </w:pPr>
      <w:r/>
      <w:bookmarkStart w:id="121" w:name="_Ref467378840"/>
      <w:r>
        <w:rPr>
          <w:rFonts w:hint="eastAsia" w:cs="宋体" w:asciiTheme="minorEastAsia" w:hAnsiTheme="minorEastAsia" w:eastAsiaTheme="minorEastAsia"/>
          <w:sz w:val="24"/>
        </w:rPr>
        <w:t xml:space="preserve">2.1.</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“甲方”系指与中标或成交供应商签署合同的采购人</w:t>
      </w:r>
      <w:bookmarkEnd w:id="121"/>
      <w:r>
        <w:rPr>
          <w:rFonts w:hint="eastAsia" w:cs="宋体" w:asciiTheme="minorEastAsia" w:hAnsiTheme="minorEastAsia" w:eastAsiaTheme="minorEastAsia"/>
          <w:sz w:val="24"/>
        </w:rPr>
        <w:t xml:space="preserve">；采购人委托采购代理机构代表其与乙方签订合同的，采购人的授权委托书作为合同附件。</w:t>
      </w:r>
      <w:r/>
    </w:p>
    <w:p>
      <w:pPr>
        <w:ind w:firstLine="480"/>
        <w:spacing w:line="560" w:lineRule="exact"/>
        <w:rPr>
          <w:rFonts w:hint="eastAsia" w:cs="宋体" w:asciiTheme="minorEastAsia" w:hAnsiTheme="minorEastAsia" w:eastAsiaTheme="minorEastAsia"/>
          <w:sz w:val="24"/>
        </w:rPr>
      </w:pPr>
      <w:r/>
      <w:bookmarkStart w:id="122" w:name="_Ref467379400"/>
      <w:r>
        <w:rPr>
          <w:rFonts w:hint="eastAsia" w:cs="宋体" w:asciiTheme="minorEastAsia" w:hAnsiTheme="minorEastAsia" w:eastAsiaTheme="minorEastAsia"/>
          <w:sz w:val="24"/>
        </w:rPr>
        <w:t xml:space="preserve">2.1.</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“乙方”系指根据合同约定交付货物的中标或成交供应商</w:t>
      </w:r>
      <w:bookmarkEnd w:id="122"/>
      <w:r>
        <w:rPr>
          <w:rFonts w:hint="eastAsia" w:cs="宋体" w:asciiTheme="minorEastAsia" w:hAnsiTheme="minorEastAsia" w:eastAsiaTheme="minorEastAsia"/>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cs="宋体" w:asciiTheme="minorEastAsia" w:hAnsiTheme="minorEastAsia" w:eastAsiaTheme="minorEastAsia"/>
          <w:sz w:val="24"/>
        </w:rPr>
      </w:pPr>
      <w:r/>
      <w:bookmarkStart w:id="123" w:name="_Ref467379436"/>
      <w:r>
        <w:rPr>
          <w:rFonts w:hint="eastAsia" w:cs="宋体" w:asciiTheme="minorEastAsia" w:hAnsiTheme="minorEastAsia" w:eastAsiaTheme="minorEastAsia"/>
          <w:sz w:val="24"/>
        </w:rPr>
        <w:t xml:space="preserve">2.1.</w:t>
      </w:r>
      <w:r>
        <w:rPr>
          <w:rFonts w:cs="宋体" w:asciiTheme="minorEastAsia" w:hAnsiTheme="minorEastAsia" w:eastAsiaTheme="minorEastAsia"/>
          <w:sz w:val="24"/>
        </w:rPr>
        <w:t xml:space="preserve">7</w:t>
      </w:r>
      <w:r>
        <w:rPr>
          <w:rFonts w:hint="eastAsia" w:cs="宋体" w:asciiTheme="minorEastAsia" w:hAnsiTheme="minorEastAsia" w:eastAsiaTheme="minorEastAsia"/>
          <w:sz w:val="24"/>
        </w:rPr>
        <w:t xml:space="preserve">“现场”系指合同约定货物将要运至或者安装的地点。</w:t>
      </w:r>
      <w:bookmarkEnd w:id="123"/>
      <w:r/>
      <w:r/>
    </w:p>
    <w:p>
      <w:pPr>
        <w:ind w:firstLine="482"/>
        <w:spacing w:line="560" w:lineRule="exact"/>
        <w:rPr>
          <w:rFonts w:hint="eastAsia" w:cs="宋体" w:asciiTheme="minorEastAsia" w:hAnsiTheme="minorEastAsia" w:eastAsiaTheme="minorEastAsia"/>
          <w:b/>
          <w:sz w:val="24"/>
        </w:rPr>
        <w:outlineLvl w:val="0"/>
      </w:pPr>
      <w:r/>
      <w:bookmarkStart w:id="124" w:name="_Toc279701241"/>
      <w:r/>
      <w:bookmarkStart w:id="125" w:name="_Toc27635"/>
      <w:r/>
      <w:bookmarkStart w:id="126" w:name="_Toc32504"/>
      <w:r/>
      <w:bookmarkStart w:id="127" w:name="_Toc487900350"/>
      <w:r/>
      <w:bookmarkStart w:id="128" w:name="_Toc259093670"/>
      <w:r/>
      <w:bookmarkStart w:id="129" w:name="_Toc13336"/>
      <w:r>
        <w:rPr>
          <w:rFonts w:hint="eastAsia" w:cs="宋体" w:asciiTheme="minorEastAsia" w:hAnsiTheme="minorEastAsia" w:eastAsiaTheme="minorEastAsia"/>
          <w:b/>
          <w:sz w:val="24"/>
        </w:rPr>
        <w:t xml:space="preserve">2.2 技术规范</w:t>
      </w:r>
      <w:bookmarkEnd w:id="124"/>
      <w:r/>
      <w:bookmarkEnd w:id="125"/>
      <w:r/>
      <w:bookmarkEnd w:id="126"/>
      <w:r/>
      <w:bookmarkEnd w:id="127"/>
      <w:r/>
      <w:bookmarkEnd w:id="128"/>
      <w:r/>
      <w:bookmarkEnd w:id="129"/>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货物或服务所应遵守的技术规范应与招标文件规定的技术规范和技术规范附件(</w:t>
      </w:r>
      <w:r>
        <w:rPr>
          <w:rFonts w:hint="eastAsia" w:cs="宋体" w:asciiTheme="minorEastAsia" w:hAnsiTheme="minorEastAsia" w:eastAsiaTheme="minorEastAsia"/>
          <w:i/>
          <w:iCs/>
          <w:sz w:val="24"/>
        </w:rPr>
        <w:t xml:space="preserve">如果有的话</w:t>
      </w:r>
      <w:r>
        <w:rPr>
          <w:rFonts w:hint="eastAsia" w:cs="宋体" w:asciiTheme="minorEastAsia" w:hAnsiTheme="minorEastAsia" w:eastAsiaTheme="minorEastAsia"/>
          <w:sz w:val="24"/>
        </w:rPr>
        <w:t xml:space="preserve">)及其技术规范偏差表(</w:t>
      </w:r>
      <w:r>
        <w:rPr>
          <w:rFonts w:hint="eastAsia" w:cs="宋体" w:asciiTheme="minorEastAsia" w:hAnsiTheme="minorEastAsia" w:eastAsiaTheme="minorEastAsia"/>
          <w:i/>
          <w:iCs/>
          <w:sz w:val="24"/>
        </w:rPr>
        <w:t xml:space="preserve">如果被甲方接受的话)</w:t>
      </w:r>
      <w:r>
        <w:rPr>
          <w:rFonts w:hint="eastAsia" w:cs="宋体" w:asciiTheme="minorEastAsia" w:hAnsiTheme="minorEastAsia" w:eastAsiaTheme="minorEastAsia"/>
          <w:sz w:val="24"/>
        </w:rPr>
        <w:t xml:space="preserve">相一致；如果招标文件中没有技术规范的相应说明，那么应以国家有关部门最新颁布的相应标准和规范为准。</w:t>
      </w:r>
      <w:r/>
    </w:p>
    <w:p>
      <w:pPr>
        <w:ind w:firstLine="482"/>
        <w:spacing w:line="560" w:lineRule="exact"/>
        <w:rPr>
          <w:rFonts w:hint="eastAsia" w:cs="宋体" w:asciiTheme="minorEastAsia" w:hAnsiTheme="minorEastAsia" w:eastAsiaTheme="minorEastAsia"/>
          <w:b/>
          <w:sz w:val="24"/>
        </w:rPr>
        <w:outlineLvl w:val="0"/>
      </w:pPr>
      <w:r/>
      <w:bookmarkStart w:id="130" w:name="_Toc487900351"/>
      <w:r/>
      <w:bookmarkStart w:id="131" w:name="_Toc9829"/>
      <w:r/>
      <w:bookmarkStart w:id="132" w:name="_Toc279701242"/>
      <w:r/>
      <w:bookmarkStart w:id="133" w:name="_Toc259093671"/>
      <w:r/>
      <w:bookmarkStart w:id="134" w:name="_Toc27853"/>
      <w:r/>
      <w:bookmarkStart w:id="135" w:name="_Toc31634"/>
      <w:r>
        <w:rPr>
          <w:rFonts w:hint="eastAsia" w:cs="宋体" w:asciiTheme="minorEastAsia" w:hAnsiTheme="minorEastAsia" w:eastAsiaTheme="minorEastAsia"/>
          <w:b/>
          <w:sz w:val="24"/>
        </w:rPr>
        <w:t xml:space="preserve">2.3 知识产权</w:t>
      </w:r>
      <w:bookmarkEnd w:id="130"/>
      <w:r/>
      <w:bookmarkEnd w:id="131"/>
      <w:r/>
      <w:bookmarkEnd w:id="132"/>
      <w:r/>
      <w:bookmarkEnd w:id="133"/>
      <w:r/>
      <w:bookmarkEnd w:id="134"/>
      <w:r/>
      <w:bookmarkEnd w:id="135"/>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w:t>
      </w:r>
      <w:r>
        <w:rPr>
          <w:rFonts w:hint="eastAsia" w:cs="宋体" w:asciiTheme="minorEastAsia" w:hAnsiTheme="minorEastAsia" w:eastAsiaTheme="minorEastAsia"/>
          <w:sz w:val="24"/>
        </w:rPr>
        <w:t xml:space="preserve">受损害，甲方保留追责的权利。</w:t>
      </w:r>
      <w:r/>
    </w:p>
    <w:p>
      <w:pPr>
        <w:ind w:firstLine="480"/>
        <w:spacing w:line="560" w:lineRule="exact"/>
        <w:rPr>
          <w:rFonts w:hint="eastAsia" w:cs="宋体" w:asciiTheme="minorEastAsia" w:hAnsiTheme="minorEastAsia" w:eastAsiaTheme="minorEastAsia"/>
          <w:iCs/>
          <w:sz w:val="24"/>
        </w:rPr>
      </w:pPr>
      <w:r>
        <w:rPr>
          <w:rFonts w:hint="eastAsia" w:cs="宋体" w:asciiTheme="minorEastAsia" w:hAnsiTheme="minorEastAsia" w:eastAsiaTheme="minorEastAsia"/>
          <w:sz w:val="24"/>
        </w:rPr>
        <w:t xml:space="preserve">2.3.2具有知识产权的计算机软件等货物或技术成果的知识产权归属，详见</w:t>
      </w:r>
      <w:r>
        <w:rPr>
          <w:rFonts w:hint="eastAsia" w:cs="宋体" w:asciiTheme="minorEastAsia" w:hAnsiTheme="minorEastAsia" w:eastAsiaTheme="minorEastAsia"/>
          <w:b/>
          <w:iCs/>
          <w:sz w:val="24"/>
          <w:u w:val="single"/>
        </w:rPr>
        <w:t xml:space="preserve">合同专用条款2</w:t>
      </w:r>
      <w:r>
        <w:rPr>
          <w:rFonts w:cs="宋体" w:asciiTheme="minorEastAsia" w:hAnsiTheme="minorEastAsia" w:eastAsiaTheme="minorEastAsia"/>
          <w:b/>
          <w:iCs/>
          <w:sz w:val="24"/>
          <w:u w:val="single"/>
        </w:rPr>
        <w:t xml:space="preserve">.3.2</w:t>
      </w:r>
      <w:r>
        <w:rPr>
          <w:rFonts w:hint="eastAsia" w:cs="宋体" w:asciiTheme="minorEastAsia" w:hAnsiTheme="minorEastAsia" w:eastAsiaTheme="minorEastAsia"/>
          <w:iCs/>
          <w:sz w:val="24"/>
        </w:rPr>
        <w:t xml:space="preserve">。</w:t>
      </w:r>
      <w:r/>
    </w:p>
    <w:p>
      <w:pPr>
        <w:ind w:firstLine="482"/>
        <w:spacing w:line="560" w:lineRule="exact"/>
        <w:rPr>
          <w:rFonts w:hint="eastAsia" w:cs="宋体" w:asciiTheme="minorEastAsia" w:hAnsiTheme="minorEastAsia" w:eastAsiaTheme="minorEastAsia"/>
          <w:b/>
          <w:sz w:val="24"/>
        </w:rPr>
        <w:outlineLvl w:val="0"/>
      </w:pPr>
      <w:r/>
      <w:bookmarkStart w:id="136" w:name="_Toc4194"/>
      <w:r/>
      <w:bookmarkStart w:id="137" w:name="_Toc11932"/>
      <w:r/>
      <w:bookmarkStart w:id="138" w:name="_Toc29149"/>
      <w:r>
        <w:rPr>
          <w:rFonts w:hint="eastAsia" w:cs="宋体" w:asciiTheme="minorEastAsia" w:hAnsiTheme="minorEastAsia" w:eastAsiaTheme="minorEastAsia"/>
          <w:b/>
          <w:sz w:val="24"/>
        </w:rPr>
        <w:t xml:space="preserve">2.4 包装和装运</w:t>
      </w:r>
      <w:bookmarkEnd w:id="136"/>
      <w:r/>
      <w:bookmarkEnd w:id="137"/>
      <w:r/>
      <w:bookmarkEnd w:id="138"/>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2.4.1除</w:t>
      </w:r>
      <w:r>
        <w:rPr>
          <w:rFonts w:hint="eastAsia" w:cs="宋体" w:asciiTheme="minorEastAsia" w:hAnsiTheme="minorEastAsia" w:eastAsiaTheme="minorEastAsia"/>
          <w:b/>
          <w:iCs/>
          <w:sz w:val="24"/>
          <w:u w:val="single"/>
        </w:rPr>
        <w:t xml:space="preserve">合同专用条款2</w:t>
      </w:r>
      <w:r>
        <w:rPr>
          <w:rFonts w:cs="宋体" w:asciiTheme="minorEastAsia" w:hAnsiTheme="minorEastAsia" w:eastAsiaTheme="minorEastAsia"/>
          <w:b/>
          <w:iCs/>
          <w:sz w:val="24"/>
          <w:u w:val="single"/>
        </w:rPr>
        <w:t xml:space="preserve">.4.1</w:t>
      </w:r>
      <w:r>
        <w:rPr>
          <w:rFonts w:hint="eastAsia" w:cs="宋体" w:asciiTheme="minorEastAsia" w:hAnsiTheme="minorEastAsia" w:eastAsiaTheme="minorEastAsia"/>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2.4.3装运货物的要求和通知，详见</w:t>
      </w:r>
      <w:r>
        <w:rPr>
          <w:rFonts w:hint="eastAsia" w:cs="宋体" w:asciiTheme="minorEastAsia" w:hAnsiTheme="minorEastAsia" w:eastAsiaTheme="minorEastAsia"/>
          <w:b/>
          <w:iCs/>
          <w:sz w:val="24"/>
          <w:u w:val="single"/>
        </w:rPr>
        <w:t xml:space="preserve">合同专用条款2</w:t>
      </w:r>
      <w:r>
        <w:rPr>
          <w:rFonts w:cs="宋体" w:asciiTheme="minorEastAsia" w:hAnsiTheme="minorEastAsia" w:eastAsiaTheme="minorEastAsia"/>
          <w:b/>
          <w:iCs/>
          <w:sz w:val="24"/>
          <w:u w:val="single"/>
        </w:rPr>
        <w:t xml:space="preserve">.4.3</w:t>
      </w:r>
      <w:r>
        <w:rPr>
          <w:rFonts w:hint="eastAsia" w:cs="宋体" w:asciiTheme="minorEastAsia" w:hAnsiTheme="minorEastAsia" w:eastAsiaTheme="minorEastAsia"/>
          <w:iCs/>
          <w:sz w:val="24"/>
        </w:rPr>
        <w:t xml:space="preserve">。</w:t>
      </w:r>
      <w:r/>
    </w:p>
    <w:p>
      <w:pPr>
        <w:ind w:firstLine="482"/>
        <w:spacing w:line="560" w:lineRule="exact"/>
        <w:rPr>
          <w:rFonts w:hint="eastAsia" w:cs="宋体" w:asciiTheme="minorEastAsia" w:hAnsiTheme="minorEastAsia" w:eastAsiaTheme="minorEastAsia"/>
          <w:b/>
          <w:sz w:val="24"/>
        </w:rPr>
        <w:outlineLvl w:val="0"/>
      </w:pPr>
      <w:r/>
      <w:bookmarkStart w:id="139" w:name="_Ref467379542"/>
      <w:r/>
      <w:bookmarkStart w:id="140" w:name="_Ref467379527"/>
      <w:r/>
      <w:bookmarkStart w:id="141" w:name="_Toc259093674"/>
      <w:r/>
      <w:bookmarkStart w:id="142" w:name="_Ref467378591"/>
      <w:r/>
      <w:bookmarkStart w:id="143" w:name="_Toc279701245"/>
      <w:r/>
      <w:bookmarkStart w:id="144" w:name="_Toc487900354"/>
      <w:r/>
      <w:bookmarkStart w:id="145" w:name="_Ref467379536"/>
      <w:r/>
      <w:bookmarkStart w:id="146" w:name="_Ref467378541"/>
      <w:r/>
      <w:bookmarkStart w:id="147" w:name="_Toc30272"/>
      <w:r/>
      <w:bookmarkStart w:id="148" w:name="_Toc26182"/>
      <w:r/>
      <w:bookmarkStart w:id="149" w:name="_Toc19074"/>
      <w:r>
        <w:rPr>
          <w:rFonts w:hint="eastAsia" w:cs="宋体" w:asciiTheme="minorEastAsia" w:hAnsiTheme="minorEastAsia" w:eastAsiaTheme="minorEastAsia"/>
          <w:b/>
          <w:sz w:val="24"/>
        </w:rPr>
        <w:t xml:space="preserve">2.</w:t>
      </w:r>
      <w:bookmarkEnd w:id="139"/>
      <w:r/>
      <w:bookmarkEnd w:id="140"/>
      <w:r/>
      <w:bookmarkEnd w:id="141"/>
      <w:r/>
      <w:bookmarkEnd w:id="142"/>
      <w:r/>
      <w:bookmarkEnd w:id="143"/>
      <w:r/>
      <w:bookmarkEnd w:id="144"/>
      <w:r/>
      <w:bookmarkEnd w:id="145"/>
      <w:r/>
      <w:bookmarkEnd w:id="146"/>
      <w:r>
        <w:rPr>
          <w:rFonts w:hint="eastAsia" w:cs="宋体" w:asciiTheme="minorEastAsia" w:hAnsiTheme="minorEastAsia" w:eastAsiaTheme="minorEastAsia"/>
          <w:b/>
          <w:sz w:val="24"/>
        </w:rPr>
        <w:t xml:space="preserve">5履约检查和问题反馈</w:t>
      </w:r>
      <w:bookmarkEnd w:id="147"/>
      <w:r/>
      <w:bookmarkEnd w:id="148"/>
      <w:r/>
      <w:bookmarkEnd w:id="149"/>
      <w:r/>
      <w:r/>
    </w:p>
    <w:p>
      <w:pPr>
        <w:ind w:firstLine="480"/>
        <w:spacing w:line="560" w:lineRule="exact"/>
        <w:rPr>
          <w:rFonts w:hint="eastAsia" w:cs="宋体" w:asciiTheme="minorEastAsia" w:hAnsiTheme="minorEastAsia" w:eastAsiaTheme="minorEastAsia"/>
          <w:sz w:val="24"/>
        </w:rPr>
      </w:pPr>
      <w:r/>
      <w:bookmarkStart w:id="150" w:name="_Ref467379657"/>
      <w:r>
        <w:rPr>
          <w:rFonts w:hint="eastAsia" w:cs="宋体" w:asciiTheme="minorEastAsia" w:hAnsiTheme="minorEastAsia" w:eastAsiaTheme="minorEastAsia"/>
          <w:sz w:val="24"/>
        </w:rPr>
        <w:t xml:space="preserve">2.5.1</w:t>
      </w:r>
      <w:bookmarkStart w:id="151" w:name="_Toc186431854"/>
      <w:r/>
      <w:bookmarkStart w:id="152" w:name="_Ref467379807"/>
      <w:r/>
      <w:bookmarkStart w:id="153" w:name="_Toc279701247"/>
      <w:r/>
      <w:bookmarkStart w:id="154" w:name="_Toc487900357"/>
      <w:r/>
      <w:bookmarkStart w:id="155" w:name="_Ref467379793"/>
      <w:r/>
      <w:bookmarkStart w:id="156" w:name="_Toc259093676"/>
      <w:r/>
      <w:bookmarkEnd w:id="150"/>
      <w:r>
        <w:rPr>
          <w:rFonts w:hint="eastAsia" w:cs="宋体" w:asciiTheme="minorEastAsia" w:hAnsiTheme="minorEastAsia" w:eastAsiaTheme="minorEastAsia"/>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2.5.2合同履行期间，甲方有权将履行过程中出现的问题反馈给乙方，双方当事人应以书面形式约定需要完善和改进的内容</w:t>
      </w:r>
      <w:bookmarkStart w:id="157" w:name="_Toc186431855"/>
      <w:r/>
      <w:bookmarkEnd w:id="151"/>
      <w:r>
        <w:rPr>
          <w:rFonts w:hint="eastAsia" w:cs="宋体" w:asciiTheme="minorEastAsia" w:hAnsiTheme="minorEastAsia" w:eastAsiaTheme="minorEastAsia"/>
          <w:sz w:val="24"/>
        </w:rPr>
        <w:t xml:space="preserve">。</w:t>
      </w:r>
      <w:r/>
    </w:p>
    <w:p>
      <w:pPr>
        <w:ind w:firstLine="482"/>
        <w:spacing w:line="560" w:lineRule="exact"/>
        <w:rPr>
          <w:rFonts w:hint="eastAsia" w:cs="宋体" w:asciiTheme="minorEastAsia" w:hAnsiTheme="minorEastAsia" w:eastAsiaTheme="minorEastAsia"/>
          <w:b/>
          <w:sz w:val="24"/>
        </w:rPr>
        <w:outlineLvl w:val="0"/>
      </w:pPr>
      <w:r/>
      <w:bookmarkStart w:id="158" w:name="_Toc279701248"/>
      <w:r/>
      <w:bookmarkStart w:id="159" w:name="_Ref467379863"/>
      <w:r/>
      <w:bookmarkStart w:id="160" w:name="_Ref467379923"/>
      <w:r/>
      <w:bookmarkStart w:id="161" w:name="_Toc487900358"/>
      <w:r/>
      <w:bookmarkStart w:id="162" w:name="_Toc259093677"/>
      <w:r/>
      <w:bookmarkStart w:id="163" w:name="_Ref467379852"/>
      <w:r/>
      <w:bookmarkStart w:id="164" w:name="_Toc16110"/>
      <w:r/>
      <w:bookmarkStart w:id="165" w:name="_Toc774"/>
      <w:r/>
      <w:bookmarkStart w:id="166" w:name="_Toc3225"/>
      <w:r/>
      <w:bookmarkEnd w:id="152"/>
      <w:r/>
      <w:bookmarkEnd w:id="153"/>
      <w:r/>
      <w:bookmarkEnd w:id="154"/>
      <w:r/>
      <w:bookmarkEnd w:id="155"/>
      <w:r/>
      <w:bookmarkEnd w:id="156"/>
      <w:r/>
      <w:bookmarkEnd w:id="157"/>
      <w:r>
        <w:rPr>
          <w:rFonts w:hint="eastAsia" w:cs="宋体" w:asciiTheme="minorEastAsia" w:hAnsiTheme="minorEastAsia" w:eastAsiaTheme="minorEastAsia"/>
          <w:b/>
          <w:sz w:val="24"/>
        </w:rPr>
        <w:t xml:space="preserve">2.6技术资料</w:t>
      </w:r>
      <w:bookmarkEnd w:id="158"/>
      <w:r/>
      <w:bookmarkEnd w:id="159"/>
      <w:r/>
      <w:bookmarkEnd w:id="160"/>
      <w:r/>
      <w:bookmarkEnd w:id="161"/>
      <w:r/>
      <w:bookmarkEnd w:id="162"/>
      <w:r/>
      <w:bookmarkEnd w:id="163"/>
      <w:r>
        <w:rPr>
          <w:rFonts w:hint="eastAsia" w:cs="宋体" w:asciiTheme="minorEastAsia" w:hAnsiTheme="minorEastAsia" w:eastAsiaTheme="minorEastAsia"/>
          <w:b/>
          <w:sz w:val="24"/>
        </w:rPr>
        <w:t xml:space="preserve">和保密义务</w:t>
      </w:r>
      <w:bookmarkEnd w:id="164"/>
      <w:r/>
      <w:bookmarkEnd w:id="165"/>
      <w:r/>
      <w:bookmarkEnd w:id="166"/>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2.6.1乙方有权依据合同约定和项目需要，向甲方了解有关情况，调阅有关资料等，甲方应予积极配合；</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2.6.2乙方有义务妥善保管和保护由甲方提供的前款信息和资料等；</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2.6.4除履行本合同义务内容所需外，未经对方事先书面同意，任一方不得擅自使用、复制商标、标志、商业信息、技术及其他资料。</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2.6.5本保密条款长期有效，本合同变更、终止或解除等均不影响本条款的效力。</w:t>
      </w:r>
      <w:r/>
    </w:p>
    <w:p>
      <w:pPr>
        <w:ind w:firstLine="482"/>
        <w:spacing w:line="560" w:lineRule="exact"/>
        <w:rPr>
          <w:rFonts w:hint="eastAsia" w:cs="宋体" w:asciiTheme="minorEastAsia" w:hAnsiTheme="minorEastAsia" w:eastAsiaTheme="minorEastAsia"/>
          <w:b/>
          <w:sz w:val="24"/>
        </w:rPr>
        <w:outlineLvl w:val="0"/>
      </w:pPr>
      <w:r/>
      <w:bookmarkStart w:id="167" w:name="_Toc7860"/>
      <w:r>
        <w:rPr>
          <w:rFonts w:hint="eastAsia" w:cs="宋体" w:asciiTheme="minorEastAsia" w:hAnsiTheme="minorEastAsia" w:eastAsiaTheme="minorEastAsia"/>
          <w:b/>
          <w:sz w:val="24"/>
        </w:rPr>
        <w:t xml:space="preserve">2.7质量保证</w:t>
      </w:r>
      <w:bookmarkEnd w:id="167"/>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2.7.1乙方应建立和完善履行合同的内部质量保证体系，并提供相关内部规章制度给甲方，以便甲方进行监督检查；</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hint="eastAsia" w:cs="宋体" w:asciiTheme="minorEastAsia" w:hAnsiTheme="minorEastAsia" w:eastAsiaTheme="minorEastAsia"/>
          <w:b/>
          <w:sz w:val="24"/>
        </w:rPr>
        <w:outlineLvl w:val="0"/>
      </w:pPr>
      <w:r/>
      <w:bookmarkStart w:id="168" w:name="_Toc17244"/>
      <w:r/>
      <w:bookmarkStart w:id="169" w:name="_Toc279701252"/>
      <w:r/>
      <w:bookmarkStart w:id="170" w:name="_Toc487900362"/>
      <w:r/>
      <w:bookmarkStart w:id="171" w:name="_Toc259093681"/>
      <w:r>
        <w:rPr>
          <w:rFonts w:hint="eastAsia" w:cs="宋体" w:asciiTheme="minorEastAsia" w:hAnsiTheme="minorEastAsia" w:eastAsiaTheme="minorEastAsia"/>
          <w:b/>
          <w:sz w:val="24"/>
        </w:rPr>
        <w:t xml:space="preserve">2.8货物的风险负担</w:t>
      </w:r>
      <w:bookmarkEnd w:id="168"/>
      <w:r/>
      <w:r/>
    </w:p>
    <w:p>
      <w:pPr>
        <w:ind w:firstLine="480"/>
        <w:spacing w:line="560" w:lineRule="exact"/>
        <w:rPr>
          <w:rFonts w:hint="eastAsia" w:cs="宋体" w:asciiTheme="minorEastAsia" w:hAnsiTheme="minorEastAsia" w:eastAsiaTheme="minorEastAsia"/>
          <w:b/>
          <w:iCs/>
          <w:sz w:val="24"/>
        </w:rPr>
      </w:pPr>
      <w:r>
        <w:rPr>
          <w:rFonts w:hint="eastAsia" w:cs="宋体" w:asciiTheme="minorEastAsia" w:hAnsiTheme="minorEastAsia" w:eastAsiaTheme="minorEastAsia"/>
          <w:sz w:val="24"/>
        </w:rPr>
        <w:t xml:space="preserve">货物或者在途货物或者交付给第一承运人后的货物毁损、灭失的风险负担详见</w:t>
      </w:r>
      <w:r>
        <w:rPr>
          <w:rFonts w:hint="eastAsia" w:cs="宋体" w:asciiTheme="minorEastAsia" w:hAnsiTheme="minorEastAsia" w:eastAsiaTheme="minorEastAsia"/>
          <w:b/>
          <w:iCs/>
          <w:sz w:val="24"/>
          <w:u w:val="single"/>
        </w:rPr>
        <w:t xml:space="preserve">合同专用条款2</w:t>
      </w:r>
      <w:r>
        <w:rPr>
          <w:rFonts w:cs="宋体" w:asciiTheme="minorEastAsia" w:hAnsiTheme="minorEastAsia" w:eastAsiaTheme="minorEastAsia"/>
          <w:b/>
          <w:iCs/>
          <w:sz w:val="24"/>
          <w:u w:val="single"/>
        </w:rPr>
        <w:t xml:space="preserve">.8</w:t>
      </w:r>
      <w:r>
        <w:rPr>
          <w:rFonts w:hint="eastAsia" w:cs="宋体" w:asciiTheme="minorEastAsia" w:hAnsiTheme="minorEastAsia" w:eastAsiaTheme="minorEastAsia"/>
          <w:iCs/>
          <w:sz w:val="24"/>
        </w:rPr>
        <w:t xml:space="preserve">。</w:t>
      </w:r>
      <w:r/>
    </w:p>
    <w:p>
      <w:pPr>
        <w:ind w:firstLine="482"/>
        <w:spacing w:line="560" w:lineRule="exact"/>
        <w:rPr>
          <w:rFonts w:hint="eastAsia" w:cs="宋体" w:asciiTheme="minorEastAsia" w:hAnsiTheme="minorEastAsia" w:eastAsiaTheme="minorEastAsia"/>
          <w:b/>
          <w:sz w:val="24"/>
        </w:rPr>
        <w:outlineLvl w:val="0"/>
      </w:pPr>
      <w:r/>
      <w:bookmarkStart w:id="172" w:name="_Toc14055"/>
      <w:r>
        <w:rPr>
          <w:rFonts w:hint="eastAsia" w:cs="宋体" w:asciiTheme="minorEastAsia" w:hAnsiTheme="minorEastAsia" w:eastAsiaTheme="minorEastAsia"/>
          <w:b/>
          <w:sz w:val="24"/>
        </w:rPr>
        <w:t xml:space="preserve">2.9延迟</w:t>
      </w:r>
      <w:bookmarkEnd w:id="169"/>
      <w:r/>
      <w:bookmarkEnd w:id="170"/>
      <w:r/>
      <w:bookmarkEnd w:id="171"/>
      <w:r/>
      <w:bookmarkEnd w:id="172"/>
      <w:r>
        <w:rPr>
          <w:rFonts w:hint="eastAsia" w:cs="宋体" w:asciiTheme="minorEastAsia" w:hAnsiTheme="minorEastAsia" w:eastAsiaTheme="minorEastAsia"/>
          <w:b/>
          <w:sz w:val="24"/>
        </w:rPr>
        <w:t xml:space="preserve">交付</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cs="宋体" w:asciiTheme="minorEastAsia" w:hAnsiTheme="minorEastAsia" w:eastAsiaTheme="minorEastAsia"/>
          <w:b/>
          <w:sz w:val="24"/>
        </w:rPr>
        <w:outlineLvl w:val="0"/>
      </w:pPr>
      <w:r/>
      <w:bookmarkStart w:id="173" w:name="_Toc7502"/>
      <w:r/>
      <w:bookmarkStart w:id="174" w:name="_Toc279701254"/>
      <w:r/>
      <w:bookmarkStart w:id="175" w:name="_Toc259093683"/>
      <w:r/>
      <w:bookmarkStart w:id="176" w:name="_Toc487900364"/>
      <w:r/>
      <w:bookmarkStart w:id="177" w:name="_Ref467378121"/>
      <w:r>
        <w:rPr>
          <w:rFonts w:hint="eastAsia" w:cs="宋体" w:asciiTheme="minorEastAsia" w:hAnsiTheme="minorEastAsia" w:eastAsiaTheme="minorEastAsia"/>
          <w:b/>
          <w:sz w:val="24"/>
        </w:rPr>
        <w:t xml:space="preserve">2.10合同变更</w:t>
      </w:r>
      <w:bookmarkEnd w:id="173"/>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合同继续履行将损害国家利益和社会公共利益的，双方当事人应当以书面形式变更合同。有过错的一方应当承担赔偿责任，双方当事人都有过错的，各自承担相应的责任。</w:t>
      </w:r>
      <w:bookmarkStart w:id="178" w:name="_Toc487900369"/>
      <w:r/>
      <w:bookmarkStart w:id="179" w:name="_Toc259093688"/>
      <w:r/>
      <w:bookmarkStart w:id="180" w:name="_Toc279701259"/>
      <w:r/>
      <w:r/>
    </w:p>
    <w:p>
      <w:pPr>
        <w:ind w:firstLine="482"/>
        <w:spacing w:line="560" w:lineRule="exact"/>
        <w:rPr>
          <w:rFonts w:hint="eastAsia" w:cs="宋体" w:asciiTheme="minorEastAsia" w:hAnsiTheme="minorEastAsia" w:eastAsiaTheme="minorEastAsia"/>
          <w:b/>
          <w:sz w:val="24"/>
        </w:rPr>
        <w:outlineLvl w:val="0"/>
      </w:pPr>
      <w:r/>
      <w:bookmarkStart w:id="181" w:name="_Toc15237"/>
      <w:r/>
      <w:bookmarkStart w:id="182" w:name="_Toc22955"/>
      <w:r/>
      <w:bookmarkStart w:id="183" w:name="_Toc10366"/>
      <w:r>
        <w:rPr>
          <w:rFonts w:hint="eastAsia" w:cs="宋体" w:asciiTheme="minorEastAsia" w:hAnsiTheme="minorEastAsia" w:eastAsiaTheme="minorEastAsia"/>
          <w:b/>
          <w:sz w:val="24"/>
        </w:rPr>
        <w:t xml:space="preserve">2.11合同转让</w:t>
      </w:r>
      <w:bookmarkEnd w:id="178"/>
      <w:r/>
      <w:bookmarkEnd w:id="179"/>
      <w:r/>
      <w:bookmarkEnd w:id="180"/>
      <w:r>
        <w:rPr>
          <w:rFonts w:hint="eastAsia" w:cs="宋体" w:asciiTheme="minorEastAsia" w:hAnsiTheme="minorEastAsia" w:eastAsiaTheme="minorEastAsia"/>
          <w:b/>
          <w:sz w:val="24"/>
        </w:rPr>
        <w:t xml:space="preserve">和分包</w:t>
      </w:r>
      <w:bookmarkEnd w:id="181"/>
      <w:r/>
      <w:bookmarkEnd w:id="182"/>
      <w:r/>
      <w:bookmarkEnd w:id="183"/>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2.11.1本项目不允许转让和分包。</w:t>
      </w:r>
      <w:r/>
    </w:p>
    <w:p>
      <w:pPr>
        <w:ind w:firstLine="482"/>
        <w:spacing w:line="560" w:lineRule="exact"/>
        <w:rPr>
          <w:rFonts w:hint="eastAsia" w:cs="宋体" w:asciiTheme="minorEastAsia" w:hAnsiTheme="minorEastAsia" w:eastAsiaTheme="minorEastAsia"/>
          <w:b/>
          <w:sz w:val="24"/>
        </w:rPr>
        <w:outlineLvl w:val="0"/>
      </w:pPr>
      <w:r/>
      <w:bookmarkStart w:id="184" w:name="_Toc14066"/>
      <w:r/>
      <w:bookmarkStart w:id="185" w:name="_Toc16508"/>
      <w:r/>
      <w:bookmarkStart w:id="186" w:name="_Toc13566"/>
      <w:r>
        <w:rPr>
          <w:rFonts w:hint="eastAsia" w:cs="宋体" w:asciiTheme="minorEastAsia" w:hAnsiTheme="minorEastAsia" w:eastAsiaTheme="minorEastAsia"/>
          <w:b/>
          <w:sz w:val="24"/>
        </w:rPr>
        <w:t xml:space="preserve">2.12不可抗力</w:t>
      </w:r>
      <w:bookmarkEnd w:id="184"/>
      <w:r/>
      <w:bookmarkEnd w:id="185"/>
      <w:r/>
      <w:bookmarkEnd w:id="186"/>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2.12.2如不可抗力无法消除，致使合同目的无法实现的，双方均有权解除合同，且均不互相索</w:t>
      </w:r>
      <w:r>
        <w:rPr>
          <w:rFonts w:hint="eastAsia" w:cs="宋体" w:asciiTheme="minorEastAsia" w:hAnsiTheme="minorEastAsia" w:eastAsiaTheme="minorEastAsia"/>
          <w:sz w:val="24"/>
        </w:rPr>
        <w:t xml:space="preserve">赔。</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2.12.3因不可抗力致使合同有变更必要的，双方当事人应在</w:t>
      </w:r>
      <w:r>
        <w:rPr>
          <w:rFonts w:hint="eastAsia" w:cs="宋体" w:asciiTheme="minorEastAsia" w:hAnsiTheme="minorEastAsia" w:eastAsiaTheme="minorEastAsia"/>
          <w:b/>
          <w:iCs/>
          <w:sz w:val="24"/>
        </w:rPr>
        <w:t xml:space="preserve">合同专用条款2</w:t>
      </w:r>
      <w:r>
        <w:rPr>
          <w:rFonts w:cs="宋体" w:asciiTheme="minorEastAsia" w:hAnsiTheme="minorEastAsia" w:eastAsiaTheme="minorEastAsia"/>
          <w:b/>
          <w:iCs/>
          <w:sz w:val="24"/>
        </w:rPr>
        <w:t xml:space="preserve">.12.3</w:t>
      </w:r>
      <w:r>
        <w:rPr>
          <w:rFonts w:hint="eastAsia" w:cs="宋体" w:asciiTheme="minorEastAsia" w:hAnsiTheme="minorEastAsia" w:eastAsiaTheme="minorEastAsia"/>
          <w:sz w:val="24"/>
        </w:rPr>
        <w:t xml:space="preserve">约定时间内以书面形式变更合同；</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2.12.4受不可抗力影响的一方在不可抗力发生后，应在</w:t>
      </w:r>
      <w:r>
        <w:rPr>
          <w:rFonts w:hint="eastAsia" w:cs="宋体" w:asciiTheme="minorEastAsia" w:hAnsiTheme="minorEastAsia" w:eastAsiaTheme="minorEastAsia"/>
          <w:b/>
          <w:iCs/>
          <w:sz w:val="24"/>
          <w:u w:val="single"/>
        </w:rPr>
        <w:t xml:space="preserve">合同专用条款2</w:t>
      </w:r>
      <w:r>
        <w:rPr>
          <w:rFonts w:cs="宋体" w:asciiTheme="minorEastAsia" w:hAnsiTheme="minorEastAsia" w:eastAsiaTheme="minorEastAsia"/>
          <w:b/>
          <w:iCs/>
          <w:sz w:val="24"/>
          <w:u w:val="single"/>
        </w:rPr>
        <w:t xml:space="preserve">.12.4</w:t>
      </w:r>
      <w:r>
        <w:rPr>
          <w:rFonts w:hint="eastAsia" w:cs="宋体" w:asciiTheme="minorEastAsia" w:hAnsiTheme="minorEastAsia" w:eastAsiaTheme="minorEastAsia"/>
          <w:sz w:val="24"/>
        </w:rPr>
        <w:t xml:space="preserve">约定时间内以书面形式通知对方当事人，并在</w:t>
      </w:r>
      <w:r>
        <w:rPr>
          <w:rFonts w:hint="eastAsia" w:cs="宋体" w:asciiTheme="minorEastAsia" w:hAnsiTheme="minorEastAsia" w:eastAsiaTheme="minorEastAsia"/>
          <w:b/>
          <w:iCs/>
          <w:sz w:val="24"/>
          <w:u w:val="single"/>
        </w:rPr>
        <w:t xml:space="preserve">合同专用条款2</w:t>
      </w:r>
      <w:r>
        <w:rPr>
          <w:rFonts w:cs="宋体" w:asciiTheme="minorEastAsia" w:hAnsiTheme="minorEastAsia" w:eastAsiaTheme="minorEastAsia"/>
          <w:b/>
          <w:iCs/>
          <w:sz w:val="24"/>
          <w:u w:val="single"/>
        </w:rPr>
        <w:t xml:space="preserve">.12.4</w:t>
      </w:r>
      <w:r>
        <w:rPr>
          <w:rFonts w:hint="eastAsia" w:cs="宋体" w:asciiTheme="minorEastAsia" w:hAnsiTheme="minorEastAsia" w:eastAsiaTheme="minorEastAsia"/>
          <w:sz w:val="24"/>
        </w:rPr>
        <w:t xml:space="preserve">约定时间内，将有关部门出具的证明文件送达对方当事人。</w:t>
      </w:r>
      <w:r/>
    </w:p>
    <w:p>
      <w:pPr>
        <w:ind w:firstLine="482"/>
        <w:spacing w:line="560" w:lineRule="exact"/>
        <w:rPr>
          <w:rFonts w:hint="eastAsia" w:cs="宋体" w:asciiTheme="minorEastAsia" w:hAnsiTheme="minorEastAsia" w:eastAsiaTheme="minorEastAsia"/>
          <w:b/>
          <w:sz w:val="24"/>
        </w:rPr>
        <w:outlineLvl w:val="0"/>
      </w:pPr>
      <w:r/>
      <w:bookmarkStart w:id="187" w:name="_Toc487900365"/>
      <w:r/>
      <w:bookmarkStart w:id="188" w:name="_Toc689"/>
      <w:r/>
      <w:bookmarkStart w:id="189" w:name="_Toc6969"/>
      <w:r/>
      <w:bookmarkStart w:id="190" w:name="_Toc279701255"/>
      <w:r/>
      <w:bookmarkStart w:id="191" w:name="_Toc259093684"/>
      <w:r/>
      <w:bookmarkStart w:id="192" w:name="_Toc30676"/>
      <w:r>
        <w:rPr>
          <w:rFonts w:hint="eastAsia" w:cs="宋体" w:asciiTheme="minorEastAsia" w:hAnsiTheme="minorEastAsia" w:eastAsiaTheme="minorEastAsia"/>
          <w:b/>
          <w:sz w:val="24"/>
        </w:rPr>
        <w:t xml:space="preserve">2.13税费</w:t>
      </w:r>
      <w:bookmarkEnd w:id="187"/>
      <w:r/>
      <w:bookmarkEnd w:id="188"/>
      <w:r/>
      <w:bookmarkEnd w:id="189"/>
      <w:r/>
      <w:bookmarkEnd w:id="190"/>
      <w:r/>
      <w:bookmarkEnd w:id="191"/>
      <w:r/>
      <w:bookmarkEnd w:id="192"/>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与合同有关的一切税费，均按照中华人民共和国法律的相关规定。</w:t>
      </w:r>
      <w:r/>
    </w:p>
    <w:p>
      <w:pPr>
        <w:ind w:firstLine="482"/>
        <w:spacing w:line="560" w:lineRule="exact"/>
        <w:rPr>
          <w:rFonts w:hint="eastAsia" w:cs="宋体" w:asciiTheme="minorEastAsia" w:hAnsiTheme="minorEastAsia" w:eastAsiaTheme="minorEastAsia"/>
          <w:b/>
          <w:sz w:val="24"/>
        </w:rPr>
        <w:outlineLvl w:val="0"/>
      </w:pPr>
      <w:r/>
      <w:bookmarkStart w:id="193" w:name="_Toc487900368"/>
      <w:r/>
      <w:bookmarkStart w:id="194" w:name="_Toc279701258"/>
      <w:r/>
      <w:bookmarkStart w:id="195" w:name="_Toc259093687"/>
      <w:r/>
      <w:bookmarkStart w:id="196" w:name="_Toc16959"/>
      <w:r/>
      <w:bookmarkStart w:id="197" w:name="_Toc7102"/>
      <w:r/>
      <w:bookmarkStart w:id="198" w:name="_Toc8298"/>
      <w:r>
        <w:rPr>
          <w:rFonts w:hint="eastAsia" w:cs="宋体" w:asciiTheme="minorEastAsia" w:hAnsiTheme="minorEastAsia" w:eastAsiaTheme="minorEastAsia"/>
          <w:b/>
          <w:sz w:val="24"/>
        </w:rPr>
        <w:t xml:space="preserve">2.14乙方破产</w:t>
      </w:r>
      <w:bookmarkEnd w:id="193"/>
      <w:r/>
      <w:bookmarkEnd w:id="194"/>
      <w:r/>
      <w:bookmarkEnd w:id="195"/>
      <w:r/>
      <w:bookmarkEnd w:id="196"/>
      <w:r/>
      <w:bookmarkEnd w:id="197"/>
      <w:r/>
      <w:bookmarkEnd w:id="198"/>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cs="宋体" w:asciiTheme="minorEastAsia" w:hAnsiTheme="minorEastAsia" w:eastAsiaTheme="minorEastAsia"/>
          <w:b/>
          <w:sz w:val="24"/>
        </w:rPr>
        <w:outlineLvl w:val="0"/>
      </w:pPr>
      <w:r/>
      <w:bookmarkStart w:id="199" w:name="_Toc29333"/>
      <w:r/>
      <w:bookmarkStart w:id="200" w:name="_Toc6134"/>
      <w:r/>
      <w:bookmarkStart w:id="201" w:name="_Toc15387"/>
      <w:r>
        <w:rPr>
          <w:rFonts w:hint="eastAsia" w:cs="宋体" w:asciiTheme="minorEastAsia" w:hAnsiTheme="minorEastAsia" w:eastAsiaTheme="minorEastAsia"/>
          <w:b/>
          <w:sz w:val="24"/>
        </w:rPr>
        <w:t xml:space="preserve">2.15合同中止、终止</w:t>
      </w:r>
      <w:bookmarkEnd w:id="199"/>
      <w:r/>
      <w:bookmarkEnd w:id="200"/>
      <w:r/>
      <w:bookmarkEnd w:id="201"/>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2.15.1双方当事人不得擅自中止或者终止合同；</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cs="宋体" w:asciiTheme="minorEastAsia" w:hAnsiTheme="minorEastAsia" w:eastAsiaTheme="minorEastAsia"/>
          <w:b/>
          <w:sz w:val="24"/>
        </w:rPr>
        <w:outlineLvl w:val="0"/>
      </w:pPr>
      <w:r/>
      <w:bookmarkStart w:id="202" w:name="_Toc6596"/>
      <w:r/>
      <w:bookmarkStart w:id="203" w:name="_Toc14563"/>
      <w:r/>
      <w:bookmarkStart w:id="204" w:name="_Toc1125"/>
      <w:r>
        <w:rPr>
          <w:rFonts w:hint="eastAsia" w:cs="宋体" w:asciiTheme="minorEastAsia" w:hAnsiTheme="minorEastAsia" w:eastAsiaTheme="minorEastAsia"/>
          <w:b/>
          <w:sz w:val="24"/>
        </w:rPr>
        <w:t xml:space="preserve">2.16检验和验收</w:t>
      </w:r>
      <w:bookmarkEnd w:id="202"/>
      <w:r/>
      <w:bookmarkEnd w:id="203"/>
      <w:r/>
      <w:bookmarkEnd w:id="204"/>
      <w:r/>
      <w:r/>
    </w:p>
    <w:p>
      <w:pPr>
        <w:ind w:firstLine="480"/>
        <w:spacing w:line="560" w:lineRule="exact"/>
        <w:tabs>
          <w:tab w:val="left" w:pos="360" w:leader="none"/>
          <w:tab w:val="left" w:pos="540" w:leader="none"/>
          <w:tab w:val="left" w:pos="1080" w:leader="none"/>
        </w:tabs>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2.16.1货物或服务交付前，乙方应对货物或服务的质量、数量等方面进行详细、全面的检验，并向甲方出具证明货物或服务符合合同约定的文件；货物或服务交付时，甲方在</w:t>
      </w:r>
      <w:r>
        <w:rPr>
          <w:rFonts w:hint="eastAsia" w:cs="宋体" w:asciiTheme="minorEastAsia" w:hAnsiTheme="minorEastAsia" w:eastAsiaTheme="minorEastAsia"/>
          <w:b/>
          <w:iCs/>
          <w:sz w:val="24"/>
          <w:u w:val="single"/>
        </w:rPr>
        <w:t xml:space="preserve">合同专用条款2</w:t>
      </w:r>
      <w:r>
        <w:rPr>
          <w:rFonts w:cs="宋体" w:asciiTheme="minorEastAsia" w:hAnsiTheme="minorEastAsia" w:eastAsiaTheme="minorEastAsia"/>
          <w:b/>
          <w:iCs/>
          <w:sz w:val="24"/>
          <w:u w:val="single"/>
        </w:rPr>
        <w:t xml:space="preserve">.16.1</w:t>
      </w:r>
      <w:r>
        <w:rPr>
          <w:rFonts w:hint="eastAsia" w:cs="宋体" w:asciiTheme="minorEastAsia" w:hAnsiTheme="minorEastAsia" w:eastAsiaTheme="minorEastAsia"/>
          <w:sz w:val="24"/>
        </w:rPr>
        <w:t xml:space="preserve">约定时间内组织验收，甲</w:t>
      </w:r>
      <w:r>
        <w:rPr>
          <w:rFonts w:hint="eastAsia" w:cs="宋体" w:asciiTheme="minorEastAsia" w:hAnsiTheme="minorEastAsia" w:eastAsiaTheme="minorEastAsia"/>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cs="宋体" w:asciiTheme="minorEastAsia" w:hAnsiTheme="minorEastAsia" w:eastAsiaTheme="minorEastAsia"/>
          <w:iCs/>
          <w:sz w:val="24"/>
        </w:rPr>
      </w:pPr>
      <w:r>
        <w:rPr>
          <w:rFonts w:hint="eastAsia" w:cs="宋体" w:asciiTheme="minorEastAsia" w:hAnsiTheme="minorEastAsia" w:eastAsiaTheme="minorEastAsia"/>
          <w:sz w:val="24"/>
        </w:rPr>
        <w:t xml:space="preserve">2.16.3检验和验收标准、程序等具体内容以及前述验收书的效力详见</w:t>
      </w:r>
      <w:r>
        <w:rPr>
          <w:rFonts w:hint="eastAsia" w:cs="宋体" w:asciiTheme="minorEastAsia" w:hAnsiTheme="minorEastAsia" w:eastAsiaTheme="minorEastAsia"/>
          <w:b/>
          <w:iCs/>
          <w:sz w:val="24"/>
          <w:u w:val="single"/>
        </w:rPr>
        <w:t xml:space="preserve">合同专用条款2</w:t>
      </w:r>
      <w:r>
        <w:rPr>
          <w:rFonts w:cs="宋体" w:asciiTheme="minorEastAsia" w:hAnsiTheme="minorEastAsia" w:eastAsiaTheme="minorEastAsia"/>
          <w:b/>
          <w:iCs/>
          <w:sz w:val="24"/>
          <w:u w:val="single"/>
        </w:rPr>
        <w:t xml:space="preserve">.16.3</w:t>
      </w:r>
      <w:r>
        <w:rPr>
          <w:rFonts w:hint="eastAsia" w:cs="宋体" w:asciiTheme="minorEastAsia" w:hAnsiTheme="minorEastAsia" w:eastAsiaTheme="minorEastAsia"/>
          <w:iCs/>
          <w:sz w:val="24"/>
        </w:rPr>
        <w:t xml:space="preserve">。</w:t>
      </w:r>
      <w:r/>
    </w:p>
    <w:p>
      <w:pPr>
        <w:ind w:firstLine="482"/>
        <w:spacing w:line="560" w:lineRule="exact"/>
        <w:rPr>
          <w:rFonts w:hint="eastAsia" w:cs="宋体" w:asciiTheme="minorEastAsia" w:hAnsiTheme="minorEastAsia" w:eastAsiaTheme="minorEastAsia"/>
          <w:b/>
          <w:sz w:val="24"/>
        </w:rPr>
        <w:outlineLvl w:val="0"/>
      </w:pPr>
      <w:r/>
      <w:bookmarkStart w:id="205" w:name="_Toc279701261"/>
      <w:r/>
      <w:bookmarkStart w:id="206" w:name="_Toc259093690"/>
      <w:r/>
      <w:bookmarkStart w:id="207" w:name="_Toc487900371"/>
      <w:r/>
      <w:bookmarkStart w:id="208" w:name="_Toc25182"/>
      <w:r/>
      <w:bookmarkStart w:id="209" w:name="_Toc19604"/>
      <w:r/>
      <w:bookmarkStart w:id="210" w:name="_Toc11284"/>
      <w:r/>
      <w:bookmarkEnd w:id="174"/>
      <w:r/>
      <w:bookmarkEnd w:id="175"/>
      <w:r/>
      <w:bookmarkEnd w:id="176"/>
      <w:r/>
      <w:bookmarkEnd w:id="177"/>
      <w:r>
        <w:rPr>
          <w:rFonts w:hint="eastAsia" w:cs="宋体" w:asciiTheme="minorEastAsia" w:hAnsiTheme="minorEastAsia" w:eastAsiaTheme="minorEastAsia"/>
          <w:b/>
          <w:sz w:val="24"/>
        </w:rPr>
        <w:t xml:space="preserve">2.17 通知</w:t>
      </w:r>
      <w:bookmarkEnd w:id="205"/>
      <w:r/>
      <w:bookmarkEnd w:id="206"/>
      <w:r/>
      <w:bookmarkEnd w:id="207"/>
      <w:r>
        <w:rPr>
          <w:rFonts w:hint="eastAsia" w:cs="宋体" w:asciiTheme="minorEastAsia" w:hAnsiTheme="minorEastAsia" w:eastAsiaTheme="minorEastAsia"/>
          <w:b/>
          <w:sz w:val="24"/>
        </w:rPr>
        <w:t xml:space="preserve">和送达</w:t>
      </w:r>
      <w:bookmarkEnd w:id="208"/>
      <w:r/>
      <w:bookmarkEnd w:id="209"/>
      <w:r/>
      <w:bookmarkEnd w:id="210"/>
      <w:r/>
      <w:r/>
    </w:p>
    <w:p>
      <w:pPr>
        <w:ind w:firstLine="480"/>
        <w:spacing w:line="560" w:lineRule="exact"/>
        <w:rPr>
          <w:rFonts w:hint="eastAsia" w:cs="宋体" w:asciiTheme="minorEastAsia" w:hAnsiTheme="minorEastAsia" w:eastAsiaTheme="minorEastAsia"/>
          <w:sz w:val="24"/>
        </w:rPr>
      </w:pPr>
      <w:r/>
      <w:bookmarkStart w:id="211" w:name="_Toc6698"/>
      <w:r/>
      <w:bookmarkStart w:id="212" w:name="_Toc3135"/>
      <w:r/>
      <w:bookmarkStart w:id="213" w:name="_Toc259093691"/>
      <w:r/>
      <w:bookmarkStart w:id="214" w:name="_Toc279701262"/>
      <w:r/>
      <w:bookmarkStart w:id="215" w:name="_Toc487900372"/>
      <w:r>
        <w:rPr>
          <w:rFonts w:hint="eastAsia" w:cs="宋体" w:asciiTheme="minorEastAsia" w:hAnsiTheme="minorEastAsia" w:eastAsiaTheme="minorEastAsia"/>
          <w:sz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cs="宋体" w:asciiTheme="minorEastAsia" w:hAnsiTheme="minorEastAsia" w:eastAsiaTheme="minorEastAsia"/>
          <w:sz w:val="24"/>
          <w:u w:val="single"/>
        </w:rPr>
        <w:t xml:space="preserve">3</w:t>
      </w:r>
      <w:r>
        <w:rPr>
          <w:rFonts w:hint="eastAsia" w:cs="宋体" w:asciiTheme="minorEastAsia" w:hAnsiTheme="minorEastAsia" w:eastAsiaTheme="minorEastAsia"/>
          <w:sz w:val="24"/>
        </w:rPr>
        <w:t xml:space="preserve">个工作日内书面通知对方当事人，在对方当事人收到有关变更通知之前，变更前的约定送达方式或者地址仍视为有效。</w:t>
      </w:r>
      <w:bookmarkEnd w:id="211"/>
      <w:r/>
      <w:bookmarkEnd w:id="212"/>
      <w:r/>
      <w:r/>
    </w:p>
    <w:p>
      <w:pPr>
        <w:ind w:firstLine="480"/>
        <w:spacing w:line="560" w:lineRule="exact"/>
        <w:rPr>
          <w:rFonts w:hint="eastAsia" w:cs="宋体" w:asciiTheme="minorEastAsia" w:hAnsiTheme="minorEastAsia" w:eastAsiaTheme="minorEastAsia"/>
          <w:sz w:val="24"/>
        </w:rPr>
      </w:pPr>
      <w:r/>
      <w:bookmarkStart w:id="216" w:name="_Toc23128"/>
      <w:r/>
      <w:bookmarkStart w:id="217" w:name="_Toc23294"/>
      <w:r>
        <w:rPr>
          <w:rFonts w:hint="eastAsia" w:cs="宋体" w:asciiTheme="minorEastAsia" w:hAnsiTheme="minorEastAsia" w:eastAsiaTheme="minorEastAsia"/>
          <w:sz w:val="24"/>
        </w:rPr>
        <w:t xml:space="preserve">2.17.2</w:t>
      </w:r>
      <w:bookmarkEnd w:id="216"/>
      <w:r/>
      <w:bookmarkEnd w:id="217"/>
      <w:r>
        <w:rPr>
          <w:rFonts w:hint="eastAsia" w:cs="宋体" w:asciiTheme="minorEastAsia" w:hAnsiTheme="minorEastAsia" w:eastAsiaTheme="minorEastAsia"/>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cs="宋体" w:asciiTheme="minorEastAsia" w:hAnsiTheme="minorEastAsia" w:eastAsiaTheme="minorEastAsia"/>
          <w:b/>
          <w:sz w:val="24"/>
        </w:rPr>
        <w:outlineLvl w:val="0"/>
      </w:pPr>
      <w:r/>
      <w:bookmarkStart w:id="218" w:name="_Toc4355"/>
      <w:r/>
      <w:bookmarkStart w:id="219" w:name="_Toc18540"/>
      <w:r/>
      <w:bookmarkStart w:id="220" w:name="_Toc30599"/>
      <w:r>
        <w:rPr>
          <w:rFonts w:hint="eastAsia" w:cs="宋体" w:asciiTheme="minorEastAsia" w:hAnsiTheme="minorEastAsia" w:eastAsiaTheme="minorEastAsia"/>
          <w:b/>
          <w:sz w:val="24"/>
        </w:rPr>
        <w:t xml:space="preserve">2.18计量单位</w:t>
      </w:r>
      <w:bookmarkEnd w:id="213"/>
      <w:r/>
      <w:bookmarkEnd w:id="214"/>
      <w:r/>
      <w:bookmarkEnd w:id="215"/>
      <w:r/>
      <w:bookmarkEnd w:id="218"/>
      <w:r/>
      <w:bookmarkEnd w:id="219"/>
      <w:r/>
      <w:bookmarkEnd w:id="220"/>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除技术规范中另有规定外,合同的计量单位均使用国家法定计量单位。</w:t>
      </w:r>
      <w:r/>
    </w:p>
    <w:p>
      <w:pPr>
        <w:ind w:firstLine="482"/>
        <w:spacing w:line="560" w:lineRule="exact"/>
        <w:rPr>
          <w:rFonts w:hint="eastAsia" w:cs="宋体" w:asciiTheme="minorEastAsia" w:hAnsiTheme="minorEastAsia" w:eastAsiaTheme="minorEastAsia"/>
          <w:b/>
          <w:sz w:val="24"/>
        </w:rPr>
        <w:outlineLvl w:val="0"/>
      </w:pPr>
      <w:r/>
      <w:bookmarkStart w:id="221" w:name="_Toc18567"/>
      <w:r/>
      <w:bookmarkStart w:id="222" w:name="_Toc279701263"/>
      <w:r/>
      <w:bookmarkStart w:id="223" w:name="_Toc10330"/>
      <w:r/>
      <w:bookmarkStart w:id="224" w:name="_Toc487900373"/>
      <w:r/>
      <w:bookmarkStart w:id="225" w:name="_Toc259093692"/>
      <w:r/>
      <w:bookmarkStart w:id="226" w:name="_Toc12773"/>
      <w:r>
        <w:rPr>
          <w:rFonts w:hint="eastAsia" w:cs="宋体" w:asciiTheme="minorEastAsia" w:hAnsiTheme="minorEastAsia" w:eastAsiaTheme="minorEastAsia"/>
          <w:b/>
          <w:sz w:val="24"/>
        </w:rPr>
        <w:t xml:space="preserve">2.19合同使用的文字和适用的法律</w:t>
      </w:r>
      <w:bookmarkEnd w:id="221"/>
      <w:r/>
      <w:bookmarkEnd w:id="222"/>
      <w:r/>
      <w:bookmarkEnd w:id="223"/>
      <w:r/>
      <w:bookmarkEnd w:id="224"/>
      <w:r/>
      <w:bookmarkEnd w:id="225"/>
      <w:r/>
      <w:bookmarkEnd w:id="226"/>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2.19.1 合同使用汉语书写、变更和解释；</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2.19.2 合同适用中华人民共和国法律。</w:t>
      </w:r>
      <w:r/>
    </w:p>
    <w:p>
      <w:pPr>
        <w:ind w:firstLine="482"/>
        <w:spacing w:line="56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w:t>
      </w:r>
      <w:r>
        <w:rPr>
          <w:rFonts w:cs="宋体" w:asciiTheme="minorEastAsia" w:hAnsiTheme="minorEastAsia" w:eastAsiaTheme="minorEastAsia"/>
          <w:b/>
          <w:bCs/>
          <w:sz w:val="24"/>
        </w:rPr>
        <w:t xml:space="preserve">.20</w:t>
      </w:r>
      <w:r>
        <w:rPr>
          <w:rFonts w:hint="eastAsia" w:cs="宋体" w:asciiTheme="minorEastAsia" w:hAnsiTheme="minorEastAsia" w:eastAsiaTheme="minorEastAsia"/>
          <w:b/>
          <w:bCs/>
          <w:sz w:val="24"/>
        </w:rPr>
        <w:t xml:space="preserve">政府采购信用融资</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cs="宋体" w:asciiTheme="minorEastAsia" w:hAnsiTheme="minorEastAsia" w:eastAsiaTheme="minorEastAsia"/>
          <w:b/>
          <w:sz w:val="24"/>
        </w:rPr>
        <w:outlineLvl w:val="0"/>
      </w:pPr>
      <w:r/>
      <w:bookmarkStart w:id="227" w:name="_Toc14001"/>
      <w:r/>
      <w:bookmarkStart w:id="228" w:name="_Toc19890"/>
      <w:r/>
      <w:bookmarkStart w:id="229" w:name="_Toc6885"/>
      <w:r>
        <w:rPr>
          <w:rFonts w:hint="eastAsia" w:cs="宋体" w:asciiTheme="minorEastAsia" w:hAnsiTheme="minorEastAsia" w:eastAsiaTheme="minorEastAsia"/>
          <w:b/>
          <w:sz w:val="24"/>
        </w:rPr>
        <w:t xml:space="preserve">2.2</w:t>
      </w:r>
      <w:r>
        <w:rPr>
          <w:rFonts w:cs="宋体" w:asciiTheme="minorEastAsia" w:hAnsiTheme="minorEastAsia" w:eastAsiaTheme="minorEastAsia"/>
          <w:b/>
          <w:sz w:val="24"/>
        </w:rPr>
        <w:t xml:space="preserve">1</w:t>
      </w:r>
      <w:r>
        <w:rPr>
          <w:rFonts w:hint="eastAsia" w:cs="宋体" w:asciiTheme="minorEastAsia" w:hAnsiTheme="minorEastAsia" w:eastAsiaTheme="minorEastAsia"/>
          <w:b/>
          <w:sz w:val="24"/>
        </w:rPr>
        <w:t xml:space="preserve">合同份数</w:t>
      </w:r>
      <w:bookmarkEnd w:id="227"/>
      <w:r/>
      <w:bookmarkEnd w:id="228"/>
      <w:r/>
      <w:bookmarkEnd w:id="229"/>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合同份数按</w:t>
      </w:r>
      <w:r>
        <w:rPr>
          <w:rFonts w:hint="eastAsia" w:cs="宋体" w:asciiTheme="minorEastAsia" w:hAnsiTheme="minorEastAsia" w:eastAsiaTheme="minorEastAsia"/>
          <w:b/>
          <w:iCs/>
          <w:sz w:val="24"/>
          <w:u w:val="single"/>
        </w:rPr>
        <w:t xml:space="preserve">合同专用条款2</w:t>
      </w:r>
      <w:r>
        <w:rPr>
          <w:rFonts w:cs="宋体" w:asciiTheme="minorEastAsia" w:hAnsiTheme="minorEastAsia" w:eastAsiaTheme="minorEastAsia"/>
          <w:b/>
          <w:iCs/>
          <w:sz w:val="24"/>
          <w:u w:val="single"/>
        </w:rPr>
        <w:t xml:space="preserve">.2</w:t>
      </w:r>
      <w:r>
        <w:rPr>
          <w:rFonts w:hint="eastAsia" w:cs="宋体" w:asciiTheme="minorEastAsia" w:hAnsiTheme="minorEastAsia" w:eastAsiaTheme="minorEastAsia"/>
          <w:b/>
          <w:iCs/>
          <w:sz w:val="24"/>
          <w:u w:val="single"/>
        </w:rPr>
        <w:t xml:space="preserve">1</w:t>
      </w:r>
      <w:r>
        <w:rPr>
          <w:rFonts w:hint="eastAsia" w:cs="宋体" w:asciiTheme="minorEastAsia" w:hAnsiTheme="minorEastAsia" w:eastAsiaTheme="minorEastAsia"/>
          <w:sz w:val="24"/>
        </w:rPr>
        <w:t xml:space="preserve">规定，每份均具有同等法律效力。</w:t>
      </w:r>
      <w:r/>
    </w:p>
    <w:p>
      <w:pPr>
        <w:jc w:val="center"/>
        <w:spacing w:line="360" w:lineRule="auto"/>
        <w:rPr>
          <w:rFonts w:hint="eastAsia" w:cs="宋体" w:asciiTheme="minorEastAsia" w:hAnsiTheme="minorEastAsia" w:eastAsiaTheme="minorEastAsia"/>
          <w:b/>
          <w:sz w:val="28"/>
          <w:szCs w:val="28"/>
        </w:rPr>
        <w:outlineLvl w:val="1"/>
      </w:pPr>
      <w:r>
        <w:rPr>
          <w:rFonts w:hint="eastAsia" w:cs="宋体" w:asciiTheme="minorEastAsia" w:hAnsiTheme="minorEastAsia" w:eastAsiaTheme="minorEastAsia"/>
        </w:rPr>
        <w:br w:type="page" w:clear="all"/>
      </w:r>
      <w:r>
        <w:rPr>
          <w:rFonts w:hint="eastAsia" w:cs="宋体" w:asciiTheme="minorEastAsia" w:hAnsiTheme="minorEastAsia" w:eastAsiaTheme="minorEastAsia"/>
          <w:b/>
          <w:sz w:val="28"/>
          <w:szCs w:val="28"/>
        </w:rPr>
        <w:t xml:space="preserve">第三部分 合同专用条款</w:t>
      </w:r>
      <w:r/>
    </w:p>
    <w:p>
      <w:pPr>
        <w:ind w:left="-420" w:right="-420" w:firstLine="480"/>
        <w:spacing w:line="560" w:lineRule="exact"/>
        <w:rPr>
          <w:rFonts w:hint="eastAsia" w:cs="宋体" w:asciiTheme="minorEastAsia" w:hAnsiTheme="minorEastAsia" w:eastAsiaTheme="minorEastAsia"/>
        </w:rPr>
      </w:pPr>
      <w:r>
        <w:rPr>
          <w:rFonts w:hint="eastAsia" w:cs="宋体" w:asciiTheme="minorEastAsia" w:hAnsiTheme="minorEastAsia" w:eastAsiaTheme="minorEastAsia"/>
          <w:sz w:val="24"/>
        </w:rPr>
        <w:t xml:space="preserve">本</w:t>
      </w:r>
      <w:r>
        <w:rPr>
          <w:rFonts w:hint="eastAsia" w:cs="宋体" w:asciiTheme="minorEastAsia" w:hAnsiTheme="minorEastAsia" w:eastAsiaTheme="minorEastAsia"/>
          <w:bCs/>
        </w:rPr>
        <w:t xml:space="preserve">部分</w:t>
      </w:r>
      <w:r>
        <w:rPr>
          <w:rFonts w:hint="eastAsia" w:cs="宋体" w:asciiTheme="minorEastAsia" w:hAnsiTheme="minorEastAsia" w:eastAsiaTheme="minorEastAsia"/>
          <w:sz w:val="24"/>
        </w:rPr>
        <w:t xml:space="preserve">是对前两</w:t>
      </w:r>
      <w:bookmarkStart w:id="230" w:name="_Hlk136502841"/>
      <w:r>
        <w:rPr>
          <w:rFonts w:hint="eastAsia" w:cs="宋体" w:asciiTheme="minorEastAsia" w:hAnsiTheme="minorEastAsia" w:eastAsiaTheme="minorEastAsia"/>
          <w:bCs/>
        </w:rPr>
        <w:t xml:space="preserve">部分</w:t>
      </w:r>
      <w:bookmarkEnd w:id="230"/>
      <w:r>
        <w:rPr>
          <w:rFonts w:hint="eastAsia" w:cs="宋体" w:asciiTheme="minorEastAsia" w:hAnsiTheme="minorEastAsia" w:eastAsiaTheme="minorEastAsia"/>
          <w:sz w:val="24"/>
        </w:rPr>
        <w:t xml:space="preserve">的补充和修改，如果前两</w:t>
      </w:r>
      <w:r>
        <w:rPr>
          <w:rFonts w:hint="eastAsia" w:cs="宋体" w:asciiTheme="minorEastAsia" w:hAnsiTheme="minorEastAsia" w:eastAsiaTheme="minorEastAsia"/>
          <w:bCs/>
        </w:rPr>
        <w:t xml:space="preserve">部分</w:t>
      </w:r>
      <w:r>
        <w:rPr>
          <w:rFonts w:hint="eastAsia" w:cs="宋体" w:asciiTheme="minorEastAsia" w:hAnsiTheme="minorEastAsia" w:eastAsiaTheme="minorEastAsia"/>
          <w:sz w:val="24"/>
        </w:rPr>
        <w:t xml:space="preserve">和本</w:t>
      </w:r>
      <w:r>
        <w:rPr>
          <w:rFonts w:hint="eastAsia" w:cs="宋体" w:asciiTheme="minorEastAsia" w:hAnsiTheme="minorEastAsia" w:eastAsiaTheme="minorEastAsia"/>
          <w:bCs/>
        </w:rPr>
        <w:t xml:space="preserve">部分</w:t>
      </w:r>
      <w:r>
        <w:rPr>
          <w:rFonts w:hint="eastAsia" w:cs="宋体" w:asciiTheme="minorEastAsia" w:hAnsiTheme="minorEastAsia" w:eastAsiaTheme="minorEastAsia"/>
          <w:sz w:val="24"/>
        </w:rPr>
        <w:t xml:space="preserve">的约定不一致，应以本</w:t>
      </w:r>
      <w:r>
        <w:rPr>
          <w:rFonts w:hint="eastAsia" w:cs="宋体" w:asciiTheme="minorEastAsia" w:hAnsiTheme="minorEastAsia" w:eastAsiaTheme="minorEastAsia"/>
          <w:bCs/>
        </w:rPr>
        <w:t xml:space="preserve">部分</w:t>
      </w:r>
      <w:r>
        <w:rPr>
          <w:rFonts w:hint="eastAsia" w:cs="宋体" w:asciiTheme="minorEastAsia" w:hAnsiTheme="minorEastAsia" w:eastAsiaTheme="minorEastAsia"/>
          <w:sz w:val="24"/>
        </w:rPr>
        <w:t xml:space="preserve">的约定为准。本</w:t>
      </w:r>
      <w:r>
        <w:rPr>
          <w:rFonts w:hint="eastAsia" w:cs="宋体" w:asciiTheme="minorEastAsia" w:hAnsiTheme="minorEastAsia" w:eastAsiaTheme="minorEastAsia"/>
          <w:bCs/>
        </w:rPr>
        <w:t xml:space="preserve">部分</w:t>
      </w:r>
      <w:r>
        <w:rPr>
          <w:rFonts w:hint="eastAsia" w:cs="宋体" w:asciiTheme="minorEastAsia" w:hAnsiTheme="minorEastAsia" w:eastAsiaTheme="minorEastAsia"/>
          <w:sz w:val="24"/>
        </w:rPr>
        <w:t xml:space="preserve">的条款号应与前两</w:t>
      </w:r>
      <w:r>
        <w:rPr>
          <w:rFonts w:hint="eastAsia" w:cs="宋体" w:asciiTheme="minorEastAsia" w:hAnsiTheme="minorEastAsia" w:eastAsiaTheme="minorEastAsia"/>
          <w:bCs/>
        </w:rPr>
        <w:t xml:space="preserve">部分</w:t>
      </w:r>
      <w:r>
        <w:rPr>
          <w:rFonts w:hint="eastAsia" w:cs="宋体" w:asciiTheme="minorEastAsia" w:hAnsiTheme="minorEastAsia" w:eastAsiaTheme="minorEastAsia"/>
          <w:sz w:val="24"/>
        </w:rPr>
        <w:t xml:space="preserve">的条款号保持对应；与前两</w:t>
      </w:r>
      <w:r>
        <w:rPr>
          <w:rFonts w:hint="eastAsia" w:cs="宋体" w:asciiTheme="minorEastAsia" w:hAnsiTheme="minorEastAsia" w:eastAsiaTheme="minorEastAsia"/>
          <w:bCs/>
        </w:rPr>
        <w:t xml:space="preserve">部分</w:t>
      </w:r>
      <w:r>
        <w:rPr>
          <w:rFonts w:hint="eastAsia" w:cs="宋体" w:asciiTheme="minorEastAsia" w:hAnsiTheme="minorEastAsia" w:eastAsiaTheme="minorEastAsia"/>
          <w:sz w:val="24"/>
        </w:rPr>
        <w:t xml:space="preserve">无对应关系的内容可另行编制条款号。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79"/>
        <w:gridCol w:w="9543"/>
      </w:tblGrid>
      <w:tr>
        <w:trPr>
          <w:trHeight w:val="391"/>
        </w:trPr>
        <w:tc>
          <w:tcPr>
            <w:tcBorders>
              <w:left w:val="single" w:color="auto" w:sz="4" w:space="0"/>
            </w:tcBorders>
            <w:tcW w:w="465" w:type="pct"/>
            <w:vAlign w:val="center"/>
            <w:textDirection w:val="lrTb"/>
            <w:noWrap/>
          </w:tcPr>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条款号</w:t>
            </w:r>
            <w:r/>
          </w:p>
        </w:tc>
        <w:tc>
          <w:tcPr>
            <w:tcW w:w="4535" w:type="pct"/>
            <w:vAlign w:val="center"/>
            <w:textDirection w:val="lrTb"/>
            <w:noWrap/>
          </w:tcPr>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约定内容</w:t>
            </w:r>
            <w:r/>
          </w:p>
        </w:tc>
      </w:tr>
      <w:tr>
        <w:trPr>
          <w:trHeight w:val="88"/>
        </w:trPr>
        <w:tc>
          <w:tcPr>
            <w:tcBorders>
              <w:left w:val="single" w:color="auto" w:sz="4" w:space="0"/>
            </w:tcBorders>
            <w:tcW w:w="465" w:type="pct"/>
            <w:vAlign w:val="center"/>
            <w:textDirection w:val="lrTb"/>
            <w:noWrap/>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.2</w:t>
            </w:r>
            <w:r/>
          </w:p>
        </w:tc>
        <w:tc>
          <w:tcPr>
            <w:tcW w:w="4535" w:type="pct"/>
            <w:vAlign w:val="center"/>
            <w:textDirection w:val="lrTb"/>
            <w:noWrap/>
          </w:tcPr>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p>
        </w:tc>
        <w:tc>
          <w:tcPr>
            <w:tcW w:w="4535" w:type="pct"/>
            <w:vAlign w:val="center"/>
            <w:textDirection w:val="lrTb"/>
            <w:noWrap/>
          </w:tcPr>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履约保证金由中标人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auto" w:sz="4" w:space="0"/>
            </w:tcBorders>
            <w:tcW w:w="465" w:type="pct"/>
            <w:vAlign w:val="center"/>
            <w:textDirection w:val="lrTb"/>
            <w:noWrap/>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1</w:t>
            </w:r>
            <w:r/>
          </w:p>
        </w:tc>
        <w:tc>
          <w:tcPr>
            <w:tcW w:w="4535" w:type="pct"/>
            <w:vAlign w:val="center"/>
            <w:textDirection w:val="lrTb"/>
            <w:noWrap/>
          </w:tcPr>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合同签订后，甲方收到乙方提供的相应金额发票10个工作</w:t>
            </w:r>
            <w:r>
              <w:rPr>
                <w:rFonts w:cs="宋体" w:asciiTheme="minorEastAsia" w:hAnsiTheme="minorEastAsia" w:eastAsiaTheme="minorEastAsia"/>
                <w:sz w:val="24"/>
              </w:rPr>
              <w:t xml:space="preserve">日内</w:t>
            </w:r>
            <w:r>
              <w:rPr>
                <w:rFonts w:hint="eastAsia" w:cs="宋体" w:asciiTheme="minorEastAsia" w:hAnsiTheme="minorEastAsia" w:eastAsiaTheme="minorEastAsia"/>
                <w:sz w:val="24"/>
              </w:rPr>
              <w:t xml:space="preserve">，支付</w:t>
            </w:r>
            <w:r>
              <w:rPr>
                <w:rFonts w:cs="宋体" w:asciiTheme="minorEastAsia" w:hAnsiTheme="minorEastAsia" w:eastAsiaTheme="minorEastAsia"/>
                <w:sz w:val="24"/>
              </w:rPr>
              <w:t xml:space="preserve">30%</w:t>
            </w:r>
            <w:r>
              <w:rPr>
                <w:rFonts w:hint="eastAsia" w:cs="宋体" w:asciiTheme="minorEastAsia" w:hAnsiTheme="minorEastAsia" w:eastAsiaTheme="minorEastAsia"/>
                <w:sz w:val="24"/>
              </w:rPr>
              <w:t xml:space="preserve">合同预付款。</w:t>
            </w:r>
            <w:r/>
          </w:p>
        </w:tc>
      </w:tr>
      <w:tr>
        <w:trPr>
          <w:trHeight w:val="88"/>
        </w:trPr>
        <w:tc>
          <w:tcPr>
            <w:tcBorders>
              <w:left w:val="single" w:color="auto" w:sz="4" w:space="0"/>
            </w:tcBorders>
            <w:tcW w:w="465" w:type="pct"/>
            <w:vAlign w:val="center"/>
            <w:textDirection w:val="lrTb"/>
            <w:noWrap/>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7</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p>
        </w:tc>
        <w:tc>
          <w:tcPr>
            <w:tcW w:w="4535" w:type="pct"/>
            <w:vAlign w:val="center"/>
            <w:textDirection w:val="lrTb"/>
            <w:noWrap/>
          </w:tcPr>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具体付款方式如下：（1）合同签订后甲方收到乙方提供的相应金额发票10个工作</w:t>
            </w:r>
            <w:r>
              <w:rPr>
                <w:rFonts w:cs="宋体" w:asciiTheme="minorEastAsia" w:hAnsiTheme="minorEastAsia" w:eastAsiaTheme="minorEastAsia"/>
                <w:sz w:val="24"/>
              </w:rPr>
              <w:t xml:space="preserve">日内</w:t>
            </w:r>
            <w:r>
              <w:rPr>
                <w:rFonts w:hint="eastAsia" w:cs="宋体" w:asciiTheme="minorEastAsia" w:hAnsiTheme="minorEastAsia" w:eastAsiaTheme="minorEastAsia"/>
                <w:sz w:val="24"/>
              </w:rPr>
              <w:t xml:space="preserve">，支付</w:t>
            </w:r>
            <w:r>
              <w:rPr>
                <w:rFonts w:cs="宋体" w:asciiTheme="minorEastAsia" w:hAnsiTheme="minorEastAsia" w:eastAsiaTheme="minorEastAsia"/>
                <w:sz w:val="24"/>
              </w:rPr>
              <w:t xml:space="preserve">30%</w:t>
            </w:r>
            <w:r>
              <w:rPr>
                <w:rFonts w:hint="eastAsia" w:cs="宋体" w:asciiTheme="minorEastAsia" w:hAnsiTheme="minorEastAsia" w:eastAsiaTheme="minorEastAsia"/>
                <w:sz w:val="24"/>
              </w:rPr>
              <w:t xml:space="preserve">合同预付款；（2）项目基础配套装修完工且货物设备安装调试完毕，甲方组织初步验收，初步验收合格后在收到乙方发票10个工作日内甲方向乙方支付至合同总价的80%；（3）初步验收合格且项目运行满12个月后，甲方组织最终验收，最终验收合格后，原则上在收到乙方发票10个工作日内甲方付清余款。</w:t>
            </w:r>
            <w:r/>
          </w:p>
        </w:tc>
      </w:tr>
      <w:tr>
        <w:trPr>
          <w:trHeight w:val="88"/>
        </w:trPr>
        <w:tc>
          <w:tcPr>
            <w:tcBorders>
              <w:left w:val="single" w:color="auto" w:sz="4" w:space="0"/>
            </w:tcBorders>
            <w:tcW w:w="465" w:type="pct"/>
            <w:vAlign w:val="center"/>
            <w:textDirection w:val="lrTb"/>
            <w:noWrap/>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8</w:t>
            </w:r>
            <w:r>
              <w:rPr>
                <w:rFonts w:hint="eastAsia" w:cs="宋体" w:asciiTheme="minorEastAsia" w:hAnsiTheme="minorEastAsia" w:eastAsiaTheme="minorEastAsia"/>
                <w:sz w:val="24"/>
              </w:rPr>
              <w:t xml:space="preserve">.1</w:t>
            </w:r>
            <w:r/>
          </w:p>
        </w:tc>
        <w:tc>
          <w:tcPr>
            <w:tcW w:w="4535" w:type="pct"/>
            <w:vAlign w:val="center"/>
            <w:textDirection w:val="lrTb"/>
            <w:noWrap/>
          </w:tcPr>
          <w:p>
            <w:pPr>
              <w:pStyle w:val="2462"/>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交付期限：</w:t>
            </w:r>
            <w:r>
              <w:rPr>
                <w:rFonts w:hint="eastAsia" w:cs="宋体" w:asciiTheme="minorEastAsia" w:hAnsiTheme="minorEastAsia" w:eastAsiaTheme="minorEastAsia"/>
                <w:sz w:val="24"/>
                <w:szCs w:val="28"/>
              </w:rPr>
              <w:t xml:space="preserve">签订合同后</w:t>
            </w:r>
            <w:r>
              <w:rPr>
                <w:rFonts w:hint="eastAsia" w:cs="宋体" w:asciiTheme="minorEastAsia" w:hAnsiTheme="minorEastAsia" w:eastAsiaTheme="minorEastAsia"/>
                <w:sz w:val="24"/>
                <w:szCs w:val="28"/>
                <w:u w:val="single"/>
              </w:rPr>
              <w:t xml:space="preserve">   </w:t>
            </w:r>
            <w:r>
              <w:rPr>
                <w:rFonts w:hint="eastAsia" w:cs="宋体" w:asciiTheme="minorEastAsia" w:hAnsiTheme="minorEastAsia" w:eastAsiaTheme="minorEastAsia"/>
                <w:sz w:val="24"/>
                <w:szCs w:val="28"/>
              </w:rPr>
              <w:t xml:space="preserve">日历天内完成改造升级及仪器设备采购、安装调试并交付使用。</w:t>
            </w:r>
            <w:r/>
          </w:p>
        </w:tc>
      </w:tr>
      <w:tr>
        <w:trPr>
          <w:trHeight w:val="88"/>
        </w:trPr>
        <w:tc>
          <w:tcPr>
            <w:tcBorders>
              <w:left w:val="single" w:color="auto" w:sz="4" w:space="0"/>
            </w:tcBorders>
            <w:tcW w:w="465" w:type="pct"/>
            <w:vAlign w:val="center"/>
            <w:textDirection w:val="lrTb"/>
            <w:noWrap/>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8</w:t>
            </w:r>
            <w:r>
              <w:rPr>
                <w:rFonts w:hint="eastAsia" w:cs="宋体" w:asciiTheme="minorEastAsia" w:hAnsiTheme="minorEastAsia" w:eastAsiaTheme="minorEastAsia"/>
                <w:sz w:val="24"/>
              </w:rPr>
              <w:t xml:space="preserve">.2</w:t>
            </w:r>
            <w:r/>
          </w:p>
        </w:tc>
        <w:tc>
          <w:tcPr>
            <w:tcW w:w="4535" w:type="pct"/>
            <w:vAlign w:val="center"/>
            <w:textDirection w:val="lrTb"/>
            <w:noWrap/>
          </w:tcPr>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交付地点：根据甲方的要求，送货至指定地点。</w:t>
            </w:r>
            <w:r/>
          </w:p>
        </w:tc>
      </w:tr>
      <w:tr>
        <w:trPr>
          <w:trHeight w:val="88"/>
        </w:trPr>
        <w:tc>
          <w:tcPr>
            <w:tcBorders>
              <w:left w:val="single" w:color="auto" w:sz="4" w:space="0"/>
            </w:tcBorders>
            <w:tcW w:w="465" w:type="pct"/>
            <w:vAlign w:val="center"/>
            <w:textDirection w:val="lrTb"/>
            <w:noWrap/>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8</w:t>
            </w:r>
            <w:r>
              <w:rPr>
                <w:rFonts w:hint="eastAsia" w:cs="宋体" w:asciiTheme="minorEastAsia" w:hAnsiTheme="minorEastAsia" w:eastAsiaTheme="minorEastAsia"/>
                <w:sz w:val="24"/>
              </w:rPr>
              <w:t xml:space="preserve">.3</w:t>
            </w:r>
            <w:r/>
          </w:p>
        </w:tc>
        <w:tc>
          <w:tcPr>
            <w:tcW w:w="4535" w:type="pct"/>
            <w:vAlign w:val="center"/>
            <w:textDirection w:val="lrTb"/>
            <w:noWrap/>
          </w:tcPr>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交付方式：</w:t>
            </w:r>
            <w:r/>
          </w:p>
        </w:tc>
      </w:tr>
      <w:tr>
        <w:trPr>
          <w:trHeight w:val="88"/>
        </w:trPr>
        <w:tc>
          <w:tcPr>
            <w:tcBorders>
              <w:left w:val="single" w:color="auto" w:sz="4" w:space="0"/>
            </w:tcBorders>
            <w:tcW w:w="465" w:type="pct"/>
            <w:vAlign w:val="center"/>
            <w:textDirection w:val="lrTb"/>
            <w:noWrap/>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9</w:t>
            </w:r>
            <w:r>
              <w:rPr>
                <w:rFonts w:hint="eastAsia" w:cs="宋体" w:asciiTheme="minorEastAsia" w:hAnsiTheme="minorEastAsia" w:eastAsiaTheme="minorEastAsia"/>
                <w:sz w:val="24"/>
              </w:rPr>
              <w:t xml:space="preserve">.6</w:t>
            </w:r>
            <w:r/>
          </w:p>
        </w:tc>
        <w:tc>
          <w:tcPr>
            <w:tcW w:w="4535" w:type="pct"/>
            <w:vAlign w:val="center"/>
            <w:textDirection w:val="lrTb"/>
            <w:noWrap/>
          </w:tcPr>
          <w:p>
            <w:pPr>
              <w:ind w:firstLine="480"/>
              <w:spacing w:line="360"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1.9.6.1</w:t>
            </w:r>
            <w:r>
              <w:rPr>
                <w:rFonts w:hint="eastAsia" w:cs="宋体" w:asciiTheme="minorEastAsia" w:hAnsiTheme="minorEastAsia" w:eastAsiaTheme="minorEastAsia"/>
                <w:sz w:val="24"/>
              </w:rPr>
              <w:t xml:space="preserve">乙方有下列违约情形之一的，甲方对乙方进行惩罚：</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乙方必须按招标文件要求及投标文件承诺事项开展售后服务，若未及时履行售后服务，或因数量、质量、服务等问题引发投诉且未在甲方要求时限内妥善处理的，一次罚款贰仟元；如发生满五次，从第六次起，一次罚款壹万元；从第十次起，每次罚款贰万元，从合同款中扣除。</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从合同款中扣除。</w:t>
            </w:r>
            <w:r/>
          </w:p>
          <w:p>
            <w:pPr>
              <w:ind w:firstLine="480"/>
              <w:spacing w:line="360"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1.9.6.2</w:t>
            </w:r>
            <w:r>
              <w:rPr>
                <w:rFonts w:hint="eastAsia" w:cs="宋体" w:asciiTheme="minorEastAsia" w:hAnsiTheme="minorEastAsia" w:eastAsiaTheme="minorEastAsia"/>
                <w:sz w:val="24"/>
              </w:rPr>
              <w:t xml:space="preserve">在甲方对乙方违约而采取的任何补救措施不受影响的情况下，甲方可向乙方发出终止部分或全部合同的书面通知书。</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（1）如果乙方未能按合同规定的期限或甲方同意延长的限期内完成部分或全部相关的</w:t>
            </w:r>
            <w:r>
              <w:rPr>
                <w:rFonts w:hint="eastAsia" w:cs="宋体" w:asciiTheme="minorEastAsia" w:hAnsiTheme="minorEastAsia" w:eastAsiaTheme="minorEastAsia"/>
                <w:sz w:val="24"/>
              </w:rPr>
              <w:t xml:space="preserve">服务工作；</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（2）乙方在收到甲方发出的违约通知后 7 天内，或经甲方书面认可延长的时间内未能纠正其过失；</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（3）乙方未能履行合同规定的其他义务。</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.9.6.3</w:t>
            </w:r>
            <w:r>
              <w:rPr>
                <w:rFonts w:hint="eastAsia" w:cs="宋体" w:asciiTheme="minorEastAsia" w:hAnsiTheme="minorEastAsia" w:eastAsiaTheme="minorEastAsia"/>
                <w:sz w:val="24"/>
              </w:rPr>
              <w:t xml:space="preserve">在甲方根据上述第</w:t>
            </w:r>
            <w:r>
              <w:rPr>
                <w:rFonts w:cs="宋体" w:asciiTheme="minorEastAsia" w:hAnsiTheme="minorEastAsia" w:eastAsiaTheme="minorEastAsia"/>
                <w:sz w:val="24"/>
              </w:rPr>
              <w:t xml:space="preserve">1.9.6.2</w:t>
            </w:r>
            <w:r>
              <w:rPr>
                <w:rFonts w:hint="eastAsia" w:cs="宋体" w:asciiTheme="minorEastAsia" w:hAnsiTheme="minorEastAsia" w:eastAsiaTheme="minorEastAsia"/>
                <w:sz w:val="24"/>
              </w:rPr>
              <w:t xml:space="preserve">条规定，终止了全部或部分合同后，甲方可以依其认为适当的条件和方法购买与未交付类似的服务，乙方应对甲方购买类似服务所超出的那部分费用负责。但是，乙方应继续执行合同中未终止的部分。</w:t>
            </w:r>
            <w:r/>
          </w:p>
        </w:tc>
      </w:tr>
      <w:tr>
        <w:trPr>
          <w:trHeight w:val="88"/>
        </w:trPr>
        <w:tc>
          <w:tcPr>
            <w:tcBorders>
              <w:left w:val="single" w:color="auto" w:sz="4" w:space="0"/>
            </w:tcBorders>
            <w:tcW w:w="465" w:type="pct"/>
            <w:vAlign w:val="center"/>
            <w:textDirection w:val="lrTb"/>
            <w:noWrap/>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2.3.2</w:t>
            </w:r>
            <w:r/>
          </w:p>
        </w:tc>
        <w:tc>
          <w:tcPr>
            <w:tcW w:w="4535" w:type="pct"/>
            <w:vAlign w:val="center"/>
            <w:textDirection w:val="lrTb"/>
            <w:noWrap/>
          </w:tcPr>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w:t>
            </w:r>
            <w:r/>
          </w:p>
        </w:tc>
      </w:tr>
      <w:tr>
        <w:trPr>
          <w:cantSplit/>
          <w:trHeight w:val="88"/>
        </w:trPr>
        <w:tc>
          <w:tcPr>
            <w:tcBorders>
              <w:left w:val="single" w:color="auto" w:sz="4" w:space="0"/>
            </w:tcBorders>
            <w:tcW w:w="465" w:type="pct"/>
            <w:vAlign w:val="center"/>
            <w:textDirection w:val="lrTb"/>
            <w:noWrap/>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2.4.1</w:t>
            </w:r>
            <w:r/>
          </w:p>
        </w:tc>
        <w:tc>
          <w:tcPr>
            <w:tcW w:w="4535" w:type="pct"/>
            <w:textDirection w:val="lrTb"/>
            <w:noWrap/>
          </w:tcPr>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2.4.3</w:t>
            </w:r>
            <w:r/>
          </w:p>
        </w:tc>
        <w:tc>
          <w:tcPr>
            <w:tcW w:w="4535" w:type="pct"/>
            <w:vAlign w:val="center"/>
            <w:textDirection w:val="lrTb"/>
            <w:noWrap/>
          </w:tcPr>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货物装运要求：</w:t>
            </w:r>
            <w:r/>
          </w:p>
        </w:tc>
      </w:tr>
      <w:tr>
        <w:trPr>
          <w:trHeight w:val="88"/>
        </w:trPr>
        <w:tc>
          <w:tcPr>
            <w:tcBorders>
              <w:left w:val="single" w:color="auto" w:sz="4" w:space="0"/>
            </w:tcBorders>
            <w:tcW w:w="465" w:type="pct"/>
            <w:textDirection w:val="lrTb"/>
            <w:noWrap/>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2.8 </w:t>
            </w:r>
            <w:r/>
          </w:p>
        </w:tc>
        <w:tc>
          <w:tcPr>
            <w:tcW w:w="4535" w:type="pct"/>
            <w:textDirection w:val="lrTb"/>
            <w:noWrap/>
          </w:tcPr>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2.12.3</w:t>
            </w:r>
            <w:r/>
          </w:p>
        </w:tc>
        <w:tc>
          <w:tcPr>
            <w:tcW w:w="4535" w:type="pct"/>
            <w:vAlign w:val="center"/>
            <w:textDirection w:val="lrTb"/>
            <w:noWrap/>
          </w:tcPr>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2.12.4</w:t>
            </w:r>
            <w:r/>
          </w:p>
        </w:tc>
        <w:tc>
          <w:tcPr>
            <w:tcW w:w="4535" w:type="pct"/>
            <w:vAlign w:val="center"/>
            <w:textDirection w:val="lrTb"/>
            <w:noWrap/>
          </w:tcPr>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w:t>
            </w:r>
            <w:r/>
          </w:p>
        </w:tc>
      </w:tr>
      <w:tr>
        <w:trPr>
          <w:trHeight w:val="88"/>
        </w:trPr>
        <w:tc>
          <w:tcPr>
            <w:tcBorders>
              <w:left w:val="single" w:color="auto" w:sz="4" w:space="0"/>
            </w:tcBorders>
            <w:tcW w:w="465" w:type="pct"/>
            <w:vAlign w:val="center"/>
            <w:textDirection w:val="lrTb"/>
            <w:noWrap/>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2.16.1</w:t>
            </w:r>
            <w:r/>
          </w:p>
        </w:tc>
        <w:tc>
          <w:tcPr>
            <w:tcW w:w="4535" w:type="pct"/>
            <w:vAlign w:val="center"/>
            <w:textDirection w:val="lrTb"/>
            <w:noWrap/>
          </w:tcPr>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按照采购需求质量要求和采购需求服务要求进行考核验收</w:t>
            </w:r>
            <w:r/>
          </w:p>
        </w:tc>
      </w:tr>
      <w:tr>
        <w:trPr>
          <w:trHeight w:val="352"/>
        </w:trPr>
        <w:tc>
          <w:tcPr>
            <w:tcBorders>
              <w:left w:val="single" w:color="auto" w:sz="4" w:space="0"/>
            </w:tcBorders>
            <w:tcW w:w="465" w:type="pct"/>
            <w:vAlign w:val="center"/>
            <w:textDirection w:val="lrTb"/>
            <w:noWrap/>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2.16.3</w:t>
            </w:r>
            <w:r/>
          </w:p>
        </w:tc>
        <w:tc>
          <w:tcPr>
            <w:tcW w:w="4535" w:type="pct"/>
            <w:vAlign w:val="center"/>
            <w:textDirection w:val="lrTb"/>
            <w:noWrap/>
          </w:tcPr>
          <w:p>
            <w:pPr>
              <w:ind w:firstLine="480"/>
              <w:spacing w:line="360" w:lineRule="auto"/>
              <w:rPr>
                <w:rFonts w:hint="eastAsia" w:cs="宋体" w:asciiTheme="minorEastAsia" w:hAnsiTheme="minorEastAsia" w:eastAsiaTheme="minorEastAsia"/>
                <w:i/>
                <w:iCs/>
                <w:sz w:val="24"/>
              </w:rPr>
            </w:pPr>
            <w:r>
              <w:rPr>
                <w:rFonts w:hint="eastAsia" w:cs="宋体" w:asciiTheme="minorEastAsia" w:hAnsiTheme="minorEastAsia" w:eastAsiaTheme="minorEastAsia"/>
                <w:sz w:val="24"/>
              </w:rPr>
              <w:t xml:space="preserve">严格按照采购合同开展履约验收。乙方提供货物必须与投标文件保持一致，技术参数中全部满足的为合格货物，任一项不满足的为不合格货物，不合格货物甲方一律拒收，如发现虚假应标将追究其法律责任。</w:t>
            </w:r>
            <w:r/>
          </w:p>
        </w:tc>
      </w:tr>
      <w:tr>
        <w:trPr>
          <w:trHeight w:val="65"/>
        </w:trPr>
        <w:tc>
          <w:tcPr>
            <w:tcBorders>
              <w:left w:val="single" w:color="auto" w:sz="4" w:space="0"/>
            </w:tcBorders>
            <w:tcW w:w="465" w:type="pct"/>
            <w:vAlign w:val="center"/>
            <w:textDirection w:val="lrTb"/>
            <w:noWrap/>
          </w:tcPr>
          <w:p>
            <w:pPr>
              <w:ind w:left="-420" w:right="-420"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2.21 </w:t>
            </w:r>
            <w:r/>
          </w:p>
        </w:tc>
        <w:tc>
          <w:tcPr>
            <w:tcW w:w="4535" w:type="pct"/>
            <w:vAlign w:val="center"/>
            <w:textDirection w:val="lrTb"/>
            <w:noWrap/>
          </w:tcPr>
          <w:p>
            <w:pPr>
              <w:pStyle w:val="2462"/>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1.合同应在甲方、乙方盖章后生效。</w:t>
            </w:r>
            <w:r/>
          </w:p>
          <w:p>
            <w:pPr>
              <w:pStyle w:val="2462"/>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2.本合同一式肆份，以中文书写，由甲方、乙方双方各执贰份。</w:t>
            </w:r>
            <w:r/>
          </w:p>
          <w:p>
            <w:pPr>
              <w:pStyle w:val="2462"/>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3.本合同服务实施期间所发生的合同纠纷，甲方与乙方进行处理。</w:t>
            </w:r>
            <w:r/>
          </w:p>
          <w:p>
            <w:pPr>
              <w:pStyle w:val="2462"/>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4.本合同在执行过程中，如随项目的深化，如合同内容需修改或追加补充，应经甲方、乙方协商，并签署书面修改或补充协议。该协议将作为本合同不可分割的一部分。</w:t>
            </w:r>
            <w:r/>
          </w:p>
          <w:p>
            <w:pPr>
              <w:pStyle w:val="2462"/>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szCs w:val="24"/>
              </w:rPr>
              <w:t xml:space="preserve">5.本合同应按照中华人民共和国的现行法律进行解释。</w:t>
            </w:r>
            <w:r/>
          </w:p>
        </w:tc>
      </w:tr>
    </w:tbl>
    <w:p>
      <w:pPr>
        <w:jc w:val="left"/>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rPr>
          <w:rFonts w:hint="eastAsia" w:cs="宋体" w:asciiTheme="minorEastAsia" w:hAnsiTheme="minorEastAsia" w:eastAsiaTheme="minorEastAsia"/>
          <w:b/>
          <w:bCs/>
          <w:sz w:val="36"/>
          <w:szCs w:val="36"/>
        </w:rPr>
      </w:pPr>
      <w:r/>
      <w:bookmarkStart w:id="231" w:name="_Toc4967"/>
      <w:r>
        <w:rPr>
          <w:rFonts w:hint="eastAsia" w:cs="宋体" w:asciiTheme="minorEastAsia" w:hAnsiTheme="minorEastAsia" w:eastAsiaTheme="minorEastAsia"/>
          <w:b/>
          <w:bCs/>
          <w:sz w:val="36"/>
          <w:szCs w:val="36"/>
        </w:rPr>
        <w:br w:type="page" w:clear="all"/>
      </w:r>
      <w:r/>
    </w:p>
    <w:p>
      <w:pPr>
        <w:jc w:val="center"/>
        <w:spacing w:before="200" w:after="200" w:line="360" w:lineRule="auto"/>
        <w:rPr>
          <w:rFonts w:hint="eastAsia" w:cs="宋体" w:asciiTheme="minorEastAsia" w:hAnsiTheme="minorEastAsia" w:eastAsiaTheme="minorEastAsia"/>
          <w:b/>
          <w:bCs/>
          <w:sz w:val="36"/>
          <w:szCs w:val="36"/>
        </w:rPr>
        <w:outlineLvl w:val="0"/>
      </w:pPr>
      <w:r>
        <w:rPr>
          <w:rFonts w:hint="eastAsia" w:cs="宋体" w:asciiTheme="minorEastAsia" w:hAnsiTheme="minorEastAsia" w:eastAsiaTheme="minorEastAsia"/>
          <w:b/>
          <w:bCs/>
          <w:sz w:val="36"/>
          <w:szCs w:val="36"/>
        </w:rPr>
        <w:t xml:space="preserve">第四部分 采购需求</w:t>
      </w:r>
      <w:bookmarkEnd w:id="231"/>
      <w:r/>
      <w:r/>
    </w:p>
    <w:p>
      <w:pPr>
        <w:pStyle w:val="2476"/>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一、标段一：江苏省镇江中学实验室改造及设备购置</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项目属性:货物类项目。</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采购需求包括拟采购的标的及其需要满足的技术、商务要求。</w:t>
      </w:r>
      <w:r/>
    </w:p>
    <w:p>
      <w:pPr>
        <w:ind w:firstLine="482"/>
        <w:spacing w:line="56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（一）技术要求是指对采购标的功能和质量要求，包括性能、材料、结构、外观、安全，或者服务内容和标准等。</w:t>
      </w:r>
      <w:r/>
    </w:p>
    <w:p>
      <w:pPr>
        <w:ind w:firstLine="482"/>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
          <w:bCs/>
          <w:sz w:val="24"/>
        </w:rPr>
        <w:t xml:space="preserve">项目概况：江苏省镇江中学2间物理实验室、2间物理仪器准备室、1间化学实验室、1间化学准备室、1间化学药品（危化品）室、1间生物实验室、1间生物实验准备室改造升级及仪器设备采购</w:t>
      </w:r>
      <w:r>
        <w:rPr>
          <w:rFonts w:hint="eastAsia" w:cs="宋体" w:asciiTheme="minorEastAsia" w:hAnsiTheme="minorEastAsia" w:eastAsiaTheme="minorEastAsia"/>
          <w:bCs/>
          <w:sz w:val="24"/>
        </w:rPr>
        <w:t xml:space="preserve">。具体内容包含但不限于以下</w:t>
      </w:r>
      <w:r>
        <w:rPr>
          <w:rFonts w:cs="宋体" w:asciiTheme="minorEastAsia" w:hAnsiTheme="minorEastAsia" w:eastAsiaTheme="minorEastAsia"/>
          <w:bCs/>
          <w:sz w:val="24"/>
        </w:rPr>
        <w:t xml:space="preserve">内容</w:t>
      </w:r>
      <w:r>
        <w:rPr>
          <w:rFonts w:hint="eastAsia" w:cs="宋体" w:asciiTheme="minorEastAsia" w:hAnsiTheme="minorEastAsia" w:eastAsiaTheme="minorEastAsia"/>
          <w:bCs/>
          <w:sz w:val="24"/>
        </w:rPr>
        <w:t xml:space="preserve">：对原有实验室、准备室等教室的现有地面、静电地板、墙面、吊顶等内容进行出新改造；化学准备室原有通风管道拆除；拆除垃圾清运；新增通风系统；对教室的所有布线系统、给排水系统进行铺设；各种实验仪器、集成设备的安装、调试及培训等。</w:t>
      </w:r>
      <w:r/>
    </w:p>
    <w:p>
      <w:pPr>
        <w:pStyle w:val="1133"/>
        <w:jc w:val="both"/>
        <w:rPr>
          <w:rFonts w:hint="eastAsia" w:cs="宋体" w:asciiTheme="minorEastAsia" w:hAnsiTheme="minorEastAsia"/>
          <w:sz w:val="24"/>
          <w:szCs w:val="24"/>
        </w:rPr>
      </w:pPr>
      <w:r>
        <w:rPr>
          <w:rFonts w:hint="eastAsia" w:cs="宋体" w:asciiTheme="minorEastAsia" w:hAnsiTheme="minorEastAsia"/>
          <w:sz w:val="24"/>
          <w:szCs w:val="24"/>
          <w:lang w:bidi="ar"/>
        </w:rPr>
        <w:t xml:space="preserve">（二）采购清单：</w:t>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t xml:space="preserve">通风系统（型号一）</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4"/>
        <w:gridCol w:w="852"/>
        <w:gridCol w:w="709"/>
        <w:gridCol w:w="6945"/>
        <w:gridCol w:w="1502"/>
      </w:tblGrid>
      <w:tr>
        <w:trPr>
          <w:trHeight w:val="460"/>
          <w:tblHeader/>
        </w:trPr>
        <w:tc>
          <w:tcPr>
            <w:gridSpan w:val="3"/>
            <w:tcW w:w="1046"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251"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c>
          <w:tcPr>
            <w:tcW w:w="703"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数量</w:t>
            </w:r>
            <w:r/>
          </w:p>
        </w:tc>
      </w:tr>
      <w:tr>
        <w:trPr>
          <w:trHeight w:val="420"/>
        </w:trPr>
        <w:tc>
          <w:tcPr>
            <w:tcW w:w="31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风机主机</w:t>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功率</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5.5KW</w:t>
            </w:r>
            <w:r/>
          </w:p>
        </w:tc>
        <w:tc>
          <w:tcPr>
            <w:tcW w:w="70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485"/>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风量</w:t>
            </w:r>
            <w:r/>
          </w:p>
        </w:tc>
        <w:tc>
          <w:tcPr>
            <w:tcW w:w="3251" w:type="pct"/>
            <w:vAlign w:val="center"/>
            <w:textDirection w:val="lrTb"/>
            <w:noWrap w:val="false"/>
          </w:tcPr>
          <w:p>
            <w:pPr>
              <w:pStyle w:val="1095"/>
              <w:rPr>
                <w:rFonts w:hint="eastAsia" w:cs="宋体" w:asciiTheme="minorEastAsia" w:hAnsiTheme="minorEastAsia"/>
                <w:bCs/>
                <w:sz w:val="20"/>
                <w:szCs w:val="20"/>
              </w:rPr>
            </w:pPr>
            <w:r>
              <w:rPr>
                <w:rFonts w:hint="eastAsia" w:cs="宋体" w:asciiTheme="minorEastAsia" w:hAnsiTheme="minorEastAsia"/>
                <w:bCs/>
                <w:sz w:val="20"/>
                <w:szCs w:val="20"/>
                <w:lang w:bidi="ar"/>
              </w:rPr>
              <w:t xml:space="preserve">6840-12700</w:t>
            </w:r>
            <w:r>
              <w:rPr>
                <w:rFonts w:hint="eastAsia" w:cs="宋体" w:asciiTheme="minorEastAsia" w:hAnsiTheme="minorEastAsia"/>
              </w:rPr>
              <w:t xml:space="preserve">m³</w:t>
            </w:r>
            <w:r>
              <w:rPr>
                <w:rFonts w:hint="eastAsia" w:cs="宋体" w:asciiTheme="minorEastAsia" w:hAnsiTheme="minorEastAsia"/>
                <w:bCs/>
                <w:sz w:val="20"/>
                <w:szCs w:val="20"/>
                <w:lang w:bidi="ar"/>
              </w:rPr>
              <w:t xml:space="preserve">/H</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46"/>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全压</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1137-785Pa</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84"/>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每小时换气次数</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20次以上，带补气口装置</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519"/>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室内噪音</w:t>
            </w:r>
            <w:r/>
          </w:p>
        </w:tc>
        <w:tc>
          <w:tcPr>
            <w:tcW w:w="3251" w:type="pct"/>
            <w:vAlign w:val="center"/>
            <w:textDirection w:val="lrTb"/>
            <w:noWrap w:val="false"/>
          </w:tcPr>
          <w:p>
            <w:pPr>
              <w:pStyle w:val="1095"/>
              <w:rPr>
                <w:rFonts w:hint="eastAsia" w:cs="宋体" w:asciiTheme="minorEastAsia" w:hAnsiTheme="minorEastAsia"/>
                <w:bCs/>
                <w:sz w:val="20"/>
                <w:szCs w:val="20"/>
              </w:rPr>
            </w:pPr>
            <w:r>
              <w:rPr>
                <w:rFonts w:hint="eastAsia" w:cs="宋体" w:asciiTheme="minorEastAsia" w:hAnsiTheme="minorEastAsia"/>
                <w:bCs/>
                <w:sz w:val="20"/>
                <w:szCs w:val="20"/>
                <w:lang w:bidi="ar"/>
              </w:rPr>
              <w:t xml:space="preserve">室内噪音小于</w:t>
            </w:r>
            <w:r>
              <w:rPr>
                <w:rFonts w:hint="eastAsia" w:cs="宋体" w:asciiTheme="minorEastAsia" w:hAnsiTheme="minorEastAsia"/>
              </w:rPr>
              <w:t xml:space="preserve">55dB</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1400"/>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配件</w:t>
            </w:r>
            <w:r/>
          </w:p>
        </w:tc>
        <w:tc>
          <w:tcPr>
            <w:tcW w:w="3251" w:type="pct"/>
            <w:vAlign w:val="center"/>
            <w:textDirection w:val="lrTb"/>
            <w:noWrap w:val="false"/>
          </w:tcPr>
          <w:p>
            <w:pPr>
              <w:pStyle w:val="1095"/>
              <w:rPr>
                <w:rFonts w:hint="eastAsia" w:cs="宋体" w:asciiTheme="minorEastAsia" w:hAnsiTheme="minorEastAsia"/>
              </w:rPr>
            </w:pPr>
            <w:r>
              <w:rPr>
                <w:rFonts w:hint="eastAsia" w:cs="宋体" w:asciiTheme="minorEastAsia" w:hAnsiTheme="minorEastAsia"/>
                <w:bCs/>
                <w:sz w:val="20"/>
                <w:szCs w:val="20"/>
                <w:lang w:bidi="ar"/>
              </w:rPr>
              <w:t xml:space="preserve">风机控制线：</w:t>
            </w:r>
            <w:r>
              <w:rPr>
                <w:rFonts w:hint="eastAsia" w:cs="宋体" w:asciiTheme="minorEastAsia" w:hAnsiTheme="minorEastAsia"/>
              </w:rPr>
              <w:t xml:space="preserve">4×4mm²及3×2.5mm²护套线缆各一组</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减震器1套；风机雨帽1套；电机雨帽1套</w:t>
            </w:r>
            <w:r>
              <w:rPr>
                <w:rFonts w:hint="eastAsia" w:cs="宋体" w:asciiTheme="minorEastAsia" w:hAnsiTheme="minorEastAsia" w:eastAsiaTheme="minorEastAsia"/>
                <w:bCs/>
                <w:sz w:val="20"/>
                <w:szCs w:val="20"/>
                <w:lang w:bidi="ar"/>
              </w:rPr>
              <w:br/>
              <w:t xml:space="preserve">通风管道采用化工专用工程塑料优质UPVC制作</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65"/>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电压</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380V</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65"/>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重量</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约150KG</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1023"/>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控制终端</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具有对吊装通风系统的风机无极变频调速和启动控制功能。可单独安装，或集成到教师教学电源。</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54"/>
        </w:trPr>
        <w:tc>
          <w:tcPr>
            <w:tcW w:w="31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变频器</w:t>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控制方式</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采用电流无感矢量控制</w:t>
            </w:r>
            <w:r/>
          </w:p>
        </w:tc>
        <w:tc>
          <w:tcPr>
            <w:tcW w:w="70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429"/>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额定电压</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AC3PH380V+15%</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37"/>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频率</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50-60Hz</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364"/>
        </w:trPr>
        <w:tc>
          <w:tcPr>
            <w:tcW w:w="31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室外消音器</w:t>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ф570×800±10mm</w:t>
            </w:r>
            <w:r/>
          </w:p>
        </w:tc>
        <w:tc>
          <w:tcPr>
            <w:tcW w:w="70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691"/>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玻璃钢或PP材质</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676"/>
        </w:trPr>
        <w:tc>
          <w:tcPr>
            <w:tcW w:w="31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▲万向抽气罩</w:t>
            </w:r>
            <w:r/>
          </w:p>
        </w:tc>
        <w:tc>
          <w:tcPr>
            <w:tcW w:w="39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关节</w:t>
            </w:r>
            <w:r/>
          </w:p>
        </w:tc>
        <w:tc>
          <w:tcPr>
            <w:tcW w:w="332"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高密度PP材质，可360度旋转调节方向</w:t>
            </w:r>
            <w:r/>
          </w:p>
        </w:tc>
        <w:tc>
          <w:tcPr>
            <w:tcW w:w="70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29</w:t>
            </w:r>
            <w:r/>
          </w:p>
        </w:tc>
      </w:tr>
      <w:tr>
        <w:trPr>
          <w:trHeight w:val="786"/>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39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关节连接杆</w:t>
            </w:r>
            <w:r/>
          </w:p>
        </w:tc>
        <w:tc>
          <w:tcPr>
            <w:tcW w:w="332"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304不锈钢</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639"/>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39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关节松紧旋钮</w:t>
            </w:r>
            <w:r/>
          </w:p>
        </w:tc>
        <w:tc>
          <w:tcPr>
            <w:tcW w:w="332"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全铜材质，内嵌不锈钢轴承</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799"/>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399" w:type="pct"/>
            <w:vAlign w:val="center"/>
            <w:textDirection w:val="lrTb"/>
            <w:noWrap/>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拱形/杯形集气罩</w:t>
            </w:r>
            <w:r/>
          </w:p>
        </w:tc>
        <w:tc>
          <w:tcPr>
            <w:tcW w:w="332"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高密度PP制成</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659"/>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39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伸缩导管</w:t>
            </w:r>
            <w:r/>
          </w:p>
        </w:tc>
        <w:tc>
          <w:tcPr>
            <w:tcW w:w="332"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直径75mm铝合金</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596"/>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最大活动半径</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约1600mm</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940"/>
        </w:trPr>
        <w:tc>
          <w:tcPr>
            <w:tcW w:w="31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风机控制线</w:t>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规格型号</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4×4mm²及3×2.5mm²护套线缆各一组</w:t>
            </w:r>
            <w:r/>
          </w:p>
        </w:tc>
        <w:tc>
          <w:tcPr>
            <w:tcW w:w="703"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475"/>
        </w:trPr>
        <w:tc>
          <w:tcPr>
            <w:tcW w:w="31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室内通风管道</w:t>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PVC管</w:t>
            </w:r>
            <w:r/>
          </w:p>
        </w:tc>
        <w:tc>
          <w:tcPr>
            <w:tcW w:w="70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504"/>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主管规格</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φ200mm</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523"/>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支管规格</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φ160mm/φ110mm</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76"/>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接口</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专用胶固定</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16"/>
        </w:trPr>
        <w:tc>
          <w:tcPr>
            <w:tcW w:w="31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室外行程通风管道+风机平台</w:t>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PVC</w:t>
            </w:r>
            <w:r/>
          </w:p>
        </w:tc>
        <w:tc>
          <w:tcPr>
            <w:tcW w:w="70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465"/>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管道口径</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φ400mm</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66"/>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弯头</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φ400mm</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47"/>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管卡</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碳钢制作</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72"/>
        </w:trPr>
        <w:tc>
          <w:tcPr>
            <w:tcW w:w="31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活性碳废弃处理装置</w:t>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处理风量</w:t>
            </w:r>
            <w:r/>
          </w:p>
        </w:tc>
        <w:tc>
          <w:tcPr>
            <w:tcW w:w="3251" w:type="pct"/>
            <w:vAlign w:val="center"/>
            <w:textDirection w:val="lrTb"/>
            <w:noWrap w:val="false"/>
          </w:tcPr>
          <w:p>
            <w:pPr>
              <w:pStyle w:val="1095"/>
              <w:rPr>
                <w:rFonts w:hint="eastAsia" w:cs="宋体" w:asciiTheme="minorEastAsia" w:hAnsiTheme="minorEastAsia"/>
                <w:bCs/>
                <w:sz w:val="20"/>
                <w:szCs w:val="20"/>
              </w:rPr>
            </w:pPr>
            <w:r>
              <w:rPr>
                <w:rFonts w:hint="eastAsia" w:cs="宋体" w:asciiTheme="minorEastAsia" w:hAnsiTheme="minorEastAsia"/>
                <w:bCs/>
                <w:sz w:val="20"/>
                <w:szCs w:val="20"/>
                <w:lang w:bidi="ar"/>
              </w:rPr>
              <w:t xml:space="preserve">处理风量≥</w:t>
            </w:r>
            <w:r>
              <w:rPr>
                <w:rFonts w:hint="eastAsia" w:cs="宋体" w:asciiTheme="minorEastAsia" w:hAnsiTheme="minorEastAsia"/>
              </w:rPr>
              <w:t xml:space="preserve">8000</w:t>
            </w:r>
            <w:r>
              <w:rPr>
                <w:rFonts w:hint="eastAsia" w:cs="宋体" w:asciiTheme="minorEastAsia" w:hAnsiTheme="minorEastAsia"/>
                <w:bCs/>
                <w:sz w:val="20"/>
                <w:szCs w:val="20"/>
                <w:lang w:bidi="ar"/>
              </w:rPr>
              <w:t xml:space="preserve">m³/h</w:t>
            </w:r>
            <w:r/>
          </w:p>
        </w:tc>
        <w:tc>
          <w:tcPr>
            <w:tcW w:w="70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1035"/>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安装方式</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吸附单元在设备箱体内分层格栅式安装，要求能够非常方便的检修及更换</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59"/>
        </w:trPr>
        <w:tc>
          <w:tcPr>
            <w:tcW w:w="31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7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设备材质</w:t>
            </w:r>
            <w:r/>
          </w:p>
        </w:tc>
        <w:tc>
          <w:tcPr>
            <w:tcW w:w="32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PP板材</w:t>
            </w:r>
            <w:r/>
          </w:p>
        </w:tc>
        <w:tc>
          <w:tcPr>
            <w:tcW w:w="703"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1569"/>
        </w:trPr>
        <w:tc>
          <w:tcPr>
            <w:gridSpan w:val="3"/>
            <w:tcW w:w="1046"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安装方式</w:t>
            </w:r>
            <w:r/>
          </w:p>
        </w:tc>
        <w:tc>
          <w:tcPr>
            <w:gridSpan w:val="2"/>
            <w:tcW w:w="395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1、室内教师演示设备和学生实验设备配置万向抽气罩，安装实验室顶部，采用φ200mmPVC主管、φ160mmPVC支管进行连接，管道接口采用专用胶水固定。室内主管道与室外主管道进行对接；</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2、室外主管道采用φ400mmPVC管道及弯头，采用管卡固定，风管连接室外消音器，并于风机对接。</w:t>
            </w:r>
            <w:r/>
          </w:p>
        </w:tc>
      </w:tr>
      <w:tr>
        <w:trPr>
          <w:trHeight w:val="3179"/>
        </w:trPr>
        <w:tc>
          <w:tcPr>
            <w:gridSpan w:val="3"/>
            <w:tcW w:w="1046"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综合设计方案简述</w:t>
            </w:r>
            <w:r/>
          </w:p>
        </w:tc>
        <w:tc>
          <w:tcPr>
            <w:gridSpan w:val="2"/>
            <w:tcW w:w="395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备注：原大楼未设有排风管道，目前的解决方案是通过外部风机进行排风。这种方式在提高能源利用效率的同时，能够有效降低施工和维护成本。需要满足室内空气流通的需求，并为未来的系统优化提供灵活的可能性。通过这种简化的排风设计，实现可持续的运营目标，并确保环境舒适度。</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1、室内教师演示设备和学生实验设备配置万向抽气罩，安装实验室顶部，采用φ200mmPVC主管、φ160mmPVC支管进行连接，管道接口采用专用胶水固定。室内主管道与室外主管道进行对接；</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2、室外主管道采用φ400mmPVC管道及弯头，采用管卡固定，风管连接室外消音器，并于风机对接。</w:t>
            </w:r>
            <w:r/>
          </w:p>
        </w:tc>
      </w:tr>
      <w:tr>
        <w:trPr>
          <w:trHeight w:val="1150"/>
        </w:trPr>
        <w:tc>
          <w:tcPr>
            <w:gridSpan w:val="3"/>
            <w:tcW w:w="1046"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gridSpan w:val="2"/>
            <w:tcW w:w="395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每间化学实验室配备一套通风系统，排风管道从实验室内连接至室外，采用教师主控，变频设计，符合《中小学校设计规范》GB50099-2011</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通风系统（型号二），数量：1</w:t>
      </w:r>
      <w:r>
        <w:rPr>
          <w:rFonts w:hint="eastAsia" w:cs="宋体" w:asciiTheme="minorEastAsia" w:hAnsiTheme="minorEastAsia" w:eastAsiaTheme="minorEastAsia"/>
        </w:rPr>
        <w:t xml:space="preserve">套</w:t>
      </w:r>
      <w:r/>
    </w:p>
    <w:tbl>
      <w:tblPr>
        <w:tblW w:w="5000" w:type="pct"/>
        <w:tblLook w:val="04A0" w:firstRow="1" w:lastRow="0" w:firstColumn="1" w:lastColumn="0" w:noHBand="0" w:noVBand="1"/>
      </w:tblPr>
      <w:tblGrid>
        <w:gridCol w:w="1237"/>
        <w:gridCol w:w="1423"/>
        <w:gridCol w:w="8022"/>
      </w:tblGrid>
      <w:tr>
        <w:trPr>
          <w:trHeight w:val="412"/>
          <w:tblHeader/>
        </w:trPr>
        <w:tc>
          <w:tcPr>
            <w:gridSpan w:val="2"/>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r>
      <w:tr>
        <w:trPr>
          <w:trHeight w:val="1357"/>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250轴流风单相220V，功率110W，转速1450r/min，流量1850m³/小时，噪声符合国家标准,风机外壳和叶轮均采用模具一次成型。</w:t>
            </w:r>
            <w:r/>
          </w:p>
        </w:tc>
      </w:tr>
      <w:tr>
        <w:trPr>
          <w:trHeight w:val="959"/>
        </w:trPr>
        <w:tc>
          <w:tcPr>
            <w:tcBorders>
              <w:top w:val="single" w:color="000000" w:sz="4" w:space="0"/>
              <w:left w:val="single" w:color="000000" w:sz="4" w:space="0"/>
              <w:bottom w:val="single" w:color="000000" w:sz="4" w:space="0"/>
              <w:right w:val="single" w:color="000000" w:sz="4" w:space="0"/>
            </w:tcBorders>
            <w:tcW w:w="579"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室内通风管道 配件</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主风管</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采用具有耐酸碱性能PVCФ200㎜、支分管Ф160㎜，Ф110mm。</w:t>
            </w:r>
            <w:r/>
          </w:p>
        </w:tc>
      </w:tr>
      <w:tr>
        <w:trPr>
          <w:trHeight w:val="1138"/>
        </w:trPr>
        <w:tc>
          <w:tcPr>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管卡</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pStyle w:val="2043"/>
              <w:rPr>
                <w:rFonts w:hint="eastAsia"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t xml:space="preserve">采用碳钢制作，表面经镀铬处理，具有耐腐蚀、防火、防潮等功能。</w:t>
            </w:r>
            <w:r/>
          </w:p>
        </w:tc>
      </w:tr>
      <w:tr>
        <w:trPr>
          <w:trHeight w:val="1596"/>
        </w:trPr>
        <w:tc>
          <w:tcPr>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排风扇</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轴流排气扇</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1、尺寸：400*400*300mm</w:t>
            </w:r>
            <w:r>
              <w:rPr>
                <w:rFonts w:hint="eastAsia" w:cs="宋体" w:asciiTheme="minorEastAsia" w:hAnsiTheme="minorEastAsia" w:eastAsiaTheme="minorEastAsia"/>
                <w:bCs/>
                <w:sz w:val="20"/>
                <w:szCs w:val="20"/>
                <w:lang w:bidi="ar"/>
              </w:rPr>
              <w:br/>
              <w:t xml:space="preserve">2、风量：2500m³/h</w:t>
            </w:r>
            <w:r>
              <w:rPr>
                <w:rFonts w:hint="eastAsia" w:cs="宋体" w:asciiTheme="minorEastAsia" w:hAnsiTheme="minorEastAsia" w:eastAsiaTheme="minorEastAsia"/>
                <w:bCs/>
                <w:sz w:val="20"/>
                <w:szCs w:val="20"/>
                <w:lang w:bidi="ar"/>
              </w:rPr>
              <w:br/>
              <w:t xml:space="preserve">3、功率：250W</w:t>
            </w:r>
            <w:r>
              <w:rPr>
                <w:rFonts w:hint="eastAsia" w:cs="宋体" w:asciiTheme="minorEastAsia" w:hAnsiTheme="minorEastAsia" w:eastAsiaTheme="minorEastAsia"/>
                <w:bCs/>
                <w:sz w:val="20"/>
                <w:szCs w:val="20"/>
                <w:lang w:bidi="ar"/>
              </w:rPr>
              <w:br/>
              <w:t xml:space="preserve">4、电压：220V</w:t>
            </w:r>
            <w:r>
              <w:rPr>
                <w:rFonts w:hint="eastAsia" w:cs="宋体" w:asciiTheme="minorEastAsia" w:hAnsiTheme="minorEastAsia" w:eastAsiaTheme="minorEastAsia"/>
                <w:bCs/>
                <w:sz w:val="20"/>
                <w:szCs w:val="20"/>
                <w:lang w:bidi="ar"/>
              </w:rPr>
              <w:br/>
              <w:t xml:space="preserve">5、30cm</w:t>
            </w:r>
            <w:r/>
          </w:p>
        </w:tc>
      </w:tr>
      <w:tr>
        <w:trPr>
          <w:trHeight w:val="1596"/>
        </w:trPr>
        <w:tc>
          <w:tcPr>
            <w:gridSpan w:val="2"/>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综合设计方案简述</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原大楼未设有排风管道，目前的解决方案是增加轴流风机安装于顶部，通关Ф160㎜，Ф110mm支管进行连接，外部通过φ200mmPVC主管排除室外，管道接口采用碳钢制作管卡连接。</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组成部分：轴流风机、主风管、内部支管、管卡等连接件</w:t>
            </w:r>
            <w:r/>
          </w:p>
        </w:tc>
      </w:tr>
      <w:tr>
        <w:trPr>
          <w:trHeight w:val="1606"/>
        </w:trPr>
        <w:tc>
          <w:tcPr>
            <w:gridSpan w:val="2"/>
            <w:tcBorders>
              <w:top w:val="single" w:color="000000" w:sz="4" w:space="0"/>
              <w:left w:val="single" w:color="000000" w:sz="4" w:space="0"/>
              <w:bottom w:val="single" w:color="000000" w:sz="4" w:space="0"/>
              <w:right w:val="single" w:color="000000" w:sz="4" w:space="0"/>
            </w:tcBorders>
            <w:tcW w:w="124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tcBorders>
              <w:top w:val="single" w:color="000000" w:sz="4" w:space="0"/>
              <w:left w:val="single" w:color="000000" w:sz="4" w:space="0"/>
              <w:bottom w:val="single" w:color="000000" w:sz="4" w:space="0"/>
              <w:right w:val="single" w:color="000000" w:sz="4" w:space="0"/>
            </w:tcBorders>
            <w:tcW w:w="375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危化品室配备一套通风系统，排风管道从实验室内连接至室外，符合《中小学校设计规范》GB50099-2011</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灯光系统（型号一）</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1134"/>
        <w:gridCol w:w="7512"/>
        <w:gridCol w:w="1502"/>
      </w:tblGrid>
      <w:tr>
        <w:trPr>
          <w:trHeight w:val="590"/>
          <w:tblHeader/>
        </w:trPr>
        <w:tc>
          <w:tcPr>
            <w:gridSpan w:val="2"/>
            <w:tcW w:w="781"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516"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c>
          <w:tcPr>
            <w:tcW w:w="703"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数量</w:t>
            </w:r>
            <w:r/>
          </w:p>
        </w:tc>
      </w:tr>
      <w:tr>
        <w:trPr>
          <w:trHeight w:val="567"/>
        </w:trPr>
        <w:tc>
          <w:tcPr>
            <w:tcW w:w="250"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平板灯</w:t>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600*600±5mm</w:t>
            </w:r>
            <w:r/>
          </w:p>
        </w:tc>
        <w:tc>
          <w:tcPr>
            <w:tcW w:w="70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24</w:t>
            </w:r>
            <w:r/>
          </w:p>
        </w:tc>
      </w:tr>
      <w:tr>
        <w:trPr>
          <w:trHeight w:val="1361"/>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规格材质</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szCs w:val="21"/>
              </w:rPr>
              <w:t xml:space="preserve">为一体式侧发光微晶防眩面板灯，棱锥体光学结构设计，微晶结构长短轴尺寸比值≥2，采用高性能光学板材辊压成型；至少有3种光学材料组成，包含反射纸、导光板、微晶防眩板等，灯体表面发光均匀，无暗影</w:t>
            </w:r>
            <w:r>
              <w:rPr>
                <w:rFonts w:hint="eastAsia" w:cs="宋体" w:asciiTheme="minorEastAsia" w:hAnsiTheme="minorEastAsia" w:eastAsiaTheme="minorEastAsia"/>
                <w:bCs/>
                <w:szCs w:val="21"/>
                <w:lang w:bidi="ar"/>
              </w:rPr>
              <w:t xml:space="preserve">。</w:t>
            </w:r>
            <w:r/>
          </w:p>
        </w:tc>
        <w:tc>
          <w:tcPr>
            <w:tcW w:w="70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10"/>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功率</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＜45W;220V</w:t>
            </w:r>
            <w:r/>
          </w:p>
        </w:tc>
        <w:tc>
          <w:tcPr>
            <w:tcW w:w="70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737"/>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出光方式</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采用侧发光的出光方式，灯体表面发光均匀，无暗影。6000小时光通维持率均需大于95%。</w:t>
            </w:r>
            <w:r/>
          </w:p>
        </w:tc>
        <w:tc>
          <w:tcPr>
            <w:tcW w:w="70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426"/>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照明质量</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实验设备为参考平面，照明质量应满足：</w:t>
            </w:r>
            <w:r>
              <w:rPr>
                <w:rFonts w:hint="eastAsia" w:cs="宋体" w:asciiTheme="minorEastAsia" w:hAnsiTheme="minorEastAsia" w:eastAsiaTheme="minorEastAsia"/>
                <w:bCs/>
                <w:sz w:val="20"/>
                <w:szCs w:val="20"/>
                <w:lang w:bidi="ar"/>
              </w:rPr>
              <w:br/>
              <w:t xml:space="preserve">维持平均照度不低于300Lx；</w:t>
            </w:r>
            <w:r>
              <w:rPr>
                <w:rFonts w:hint="eastAsia" w:cs="宋体" w:asciiTheme="minorEastAsia" w:hAnsiTheme="minorEastAsia" w:eastAsiaTheme="minorEastAsia"/>
                <w:bCs/>
                <w:sz w:val="20"/>
                <w:szCs w:val="20"/>
                <w:lang w:bidi="ar"/>
              </w:rPr>
              <w:br/>
              <w:t xml:space="preserve">统一眩光等级UGR大于19；</w:t>
            </w:r>
            <w:r>
              <w:rPr>
                <w:rFonts w:hint="eastAsia" w:cs="宋体" w:asciiTheme="minorEastAsia" w:hAnsiTheme="minorEastAsia" w:eastAsiaTheme="minorEastAsia"/>
                <w:bCs/>
                <w:sz w:val="20"/>
                <w:szCs w:val="20"/>
                <w:lang w:bidi="ar"/>
              </w:rPr>
              <w:br/>
              <w:t xml:space="preserve">照度均匀度不低于0.7；</w:t>
            </w:r>
            <w:r>
              <w:rPr>
                <w:rFonts w:hint="eastAsia" w:cs="宋体" w:asciiTheme="minorEastAsia" w:hAnsiTheme="minorEastAsia" w:eastAsiaTheme="minorEastAsia"/>
                <w:bCs/>
                <w:sz w:val="20"/>
                <w:szCs w:val="20"/>
                <w:lang w:bidi="ar"/>
              </w:rPr>
              <w:br/>
              <w:t xml:space="preserve">照明功率密度低于7W/m²。</w:t>
            </w:r>
            <w:r/>
          </w:p>
        </w:tc>
        <w:tc>
          <w:tcPr>
            <w:tcW w:w="70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992"/>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安装要求</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光源模组采用铝基板，导入胶带均匀的固定在灯体上，使灯条和散热体大面积接触；灯体上至少有4个防掉落挂钩，安装好后可挂在吊架上，保证安全无掉落风险。</w:t>
            </w:r>
            <w:r/>
          </w:p>
        </w:tc>
        <w:tc>
          <w:tcPr>
            <w:tcW w:w="70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815"/>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防眩方式：微晶防眩。 </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蓝光危害等级：豁免级（RG0）（或0类危险），光源使用双蓝光光谱，有效减少蓝光危害。</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教室灯色温：4300K-5300K；</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显色指数：Ra＞90、R9＞50；</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教室灯光效（或灯具效能）：≥80 lm/W。</w:t>
            </w:r>
            <w:r/>
          </w:p>
        </w:tc>
        <w:tc>
          <w:tcPr>
            <w:tcW w:w="70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31"/>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灯驱动电源需为隔离型恒流驱动，电源有外壳并可靠固定。</w:t>
            </w:r>
            <w:r/>
          </w:p>
        </w:tc>
        <w:tc>
          <w:tcPr>
            <w:tcW w:w="70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40"/>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灯色容差（色品容差）≤5 SDCM。</w:t>
            </w:r>
            <w:r/>
          </w:p>
        </w:tc>
        <w:tc>
          <w:tcPr>
            <w:tcW w:w="70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274"/>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灯依据《GB/T 31275》《GB/T 17743》标准经灯具电源端传导骚扰电压（或电源接口骚扰电压）、辐射骚扰、感应电流密度测试，检测结果皆为合格（或通过或符合或判定为P）。提供第三方检测机构出具的检测报告及国家认监委查询截图。</w:t>
            </w:r>
            <w:r/>
          </w:p>
        </w:tc>
        <w:tc>
          <w:tcPr>
            <w:tcW w:w="70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689"/>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符合《</w:t>
            </w:r>
            <w:r>
              <w:rPr>
                <w:rFonts w:cs="宋体" w:asciiTheme="minorEastAsia" w:hAnsiTheme="minorEastAsia" w:eastAsiaTheme="minorEastAsia"/>
                <w:szCs w:val="21"/>
              </w:rPr>
              <w:t xml:space="preserve">GB40070</w:t>
            </w:r>
            <w:r>
              <w:rPr>
                <w:rFonts w:hint="eastAsia" w:cs="宋体" w:asciiTheme="minorEastAsia" w:hAnsiTheme="minorEastAsia" w:eastAsiaTheme="minorEastAsia"/>
                <w:szCs w:val="21"/>
              </w:rPr>
              <w:t xml:space="preserve">儿童青少年学习用品近视防控卫生要求》标准通过近视防控认证证书，符合《GB/T 26572电子电气产品中限用物质的限量要求》标准通过电器电子产品认</w:t>
            </w:r>
            <w:r>
              <w:rPr>
                <w:rFonts w:hint="eastAsia" w:cs="宋体" w:asciiTheme="minorEastAsia" w:hAnsiTheme="minorEastAsia" w:eastAsiaTheme="minorEastAsia"/>
                <w:szCs w:val="21"/>
                <w:lang w:bidi="ar"/>
              </w:rPr>
              <w:t xml:space="preserve">证，</w:t>
            </w:r>
            <w:r>
              <w:rPr>
                <w:rFonts w:hint="eastAsia" w:cs="宋体" w:asciiTheme="minorEastAsia" w:hAnsiTheme="minorEastAsia" w:eastAsiaTheme="minorEastAsia"/>
                <w:szCs w:val="21"/>
              </w:rPr>
              <w:t xml:space="preserve">环境适应性均满足防护等级≥IP40，ta≥50℃</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70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416"/>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灯选用足够数量小功率LED灯珠，灯珠实际使用功率不宜超过额定功率的50%，以提高其发光效率和降低灯具光衰，且LED教室灯须通过CCC认证。提供第三方认证机构出具的认证证书及国家认监委查询“有效”截图。</w:t>
            </w:r>
            <w:r/>
          </w:p>
        </w:tc>
        <w:tc>
          <w:tcPr>
            <w:tcW w:w="70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134"/>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cs="宋体" w:asciiTheme="minorEastAsia" w:hAnsiTheme="minorEastAsia" w:eastAsiaTheme="minorEastAsia"/>
                <w:szCs w:val="21"/>
              </w:rPr>
              <w:t xml:space="preserve">依据</w:t>
            </w:r>
            <w:r>
              <w:rPr>
                <w:rFonts w:hint="eastAsia" w:cs="宋体" w:asciiTheme="minorEastAsia" w:hAnsiTheme="minorEastAsia" w:eastAsiaTheme="minorEastAsia"/>
                <w:szCs w:val="21"/>
              </w:rPr>
              <w:t xml:space="preserve">《QB/T 5533》标准通过教室照明灯具性能认证，单颗光源功率≥1W，防护等级≥IP40，ta≥50℃</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2076"/>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℃及相对温差≥10℃均在严酷自然环境下至少持续运行360小时后，至少依据《GB/T36979》标准满足空间颜色非均匀性△u’v’≤0.007</w:t>
            </w:r>
            <w:r>
              <w:rPr>
                <w:rFonts w:hint="eastAsia" w:cs="宋体" w:asciiTheme="minorEastAsia" w:hAnsiTheme="minorEastAsia" w:eastAsiaTheme="minorEastAsia"/>
                <w:bCs/>
                <w:szCs w:val="21"/>
                <w:lang w:bidi="ar"/>
              </w:rPr>
              <w:t xml:space="preserve">。提供第三方认证机构出具的自然环境实地认证证书及国家认监委查询“有效”截图。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977"/>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w:t>
            </w:r>
            <w:r>
              <w:rPr>
                <w:rFonts w:hint="eastAsia" w:cs="宋体" w:asciiTheme="minorEastAsia" w:hAnsiTheme="minorEastAsia" w:eastAsiaTheme="minorEastAsia"/>
                <w:bCs/>
                <w:szCs w:val="21"/>
                <w:lang w:bidi="ar"/>
              </w:rPr>
              <w:t xml:space="preserve">至少依据《GB/T 18595》标准满足浪涌性能达到C或以上等级。提供第三方认证机构出具的自然环境实地认证证书及国家认监委查询“有效”截图。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979"/>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w:t>
            </w:r>
            <w:r>
              <w:rPr>
                <w:rFonts w:hint="eastAsia" w:cs="宋体" w:asciiTheme="minorEastAsia" w:hAnsiTheme="minorEastAsia" w:eastAsiaTheme="minorEastAsia"/>
                <w:bCs/>
                <w:szCs w:val="21"/>
                <w:lang w:bidi="ar"/>
              </w:rPr>
              <w:t xml:space="preserve">至少依据《GB/T6882》标准满足噪声</w:t>
            </w: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5</w:t>
            </w:r>
            <w:r>
              <w:rPr>
                <w:rFonts w:hint="eastAsia" w:cs="宋体" w:asciiTheme="minorEastAsia" w:hAnsiTheme="minorEastAsia" w:eastAsiaTheme="minorEastAsia"/>
                <w:bCs/>
                <w:szCs w:val="21"/>
                <w:lang w:bidi="ar"/>
              </w:rPr>
              <w:t xml:space="preserve">dB（A）。提供第三方认证机构出具的自然环境实地认证证书及国家认监委查询“有效”截图。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247"/>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至少</w:t>
            </w:r>
            <w:r>
              <w:rPr>
                <w:rFonts w:cs="宋体" w:asciiTheme="minorEastAsia" w:hAnsiTheme="minorEastAsia" w:eastAsiaTheme="minorEastAsia"/>
                <w:szCs w:val="21"/>
              </w:rPr>
              <w:t xml:space="preserve">依据《GB/T42064》标准通过认证，结论为频闪无危害或无频闪危害或无显著影响</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381"/>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施工要求</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灯具距实验设备的最低悬挂高度1.7m，非嵌入式灯具应使用刚性吊杆安装，吊杆应与灯面垂直，不得倾斜，两杆间距偏差±5 mm；灯具排列采用长轴垂直于板书区域布置；灯具对称安装，其横（纵）向中心轴线宜在同一直线上，偏斜不应大于20mm。吊杆安装的灯具应采用不小于Φ6mm膨胀螺栓固定，预埋件承重能不低于灯具重量的10倍。灯具及其附件应安装齐全，并无损伤、变形、涂层剥落和</w:t>
            </w:r>
            <w:r>
              <w:rPr>
                <w:rFonts w:hint="eastAsia" w:cs="宋体" w:asciiTheme="minorEastAsia" w:hAnsiTheme="minorEastAsia" w:eastAsiaTheme="minorEastAsia"/>
                <w:bCs/>
                <w:szCs w:val="21"/>
                <w:lang w:bidi="ar"/>
              </w:rPr>
              <w:t xml:space="preserve">灯罩破裂等缺陷；灯具接线牢固、接触良好；开关面板及接线盒盒体安装完整、无破损变形，零件齐全；墙面明线安装中导管管径大小和接线盒孔径相匹配，导管和接线盒连接紧密。对施工中造成的墙面破损应修复。按教室照明设置情况和天然采光状况，每个照明开关所控制灯具数不应多于3个；板书区域灯具应单独控制，开关安装在板书区域同侧；灯具安装时，要注意避免对其他设备（如：监控摄像机、投影机、顶装空调）的遮挡；如果光线受到建筑构件遮挡，应注意在限值内调整灯具的水平安装位置或降低灯具的安装高度；安装风扇的教室中，出光口面应低于风扇叶面。</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2646"/>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照明设计方案</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需提供每间实验室由DIALux或类似设计工具仿真设计的完整报表，报表中的教室尺寸等信息由采购方提供，报表中的灯具参数必须和提供的灯具检测报告上的参数一致。计算结果数据达到以下指标，维护系数取值1.0，全部灯具点亮时，课桌面平均照度≥375lx、均匀度≥0.7，板书面平均照度≥625lx、均匀度≥0.8，统一眩光值UGR&lt;19。具体施工与设计方案一致。</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54"/>
        </w:trPr>
        <w:tc>
          <w:tcPr>
            <w:tcW w:w="250"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黑板灯</w:t>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长度≥900mm，灯体最小壁厚不低于0.65mm。</w:t>
            </w:r>
            <w:r/>
          </w:p>
        </w:tc>
        <w:tc>
          <w:tcPr>
            <w:tcW w:w="70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6</w:t>
            </w:r>
            <w:r/>
          </w:p>
        </w:tc>
      </w:tr>
      <w:tr>
        <w:trPr>
          <w:trHeight w:val="794"/>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规格材质</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一体式透镜防眩灯具；采用一体式航空铝型材灯体。光源使用双蓝光光谱，有效减少蓝光危害</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54"/>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功率</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＜45W；220V</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737"/>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出光方式</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侧发光的出光方式，发光导向黑板，6000小时光通维持率均需大于95%。</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871"/>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照明质量</w:t>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满足黑板面维持平均照度≥500Lx，照度均匀度≥0.8；                              </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防眩方式：透镜防眩；</w:t>
            </w:r>
            <w:r>
              <w:rPr>
                <w:rFonts w:hint="eastAsia" w:cs="宋体" w:asciiTheme="minorEastAsia" w:hAnsiTheme="minorEastAsia" w:eastAsiaTheme="minorEastAsia"/>
                <w:bCs/>
                <w:szCs w:val="21"/>
                <w:lang w:bidi="ar"/>
              </w:rPr>
              <w:br/>
              <w:t xml:space="preserve">蓝光危害等级：豁免级（RG0）（或0类危险）；</w:t>
            </w:r>
            <w:r>
              <w:rPr>
                <w:rFonts w:hint="eastAsia" w:cs="宋体" w:asciiTheme="minorEastAsia" w:hAnsiTheme="minorEastAsia" w:eastAsiaTheme="minorEastAsia"/>
                <w:bCs/>
                <w:szCs w:val="21"/>
                <w:lang w:bidi="ar"/>
              </w:rPr>
              <w:br/>
              <w:t xml:space="preserve">色温：4300K-5300K；</w:t>
            </w:r>
            <w:r>
              <w:rPr>
                <w:rFonts w:hint="eastAsia" w:cs="宋体" w:asciiTheme="minorEastAsia" w:hAnsiTheme="minorEastAsia" w:eastAsiaTheme="minorEastAsia"/>
                <w:bCs/>
                <w:szCs w:val="21"/>
                <w:lang w:bidi="ar"/>
              </w:rPr>
              <w:br/>
              <w:t xml:space="preserve">显色指数：Ra＞90、R9＞50；</w:t>
            </w:r>
            <w:r>
              <w:rPr>
                <w:rFonts w:hint="eastAsia" w:cs="宋体" w:asciiTheme="minorEastAsia" w:hAnsiTheme="minorEastAsia" w:eastAsiaTheme="minorEastAsia"/>
                <w:bCs/>
                <w:szCs w:val="21"/>
                <w:lang w:bidi="ar"/>
              </w:rPr>
              <w:br/>
              <w:t xml:space="preserve">光效：≥80 lm/W。</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982"/>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LED黑板灯驱动电源需为隔离型恒流驱动，电源有外壳并可靠固定；驱动不可徒手拆卸，保证安全；驱动电源置于灯体上居中对称，保证吊装安全稳固。</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365"/>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灯色容差（色品容差）≤5 SDCM。</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310"/>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灯依据《GB/T 31275》《GB/T 17743》标准经灯具电源端传导骚扰电压（或电源接口骚扰电压）、辐射骚扰、感应电流密度测试，检测结果皆为合格（或通过或符合或判定为P）。提供第三方检测机构出具的检测报告及国家认监委查询截图。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077"/>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符合《</w:t>
            </w:r>
            <w:r>
              <w:rPr>
                <w:rFonts w:cs="宋体" w:asciiTheme="minorEastAsia" w:hAnsiTheme="minorEastAsia" w:eastAsiaTheme="minorEastAsia"/>
                <w:szCs w:val="21"/>
              </w:rPr>
              <w:t xml:space="preserve">GB40070</w:t>
            </w:r>
            <w:r>
              <w:rPr>
                <w:rFonts w:hint="eastAsia" w:cs="宋体" w:asciiTheme="minorEastAsia" w:hAnsiTheme="minorEastAsia" w:eastAsiaTheme="minorEastAsia"/>
                <w:szCs w:val="21"/>
              </w:rPr>
              <w:t xml:space="preserve">儿童青少年学习用品近视防控卫生要求》标准通过近视防控认证证书，符合《GB/T 26572电子电气产品中限用物质的限量要求》标准通过电器电子产品认</w:t>
            </w:r>
            <w:r>
              <w:rPr>
                <w:rFonts w:hint="eastAsia" w:cs="宋体" w:asciiTheme="minorEastAsia" w:hAnsiTheme="minorEastAsia" w:eastAsiaTheme="minorEastAsia"/>
                <w:szCs w:val="21"/>
                <w:lang w:bidi="ar"/>
              </w:rPr>
              <w:t xml:space="preserve">证，</w:t>
            </w:r>
            <w:r>
              <w:rPr>
                <w:rFonts w:hint="eastAsia" w:cs="宋体" w:asciiTheme="minorEastAsia" w:hAnsiTheme="minorEastAsia" w:eastAsiaTheme="minorEastAsia"/>
                <w:szCs w:val="21"/>
              </w:rPr>
              <w:t xml:space="preserve">环境适应性均满足防护等级≥IP40，ta≥50℃</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077"/>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灯选用足够数量小功率LED灯珠，灯珠实际使用功率不宜超过额定功率的50%，以提高其发光效率和降低灯具光衰，且LED黑板灯须通过CCC认证。提供第三方认证机构出具的认证证书及国家认监委查询“有效”截图。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077"/>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w:t>
            </w:r>
            <w:r>
              <w:rPr>
                <w:rFonts w:cs="宋体" w:asciiTheme="minorEastAsia" w:hAnsiTheme="minorEastAsia" w:eastAsiaTheme="minorEastAsia"/>
                <w:szCs w:val="21"/>
              </w:rPr>
              <w:t xml:space="preserve">依据</w:t>
            </w:r>
            <w:r>
              <w:rPr>
                <w:rFonts w:hint="eastAsia" w:cs="宋体" w:asciiTheme="minorEastAsia" w:hAnsiTheme="minorEastAsia" w:eastAsiaTheme="minorEastAsia"/>
                <w:szCs w:val="21"/>
              </w:rPr>
              <w:t xml:space="preserve">《QB/T 5533》标准通过教室照明灯具性能认证，单颗光源功率≥1W，防护等级≥IP40，ta≥50℃</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2113"/>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℃及相对温差≥10℃均在严酷自然环境下至少持续运行360小时后，至少依据《GB/T36979》标准满足空间颜色非均匀性△u’v’≤0.007</w:t>
            </w:r>
            <w:r>
              <w:rPr>
                <w:rFonts w:hint="eastAsia" w:cs="宋体" w:asciiTheme="minorEastAsia" w:hAnsiTheme="minorEastAsia" w:eastAsiaTheme="minorEastAsia"/>
                <w:bCs/>
                <w:szCs w:val="21"/>
                <w:lang w:bidi="ar"/>
              </w:rPr>
              <w:t xml:space="preserve">。提供第三方认证机构出具的自然环境实地认证证书及国家认监委查询“有效”截图。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794"/>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w:t>
            </w:r>
            <w:r>
              <w:rPr>
                <w:rFonts w:hint="eastAsia" w:cs="宋体" w:asciiTheme="minorEastAsia" w:hAnsiTheme="minorEastAsia" w:eastAsiaTheme="minorEastAsia"/>
                <w:bCs/>
                <w:szCs w:val="21"/>
                <w:lang w:bidi="ar"/>
              </w:rPr>
              <w:t xml:space="preserve">至少依据《GB/T 18595》标准满足浪涌性能达到C或以上等级。提供第三方认证机构出具的自然环境实地认证证书及国家认监委查询“有效”截图。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17"/>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w:t>
            </w:r>
            <w:r>
              <w:rPr>
                <w:rFonts w:hint="eastAsia" w:cs="宋体" w:asciiTheme="minorEastAsia" w:hAnsiTheme="minorEastAsia" w:eastAsiaTheme="minorEastAsia"/>
                <w:bCs/>
                <w:szCs w:val="21"/>
                <w:lang w:bidi="ar"/>
              </w:rPr>
              <w:t xml:space="preserve">至少依据《GB/T6882》标准满足噪声</w:t>
            </w: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5</w:t>
            </w:r>
            <w:r>
              <w:rPr>
                <w:rFonts w:hint="eastAsia" w:cs="宋体" w:asciiTheme="minorEastAsia" w:hAnsiTheme="minorEastAsia" w:eastAsiaTheme="minorEastAsia"/>
                <w:bCs/>
                <w:szCs w:val="21"/>
                <w:lang w:bidi="ar"/>
              </w:rPr>
              <w:t xml:space="preserve">dB（A）。提供第三方认证机构出具的自然环境实地认证证书及国家认监委查询“有效”截图。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794"/>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至少</w:t>
            </w:r>
            <w:r>
              <w:rPr>
                <w:rFonts w:cs="宋体" w:asciiTheme="minorEastAsia" w:hAnsiTheme="minorEastAsia" w:eastAsiaTheme="minorEastAsia"/>
                <w:szCs w:val="21"/>
              </w:rPr>
              <w:t xml:space="preserve">依据《GB/T42064》标准通过认证，结论为频闪无危害或无频闪危害或无显著影响</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12"/>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防护等级</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IP42</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60"/>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施工要求</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灯具距实验设备的最低悬挂高度1.7m，非嵌入式灯具应使用刚性吊杆安装，吊杆应与灯面垂直，不得倾斜，两杆间距偏差±5 mm；灯具排列采用长轴垂直于板书区域布置；灯具对称安装，其横（纵）向中心轴线宜在同一直线上，偏斜不应大于20mm。吊杆安装的灯具应采用不小于Φ6mm膨胀螺栓固定，预埋件承重能不低于灯具重量的10倍。灯具及其附件应安装齐全，并无损伤、变形、涂层剥落和</w:t>
            </w:r>
            <w:r>
              <w:rPr>
                <w:rFonts w:hint="eastAsia" w:cs="宋体" w:asciiTheme="minorEastAsia" w:hAnsiTheme="minorEastAsia" w:eastAsiaTheme="minorEastAsia"/>
                <w:bCs/>
                <w:szCs w:val="21"/>
                <w:lang w:bidi="ar"/>
              </w:rPr>
              <w:t xml:space="preserve">灯罩破裂等缺陷；灯具接线牢固、接触良好；开关面板及接线盒盒体安装完整、无破损变形，零件齐全；墙面明线安装中导管管径大小和接线盒孔径相匹配，导管和接线盒连接紧密。对施工中造成的墙面破损应修复。按教室照明设置情况和天然采光状况，每个照明开关所控制灯具数不应多于3个；板书区域灯具应单独控制，开关安装在板书区域同侧；灯具安装时，要注意避免对其他设备（如：监控摄像机、投影机、顶装空调）的遮挡；如果光线受到建筑构件遮挡，应注意在限值内调整灯具的水平安装位置或降低灯具的安装高度；安装风扇的教室中，出光口面应低于风扇叶面。</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849"/>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照明设计方案</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需提供每间实验室由DIALux或类似设计工具仿真设计的完整报表，报表中的教室尺寸等信息由采购方提供，报表中的灯具参数必须和提供的灯具检测报告上的参数一致。计算结果数据达到以下指标，维护系数取值1.0，全部灯具点亮时，课桌面平均照度≥375lx、均匀度≥0.7，板书面平均照度≥625lx、均匀度≥0.8，统一眩光值UGR&lt;19。具体施工与设计方案一致。</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969"/>
        </w:trPr>
        <w:tc>
          <w:tcPr>
            <w:gridSpan w:val="2"/>
            <w:tcW w:w="781" w:type="pct"/>
            <w:vAlign w:val="center"/>
            <w:textDirection w:val="lrTb"/>
            <w:noWrap/>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gridSpan w:val="2"/>
            <w:tcW w:w="4219"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1. 教室光照度等各项指标达到国家标准。</w:t>
            </w:r>
            <w:r>
              <w:rPr>
                <w:rFonts w:hint="eastAsia" w:cs="宋体" w:asciiTheme="minorEastAsia" w:hAnsiTheme="minorEastAsia" w:eastAsiaTheme="minorEastAsia"/>
                <w:bCs/>
                <w:szCs w:val="21"/>
                <w:lang w:bidi="ar"/>
              </w:rPr>
              <w:br/>
              <w:t xml:space="preserve">2. 灯光系统为成套设备：教室顶灯、黑板灯、控制面板、辅材等。</w:t>
            </w:r>
            <w:r/>
          </w:p>
        </w:tc>
      </w:tr>
    </w:tbl>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灯光系统（型号二）</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1134"/>
        <w:gridCol w:w="7512"/>
        <w:gridCol w:w="1502"/>
      </w:tblGrid>
      <w:tr>
        <w:trPr>
          <w:trHeight w:val="340"/>
          <w:tblHeader/>
        </w:trPr>
        <w:tc>
          <w:tcPr>
            <w:gridSpan w:val="2"/>
            <w:tcW w:w="781"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516"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参数要求</w:t>
            </w:r>
            <w:r/>
          </w:p>
        </w:tc>
        <w:tc>
          <w:tcPr>
            <w:tcW w:w="703"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数量</w:t>
            </w:r>
            <w:r/>
          </w:p>
        </w:tc>
      </w:tr>
      <w:tr>
        <w:trPr>
          <w:trHeight w:val="510"/>
        </w:trPr>
        <w:tc>
          <w:tcPr>
            <w:tcW w:w="250"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条形灯</w:t>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1200*300±10mm</w:t>
            </w:r>
            <w:r/>
          </w:p>
        </w:tc>
        <w:tc>
          <w:tcPr>
            <w:tcW w:w="703" w:type="pct"/>
            <w:vAlign w:val="center"/>
            <w:vMerge w:val="restart"/>
            <w:textDirection w:val="lrTb"/>
            <w:noWrap/>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24</w:t>
            </w:r>
            <w:r/>
          </w:p>
        </w:tc>
      </w:tr>
      <w:tr>
        <w:trPr>
          <w:trHeight w:val="1304"/>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规格材质</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szCs w:val="21"/>
              </w:rPr>
              <w:t xml:space="preserve">为一体式侧发光微晶防眩面板灯，棱锥体光学结构设计，微晶结构长短轴尺寸比值≥2，采用高性能光学板材辊压成型；至少有</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种光学材料组成，包含反射纸，导光板，和微晶防眩板等，灯体表面发光均匀，无暗影</w:t>
            </w:r>
            <w:r>
              <w:rPr>
                <w:rFonts w:hint="eastAsia" w:cs="宋体" w:asciiTheme="minorEastAsia" w:hAnsiTheme="minorEastAsia" w:eastAsiaTheme="minorEastAsia"/>
                <w:bCs/>
                <w:szCs w:val="21"/>
                <w:lang w:bidi="ar"/>
              </w:rPr>
              <w:t xml:space="preserve">。</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24"/>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功率</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＜45W；220V</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850"/>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出光方式</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采用侧发光的出光方式，灯体表面发光均匀，无暗影。6000小时光通维持率均需大于95%。</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964"/>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安装要求</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光源模组采用铝基板，导入胶带均匀的固定在灯体上，使灯条和散热体大面积接触。</w:t>
            </w:r>
            <w:r>
              <w:rPr>
                <w:rFonts w:hint="eastAsia" w:cs="宋体" w:asciiTheme="minorEastAsia" w:hAnsiTheme="minorEastAsia" w:eastAsiaTheme="minorEastAsia"/>
                <w:bCs/>
                <w:sz w:val="20"/>
                <w:szCs w:val="20"/>
                <w:lang w:bidi="ar"/>
              </w:rPr>
              <w:br/>
              <w:t xml:space="preserve">吊架固定在灯体边框上面，单个支架的固定点要求≥4个。</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657"/>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照明质量</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实验设备为参考平面，照明质量应满足：</w:t>
            </w:r>
            <w:r>
              <w:rPr>
                <w:rFonts w:hint="eastAsia" w:cs="宋体" w:asciiTheme="minorEastAsia" w:hAnsiTheme="minorEastAsia" w:eastAsiaTheme="minorEastAsia"/>
                <w:bCs/>
                <w:sz w:val="20"/>
                <w:szCs w:val="20"/>
                <w:lang w:bidi="ar"/>
              </w:rPr>
              <w:br/>
              <w:t xml:space="preserve">维持平均照度不低于300Lx；</w:t>
            </w:r>
            <w:r>
              <w:rPr>
                <w:rFonts w:hint="eastAsia" w:cs="宋体" w:asciiTheme="minorEastAsia" w:hAnsiTheme="minorEastAsia" w:eastAsiaTheme="minorEastAsia"/>
                <w:bCs/>
                <w:sz w:val="20"/>
                <w:szCs w:val="20"/>
                <w:lang w:bidi="ar"/>
              </w:rPr>
              <w:br/>
              <w:t xml:space="preserve">统一眩光等级UGR大于19；</w:t>
            </w:r>
            <w:r>
              <w:rPr>
                <w:rFonts w:hint="eastAsia" w:cs="宋体" w:asciiTheme="minorEastAsia" w:hAnsiTheme="minorEastAsia" w:eastAsiaTheme="minorEastAsia"/>
                <w:bCs/>
                <w:sz w:val="20"/>
                <w:szCs w:val="20"/>
                <w:lang w:bidi="ar"/>
              </w:rPr>
              <w:br/>
              <w:t xml:space="preserve">照度均匀度不低于0.7；</w:t>
            </w:r>
            <w:r>
              <w:rPr>
                <w:rFonts w:hint="eastAsia" w:cs="宋体" w:asciiTheme="minorEastAsia" w:hAnsiTheme="minorEastAsia" w:eastAsiaTheme="minorEastAsia"/>
                <w:bCs/>
                <w:sz w:val="20"/>
                <w:szCs w:val="20"/>
                <w:lang w:bidi="ar"/>
              </w:rPr>
              <w:br/>
              <w:t xml:space="preserve">照明功率密度低于7W/m²。</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965"/>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防眩方式：微晶防眩；光源使用双蓝光光谱，有效减少蓝光危害。</w:t>
            </w:r>
            <w:r>
              <w:rPr>
                <w:rFonts w:hint="eastAsia" w:cs="宋体" w:asciiTheme="minorEastAsia" w:hAnsiTheme="minorEastAsia" w:eastAsiaTheme="minorEastAsia"/>
                <w:bCs/>
                <w:szCs w:val="21"/>
                <w:lang w:bidi="ar"/>
              </w:rPr>
              <w:br/>
              <w:t xml:space="preserve">蓝光危害等级：豁免级（RG0）（或0类危险）；</w:t>
            </w:r>
            <w:r>
              <w:rPr>
                <w:rFonts w:hint="eastAsia" w:cs="宋体" w:asciiTheme="minorEastAsia" w:hAnsiTheme="minorEastAsia" w:eastAsiaTheme="minorEastAsia"/>
                <w:bCs/>
                <w:szCs w:val="21"/>
                <w:lang w:bidi="ar"/>
              </w:rPr>
              <w:br/>
              <w:t xml:space="preserve">色温：4300K-5300K；</w:t>
            </w:r>
            <w:r>
              <w:rPr>
                <w:rFonts w:hint="eastAsia" w:cs="宋体" w:asciiTheme="minorEastAsia" w:hAnsiTheme="minorEastAsia" w:eastAsiaTheme="minorEastAsia"/>
                <w:bCs/>
                <w:szCs w:val="21"/>
                <w:lang w:bidi="ar"/>
              </w:rPr>
              <w:br/>
              <w:t xml:space="preserve">显色指数：Ra＞90、R9＞50；</w:t>
            </w:r>
            <w:r>
              <w:rPr>
                <w:rFonts w:hint="eastAsia" w:cs="宋体" w:asciiTheme="minorEastAsia" w:hAnsiTheme="minorEastAsia" w:eastAsiaTheme="minorEastAsia"/>
                <w:bCs/>
                <w:szCs w:val="21"/>
                <w:lang w:bidi="ar"/>
              </w:rPr>
              <w:br/>
              <w:t xml:space="preserve">光效：≥80 lm/W。</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67"/>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教室灯驱动电源需为隔离型恒流驱动，电源有外壳并可靠固定。</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67"/>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教室灯色容差（色品容差）≤5 SDCM。</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579"/>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灯依据《GB/T 31275》《GB/T 17743》标准经灯具电源端传导骚扰电压（或电源接口骚扰电压）、辐射骚扰、感应电流密度测试，检测结果皆为合格（或通过或符合或判定为P）。提供第三方检测机构出具的检测报告及国家认监委查询截图。</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560"/>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符合《</w:t>
            </w:r>
            <w:r>
              <w:rPr>
                <w:rFonts w:cs="宋体" w:asciiTheme="minorEastAsia" w:hAnsiTheme="minorEastAsia" w:eastAsiaTheme="minorEastAsia"/>
                <w:szCs w:val="21"/>
              </w:rPr>
              <w:t xml:space="preserve">GB40070</w:t>
            </w:r>
            <w:r>
              <w:rPr>
                <w:rFonts w:hint="eastAsia" w:cs="宋体" w:asciiTheme="minorEastAsia" w:hAnsiTheme="minorEastAsia" w:eastAsiaTheme="minorEastAsia"/>
                <w:szCs w:val="21"/>
              </w:rPr>
              <w:t xml:space="preserve">儿童青少年学习用品近视防控卫生要求》标准通过近视防控认证证书，符合《GB/T 26572电子电气产品中限用物质的限量要求》标准通过电器电子产品认</w:t>
            </w:r>
            <w:r>
              <w:rPr>
                <w:rFonts w:hint="eastAsia" w:cs="宋体" w:asciiTheme="minorEastAsia" w:hAnsiTheme="minorEastAsia" w:eastAsiaTheme="minorEastAsia"/>
                <w:szCs w:val="21"/>
                <w:lang w:bidi="ar"/>
              </w:rPr>
              <w:t xml:space="preserve">证，</w:t>
            </w:r>
            <w:r>
              <w:rPr>
                <w:rFonts w:hint="eastAsia" w:cs="宋体" w:asciiTheme="minorEastAsia" w:hAnsiTheme="minorEastAsia" w:eastAsiaTheme="minorEastAsia"/>
                <w:szCs w:val="21"/>
              </w:rPr>
              <w:t xml:space="preserve">环境适应性均满足防护等级≥IP40，ta≥50℃</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540"/>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灯选用足够数量小功率LED灯珠，灯珠实际使用功率不宜超过额定功率的50%，以提高其发光效率和降低灯具光衰，且LED教室灯须通过CCC认证。提供第三方认证机构出具的认证证书及国家认监委查询“有效”截图。</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304"/>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cs="宋体" w:asciiTheme="minorEastAsia" w:hAnsiTheme="minorEastAsia" w:eastAsiaTheme="minorEastAsia"/>
                <w:szCs w:val="21"/>
              </w:rPr>
              <w:t xml:space="preserve">依据</w:t>
            </w:r>
            <w:r>
              <w:rPr>
                <w:rFonts w:hint="eastAsia" w:cs="宋体" w:asciiTheme="minorEastAsia" w:hAnsiTheme="minorEastAsia" w:eastAsiaTheme="minorEastAsia"/>
                <w:szCs w:val="21"/>
              </w:rPr>
              <w:t xml:space="preserve">《QB/T 5533》标准通过教室照明灯具性能认证，单颗光源功率≥1W，防护等级≥IP40，ta≥50℃</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984"/>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℃及相对温差≥10℃均在严酷自然环境下至少持续运行360小时后，至少依据《GB/T36979》标准满足空间颜色非均匀性△u’v’≤0.007</w:t>
            </w:r>
            <w:r>
              <w:rPr>
                <w:rFonts w:hint="eastAsia" w:cs="宋体" w:asciiTheme="minorEastAsia" w:hAnsiTheme="minorEastAsia" w:eastAsiaTheme="minorEastAsia"/>
                <w:bCs/>
                <w:szCs w:val="21"/>
                <w:lang w:bidi="ar"/>
              </w:rPr>
              <w:t xml:space="preserve">。提供第三方认证机构出具的自然环境实地认证证书及国家认监委查询“有效”截图。</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2459"/>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w:t>
            </w:r>
            <w:r>
              <w:rPr>
                <w:rFonts w:hint="eastAsia" w:cs="宋体" w:asciiTheme="minorEastAsia" w:hAnsiTheme="minorEastAsia" w:eastAsiaTheme="minorEastAsia"/>
                <w:bCs/>
                <w:szCs w:val="21"/>
                <w:lang w:bidi="ar"/>
              </w:rPr>
              <w:t xml:space="preserve">至少依据《GB/T 18595》标准满足浪涌性能达到C或以上等级。提供第三方认证机构出具的自然环境实地认证证书及国家认监委查询“有效”截图。</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2253"/>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w:t>
            </w:r>
            <w:r>
              <w:rPr>
                <w:rFonts w:hint="eastAsia" w:cs="宋体" w:asciiTheme="minorEastAsia" w:hAnsiTheme="minorEastAsia" w:eastAsiaTheme="minorEastAsia"/>
                <w:bCs/>
                <w:szCs w:val="21"/>
                <w:lang w:bidi="ar"/>
              </w:rPr>
              <w:t xml:space="preserve">至少依据《GB/T6882》标准满足噪声</w:t>
            </w: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5</w:t>
            </w:r>
            <w:r>
              <w:rPr>
                <w:rFonts w:hint="eastAsia" w:cs="宋体" w:asciiTheme="minorEastAsia" w:hAnsiTheme="minorEastAsia" w:eastAsiaTheme="minorEastAsia"/>
                <w:bCs/>
                <w:szCs w:val="21"/>
                <w:lang w:bidi="ar"/>
              </w:rPr>
              <w:t xml:space="preserve">dB（A）。提供第三方认证机构出具的自然环境实地认证证书及国家认监委查询“有效”截图。</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808"/>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施工要求</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灯具距实验设备的最低悬挂高度1.7m，非嵌入式灯具应使用刚性吊杆安装，吊杆应与灯面垂直，不得倾斜，两杆间距偏差±5 mm；灯具排列采用长轴垂直于板书区域布置；灯具对称安装，其横（纵）向中心轴线宜在同一直线上，偏斜不应大于20mm。吊杆安装的灯具应采用不小于Φ6mm膨胀螺栓固定，预埋件承重能不低于灯具重量的10倍。灯具及其附件应安装齐全，并无损伤、变形、涂层剥落和</w:t>
            </w:r>
            <w:r>
              <w:rPr>
                <w:rFonts w:hint="eastAsia" w:cs="宋体" w:asciiTheme="minorEastAsia" w:hAnsiTheme="minorEastAsia" w:eastAsiaTheme="minorEastAsia"/>
                <w:bCs/>
                <w:szCs w:val="21"/>
                <w:lang w:bidi="ar"/>
              </w:rPr>
              <w:t xml:space="preserve">灯罩破裂等缺陷；灯具接线牢固、接触良好；开关面板及接线盒盒体安装完整、无破损变形，零件齐全；墙面明线安装中导管管径大小和接线盒孔径相匹配，导管和接线盒连接紧密。对施工中造成的墙面破损应修复。按教室照明设置情况和天然采光状况，每个照明开关所控制灯具数不应多于3个；板书区域灯具应单独控制，开关安装在板书区域同侧；灯具安装时，要注意避免对其他设备（如：监控摄像机、投影机、顶装空调）的遮挡；如果光线受到建筑构件遮挡，应注意在限值内调整灯具的水平安装位置或降低灯具的安装高度；安装风扇的教室中，出光口面应低于风扇叶面。</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757"/>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照明设计方案</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需提供每间实验室由DIALux或类似设计工具仿真设计的完整报表，报表中的教室尺寸等信息由采购方提供，报表中的灯具参数必须和提供的灯具检测报告上的参数一致。计算结果数据达到以下指标，维护系数取值1.0，全部灯具点亮时，课桌面平均照度≥375lx、均匀度≥0.7，板书面平均照度≥625lx、均匀度≥0.8，统一眩光值UGR&lt;19。具体施工与设计方案一致。</w:t>
            </w:r>
            <w:r/>
          </w:p>
        </w:tc>
        <w:tc>
          <w:tcPr>
            <w:tcW w:w="703"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67"/>
        </w:trPr>
        <w:tc>
          <w:tcPr>
            <w:tcW w:w="250"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黑板灯</w:t>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长度≥900mm，灯体最小壁厚不低于0.65mm。</w:t>
            </w:r>
            <w:r/>
          </w:p>
        </w:tc>
        <w:tc>
          <w:tcPr>
            <w:tcW w:w="70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6</w:t>
            </w:r>
            <w:r/>
          </w:p>
        </w:tc>
      </w:tr>
      <w:tr>
        <w:trPr>
          <w:trHeight w:val="567"/>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规格材质</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一体式透镜防眩灯具；采用一体式航空铝型材灯体。</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67"/>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功率</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＜45W；220V</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67"/>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出光方式</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侧发光的出光方式，发光导向黑板，6000小时光通维持率均需大于95%。</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2097"/>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满足黑板面维持平均照度≥500Lx，照度均匀度≥0.8；                              </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防眩方式：透镜防眩；光源使用双蓝光光谱，有效减少蓝光危害。</w:t>
            </w:r>
            <w:r>
              <w:rPr>
                <w:rFonts w:hint="eastAsia" w:cs="宋体" w:asciiTheme="minorEastAsia" w:hAnsiTheme="minorEastAsia" w:eastAsiaTheme="minorEastAsia"/>
                <w:bCs/>
                <w:szCs w:val="21"/>
                <w:lang w:bidi="ar"/>
              </w:rPr>
              <w:br/>
              <w:t xml:space="preserve">蓝光危害等级：豁免级（RG0）（或0类危险）；</w:t>
            </w:r>
            <w:r>
              <w:rPr>
                <w:rFonts w:hint="eastAsia" w:cs="宋体" w:asciiTheme="minorEastAsia" w:hAnsiTheme="minorEastAsia" w:eastAsiaTheme="minorEastAsia"/>
                <w:bCs/>
                <w:szCs w:val="21"/>
                <w:lang w:bidi="ar"/>
              </w:rPr>
              <w:br/>
              <w:t xml:space="preserve">色温：4300K-5300K；</w:t>
            </w:r>
            <w:r>
              <w:rPr>
                <w:rFonts w:hint="eastAsia" w:cs="宋体" w:asciiTheme="minorEastAsia" w:hAnsiTheme="minorEastAsia" w:eastAsiaTheme="minorEastAsia"/>
                <w:bCs/>
                <w:szCs w:val="21"/>
                <w:lang w:bidi="ar"/>
              </w:rPr>
              <w:br/>
              <w:t xml:space="preserve">显色指数：Ra＞90、R9＞50；</w:t>
            </w:r>
            <w:r>
              <w:rPr>
                <w:rFonts w:hint="eastAsia" w:cs="宋体" w:asciiTheme="minorEastAsia" w:hAnsiTheme="minorEastAsia" w:eastAsiaTheme="minorEastAsia"/>
                <w:bCs/>
                <w:szCs w:val="21"/>
                <w:lang w:bidi="ar"/>
              </w:rPr>
              <w:br/>
              <w:t xml:space="preserve">光效：≥80 lm/W。</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079"/>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LED黑板灯驱动电源需为隔离型恒流驱动，电源有外壳并可靠固定；驱动不可徒手拆卸，保证安全；驱动电源置于灯体上居中对称，保证吊装安全稳固。</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80"/>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灯色容差（色品容差）≤5 SDCM。</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80"/>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灯依据《GB/T 31275》《GB/T 17743》标准经灯具电源端传导骚扰电压（或电源接口骚扰电压）、辐射骚扰、感应电流密度测试，检测结果皆为合格（或通过或符合或判定为P）。提供第三方检测机构出具的检测报告及国家认监委查询截图。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850"/>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符合《</w:t>
            </w:r>
            <w:r>
              <w:rPr>
                <w:rFonts w:cs="宋体" w:asciiTheme="minorEastAsia" w:hAnsiTheme="minorEastAsia" w:eastAsiaTheme="minorEastAsia"/>
                <w:szCs w:val="21"/>
              </w:rPr>
              <w:t xml:space="preserve">GB40070</w:t>
            </w:r>
            <w:r>
              <w:rPr>
                <w:rFonts w:hint="eastAsia" w:cs="宋体" w:asciiTheme="minorEastAsia" w:hAnsiTheme="minorEastAsia" w:eastAsiaTheme="minorEastAsia"/>
                <w:szCs w:val="21"/>
              </w:rPr>
              <w:t xml:space="preserve">儿童青少年学习用品近视防控卫生要求》标准通过近视防控认证证书，符合《GB/T 26572电子电气产品中限用物质的限量要求》标准通过电器电子产品认</w:t>
            </w:r>
            <w:r>
              <w:rPr>
                <w:rFonts w:hint="eastAsia" w:cs="宋体" w:asciiTheme="minorEastAsia" w:hAnsiTheme="minorEastAsia" w:eastAsiaTheme="minorEastAsia"/>
                <w:szCs w:val="21"/>
                <w:lang w:bidi="ar"/>
              </w:rPr>
              <w:t xml:space="preserve">证，</w:t>
            </w:r>
            <w:r>
              <w:rPr>
                <w:rFonts w:hint="eastAsia" w:cs="宋体" w:asciiTheme="minorEastAsia" w:hAnsiTheme="minorEastAsia" w:eastAsiaTheme="minorEastAsia"/>
                <w:szCs w:val="21"/>
              </w:rPr>
              <w:t xml:space="preserve">环境适应性均满足防护等级≥IP40，ta≥50℃</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850"/>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灯选用足够数量小功率LED灯珠，灯珠实际使用功率不宜超过额定功率的50%，以提高其发光效率和降低灯具光衰，且LED黑板灯须通过CCC认证。提供第三方认证机构出具的认证证书及国家认监委查询“有效”截图。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850"/>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w:t>
            </w:r>
            <w:r>
              <w:rPr>
                <w:rFonts w:cs="宋体" w:asciiTheme="minorEastAsia" w:hAnsiTheme="minorEastAsia" w:eastAsiaTheme="minorEastAsia"/>
                <w:szCs w:val="21"/>
              </w:rPr>
              <w:t xml:space="preserve">依据</w:t>
            </w:r>
            <w:r>
              <w:rPr>
                <w:rFonts w:hint="eastAsia" w:cs="宋体" w:asciiTheme="minorEastAsia" w:hAnsiTheme="minorEastAsia" w:eastAsiaTheme="minorEastAsia"/>
                <w:szCs w:val="21"/>
              </w:rPr>
              <w:t xml:space="preserve">《QB/T 5533》标准通过教室照明灯具性能认证，单颗光源功率≥1W，防护等级≥IP40，ta≥50℃</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850"/>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℃及相对温差≥10℃均在严酷自然环境下至少持续运行360小时后，至少依据《GB/T36979》标准满足空间颜色非均匀性△u’v’≤0.007</w:t>
            </w:r>
            <w:r>
              <w:rPr>
                <w:rFonts w:hint="eastAsia" w:cs="宋体" w:asciiTheme="minorEastAsia" w:hAnsiTheme="minorEastAsia" w:eastAsiaTheme="minorEastAsia"/>
                <w:bCs/>
                <w:szCs w:val="21"/>
                <w:lang w:bidi="ar"/>
              </w:rPr>
              <w:t xml:space="preserve">。提供第三方认证机构出具的自然环境实地认证证书及国家认监委查询“有效”截图。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850"/>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w:t>
            </w:r>
            <w:r>
              <w:rPr>
                <w:rFonts w:hint="eastAsia" w:cs="宋体" w:asciiTheme="minorEastAsia" w:hAnsiTheme="minorEastAsia" w:eastAsiaTheme="minorEastAsia"/>
                <w:szCs w:val="21"/>
              </w:rPr>
              <w:t xml:space="preserve">然环境下至少持续运行360小时后，</w:t>
            </w:r>
            <w:r>
              <w:rPr>
                <w:rFonts w:hint="eastAsia" w:cs="宋体" w:asciiTheme="minorEastAsia" w:hAnsiTheme="minorEastAsia" w:eastAsiaTheme="minorEastAsia"/>
                <w:bCs/>
                <w:szCs w:val="21"/>
                <w:lang w:bidi="ar"/>
              </w:rPr>
              <w:t xml:space="preserve">至少依据《GB/T 18595》标准满足浪涌性能达到C或以上等级。提供第三方认证机构出具的自然环境实地认证证书及国家认监委查询“有效”截图。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2342"/>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w:t>
            </w:r>
            <w:r>
              <w:rPr>
                <w:rFonts w:hint="eastAsia" w:cs="宋体" w:asciiTheme="minorEastAsia" w:hAnsiTheme="minorEastAsia" w:eastAsiaTheme="minorEastAsia"/>
                <w:bCs/>
                <w:szCs w:val="21"/>
                <w:lang w:bidi="ar"/>
              </w:rPr>
              <w:t xml:space="preserve">至少依据《GB/T6882》标准满足噪声</w:t>
            </w: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5</w:t>
            </w:r>
            <w:r>
              <w:rPr>
                <w:rFonts w:hint="eastAsia" w:cs="宋体" w:asciiTheme="minorEastAsia" w:hAnsiTheme="minorEastAsia" w:eastAsiaTheme="minorEastAsia"/>
                <w:bCs/>
                <w:szCs w:val="21"/>
                <w:lang w:bidi="ar"/>
              </w:rPr>
              <w:t xml:space="preserve">dB（A）。提供第三方认证机构出具的自然环境实地认证证书及国家认监委查询“有效”截图。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255"/>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516"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至少</w:t>
            </w:r>
            <w:r>
              <w:rPr>
                <w:rFonts w:cs="宋体" w:asciiTheme="minorEastAsia" w:hAnsiTheme="minorEastAsia" w:eastAsiaTheme="minorEastAsia"/>
                <w:szCs w:val="21"/>
              </w:rPr>
              <w:t xml:space="preserve">依据《GB/T42064》标准通过认证，结论为频闪无危害或无频闪危害或无显著影响</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086"/>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施工要求</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灯具距实验设备的最低悬挂高度1.7m，非嵌入式灯具应使用刚性吊杆安装，吊杆应与灯面垂直，不得倾斜，两杆间距偏差±5 mm；灯具排列采用长轴垂直于板书区域布置；灯具对称安装，其横（纵）向中心轴线宜在同一直线上，偏斜不应大于20mm。吊杆安装的灯具应采用不小于Φ6mm膨胀螺栓固定，预埋件承重能不低于灯具重量的10倍。灯具及其附件应安装齐全，并无损伤、变形、涂层剥落和</w:t>
            </w:r>
            <w:r>
              <w:rPr>
                <w:rFonts w:hint="eastAsia" w:cs="宋体" w:asciiTheme="minorEastAsia" w:hAnsiTheme="minorEastAsia" w:eastAsiaTheme="minorEastAsia"/>
                <w:bCs/>
                <w:szCs w:val="21"/>
                <w:lang w:bidi="ar"/>
              </w:rPr>
              <w:t xml:space="preserve">灯罩破裂等缺陷；灯具接线牢固、接触良好；开关面板及接线盒盒体安装完整、无破损变形，零件齐全；墙面明线安装中导管管径大小和接线盒孔径相匹配，导管和接线盒连接紧密。对施工中造成的墙面破损应修复。按教室照明设置情况和天然采光状况，每个照明开关所控制灯具数不应多于3个；板书区域灯具应单独控制，开关安装在板书区域同侧；灯具安装时，要注意避免对其他设备（如：监控摄像机、投影机、顶装空调）的遮挡；如果光线受到建筑构件遮挡，应注意在限值内调整灯具的水平安装位置或降低灯具的安装高度；安装风扇的教室中，出光口面应低于风扇叶面。</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2493"/>
        </w:trPr>
        <w:tc>
          <w:tcPr>
            <w:tcW w:w="25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3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照明设计方案</w:t>
            </w:r>
            <w:r/>
          </w:p>
        </w:tc>
        <w:tc>
          <w:tcPr>
            <w:tcW w:w="351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需提供每间实验室由DIALux或类似设计工具仿真设计的完整报表，报表中的教室尺寸等信息由采购方提供，报表中的灯具参数必须和提供的灯具检测报告上的参数一致。计算结果数据达到以下指标，维护系数取值1.0，全部灯具点亮时，课桌面平均照度≥375lx、均匀度≥0.7，板书面平均照度≥625lx、均匀度≥0.8，统一眩光值UGR&lt;19。具体施工与设计方案一致。</w:t>
            </w:r>
            <w:r/>
          </w:p>
        </w:tc>
        <w:tc>
          <w:tcPr>
            <w:tcW w:w="703"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248"/>
        </w:trPr>
        <w:tc>
          <w:tcPr>
            <w:gridSpan w:val="2"/>
            <w:tcW w:w="781" w:type="pct"/>
            <w:vAlign w:val="center"/>
            <w:textDirection w:val="lrTb"/>
            <w:noWrap/>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gridSpan w:val="2"/>
            <w:tcW w:w="4219"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1. 教室光照度等各项指标达到国家标准。</w:t>
            </w:r>
            <w:r>
              <w:rPr>
                <w:rFonts w:hint="eastAsia" w:cs="宋体" w:asciiTheme="minorEastAsia" w:hAnsiTheme="minorEastAsia" w:eastAsiaTheme="minorEastAsia"/>
                <w:bCs/>
                <w:szCs w:val="21"/>
                <w:lang w:bidi="ar"/>
              </w:rPr>
              <w:br/>
              <w:t xml:space="preserve">2. 灯光系统为成套设备：教室顶灯、黑板灯、控制面板、辅材等。</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720" w:equalWidth="1"/>
          <w:docGrid w:linePitch="360"/>
        </w:sect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t xml:space="preserve">录播系统</w:t>
      </w:r>
      <w:r/>
    </w:p>
    <w:tbl>
      <w:tblPr>
        <w:tblW w:w="48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646"/>
        <w:gridCol w:w="1173"/>
        <w:gridCol w:w="6715"/>
        <w:gridCol w:w="1276"/>
      </w:tblGrid>
      <w:tr>
        <w:trPr>
          <w:trHeight w:val="481"/>
          <w:tblHeader/>
        </w:trPr>
        <w:tc>
          <w:tcPr>
            <w:gridSpan w:val="3"/>
            <w:tcW w:w="1179"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321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W w:w="610"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559"/>
        </w:trPr>
        <w:tc>
          <w:tcPr>
            <w:tcW w:w="30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录播主机</w:t>
            </w:r>
            <w:r/>
          </w:p>
        </w:tc>
        <w:tc>
          <w:tcPr>
            <w:gridSpan w:val="2"/>
            <w:tcW w:w="87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安装方式</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壁挂式</w:t>
            </w:r>
            <w:r/>
          </w:p>
        </w:tc>
        <w:tc>
          <w:tcPr>
            <w:tcW w:w="610" w:type="pct"/>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屏体</w:t>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15.6英寸</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分辨率</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1920*1080</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触控类型</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电容触控</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触控点数</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10点</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嵌入式系统</w:t>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操作系统</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安卓11</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CPU</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4核A73+4核A53</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GPU</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mali G52</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内存</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4G</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存储</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32G+1T</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接口</w:t>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USB接口</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USB*2</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中控接口</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RS232*1</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视频输入接口</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≥HDMI*2，≥POE*4</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视频输出接口</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HDMI*1</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音频输入接口</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LINE IN*1</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音频输出接口</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LINE OUT*1</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输出分辨率</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u w:val="single"/>
              </w:rPr>
            </w:pPr>
            <w:r/>
            <w:hyperlink r:id="rId15" w:tooltip="mailto:4K@30fps" w:history="1">
              <w:r>
                <w:rPr>
                  <w:rStyle w:val="1149"/>
                  <w:rFonts w:hint="eastAsia" w:cs="宋体" w:asciiTheme="minorEastAsia" w:hAnsiTheme="minorEastAsia" w:eastAsiaTheme="minorEastAsia"/>
                  <w:color w:val="auto"/>
                  <w:sz w:val="20"/>
                  <w:szCs w:val="20"/>
                  <w:u w:val="single"/>
                </w:rPr>
                <w:t xml:space="preserve">4K@30fps</w:t>
              </w:r>
            </w:hyperlink>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NFC</w:t>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刷卡开关机</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支持NFC功能，便于用户刷卡开机；同时预留≥1路RS232接口，用于与中控对接。</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视频编解码</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支持H.264、H.265视频编码协议，要求支持4K@30fps、1080P@30fps、720P@30fps分辨率格式编解码</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6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音频编解码</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采用AAC音频编解码协议标准，并支持音频处理功能。</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6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高性能浮点DSP</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支持AEC回声抑制、AGC自动增益、ANC噪声抑制等音频数字化处理功能。</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6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软件功能</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录播系统可通过壁挂录播主机的液晶触摸屏进行控制，也可以通过WEB页面实现远程访问和管理。</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405"/>
        </w:trPr>
        <w:tc>
          <w:tcPr>
            <w:tcW w:w="30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录播主机</w:t>
            </w:r>
            <w:r/>
          </w:p>
        </w:tc>
        <w:tc>
          <w:tcPr>
            <w:gridSpan w:val="2"/>
            <w:tcW w:w="870" w:type="pct"/>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软件功能</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录播软件：</w:t>
            </w:r>
            <w:r>
              <w:rPr>
                <w:rFonts w:hint="eastAsia" w:cs="宋体" w:asciiTheme="minorEastAsia" w:hAnsiTheme="minorEastAsia" w:eastAsiaTheme="minorEastAsia"/>
                <w:sz w:val="20"/>
                <w:szCs w:val="20"/>
                <w:lang w:bidi="ar"/>
              </w:rPr>
              <w:br/>
              <w:t xml:space="preserve">（1）系统至少包含电脑画面、教师特写、学生特写、教师全景、学生全景五路视频信号预览通道。</w:t>
            </w:r>
            <w:r>
              <w:rPr>
                <w:rFonts w:hint="eastAsia" w:cs="宋体" w:asciiTheme="minorEastAsia" w:hAnsiTheme="minorEastAsia" w:eastAsiaTheme="minorEastAsia"/>
                <w:sz w:val="20"/>
                <w:szCs w:val="20"/>
                <w:lang w:bidi="ar"/>
              </w:rPr>
              <w:br/>
              <w:t xml:space="preserve">（2）系统提供一键开始录制、一键开始直播的功能。</w:t>
            </w:r>
            <w:r>
              <w:rPr>
                <w:rFonts w:hint="eastAsia" w:cs="宋体" w:asciiTheme="minorEastAsia" w:hAnsiTheme="minorEastAsia" w:eastAsiaTheme="minorEastAsia"/>
                <w:sz w:val="20"/>
                <w:szCs w:val="20"/>
                <w:lang w:bidi="ar"/>
              </w:rPr>
              <w:br/>
              <w:t xml:space="preserve">（3）系统支持预设画面布局调用和切换特效调用；画面布局支持一键选择不同布局，针对不同的布局均可选择画面位置和画面大小。</w:t>
            </w:r>
            <w:r>
              <w:rPr>
                <w:rFonts w:hint="eastAsia" w:cs="宋体" w:asciiTheme="minorEastAsia" w:hAnsiTheme="minorEastAsia" w:eastAsiaTheme="minorEastAsia"/>
                <w:sz w:val="20"/>
                <w:szCs w:val="20"/>
                <w:lang w:bidi="ar"/>
              </w:rPr>
              <w:br/>
              <w:t xml:space="preserve">（4）系统支持对预设台标和预设水印的一键开启和关闭。</w:t>
            </w:r>
            <w:r>
              <w:rPr>
                <w:rFonts w:hint="eastAsia" w:cs="宋体" w:asciiTheme="minorEastAsia" w:hAnsiTheme="minorEastAsia" w:eastAsiaTheme="minorEastAsia"/>
                <w:sz w:val="20"/>
                <w:szCs w:val="20"/>
                <w:lang w:bidi="ar"/>
              </w:rPr>
              <w:br/>
              <w:t xml:space="preserve">（5）系统支持录制模式的选择，录制模式至少包含电影模式录制和电影+资源模式同时录制。</w:t>
            </w:r>
            <w:r>
              <w:rPr>
                <w:rFonts w:hint="eastAsia" w:cs="宋体" w:asciiTheme="minorEastAsia" w:hAnsiTheme="minorEastAsia" w:eastAsiaTheme="minorEastAsia"/>
                <w:sz w:val="20"/>
                <w:szCs w:val="20"/>
                <w:lang w:bidi="ar"/>
              </w:rPr>
              <w:br/>
              <w:t xml:space="preserve">（6）系统支持无线摄像机的视频接入，便于后期对录播系统进行升级。</w:t>
            </w:r>
            <w:r/>
          </w:p>
        </w:tc>
        <w:tc>
          <w:tcPr>
            <w:tcW w:w="610" w:type="pct"/>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970"/>
        </w:trPr>
        <w:tc>
          <w:tcPr>
            <w:tcW w:w="30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远程WEB页面提供导播管理、文件管理和设备管理三大功能。</w:t>
            </w:r>
            <w:r>
              <w:rPr>
                <w:rFonts w:hint="eastAsia" w:cs="宋体" w:asciiTheme="minorEastAsia" w:hAnsiTheme="minorEastAsia" w:eastAsiaTheme="minorEastAsia"/>
                <w:sz w:val="20"/>
                <w:szCs w:val="20"/>
                <w:lang w:bidi="ar"/>
              </w:rPr>
              <w:br/>
              <w:t xml:space="preserve">一、导播管理：</w:t>
            </w:r>
            <w:r>
              <w:rPr>
                <w:rFonts w:hint="eastAsia" w:cs="宋体" w:asciiTheme="minorEastAsia" w:hAnsiTheme="minorEastAsia" w:eastAsiaTheme="minorEastAsia"/>
                <w:sz w:val="20"/>
                <w:szCs w:val="20"/>
                <w:lang w:bidi="ar"/>
              </w:rPr>
              <w:br/>
              <w:t xml:space="preserve">（1）导播五画面：可以通过切换电脑画面、教师特写、学生特写、教师全景、学生全景等五路画面的场景来进行查看。</w:t>
            </w:r>
            <w:r>
              <w:rPr>
                <w:rFonts w:hint="eastAsia" w:cs="宋体" w:asciiTheme="minorEastAsia" w:hAnsiTheme="minorEastAsia" w:eastAsiaTheme="minorEastAsia"/>
                <w:sz w:val="20"/>
                <w:szCs w:val="20"/>
                <w:lang w:bidi="ar"/>
              </w:rPr>
              <w:br/>
              <w:t xml:space="preserve">（2）导播通道视频切换：鼠标单击某一路通道即可完成视频切换。</w:t>
            </w:r>
            <w:r>
              <w:rPr>
                <w:rFonts w:hint="eastAsia" w:cs="宋体" w:asciiTheme="minorEastAsia" w:hAnsiTheme="minorEastAsia" w:eastAsiaTheme="minorEastAsia"/>
                <w:sz w:val="20"/>
                <w:szCs w:val="20"/>
                <w:lang w:bidi="ar"/>
              </w:rPr>
              <w:br/>
              <w:t xml:space="preserve">（3）信息显示：在导播管理页面实时呈现课程名称、主讲老师、视频参数、音频参数、录制码率、磁盘容量等基本信息。</w:t>
            </w:r>
            <w:r>
              <w:rPr>
                <w:rFonts w:hint="eastAsia" w:cs="宋体" w:asciiTheme="minorEastAsia" w:hAnsiTheme="minorEastAsia" w:eastAsiaTheme="minorEastAsia"/>
                <w:sz w:val="20"/>
                <w:szCs w:val="20"/>
                <w:lang w:bidi="ar"/>
              </w:rPr>
              <w:br/>
              <w:t xml:space="preserve">（4）为提升视频信号预览效果，所有录播相关控制的功能按键默认为隐藏，需要使用时调出即可。</w:t>
            </w:r>
            <w:r>
              <w:rPr>
                <w:rFonts w:hint="eastAsia" w:cs="宋体" w:asciiTheme="minorEastAsia" w:hAnsiTheme="minorEastAsia" w:eastAsiaTheme="minorEastAsia"/>
                <w:sz w:val="20"/>
                <w:szCs w:val="20"/>
                <w:lang w:bidi="ar"/>
              </w:rPr>
              <w:br/>
              <w:t xml:space="preserve">（5）系统提供开始录制、开始直播、暂停、音量调整、设置等常用功能。</w:t>
            </w:r>
            <w:r>
              <w:rPr>
                <w:rFonts w:hint="eastAsia" w:cs="宋体" w:asciiTheme="minorEastAsia" w:hAnsiTheme="minorEastAsia" w:eastAsiaTheme="minorEastAsia"/>
                <w:sz w:val="20"/>
                <w:szCs w:val="20"/>
                <w:lang w:bidi="ar"/>
              </w:rPr>
              <w:br/>
              <w:t xml:space="preserve">（6）视频画面全屏显示：系统支持任意一路视频画面进入和退出全屏显示。</w:t>
            </w:r>
            <w:r>
              <w:rPr>
                <w:rFonts w:hint="eastAsia" w:cs="宋体" w:asciiTheme="minorEastAsia" w:hAnsiTheme="minorEastAsia" w:eastAsiaTheme="minorEastAsia"/>
                <w:sz w:val="20"/>
                <w:szCs w:val="20"/>
                <w:lang w:bidi="ar"/>
              </w:rPr>
              <w:br/>
              <w:t xml:space="preserve">（7）系统支持一键切换手动导播和自动导播。</w:t>
            </w:r>
            <w:r>
              <w:rPr>
                <w:rFonts w:hint="eastAsia" w:cs="宋体" w:asciiTheme="minorEastAsia" w:hAnsiTheme="minorEastAsia" w:eastAsiaTheme="minorEastAsia"/>
                <w:sz w:val="20"/>
                <w:szCs w:val="20"/>
                <w:lang w:bidi="ar"/>
              </w:rPr>
              <w:br/>
              <w:t xml:space="preserve">（8）系统支持对摄像机云台的上下左右控制、变焦控制、转动速度快慢的调整。</w:t>
            </w:r>
            <w:r>
              <w:rPr>
                <w:rFonts w:hint="eastAsia" w:cs="宋体" w:asciiTheme="minorEastAsia" w:hAnsiTheme="minorEastAsia" w:eastAsiaTheme="minorEastAsia"/>
                <w:sz w:val="20"/>
                <w:szCs w:val="20"/>
                <w:lang w:bidi="ar"/>
              </w:rPr>
              <w:br/>
              <w:t xml:space="preserve">（9）系统支持摄像机预制位设置及预制位的快速调用。</w:t>
            </w:r>
            <w:r>
              <w:rPr>
                <w:rFonts w:hint="eastAsia" w:cs="宋体" w:asciiTheme="minorEastAsia" w:hAnsiTheme="minorEastAsia" w:eastAsiaTheme="minorEastAsia"/>
                <w:sz w:val="20"/>
                <w:szCs w:val="20"/>
                <w:lang w:bidi="ar"/>
              </w:rPr>
              <w:br/>
              <w:t xml:space="preserve">（10）系统支持不少于十种画面切换特效供用户一键调用，同时可对各特效的切换时间进行自定义设置。</w:t>
            </w:r>
            <w:r>
              <w:rPr>
                <w:rFonts w:hint="eastAsia" w:cs="宋体" w:asciiTheme="minorEastAsia" w:hAnsiTheme="minorEastAsia" w:eastAsiaTheme="minorEastAsia"/>
                <w:sz w:val="20"/>
                <w:szCs w:val="20"/>
                <w:lang w:bidi="ar"/>
              </w:rPr>
              <w:br/>
              <w:t xml:space="preserve">（11）系统支持录制模式选择，用户可根据需要选择仅录制电影模式，也可以选择电影模式和资源模式同时录制。</w:t>
            </w:r>
            <w:r>
              <w:rPr>
                <w:rFonts w:hint="eastAsia" w:cs="宋体" w:asciiTheme="minorEastAsia" w:hAnsiTheme="minorEastAsia" w:eastAsiaTheme="minorEastAsia"/>
                <w:sz w:val="20"/>
                <w:szCs w:val="20"/>
                <w:lang w:bidi="ar"/>
              </w:rPr>
              <w:br/>
              <w:t xml:space="preserve">（12）系统支持用户一键启用和停用预设的水印和台标。</w:t>
            </w:r>
            <w:r>
              <w:rPr>
                <w:rFonts w:hint="eastAsia" w:cs="宋体" w:asciiTheme="minorEastAsia" w:hAnsiTheme="minorEastAsia" w:eastAsiaTheme="minorEastAsia"/>
                <w:sz w:val="20"/>
                <w:szCs w:val="20"/>
                <w:lang w:bidi="ar"/>
              </w:rPr>
              <w:br/>
              <w:t xml:space="preserve">（13）系统支持隐藏和显示各路视频通道。</w:t>
            </w:r>
            <w:r/>
          </w:p>
        </w:tc>
        <w:tc>
          <w:tcPr>
            <w:tcW w:w="61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2243"/>
        </w:trPr>
        <w:tc>
          <w:tcPr>
            <w:tcW w:w="30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录播主机</w:t>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软件功能</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二、文件管理</w:t>
            </w:r>
            <w:r>
              <w:rPr>
                <w:rFonts w:hint="eastAsia" w:cs="宋体" w:asciiTheme="minorEastAsia" w:hAnsiTheme="minorEastAsia" w:eastAsiaTheme="minorEastAsia"/>
                <w:sz w:val="20"/>
                <w:szCs w:val="20"/>
                <w:lang w:bidi="ar"/>
              </w:rPr>
              <w:br/>
              <w:t xml:space="preserve">在文件管理中提供所有已录制视频文件的管理功能。</w:t>
            </w:r>
            <w:r>
              <w:rPr>
                <w:rFonts w:hint="eastAsia" w:cs="宋体" w:asciiTheme="minorEastAsia" w:hAnsiTheme="minorEastAsia" w:eastAsiaTheme="minorEastAsia"/>
                <w:sz w:val="20"/>
                <w:szCs w:val="20"/>
                <w:lang w:bidi="ar"/>
              </w:rPr>
              <w:br/>
              <w:t xml:space="preserve">（1）用户可根据视频文件的名称或老师姓名等对已录制的文件进行模糊检索。</w:t>
            </w:r>
            <w:r>
              <w:rPr>
                <w:rFonts w:hint="eastAsia" w:cs="宋体" w:asciiTheme="minorEastAsia" w:hAnsiTheme="minorEastAsia" w:eastAsiaTheme="minorEastAsia"/>
                <w:sz w:val="20"/>
                <w:szCs w:val="20"/>
                <w:lang w:bidi="ar"/>
              </w:rPr>
              <w:br/>
              <w:t xml:space="preserve">（2）列表显示已录制的文件时，至少显示出文件名、时间、文件大小等属性。</w:t>
            </w:r>
            <w:r>
              <w:rPr>
                <w:rFonts w:hint="eastAsia" w:cs="宋体" w:asciiTheme="minorEastAsia" w:hAnsiTheme="minorEastAsia" w:eastAsiaTheme="minorEastAsia"/>
                <w:sz w:val="20"/>
                <w:szCs w:val="20"/>
                <w:lang w:bidi="ar"/>
              </w:rPr>
              <w:br/>
              <w:t xml:space="preserve">（3）用户可选择删除或导出视频文件。</w:t>
            </w:r>
            <w:r>
              <w:rPr>
                <w:rFonts w:hint="eastAsia" w:cs="宋体" w:asciiTheme="minorEastAsia" w:hAnsiTheme="minorEastAsia" w:eastAsiaTheme="minorEastAsia"/>
                <w:sz w:val="20"/>
                <w:szCs w:val="20"/>
                <w:lang w:bidi="ar"/>
              </w:rPr>
              <w:br/>
              <w:t xml:space="preserve">三、设备管理</w:t>
            </w:r>
            <w:r>
              <w:rPr>
                <w:rFonts w:hint="eastAsia" w:cs="宋体" w:asciiTheme="minorEastAsia" w:hAnsiTheme="minorEastAsia" w:eastAsiaTheme="minorEastAsia"/>
                <w:sz w:val="20"/>
                <w:szCs w:val="20"/>
                <w:lang w:bidi="ar"/>
              </w:rPr>
              <w:br/>
              <w:t xml:space="preserve">设备管理模块实现对录播模块各类参数的设置和管理功能，包括导播设置、跟踪设置、水印台标设置、上传设置、通道设置、推流设置等。</w:t>
            </w:r>
            <w:r>
              <w:rPr>
                <w:rFonts w:hint="eastAsia" w:cs="宋体" w:asciiTheme="minorEastAsia" w:hAnsiTheme="minorEastAsia" w:eastAsiaTheme="minorEastAsia"/>
                <w:sz w:val="20"/>
                <w:szCs w:val="20"/>
                <w:lang w:bidi="ar"/>
              </w:rPr>
              <w:br/>
              <w:t xml:space="preserve">（1）导播设置：支持用户自定义导播切换规则。默认规则如下：</w:t>
            </w:r>
            <w:r>
              <w:rPr>
                <w:rFonts w:hint="eastAsia" w:cs="宋体" w:asciiTheme="minorEastAsia" w:hAnsiTheme="minorEastAsia" w:eastAsiaTheme="minorEastAsia"/>
                <w:sz w:val="20"/>
                <w:szCs w:val="20"/>
                <w:lang w:bidi="ar"/>
              </w:rPr>
              <w:br/>
              <w:t xml:space="preserve">①当老师书写板书时自动切换到板书特写画面；</w:t>
            </w:r>
            <w:r>
              <w:rPr>
                <w:rFonts w:hint="eastAsia" w:cs="宋体" w:asciiTheme="minorEastAsia" w:hAnsiTheme="minorEastAsia" w:eastAsiaTheme="minorEastAsia"/>
                <w:sz w:val="20"/>
                <w:szCs w:val="20"/>
                <w:lang w:bidi="ar"/>
              </w:rPr>
              <w:br/>
              <w:t xml:space="preserve">②当老师切换PPT时自动切换到授课电脑画面；</w:t>
            </w:r>
            <w:r>
              <w:rPr>
                <w:rFonts w:hint="eastAsia" w:cs="宋体" w:asciiTheme="minorEastAsia" w:hAnsiTheme="minorEastAsia" w:eastAsiaTheme="minorEastAsia"/>
                <w:sz w:val="20"/>
                <w:szCs w:val="20"/>
                <w:lang w:bidi="ar"/>
              </w:rPr>
              <w:br/>
              <w:t xml:space="preserve">③当教师在讲台区域移动时自动切换到教师全景画面；</w:t>
            </w:r>
            <w:r>
              <w:rPr>
                <w:rFonts w:hint="eastAsia" w:cs="宋体" w:asciiTheme="minorEastAsia" w:hAnsiTheme="minorEastAsia" w:eastAsiaTheme="minorEastAsia"/>
                <w:sz w:val="20"/>
                <w:szCs w:val="20"/>
                <w:lang w:bidi="ar"/>
              </w:rPr>
              <w:br/>
              <w:t xml:space="preserve">④当教师在讲台区域相对静止时自动切换到教师特写画面；</w:t>
            </w:r>
            <w:r>
              <w:rPr>
                <w:rFonts w:hint="eastAsia" w:cs="宋体" w:asciiTheme="minorEastAsia" w:hAnsiTheme="minorEastAsia" w:eastAsiaTheme="minorEastAsia"/>
                <w:sz w:val="20"/>
                <w:szCs w:val="20"/>
                <w:lang w:bidi="ar"/>
              </w:rPr>
              <w:br/>
              <w:t xml:space="preserve">⑤当老师走下讲台进入学生区域时自动切换到学生全景画面；</w:t>
            </w:r>
            <w:r>
              <w:rPr>
                <w:rFonts w:hint="eastAsia" w:cs="宋体" w:asciiTheme="minorEastAsia" w:hAnsiTheme="minorEastAsia" w:eastAsiaTheme="minorEastAsia"/>
                <w:sz w:val="20"/>
                <w:szCs w:val="20"/>
                <w:lang w:bidi="ar"/>
              </w:rPr>
              <w:br/>
              <w:t xml:space="preserve">⑥当学生起立回答问题时自动实现对学生的特写跟踪，并切换到学生特写画面；</w:t>
            </w:r>
            <w:r>
              <w:rPr>
                <w:rFonts w:hint="eastAsia" w:cs="宋体" w:asciiTheme="minorEastAsia" w:hAnsiTheme="minorEastAsia" w:eastAsiaTheme="minorEastAsia"/>
                <w:sz w:val="20"/>
                <w:szCs w:val="20"/>
                <w:lang w:bidi="ar"/>
              </w:rPr>
              <w:br/>
              <w:t xml:space="preserve">⑦当多名学生起立回答问题时自动切换到学生全景画面；</w:t>
            </w:r>
            <w:r>
              <w:rPr>
                <w:rFonts w:hint="eastAsia" w:cs="宋体" w:asciiTheme="minorEastAsia" w:hAnsiTheme="minorEastAsia" w:eastAsiaTheme="minorEastAsia"/>
                <w:sz w:val="20"/>
                <w:szCs w:val="20"/>
                <w:lang w:bidi="ar"/>
              </w:rPr>
              <w:br/>
              <w:t xml:space="preserve">（2）跟踪设置：系统支持对老师摄像机和学生摄像机的跟踪进行设置；</w:t>
            </w:r>
            <w:r>
              <w:rPr>
                <w:rFonts w:hint="eastAsia" w:cs="宋体" w:asciiTheme="minorEastAsia" w:hAnsiTheme="minorEastAsia" w:eastAsiaTheme="minorEastAsia"/>
                <w:sz w:val="20"/>
                <w:szCs w:val="20"/>
                <w:lang w:bidi="ar"/>
              </w:rPr>
              <w:br/>
              <w:t xml:space="preserve">（3）上传设置：系统支持ftp上传录制好的视频文件，并可根据用户需要选择上传的视频文件种类（电影模式、资源模式）及上传策略（闲时上传、定时长传、实时上传、不上传）</w:t>
            </w:r>
            <w:r>
              <w:rPr>
                <w:rFonts w:hint="eastAsia" w:cs="宋体" w:asciiTheme="minorEastAsia" w:hAnsiTheme="minorEastAsia" w:eastAsiaTheme="minorEastAsia"/>
                <w:sz w:val="20"/>
                <w:szCs w:val="20"/>
                <w:lang w:bidi="ar"/>
              </w:rPr>
              <w:br/>
              <w:t xml:space="preserve">（4）通道设置：系统支持对各视频通道加载的视频信号进行统一管理；</w:t>
            </w:r>
            <w:r>
              <w:rPr>
                <w:rFonts w:hint="eastAsia" w:cs="宋体" w:asciiTheme="minorEastAsia" w:hAnsiTheme="minorEastAsia" w:eastAsiaTheme="minorEastAsia"/>
                <w:sz w:val="20"/>
                <w:szCs w:val="20"/>
                <w:lang w:bidi="ar"/>
              </w:rPr>
              <w:br/>
              <w:t xml:space="preserve">（5）推流设置：系统支持对直播服务器地址进行配置管理；至少可同时推送3路不同的视频流至直播服务器供直播观看。</w:t>
            </w:r>
            <w:r/>
          </w:p>
        </w:tc>
        <w:tc>
          <w:tcPr>
            <w:tcW w:w="610" w:type="pct"/>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85"/>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电源适配器</w:t>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输入电压</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220V</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001"/>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输出电压</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54V</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演示实验摄像机</w:t>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输入电压</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DC 12V / PoC / POE (802.3af)</w:t>
            </w:r>
            <w:r/>
          </w:p>
        </w:tc>
        <w:tc>
          <w:tcPr>
            <w:tcW w:w="61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输入电流</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0.5A（最大）</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工作温度</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-10°C ~ 40°C</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储藏温度</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-40°C ~ 60°C</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功耗</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6W（max）</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传感器</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1/2.8英寸, CMOS, 有效像素：846万</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镜头</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采用4K镜头，同时支持ePTZ控制；水平视场角：42°；焦距：f=7.2mm；</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数字变焦</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支持8倍数字变焦</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最低照度</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0.5Lux @ (F1.8, AGC ON)</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白平衡</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自动，室内，室外，一键式，手动，指定色温。</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 3G-SDI接口。支持SDI、网络、USB三路同时输出；支持自动对焦；支持POC和POE一线通功能，即一条网线同时实现供电、控制、视频、音频信号传输，从而简化接线安装；</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网络特性</w:t>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视频编码标准</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H.265 / H.264 / MJPEG</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视频码流</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第一路码流、第二路码流 第三路码流、第四路码流。</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视频码率</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32kbps~16384kbps</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码率控制</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可变码率，固定码率。</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音频压缩标准</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AAC、G711A</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支持协议</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SRT,TCP/IP, HTTP, RTSP, RTMP(S), Onvif, DHCP,</w:t>
            </w:r>
            <w:r>
              <w:rPr>
                <w:rFonts w:hint="eastAsia" w:cs="宋体" w:asciiTheme="minorEastAsia" w:hAnsiTheme="minorEastAsia" w:eastAsiaTheme="minorEastAsia"/>
                <w:sz w:val="20"/>
                <w:szCs w:val="20"/>
                <w:lang w:bidi="ar"/>
              </w:rPr>
              <w:br/>
              <w:t xml:space="preserve">组播等。</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音频码率</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96Kbps，128Kbps，256Kbps</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52"/>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输入输出接口</w:t>
            </w:r>
            <w:r/>
          </w:p>
        </w:tc>
        <w:tc>
          <w:tcPr>
            <w:tcW w:w="561" w:type="pct"/>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高清输出</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1×3G-SDI: BNC类型, 800mVp-p, 75Ω, 遵循 SMPTE 424M标准，支持PoC</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网络接口</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1×RJ45:10M/100M/1000M自适应以太网，支持</w:t>
            </w:r>
            <w:r>
              <w:rPr>
                <w:rFonts w:hint="eastAsia" w:cs="宋体" w:asciiTheme="minorEastAsia" w:hAnsiTheme="minorEastAsia" w:eastAsiaTheme="minorEastAsia"/>
                <w:sz w:val="20"/>
                <w:szCs w:val="20"/>
                <w:lang w:bidi="ar"/>
              </w:rPr>
              <w:br/>
              <w:t xml:space="preserve">PoE</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USB接口</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1×USB 2.0</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音频接口</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1×Line In，3芯凤凰口</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88"/>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控制接口</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1×RS485: 2芯凤凰口, 最大距离: 1200米, </w:t>
            </w:r>
            <w:r>
              <w:rPr>
                <w:rFonts w:hint="eastAsia" w:cs="宋体" w:asciiTheme="minorEastAsia" w:hAnsiTheme="minorEastAsia" w:eastAsiaTheme="minorEastAsia"/>
                <w:sz w:val="20"/>
                <w:szCs w:val="20"/>
                <w:lang w:bidi="ar"/>
              </w:rPr>
              <w:br/>
              <w:t xml:space="preserve">VISCA/Pelco-D/Pelco-P协议</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6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电源接口</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DC005类型（DC12V）</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学生摄像机</w:t>
            </w:r>
            <w:r/>
          </w:p>
        </w:tc>
        <w:tc>
          <w:tcPr>
            <w:tcW w:w="309" w:type="pct"/>
            <w:vAlign w:val="center"/>
            <w:vMerge w:val="restart"/>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屏体</w:t>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1/2.8英寸高品质4K CMOS传感器</w:t>
            </w:r>
            <w:r/>
          </w:p>
        </w:tc>
        <w:tc>
          <w:tcPr>
            <w:tcW w:w="610" w:type="pct"/>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9"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6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像素</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有效像素≥800万，呈现清晰逼真的超高清视频，生动的展现人物的表情和动作。</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镜头</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采用4K镜头，支持8倍数字变焦，同时支持ePTZ控制。</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水平视场角</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95°</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焦距</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f=2.8mm；</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视频编码标准</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H.265 / H.264 / MJPEG</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数字降噪</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支持2D,3D数字降噪</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接口</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 3G-SDI接口，有效传输距离≥150米。支持SDI、网络、USB三路同时输出。</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功耗</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6W(max)</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支持POC和POE一线通功能，即一条网线同时实现供电、控制、视频、音频信号传输，从而简化接线安装。</w:t>
            </w:r>
            <w:r/>
          </w:p>
        </w:tc>
        <w:tc>
          <w:tcPr>
            <w:tcW w:w="61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拾音麦克风</w:t>
            </w:r>
            <w:r/>
          </w:p>
        </w:tc>
        <w:tc>
          <w:tcPr>
            <w:gridSpan w:val="2"/>
            <w:tcW w:w="87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约为170*170*30mm</w:t>
            </w:r>
            <w:r/>
          </w:p>
        </w:tc>
        <w:tc>
          <w:tcPr>
            <w:tcW w:w="610" w:type="pct"/>
            <w:vAlign w:val="center"/>
            <w:vMerge w:val="restart"/>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restart"/>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配置</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设备供电：DC 24V</w:t>
            </w:r>
            <w:r/>
          </w:p>
        </w:tc>
        <w:tc>
          <w:tcPr>
            <w:tcW w:w="610"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最大模拟增益：51dB</w:t>
            </w:r>
            <w:r/>
          </w:p>
        </w:tc>
        <w:tc>
          <w:tcPr>
            <w:tcW w:w="610"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幻象供电：48V</w:t>
            </w:r>
            <w:r/>
          </w:p>
        </w:tc>
        <w:tc>
          <w:tcPr>
            <w:tcW w:w="610"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输入输出量化：48KHz/24bit</w:t>
            </w:r>
            <w:r/>
          </w:p>
        </w:tc>
        <w:tc>
          <w:tcPr>
            <w:tcW w:w="610"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数模动态范围（A计权）：120dB</w:t>
            </w:r>
            <w:r/>
          </w:p>
        </w:tc>
        <w:tc>
          <w:tcPr>
            <w:tcW w:w="610"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输入共模抑制：80dB@+24dBu@60Hz</w:t>
            </w:r>
            <w:r/>
          </w:p>
        </w:tc>
        <w:tc>
          <w:tcPr>
            <w:tcW w:w="610"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输入阻抗：20kΩbalance，10kΩunbalance</w:t>
            </w:r>
            <w:r/>
          </w:p>
        </w:tc>
        <w:tc>
          <w:tcPr>
            <w:tcW w:w="610"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最大输入：18dBu</w:t>
            </w:r>
            <w:r/>
          </w:p>
        </w:tc>
        <w:tc>
          <w:tcPr>
            <w:tcW w:w="610"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模数动态范围（A计权）：114dB</w:t>
            </w:r>
            <w:r/>
          </w:p>
        </w:tc>
        <w:tc>
          <w:tcPr>
            <w:tcW w:w="610"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通道隔离度：104dB@1kHz，4dBu</w:t>
            </w:r>
            <w:r/>
          </w:p>
        </w:tc>
        <w:tc>
          <w:tcPr>
            <w:tcW w:w="610"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频率响应：20Hz～20kHz(±0.25dB)</w:t>
            </w:r>
            <w:r/>
          </w:p>
        </w:tc>
        <w:tc>
          <w:tcPr>
            <w:tcW w:w="610" w:type="pct"/>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W w:w="30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总谐波失真(THD+N)：≤0.003%@1k，4dBu</w:t>
            </w:r>
            <w:r/>
          </w:p>
        </w:tc>
        <w:tc>
          <w:tcPr>
            <w:tcW w:w="610" w:type="pct"/>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50"/>
        </w:trPr>
        <w:tc>
          <w:tcPr>
            <w:tcW w:w="309" w:type="pct"/>
            <w:vAlign w:val="center"/>
            <w:vMerge w:val="restart"/>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拾音麦克风</w:t>
            </w:r>
            <w:r/>
          </w:p>
        </w:tc>
        <w:tc>
          <w:tcPr>
            <w:gridSpan w:val="2"/>
            <w:tcW w:w="870"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1)全面混音功能，24bit/48KHz取样频率，高性能A/DD/A转换器和32-bit浮点DSP处理器；</w:t>
            </w:r>
            <w:r/>
          </w:p>
        </w:tc>
        <w:tc>
          <w:tcPr>
            <w:tcW w:w="610" w:type="pct"/>
            <w:vAlign w:val="center"/>
            <w:vMerge w:val="restart"/>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w:t>
            </w:r>
            <w:r/>
          </w:p>
        </w:tc>
      </w:tr>
      <w:tr>
        <w:trPr>
          <w:trHeight w:val="1191"/>
        </w:trPr>
        <w:tc>
          <w:tcPr>
            <w:tcW w:w="30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2)内置麦克风阵列，拾音距离3-5米捕捉声源，可通过该内置的麦克风阵列同步进行本地扩声，本地音源的录制以及远程互动；</w:t>
            </w:r>
            <w:r/>
          </w:p>
        </w:tc>
        <w:tc>
          <w:tcPr>
            <w:tcW w:w="610" w:type="pct"/>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91"/>
        </w:trPr>
        <w:tc>
          <w:tcPr>
            <w:tcW w:w="30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3)预留3路模拟音源输入，可支持幻象供电的麦克输入，阵列式麦克风输入，或者多媒体线路模拟音频输入。</w:t>
            </w:r>
            <w:r/>
          </w:p>
        </w:tc>
        <w:tc>
          <w:tcPr>
            <w:tcW w:w="610" w:type="pct"/>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91"/>
        </w:trPr>
        <w:tc>
          <w:tcPr>
            <w:tcW w:w="30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4)支持2路数字输出，2路模拟输出。数字输出可以直接联动数字音箱接码输出，延时低于10ms。模拟输出可以外接多媒体音箱完成扩声输出。</w:t>
            </w:r>
            <w:r/>
          </w:p>
        </w:tc>
        <w:tc>
          <w:tcPr>
            <w:tcW w:w="610" w:type="pct"/>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91"/>
        </w:trPr>
        <w:tc>
          <w:tcPr>
            <w:tcW w:w="30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5)输入每通道：前级放大、信号发生器、扩展器、压缩器、5段参量均衡；输出每通道：31段图示均衡、延时器、分频器、限幅器。</w:t>
            </w:r>
            <w:r/>
          </w:p>
        </w:tc>
        <w:tc>
          <w:tcPr>
            <w:tcW w:w="610" w:type="pct"/>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91"/>
        </w:trPr>
        <w:tc>
          <w:tcPr>
            <w:tcW w:w="30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6)反馈抑制（AFC）：全数字化自动反馈抑制算法，自动适应声学环境，无需调试，快速校正功能，声压级提升幅度≥10-15dB。</w:t>
            </w:r>
            <w:r/>
          </w:p>
        </w:tc>
        <w:tc>
          <w:tcPr>
            <w:tcW w:w="610" w:type="pct"/>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91"/>
        </w:trPr>
        <w:tc>
          <w:tcPr>
            <w:tcW w:w="30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7)自适应背景降噪（ANS）：可根据室内环境智能学习噪声，并抑制，降噪幅度≥15dB。</w:t>
            </w:r>
            <w:r/>
          </w:p>
        </w:tc>
        <w:tc>
          <w:tcPr>
            <w:tcW w:w="610" w:type="pct"/>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91"/>
        </w:trPr>
        <w:tc>
          <w:tcPr>
            <w:tcW w:w="30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21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8)自动增益控制（AGC）：自动根据发音距离远近调节话筒增益，音量大小稳定输。增益控制幅度：-20dB-+20dB。</w:t>
            </w:r>
            <w:r/>
          </w:p>
        </w:tc>
        <w:tc>
          <w:tcPr>
            <w:tcW w:w="610" w:type="pct"/>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275"/>
        </w:trPr>
        <w:tc>
          <w:tcPr>
            <w:gridSpan w:val="3"/>
            <w:tcW w:w="1179"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整体概述</w:t>
            </w:r>
            <w:r/>
          </w:p>
        </w:tc>
        <w:tc>
          <w:tcPr>
            <w:gridSpan w:val="2"/>
            <w:tcW w:w="3821"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 实现课程录制功能、直播功能、点播功能、智能编辑功能；</w:t>
            </w:r>
            <w:r>
              <w:rPr>
                <w:rFonts w:hint="eastAsia" w:cs="宋体" w:asciiTheme="minorEastAsia" w:hAnsiTheme="minorEastAsia" w:eastAsiaTheme="minorEastAsia"/>
                <w:sz w:val="20"/>
                <w:szCs w:val="20"/>
                <w:lang w:bidi="ar"/>
              </w:rPr>
              <w:br/>
              <w:t xml:space="preserve">2. 录播系统为成套设备：壁挂录播主机、演示摄像机、吊麦、辅材等。</w:t>
            </w:r>
            <w:r/>
          </w:p>
        </w:tc>
      </w:tr>
    </w:tbl>
    <w:p>
      <w:pPr>
        <w:jc w:val="left"/>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智能吊装系统</w:t>
      </w:r>
      <w:r/>
    </w:p>
    <w:tbl>
      <w:tblPr>
        <w:tblW w:w="4894" w:type="pct"/>
        <w:tblLayout w:type="fixed"/>
        <w:tblLook w:val="04A0" w:firstRow="1" w:lastRow="0" w:firstColumn="1" w:lastColumn="0" w:noHBand="0" w:noVBand="1"/>
      </w:tblPr>
      <w:tblGrid>
        <w:gridCol w:w="1347"/>
        <w:gridCol w:w="1265"/>
        <w:gridCol w:w="6993"/>
        <w:gridCol w:w="851"/>
      </w:tblGrid>
      <w:tr>
        <w:trPr>
          <w:trHeight w:val="412"/>
          <w:tblHeader/>
        </w:trPr>
        <w:tc>
          <w:tcPr>
            <w:gridSpan w:val="2"/>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
                <w:sz w:val="20"/>
                <w:szCs w:val="20"/>
                <w:lang w:bidi="ar"/>
              </w:rPr>
              <w:t xml:space="preserve">数量</w:t>
            </w:r>
            <w:r/>
          </w:p>
        </w:tc>
      </w:tr>
      <w:tr>
        <w:trPr>
          <w:trHeight w:val="520"/>
        </w:trPr>
        <w:tc>
          <w:tcPr>
            <w:tcBorders>
              <w:top w:val="single" w:color="000000" w:sz="4" w:space="0"/>
              <w:left w:val="single" w:color="000000" w:sz="4" w:space="0"/>
              <w:bottom w:val="single" w:color="000000" w:sz="4" w:space="0"/>
              <w:right w:val="single" w:color="000000" w:sz="4" w:space="0"/>
            </w:tcBorders>
            <w:tcW w:w="644"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智能控制系统</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1095"/>
              <w:ind w:firstLine="400"/>
              <w:rPr>
                <w:rFonts w:hint="eastAsia" w:cs="宋体" w:asciiTheme="minorEastAsia" w:hAnsiTheme="minorEastAsia"/>
                <w:bCs/>
                <w:sz w:val="20"/>
                <w:szCs w:val="20"/>
              </w:rPr>
            </w:pPr>
            <w:r>
              <w:rPr>
                <w:rFonts w:hint="eastAsia" w:cs="宋体" w:asciiTheme="minorEastAsia" w:hAnsiTheme="minorEastAsia"/>
                <w:bCs/>
                <w:sz w:val="20"/>
                <w:szCs w:val="20"/>
                <w:lang w:bidi="ar"/>
              </w:rPr>
              <w:t xml:space="preserve">≥</w:t>
            </w:r>
            <w:r>
              <w:rPr>
                <w:rFonts w:hint="eastAsia" w:cs="宋体" w:asciiTheme="minorEastAsia" w:hAnsiTheme="minorEastAsia"/>
              </w:rPr>
              <w:t xml:space="preserve">530*200*800mm</w:t>
            </w:r>
            <w:r/>
          </w:p>
        </w:tc>
        <w:tc>
          <w:tcPr>
            <w:tcBorders>
              <w:top w:val="single" w:color="000000" w:sz="4" w:space="0"/>
              <w:left w:val="single" w:color="000000" w:sz="4" w:space="0"/>
              <w:right w:val="single" w:color="000000" w:sz="4" w:space="0"/>
            </w:tcBorders>
            <w:tcW w:w="407"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826"/>
        </w:trPr>
        <w:tc>
          <w:tcPr>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外壳材质</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采用厚1.0mm（含）以上优质镀锌钢板冲压成型制作，表面经耐酸碱环氧树脂喷涂处理。</w:t>
            </w:r>
            <w:r/>
          </w:p>
        </w:tc>
        <w:tc>
          <w:tcPr>
            <w:tcBorders>
              <w:left w:val="single" w:color="000000" w:sz="4" w:space="0"/>
              <w:right w:val="single" w:color="000000" w:sz="4" w:space="0"/>
            </w:tcBorders>
            <w:tcW w:w="4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131"/>
        </w:trPr>
        <w:tc>
          <w:tcPr>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内设组成</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内置中央处理器≥1套，总漏电保护≥1组、分组漏电保护器≥16组，紧急控制系统一套、工作指示灯一套、工业串口模块一个。</w:t>
            </w:r>
            <w:r/>
          </w:p>
        </w:tc>
        <w:tc>
          <w:tcPr>
            <w:tcBorders>
              <w:left w:val="single" w:color="000000" w:sz="4" w:space="0"/>
              <w:right w:val="single" w:color="000000" w:sz="4" w:space="0"/>
            </w:tcBorders>
            <w:tcW w:w="4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578"/>
        </w:trPr>
        <w:tc>
          <w:tcPr>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功能要求、其他要求</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≥10寸控制屏一套，用于显示控制操作系统。</w:t>
            </w:r>
            <w:r>
              <w:rPr>
                <w:rFonts w:hint="eastAsia" w:cs="宋体" w:asciiTheme="minorEastAsia" w:hAnsiTheme="minorEastAsia" w:eastAsiaTheme="minorEastAsia"/>
                <w:bCs/>
                <w:sz w:val="20"/>
                <w:szCs w:val="20"/>
                <w:lang w:bidi="ar"/>
              </w:rPr>
              <w:br/>
              <w:t xml:space="preserve">（1）可显示系统设置、系统初始化、密码更改、分组设置等功能；</w:t>
            </w:r>
            <w:r>
              <w:rPr>
                <w:rFonts w:hint="eastAsia" w:cs="宋体" w:asciiTheme="minorEastAsia" w:hAnsiTheme="minorEastAsia" w:eastAsiaTheme="minorEastAsia"/>
                <w:bCs/>
                <w:sz w:val="20"/>
                <w:szCs w:val="20"/>
                <w:lang w:bidi="ar"/>
              </w:rPr>
              <w:br/>
              <w:t xml:space="preserve">（2）可显示220V电源控制系统；</w:t>
            </w:r>
            <w:r>
              <w:rPr>
                <w:rFonts w:hint="eastAsia" w:cs="宋体" w:asciiTheme="minorEastAsia" w:hAnsiTheme="minorEastAsia" w:eastAsiaTheme="minorEastAsia"/>
                <w:bCs/>
                <w:sz w:val="20"/>
                <w:szCs w:val="20"/>
                <w:lang w:bidi="ar"/>
              </w:rPr>
              <w:br/>
              <w:t xml:space="preserve">（3）可显示交直流低压控制系统；</w:t>
            </w:r>
            <w:r>
              <w:rPr>
                <w:rFonts w:hint="eastAsia" w:cs="宋体" w:asciiTheme="minorEastAsia" w:hAnsiTheme="minorEastAsia" w:eastAsiaTheme="minorEastAsia"/>
                <w:bCs/>
                <w:sz w:val="20"/>
                <w:szCs w:val="20"/>
                <w:lang w:bidi="ar"/>
              </w:rPr>
              <w:br/>
              <w:t xml:space="preserve">（4）可显示智能升降机构升降控制系统。</w:t>
            </w:r>
            <w:r/>
          </w:p>
        </w:tc>
        <w:tc>
          <w:tcPr>
            <w:tcBorders>
              <w:left w:val="single" w:color="000000" w:sz="4" w:space="0"/>
              <w:bottom w:val="single" w:color="000000" w:sz="4" w:space="0"/>
              <w:right w:val="single" w:color="000000" w:sz="4" w:space="0"/>
            </w:tcBorders>
            <w:tcW w:w="4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2173"/>
        </w:trPr>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智能升降电源控制系统</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1、可进行系统设置、系统初始化、密码更改、分组设置等功能；</w:t>
            </w:r>
            <w:r>
              <w:rPr>
                <w:rFonts w:hint="eastAsia" w:cs="宋体" w:asciiTheme="minorEastAsia" w:hAnsiTheme="minorEastAsia" w:eastAsiaTheme="minorEastAsia"/>
                <w:bCs/>
                <w:sz w:val="20"/>
                <w:szCs w:val="20"/>
                <w:lang w:bidi="ar"/>
              </w:rPr>
              <w:br/>
              <w:t xml:space="preserve">2、可控制220V电源系统：控制学生端220V供电开关，每组可以单独控制，可以组合控制，可以全部同时控制；</w:t>
            </w:r>
            <w:r>
              <w:rPr>
                <w:rFonts w:hint="eastAsia" w:cs="宋体" w:asciiTheme="minorEastAsia" w:hAnsiTheme="minorEastAsia" w:eastAsiaTheme="minorEastAsia"/>
                <w:bCs/>
                <w:sz w:val="20"/>
                <w:szCs w:val="20"/>
                <w:lang w:bidi="ar"/>
              </w:rPr>
              <w:br/>
              <w:t xml:space="preserve">3、可控制交直流低压控制系统：控制学生端交直流低压，每组可以单独控制，可以组合控制，可以全部同时控制，教师锁定时,学生自己无法操作；</w:t>
            </w:r>
            <w:r>
              <w:rPr>
                <w:rFonts w:hint="eastAsia" w:cs="宋体" w:asciiTheme="minorEastAsia" w:hAnsiTheme="minorEastAsia" w:eastAsiaTheme="minorEastAsia"/>
                <w:bCs/>
                <w:sz w:val="20"/>
                <w:szCs w:val="20"/>
                <w:lang w:bidi="ar"/>
              </w:rPr>
              <w:br/>
              <w:t xml:space="preserve">4、可控制智能升降机构升降：每组可以单独控制，可以组合控制，可以全部同时控制。</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519"/>
        </w:trPr>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顶部多模块电源供应装置</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模块内预留2组高压、2组低压安装位置。内装限位器，具备保护功能。</w:t>
            </w:r>
            <w:r/>
          </w:p>
        </w:tc>
        <w:tc>
          <w:tcPr>
            <w:tcBorders>
              <w:top w:val="single" w:color="000000" w:sz="4" w:space="0"/>
              <w:left w:val="single" w:color="000000" w:sz="4" w:space="0"/>
              <w:right w:val="single" w:color="000000" w:sz="4" w:space="0"/>
            </w:tcBorders>
            <w:tcW w:w="407"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14</w:t>
            </w:r>
            <w:r/>
          </w:p>
        </w:tc>
      </w:tr>
      <w:tr>
        <w:trPr>
          <w:trHeight w:val="676"/>
        </w:trPr>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模块储藏装置</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采用ABS材质，模具一体成型。四周带氛围灯设计。</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14</w:t>
            </w:r>
            <w:r/>
          </w:p>
        </w:tc>
      </w:tr>
      <w:tr>
        <w:trPr>
          <w:trHeight w:val="591"/>
        </w:trPr>
        <w:tc>
          <w:tcPr>
            <w:tcBorders>
              <w:top w:val="single" w:color="000000" w:sz="4" w:space="0"/>
              <w:left w:val="single" w:color="000000" w:sz="4" w:space="0"/>
              <w:bottom w:val="single" w:color="000000" w:sz="4" w:space="0"/>
              <w:right w:val="single" w:color="000000" w:sz="4" w:space="0"/>
            </w:tcBorders>
            <w:tcW w:w="644"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智能升降电源低压模块</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外壳材质</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采用ABS材质。</w:t>
            </w:r>
            <w:r/>
          </w:p>
        </w:tc>
        <w:tc>
          <w:tcPr>
            <w:tcBorders>
              <w:top w:val="single" w:color="000000" w:sz="4" w:space="0"/>
              <w:left w:val="single" w:color="000000" w:sz="4" w:space="0"/>
              <w:right w:val="single" w:color="000000" w:sz="4" w:space="0"/>
            </w:tcBorders>
            <w:tcW w:w="407"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28</w:t>
            </w:r>
            <w:r/>
          </w:p>
        </w:tc>
      </w:tr>
      <w:tr>
        <w:trPr>
          <w:trHeight w:val="591"/>
        </w:trPr>
        <w:tc>
          <w:tcPr>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面板</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学生电源采用耐磨、耐腐蚀、耐高温的PC亮光薄膜面板。</w:t>
            </w:r>
            <w:r/>
          </w:p>
        </w:tc>
        <w:tc>
          <w:tcPr>
            <w:tcBorders>
              <w:left w:val="single" w:color="000000" w:sz="4" w:space="0"/>
              <w:right w:val="single" w:color="000000" w:sz="4" w:space="0"/>
            </w:tcBorders>
            <w:tcW w:w="4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861"/>
        </w:trPr>
        <w:tc>
          <w:tcPr>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电源的控制</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按钮式按键。可以随意设置电压，贴片元件生产技术，微电脑控制，采用1.54寸液晶显示电源学生交直流电压</w:t>
            </w:r>
            <w:r/>
          </w:p>
        </w:tc>
        <w:tc>
          <w:tcPr>
            <w:tcBorders>
              <w:left w:val="single" w:color="000000" w:sz="4" w:space="0"/>
              <w:right w:val="single" w:color="000000" w:sz="4" w:space="0"/>
            </w:tcBorders>
            <w:tcW w:w="4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131"/>
        </w:trPr>
        <w:tc>
          <w:tcPr>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学生交流电源</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通过上下键0～24V电压，最小调节单元可达1V,额定电流2A，具有过载保护智能检测功能（电流高于过载点则自动保护，电流低于过载点则自动恢复至设定值）。</w:t>
            </w:r>
            <w:r/>
          </w:p>
        </w:tc>
        <w:tc>
          <w:tcPr>
            <w:tcBorders>
              <w:left w:val="single" w:color="000000" w:sz="4" w:space="0"/>
              <w:right w:val="single" w:color="000000" w:sz="4" w:space="0"/>
            </w:tcBorders>
            <w:tcW w:w="4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861"/>
        </w:trPr>
        <w:tc>
          <w:tcPr>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学生直流电源</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通过上下键选取，调节范围为1.5～24V，分辨率可达0.1V,额定电流2.5A，亦具有过载保护智能检测功能。</w:t>
            </w:r>
            <w:r/>
          </w:p>
        </w:tc>
        <w:tc>
          <w:tcPr>
            <w:tcBorders>
              <w:left w:val="single" w:color="000000" w:sz="4" w:space="0"/>
              <w:bottom w:val="single" w:color="000000" w:sz="4" w:space="0"/>
              <w:right w:val="single" w:color="000000" w:sz="4" w:space="0"/>
            </w:tcBorders>
            <w:tcW w:w="4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861"/>
        </w:trPr>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智能升降电源高压模块</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插座</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采用220V多功能安全插座，每组含2个插座。</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28</w:t>
            </w:r>
            <w:r/>
          </w:p>
        </w:tc>
      </w:tr>
      <w:tr>
        <w:trPr>
          <w:trHeight w:val="1691"/>
        </w:trPr>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智能升降电源升降机构</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升降控制机构</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升降控制机构：需由教师主控，智能升降电源需要经过教师主控发出指令，进行升降处理，升降机构内安装分组独立控制器：控制器可对学生端的电源模块、智能升降电源控制系统进行独立分组控制，实现全选、反选、单选功能。</w:t>
            </w:r>
            <w:r>
              <w:rPr>
                <w:rFonts w:hint="eastAsia" w:cs="宋体" w:asciiTheme="minorEastAsia" w:hAnsiTheme="minorEastAsia" w:eastAsiaTheme="minorEastAsia"/>
                <w:bCs/>
                <w:sz w:val="20"/>
                <w:szCs w:val="20"/>
                <w:lang w:bidi="ar"/>
              </w:rPr>
              <w:br/>
              <w:t xml:space="preserve">2、采用自动升降系统，旋转线槽模块采用轮毂式，设备自带限位器，具备保护功能。</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14</w:t>
            </w:r>
            <w:r/>
          </w:p>
        </w:tc>
      </w:tr>
      <w:tr>
        <w:trPr>
          <w:trHeight w:val="591"/>
        </w:trPr>
        <w:tc>
          <w:tcPr>
            <w:tcBorders>
              <w:top w:val="single" w:color="000000" w:sz="4" w:space="0"/>
              <w:left w:val="single" w:color="000000" w:sz="4" w:space="0"/>
              <w:bottom w:val="single" w:color="000000" w:sz="4" w:space="0"/>
              <w:right w:val="single" w:color="000000" w:sz="4" w:space="0"/>
            </w:tcBorders>
            <w:tcW w:w="644"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安装辅件及支架</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支架</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支架采用环氧树脂喷涂金属吊杆。</w:t>
            </w:r>
            <w:r/>
          </w:p>
        </w:tc>
        <w:tc>
          <w:tcPr>
            <w:tcBorders>
              <w:top w:val="single" w:color="000000" w:sz="4" w:space="0"/>
              <w:left w:val="single" w:color="000000" w:sz="4" w:space="0"/>
              <w:right w:val="single" w:color="000000" w:sz="4" w:space="0"/>
            </w:tcBorders>
            <w:tcW w:w="407"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861"/>
        </w:trPr>
        <w:tc>
          <w:tcPr>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其它安装辅件</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其它安装辅件，采用国标五金件。</w:t>
            </w:r>
            <w:r/>
          </w:p>
        </w:tc>
        <w:tc>
          <w:tcPr>
            <w:tcBorders>
              <w:left w:val="single" w:color="000000" w:sz="4" w:space="0"/>
              <w:bottom w:val="single" w:color="000000" w:sz="4" w:space="0"/>
              <w:right w:val="single" w:color="000000" w:sz="4" w:space="0"/>
            </w:tcBorders>
            <w:tcW w:w="4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91"/>
        </w:trPr>
        <w:tc>
          <w:tcPr>
            <w:tcBorders>
              <w:top w:val="single" w:color="000000" w:sz="4" w:space="0"/>
              <w:left w:val="single" w:color="000000" w:sz="4" w:space="0"/>
              <w:bottom w:val="single" w:color="000000" w:sz="4" w:space="0"/>
              <w:right w:val="single" w:color="000000" w:sz="4" w:space="0"/>
            </w:tcBorders>
            <w:tcW w:w="644"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综合布线</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220V供电</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采用2.5平方毫米电线。</w:t>
            </w:r>
            <w:r/>
          </w:p>
        </w:tc>
        <w:tc>
          <w:tcPr>
            <w:tcBorders>
              <w:top w:val="single" w:color="000000" w:sz="4" w:space="0"/>
              <w:left w:val="single" w:color="000000" w:sz="4" w:space="0"/>
              <w:right w:val="single" w:color="000000" w:sz="4" w:space="0"/>
            </w:tcBorders>
            <w:tcW w:w="407"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591"/>
        </w:trPr>
        <w:tc>
          <w:tcPr>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控制线</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采用1平方毫米电源线。</w:t>
            </w:r>
            <w:r/>
          </w:p>
        </w:tc>
        <w:tc>
          <w:tcPr>
            <w:tcBorders>
              <w:left w:val="single" w:color="000000" w:sz="4" w:space="0"/>
              <w:right w:val="single" w:color="000000" w:sz="4" w:space="0"/>
            </w:tcBorders>
            <w:tcW w:w="4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91"/>
        </w:trPr>
        <w:tc>
          <w:tcPr>
            <w:tcBorders>
              <w:top w:val="single" w:color="000000" w:sz="4" w:space="0"/>
              <w:left w:val="single" w:color="000000" w:sz="4" w:space="0"/>
              <w:bottom w:val="single" w:color="000000" w:sz="4" w:space="0"/>
              <w:right w:val="single" w:color="000000" w:sz="4" w:space="0"/>
            </w:tcBorders>
            <w:tcW w:w="6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低压供电</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采用1.5平方毫米电线。</w:t>
            </w:r>
            <w:r/>
          </w:p>
        </w:tc>
        <w:tc>
          <w:tcPr>
            <w:tcBorders>
              <w:left w:val="single" w:color="000000" w:sz="4" w:space="0"/>
              <w:bottom w:val="single" w:color="000000" w:sz="4" w:space="0"/>
              <w:right w:val="single" w:color="000000" w:sz="4" w:space="0"/>
            </w:tcBorders>
            <w:tcW w:w="4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609"/>
        </w:trPr>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系统调试安装</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项目</w:t>
            </w:r>
            <w:r/>
          </w:p>
        </w:tc>
        <w:tc>
          <w:tcPr>
            <w:tcBorders>
              <w:top w:val="single" w:color="000000" w:sz="4" w:space="0"/>
              <w:left w:val="single" w:color="000000" w:sz="4" w:space="0"/>
              <w:bottom w:val="single" w:color="000000" w:sz="4" w:space="0"/>
              <w:right w:val="single" w:color="000000" w:sz="4" w:space="0"/>
            </w:tcBorders>
            <w:tcW w:w="334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1、顶部标准化安装；</w:t>
            </w:r>
            <w:r>
              <w:rPr>
                <w:rFonts w:hint="eastAsia" w:cs="宋体" w:asciiTheme="minorEastAsia" w:hAnsiTheme="minorEastAsia" w:eastAsiaTheme="minorEastAsia"/>
                <w:bCs/>
                <w:sz w:val="20"/>
                <w:szCs w:val="20"/>
                <w:lang w:bidi="ar"/>
              </w:rPr>
              <w:br/>
              <w:t xml:space="preserve">2、系统结构调试；</w:t>
            </w:r>
            <w:r>
              <w:rPr>
                <w:rFonts w:hint="eastAsia" w:cs="宋体" w:asciiTheme="minorEastAsia" w:hAnsiTheme="minorEastAsia" w:eastAsiaTheme="minorEastAsia"/>
                <w:bCs/>
                <w:sz w:val="20"/>
                <w:szCs w:val="20"/>
                <w:lang w:bidi="ar"/>
              </w:rPr>
              <w:br/>
              <w:t xml:space="preserve">3、系统控制调试；</w:t>
            </w:r>
            <w:r>
              <w:rPr>
                <w:rFonts w:hint="eastAsia" w:cs="宋体" w:asciiTheme="minorEastAsia" w:hAnsiTheme="minorEastAsia" w:eastAsiaTheme="minorEastAsia"/>
                <w:bCs/>
                <w:sz w:val="20"/>
                <w:szCs w:val="20"/>
                <w:lang w:bidi="ar"/>
              </w:rPr>
              <w:br/>
              <w:t xml:space="preserve">4、供电系统调试；</w:t>
            </w:r>
            <w:r>
              <w:rPr>
                <w:rFonts w:hint="eastAsia" w:cs="宋体" w:asciiTheme="minorEastAsia" w:hAnsiTheme="minorEastAsia" w:eastAsiaTheme="minorEastAsia"/>
                <w:bCs/>
                <w:sz w:val="20"/>
                <w:szCs w:val="20"/>
                <w:lang w:bidi="ar"/>
              </w:rPr>
              <w:br/>
              <w:t xml:space="preserve">5、升降调试。</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1609"/>
        </w:trPr>
        <w:tc>
          <w:tcPr>
            <w:gridSpan w:val="2"/>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gridSpan w:val="2"/>
            <w:tcBorders>
              <w:top w:val="single" w:color="000000" w:sz="4" w:space="0"/>
              <w:left w:val="single" w:color="000000" w:sz="4" w:space="0"/>
              <w:bottom w:val="single" w:color="000000" w:sz="4" w:space="0"/>
              <w:right w:val="single" w:color="000000" w:sz="4" w:space="0"/>
            </w:tcBorders>
            <w:tcW w:w="375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1.提供学生实验用电源，受教师端集中控制，可实现升降、存储。</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2.为成套设备：智能系统控制、学生电源升降模块（每2块实验设备配置一套）。</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720" w:equalWidth="1"/>
          <w:docGrid w:linePitch="360"/>
        </w:sect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t xml:space="preserve">危化品设施</w:t>
      </w:r>
      <w:r/>
    </w:p>
    <w:tbl>
      <w:tblPr>
        <w:tblW w:w="0" w:type="auto"/>
        <w:tblLook w:val="04A0" w:firstRow="1" w:lastRow="0" w:firstColumn="1" w:lastColumn="0" w:noHBand="0" w:noVBand="1"/>
      </w:tblPr>
      <w:tblGrid>
        <w:gridCol w:w="1216"/>
        <w:gridCol w:w="2016"/>
        <w:gridCol w:w="6090"/>
        <w:gridCol w:w="992"/>
      </w:tblGrid>
      <w:tr>
        <w:trPr>
          <w:trHeight w:val="560"/>
          <w:tblHeader/>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数量</w:t>
            </w:r>
            <w:r/>
          </w:p>
        </w:tc>
      </w:tr>
      <w:tr>
        <w:trPr>
          <w:trHeight w:val="4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防盗门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防盗门</w:t>
            </w: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指纹，双锁，防盗报警，国标乙级以上</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w:t>
            </w:r>
            <w:r/>
          </w:p>
        </w:tc>
      </w:tr>
      <w:tr>
        <w:trPr>
          <w:trHeight w:val="48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防盗窗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防盗窗</w:t>
            </w: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2.0mm断桥铝定制防盗窗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w:t>
            </w:r>
            <w:r/>
          </w:p>
        </w:tc>
      </w:tr>
      <w:tr>
        <w:trPr>
          <w:trHeight w:val="134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防爆照明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防爆照明灯</w:t>
            </w: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1.电压：220V；</w:t>
            </w:r>
            <w:r>
              <w:rPr>
                <w:rFonts w:hint="eastAsia" w:cs="宋体" w:asciiTheme="minorEastAsia" w:hAnsiTheme="minorEastAsia" w:eastAsiaTheme="minorEastAsia"/>
                <w:bCs/>
                <w:sz w:val="20"/>
                <w:szCs w:val="20"/>
                <w:lang w:bidi="ar"/>
              </w:rPr>
              <w:br/>
              <w:t xml:space="preserve">2.温度组别：T1~T4；</w:t>
            </w:r>
            <w:r>
              <w:rPr>
                <w:rFonts w:hint="eastAsia" w:cs="宋体" w:asciiTheme="minorEastAsia" w:hAnsiTheme="minorEastAsia" w:eastAsiaTheme="minorEastAsia"/>
                <w:bCs/>
                <w:sz w:val="20"/>
                <w:szCs w:val="20"/>
                <w:lang w:bidi="ar"/>
              </w:rPr>
              <w:br/>
              <w:t xml:space="preserve">3.防爆标志：EXdⅡBT4Gb；</w:t>
            </w:r>
            <w:r>
              <w:rPr>
                <w:rFonts w:hint="eastAsia" w:cs="宋体" w:asciiTheme="minorEastAsia" w:hAnsiTheme="minorEastAsia" w:eastAsiaTheme="minorEastAsia"/>
                <w:bCs/>
                <w:sz w:val="20"/>
                <w:szCs w:val="20"/>
                <w:lang w:bidi="ar"/>
              </w:rPr>
              <w:br/>
              <w:t xml:space="preserve">4.灯身材质：铁，加厚玻璃及铁丝网罩。</w:t>
            </w:r>
            <w:r/>
          </w:p>
        </w:tc>
        <w:tc>
          <w:tcPr>
            <w:tcBorders>
              <w:top w:val="single" w:color="000000" w:sz="4" w:space="0"/>
              <w:left w:val="single" w:color="000000" w:sz="4" w:space="0"/>
              <w:right w:val="single" w:color="000000" w:sz="4" w:space="0"/>
            </w:tcBorders>
            <w:tcW w:w="992" w:type="dxa"/>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129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防爆单控开关</w:t>
            </w: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1.外壳采用铝合金压铸而成，表面高压静电喷涂；</w:t>
            </w:r>
            <w:r>
              <w:rPr>
                <w:rFonts w:hint="eastAsia" w:cs="宋体" w:asciiTheme="minorEastAsia" w:hAnsiTheme="minorEastAsia" w:eastAsiaTheme="minorEastAsia"/>
                <w:bCs/>
                <w:sz w:val="20"/>
                <w:szCs w:val="20"/>
                <w:lang w:bidi="ar"/>
              </w:rPr>
              <w:br/>
              <w:t xml:space="preserve">2.内部具有防尘功能；</w:t>
            </w:r>
            <w:r>
              <w:rPr>
                <w:rFonts w:hint="eastAsia" w:cs="宋体" w:asciiTheme="minorEastAsia" w:hAnsiTheme="minorEastAsia" w:eastAsiaTheme="minorEastAsia"/>
                <w:bCs/>
                <w:sz w:val="20"/>
                <w:szCs w:val="20"/>
                <w:lang w:bidi="ar"/>
              </w:rPr>
              <w:br/>
              <w:t xml:space="preserve">3.防爆标识：：EXdⅡBT4Gb；</w:t>
            </w:r>
            <w:r>
              <w:rPr>
                <w:rFonts w:hint="eastAsia" w:cs="宋体" w:asciiTheme="minorEastAsia" w:hAnsiTheme="minorEastAsia" w:eastAsiaTheme="minorEastAsia"/>
                <w:bCs/>
                <w:sz w:val="20"/>
                <w:szCs w:val="20"/>
                <w:lang w:bidi="ar"/>
              </w:rPr>
              <w:br/>
              <w:t xml:space="preserve">4.防护等级IP65。</w:t>
            </w:r>
            <w:r/>
          </w:p>
        </w:tc>
        <w:tc>
          <w:tcPr>
            <w:tcBorders>
              <w:left w:val="single" w:color="000000" w:sz="4" w:space="0"/>
              <w:right w:val="single" w:color="000000" w:sz="4" w:space="0"/>
            </w:tcBorders>
            <w:tcW w:w="992"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30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防爆插销</w:t>
            </w: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1.电流电压：220V~250V，10A~16A；</w:t>
            </w:r>
            <w:r>
              <w:rPr>
                <w:rFonts w:hint="eastAsia" w:cs="宋体" w:asciiTheme="minorEastAsia" w:hAnsiTheme="minorEastAsia" w:eastAsiaTheme="minorEastAsia"/>
                <w:bCs/>
                <w:sz w:val="20"/>
                <w:szCs w:val="20"/>
                <w:lang w:bidi="ar"/>
              </w:rPr>
              <w:br/>
              <w:t xml:space="preserve">2.防爆级别：EXdⅡBT4Gb；</w:t>
            </w:r>
            <w:r>
              <w:rPr>
                <w:rFonts w:hint="eastAsia" w:cs="宋体" w:asciiTheme="minorEastAsia" w:hAnsiTheme="minorEastAsia" w:eastAsiaTheme="minorEastAsia"/>
                <w:bCs/>
                <w:sz w:val="20"/>
                <w:szCs w:val="20"/>
                <w:lang w:bidi="ar"/>
              </w:rPr>
              <w:br/>
              <w:t xml:space="preserve">3.防护等级IP65。</w:t>
            </w:r>
            <w:r/>
          </w:p>
        </w:tc>
        <w:tc>
          <w:tcPr>
            <w:tcBorders>
              <w:left w:val="single" w:color="000000" w:sz="4" w:space="0"/>
              <w:right w:val="single" w:color="000000" w:sz="4" w:space="0"/>
            </w:tcBorders>
            <w:tcW w:w="992"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63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防爆应急指示一体灯</w:t>
            </w: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1.电压：AC220V/50Hz；</w:t>
            </w:r>
            <w:r>
              <w:rPr>
                <w:rFonts w:hint="eastAsia" w:cs="宋体" w:asciiTheme="minorEastAsia" w:hAnsiTheme="minorEastAsia" w:eastAsiaTheme="minorEastAsia"/>
                <w:bCs/>
                <w:sz w:val="20"/>
                <w:szCs w:val="20"/>
                <w:lang w:bidi="ar"/>
              </w:rPr>
              <w:br/>
              <w:t xml:space="preserve">2.应急启动：0.3秒；</w:t>
            </w:r>
            <w:r>
              <w:rPr>
                <w:rFonts w:hint="eastAsia" w:cs="宋体" w:asciiTheme="minorEastAsia" w:hAnsiTheme="minorEastAsia" w:eastAsiaTheme="minorEastAsia"/>
                <w:bCs/>
                <w:sz w:val="20"/>
                <w:szCs w:val="20"/>
                <w:lang w:bidi="ar"/>
              </w:rPr>
              <w:br/>
              <w:t xml:space="preserve">3.防护等级IP65；</w:t>
            </w:r>
            <w:r>
              <w:rPr>
                <w:rFonts w:hint="eastAsia" w:cs="宋体" w:asciiTheme="minorEastAsia" w:hAnsiTheme="minorEastAsia" w:eastAsiaTheme="minorEastAsia"/>
                <w:bCs/>
                <w:sz w:val="20"/>
                <w:szCs w:val="20"/>
                <w:lang w:bidi="ar"/>
              </w:rPr>
              <w:br/>
              <w:t xml:space="preserve">4.材质：精工车铝；</w:t>
            </w:r>
            <w:r>
              <w:rPr>
                <w:rFonts w:hint="eastAsia" w:cs="宋体" w:asciiTheme="minorEastAsia" w:hAnsiTheme="minorEastAsia" w:eastAsiaTheme="minorEastAsia"/>
                <w:bCs/>
                <w:sz w:val="20"/>
                <w:szCs w:val="20"/>
                <w:lang w:bidi="ar"/>
              </w:rPr>
              <w:br/>
              <w:t xml:space="preserve">5.防爆级别：EXdⅡBT4Gb。</w:t>
            </w:r>
            <w:r/>
          </w:p>
        </w:tc>
        <w:tc>
          <w:tcPr>
            <w:tcBorders>
              <w:left w:val="single" w:color="000000" w:sz="4" w:space="0"/>
              <w:bottom w:val="single" w:color="000000" w:sz="4" w:space="0"/>
              <w:right w:val="single" w:color="000000" w:sz="4" w:space="0"/>
            </w:tcBorders>
            <w:tcW w:w="992"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72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防爆监控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监控</w:t>
            </w: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防爆型探头2个，全方位360度无死角，含4口交换机。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59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静电消除器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静电消除器</w:t>
            </w:r>
            <w:r/>
          </w:p>
        </w:tc>
        <w:tc>
          <w:tcPr>
            <w:tcBorders>
              <w:top w:val="single" w:color="000000" w:sz="4" w:space="0"/>
              <w:left w:val="single" w:color="000000" w:sz="4" w:space="0"/>
              <w:bottom w:val="single" w:color="000000" w:sz="4" w:space="0"/>
              <w:right w:val="single" w:color="000000" w:sz="4" w:space="0"/>
            </w:tcBorders>
            <w:tcW w:w="6090"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静电释放球（含声光提示功能）。</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1913"/>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gridSpan w:val="2"/>
            <w:tcBorders>
              <w:top w:val="single" w:color="000000" w:sz="4" w:space="0"/>
              <w:left w:val="single" w:color="000000" w:sz="4" w:space="0"/>
              <w:bottom w:val="single" w:color="000000" w:sz="4" w:space="0"/>
              <w:right w:val="single" w:color="000000" w:sz="4" w:space="0"/>
            </w:tcBorders>
            <w:tcW w:w="7082"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易爆存储设备功能：防爆结构设计、通风系统、静电释放功能、安全报警系统；</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易燃存储设备功能：防火功能、通风与可燃气体控制、分类存储功能、防泄漏功能；</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耐腐蚀品储存设备功能：耐腐蚀材料构造、密封和隔离功能、通风系统</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实验室废水处理设备，数量：1</w:t>
      </w:r>
      <w:r/>
    </w:p>
    <w:tbl>
      <w:tblPr>
        <w:tblW w:w="48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28"/>
        <w:gridCol w:w="1759"/>
        <w:gridCol w:w="7369"/>
      </w:tblGrid>
      <w:tr>
        <w:trPr>
          <w:trHeight w:val="646"/>
          <w:tblHeader/>
        </w:trPr>
        <w:tc>
          <w:tcPr>
            <w:gridSpan w:val="2"/>
            <w:tcW w:w="1475"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525"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r>
      <w:tr>
        <w:trPr>
          <w:trHeight w:val="646"/>
        </w:trPr>
        <w:tc>
          <w:tcPr>
            <w:tcW w:w="63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w:t>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设备尺寸</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宽高深：1100*750*1750mm</w:t>
            </w:r>
            <w:r/>
          </w:p>
        </w:tc>
      </w:tr>
      <w:tr>
        <w:trPr>
          <w:trHeight w:val="646"/>
        </w:trPr>
        <w:tc>
          <w:tcPr>
            <w:tcW w:w="63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占地面积</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不大于 10 平米</w:t>
            </w:r>
            <w:r/>
          </w:p>
        </w:tc>
      </w:tr>
      <w:tr>
        <w:trPr>
          <w:trHeight w:val="646"/>
        </w:trPr>
        <w:tc>
          <w:tcPr>
            <w:tcW w:w="63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处理量</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日处理废水量：≥1T/D</w:t>
            </w:r>
            <w:r/>
          </w:p>
        </w:tc>
      </w:tr>
      <w:tr>
        <w:trPr>
          <w:trHeight w:val="646"/>
        </w:trPr>
        <w:tc>
          <w:tcPr>
            <w:tcW w:w="63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电源输入</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380V/220V</w:t>
            </w:r>
            <w:r/>
          </w:p>
        </w:tc>
      </w:tr>
      <w:tr>
        <w:trPr>
          <w:trHeight w:val="646"/>
        </w:trPr>
        <w:tc>
          <w:tcPr>
            <w:tcW w:w="63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自动搅拌混凝气浮装置</w:t>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采用优质耐强酸、耐强碱、抗腐蚀、高强度的PP材质折弯焊接而成；提供主体材料规格PP材质。</w:t>
            </w:r>
            <w:r/>
          </w:p>
        </w:tc>
      </w:tr>
      <w:tr>
        <w:trPr>
          <w:trHeight w:val="646"/>
        </w:trPr>
        <w:tc>
          <w:tcPr>
            <w:tcW w:w="63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壁厚/密度</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壁厚10 mm 、密度5.1g/cm³</w:t>
            </w:r>
            <w:r/>
          </w:p>
        </w:tc>
      </w:tr>
      <w:tr>
        <w:trPr>
          <w:trHeight w:val="646"/>
        </w:trPr>
        <w:tc>
          <w:tcPr>
            <w:tcW w:w="63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收集水箱材质</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采用焊接耐酸碱 PP 材质。</w:t>
            </w:r>
            <w:r/>
          </w:p>
        </w:tc>
      </w:tr>
      <w:tr>
        <w:trPr>
          <w:trHeight w:val="646"/>
        </w:trPr>
        <w:tc>
          <w:tcPr>
            <w:tcW w:w="63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▲负荷变形温度</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＞180℃(ISO 75-1：2013 &amp; ISO75-2:2013 方法 B)。</w:t>
            </w:r>
            <w:r/>
          </w:p>
        </w:tc>
      </w:tr>
      <w:tr>
        <w:trPr>
          <w:trHeight w:val="646"/>
        </w:trPr>
        <w:tc>
          <w:tcPr>
            <w:tcW w:w="63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▲维卡软化温度</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＞180℃ (ISO 306：2013 方法 B50)。</w:t>
            </w:r>
            <w:r/>
          </w:p>
        </w:tc>
      </w:tr>
      <w:tr>
        <w:trPr>
          <w:trHeight w:val="646"/>
        </w:trPr>
        <w:tc>
          <w:tcPr>
            <w:tcW w:w="63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搅拌器</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220V, 每分钟60转, PP材质叶片转轴。</w:t>
            </w:r>
            <w:r/>
          </w:p>
        </w:tc>
      </w:tr>
      <w:tr>
        <w:trPr>
          <w:trHeight w:val="929"/>
        </w:trPr>
        <w:tc>
          <w:tcPr>
            <w:gridSpan w:val="2"/>
            <w:tcW w:w="147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其他要求</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▲以上温度检测通过 CMA (中国质量认证) 及 CNAS (中国合格评定国家认可委员会) 对该设备材质SGS认证文件，盖 CAM 及 CNAS 章的检测报告认证文件扫描件。</w:t>
            </w:r>
            <w:r/>
          </w:p>
        </w:tc>
      </w:tr>
      <w:tr>
        <w:trPr>
          <w:trHeight w:val="646"/>
        </w:trPr>
        <w:tc>
          <w:tcPr>
            <w:tcW w:w="63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自动絮凝助凝沉淀装置</w:t>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采用优质耐强酸、耐强碱、抗腐蚀、高强度的PP材质折弯焊接而成。</w:t>
            </w:r>
            <w:r/>
          </w:p>
        </w:tc>
      </w:tr>
      <w:tr>
        <w:trPr>
          <w:trHeight w:val="646"/>
        </w:trPr>
        <w:tc>
          <w:tcPr>
            <w:tcW w:w="63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壁厚/密度</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壁厚10 mm 、密度5.1g/cm³</w:t>
            </w:r>
            <w:r/>
          </w:p>
        </w:tc>
      </w:tr>
      <w:tr>
        <w:trPr>
          <w:trHeight w:val="646"/>
        </w:trPr>
        <w:tc>
          <w:tcPr>
            <w:tcW w:w="63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药箱</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pe 材质，共 4 台</w:t>
            </w:r>
            <w:r/>
          </w:p>
        </w:tc>
      </w:tr>
      <w:tr>
        <w:trPr>
          <w:trHeight w:val="646"/>
        </w:trPr>
        <w:tc>
          <w:tcPr>
            <w:tcW w:w="63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药泵</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0.55KW/台，机械搅拌，4 台</w:t>
            </w:r>
            <w:r/>
          </w:p>
        </w:tc>
      </w:tr>
      <w:tr>
        <w:trPr>
          <w:trHeight w:val="646"/>
        </w:trPr>
        <w:tc>
          <w:tcPr>
            <w:tcW w:w="63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计量泵</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0-100L/h，功率 0.25KW，4 台</w:t>
            </w:r>
            <w:r/>
          </w:p>
        </w:tc>
      </w:tr>
      <w:tr>
        <w:trPr>
          <w:trHeight w:val="1036"/>
        </w:trPr>
        <w:tc>
          <w:tcPr>
            <w:tcW w:w="63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pH 酸碱自动调节系统功能</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自动监测pH，在液晶触摸屏显示并控制给药数量，量程范围：0-14，功能：针对废水中的酸碱实现实时监控，并在设备的控制屏幕上有显示；</w:t>
            </w:r>
            <w:r>
              <w:rPr>
                <w:rFonts w:hint="eastAsia" w:cs="宋体" w:asciiTheme="minorEastAsia" w:hAnsiTheme="minorEastAsia" w:eastAsiaTheme="minorEastAsia"/>
                <w:bCs/>
                <w:sz w:val="20"/>
                <w:szCs w:val="20"/>
                <w:lang w:bidi="ar"/>
              </w:rPr>
              <w:br/>
              <w:t xml:space="preserve">投放药剂：酸、碱、絮凝剂。</w:t>
            </w:r>
            <w:r/>
          </w:p>
        </w:tc>
      </w:tr>
      <w:tr>
        <w:trPr>
          <w:trHeight w:val="1430"/>
        </w:trPr>
        <w:tc>
          <w:tcPr>
            <w:tcW w:w="63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电催化氧化系统</w:t>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在外加电场的作用条件下，在特定的电化学反应器内以电为催化剂，以双氧水、氧气、臭氧为氧化剂，产生化学或物理反应，从而有效去除废水中的污染物，回收废水中的有用物质。该方法无须添加氧化剂，可在常温常压下进行反应，具有良好的气浮、絮凝、杀菌作用。</w:t>
            </w:r>
            <w:r/>
          </w:p>
        </w:tc>
      </w:tr>
      <w:tr>
        <w:trPr>
          <w:trHeight w:val="786"/>
        </w:trPr>
        <w:tc>
          <w:tcPr>
            <w:gridSpan w:val="2"/>
            <w:tcW w:w="147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其他要求</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提供Co-Zn 金属有机骨架电催化析材料的详细说明以及相关证明文件扫描件，不包含软著和实用新型；</w:t>
            </w:r>
            <w:r/>
          </w:p>
        </w:tc>
      </w:tr>
      <w:tr>
        <w:trPr>
          <w:trHeight w:val="1136"/>
        </w:trPr>
        <w:tc>
          <w:tcPr>
            <w:tcW w:w="63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重金属去除系统</w:t>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有效去除金属离子等无机物。微电解法处理废水是利用微电解填料在酸性废水中自身产生的电位差，对废水进行电氧化-还原反应从而去除废水中的有机物、色度、重金属的一种处理工艺。</w:t>
            </w:r>
            <w:r/>
          </w:p>
        </w:tc>
      </w:tr>
      <w:tr>
        <w:trPr>
          <w:trHeight w:val="646"/>
        </w:trPr>
        <w:tc>
          <w:tcPr>
            <w:gridSpan w:val="2"/>
            <w:tcW w:w="147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其他要求</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提供实验室废水电极电解系统云监控系统证明文件扫描件；</w:t>
            </w:r>
            <w:r/>
          </w:p>
        </w:tc>
      </w:tr>
      <w:tr>
        <w:trPr>
          <w:trHeight w:val="646"/>
        </w:trPr>
        <w:tc>
          <w:tcPr>
            <w:tcW w:w="63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污泥干化器</w:t>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产生的污泥须自动脱水至含水率低于5%便于处置。</w:t>
            </w:r>
            <w:r/>
          </w:p>
        </w:tc>
      </w:tr>
      <w:tr>
        <w:trPr>
          <w:trHeight w:val="646"/>
        </w:trPr>
        <w:tc>
          <w:tcPr>
            <w:gridSpan w:val="2"/>
            <w:tcW w:w="147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其他要求</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提供废水污泥干化温控系统证明文件扫描件</w:t>
            </w:r>
            <w:r/>
          </w:p>
        </w:tc>
      </w:tr>
      <w:tr>
        <w:trPr>
          <w:trHeight w:val="646"/>
        </w:trPr>
        <w:tc>
          <w:tcPr>
            <w:tcW w:w="63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设备通讯线路</w:t>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要求</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通讯线必须支持多介质、可以在同一网络中工作的。</w:t>
            </w:r>
            <w:r/>
          </w:p>
        </w:tc>
      </w:tr>
      <w:tr>
        <w:trPr>
          <w:trHeight w:val="710"/>
        </w:trPr>
        <w:tc>
          <w:tcPr>
            <w:tcW w:w="63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通讯线</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需采用双绞线无极性，方便安装(通信速率满足78kbps/s~1.25Mbps/s)。</w:t>
            </w:r>
            <w:r/>
          </w:p>
        </w:tc>
      </w:tr>
      <w:tr>
        <w:trPr>
          <w:trHeight w:val="785"/>
        </w:trPr>
        <w:tc>
          <w:tcPr>
            <w:tcW w:w="63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模块有应急功能</w:t>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保证部分设备出现故障时整体系统能够正常使用。</w:t>
            </w:r>
            <w:r/>
          </w:p>
        </w:tc>
      </w:tr>
      <w:tr>
        <w:trPr>
          <w:trHeight w:val="2421"/>
        </w:trPr>
        <w:tc>
          <w:tcPr>
            <w:tcW w:w="63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报警功能</w:t>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要求</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系统应超标报警功能、设备运行出错报警功能，硬件部分要求：设备 PLC 集中控制；10寸液晶触摸屏；850/900/1800/1900MHz四频数据通信模块；</w:t>
            </w:r>
            <w:r>
              <w:rPr>
                <w:rFonts w:hint="eastAsia" w:cs="宋体" w:asciiTheme="minorEastAsia" w:hAnsiTheme="minorEastAsia" w:eastAsiaTheme="minorEastAsia"/>
                <w:bCs/>
                <w:sz w:val="20"/>
                <w:szCs w:val="20"/>
                <w:lang w:bidi="ar"/>
              </w:rPr>
              <w:t xml:space="preserve">设备采用PLC可编程序智能控制系统和10寸人机界面操作屏：液晶中文显示所有监控参数：如设备的启停、冲洗、排污等功能；显示各单元运行状态，如动画式流程图、提升泵、压力显示、流量显示、水箱液位等都要显示在控制触摸屏里；设有停水、停电、过载等非正常状态自动保护、故障自动报警及处理功能，能自动记录和管理历史运行水质数据与分析等。具人机对话功能，时钟和语言设定功能，开机时系统自动检测，全自动处理废水、针对不同废水的成分和浓度，为保证设备运行安全，配有控制系统自动进行计算然后按比例进行自动投放药品，更加科学化和合理化。</w:t>
            </w:r>
            <w:r/>
          </w:p>
        </w:tc>
      </w:tr>
      <w:tr>
        <w:trPr>
          <w:trHeight w:val="825"/>
        </w:trPr>
        <w:tc>
          <w:tcPr>
            <w:gridSpan w:val="2"/>
            <w:tcW w:w="147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其他要求</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▲提供设备通过 CE 认证证书、检测报告及实验室污水处理设备在线监测分析系统软件证明文件扫描件</w:t>
            </w:r>
            <w:r/>
          </w:p>
        </w:tc>
      </w:tr>
      <w:tr>
        <w:trPr>
          <w:trHeight w:val="565"/>
        </w:trPr>
        <w:tc>
          <w:tcPr>
            <w:tcW w:w="63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设备排放标准</w:t>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标准</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经设备处理后废水符合（GB8978-1996）中的三级排放标准。</w:t>
            </w:r>
            <w:r/>
          </w:p>
        </w:tc>
      </w:tr>
      <w:tr>
        <w:trPr>
          <w:trHeight w:val="2261"/>
        </w:trPr>
        <w:tc>
          <w:tcPr>
            <w:tcW w:w="63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处理实验室废水有害物质的种类</w:t>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无机物类</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重金属离子、酸碱PH值、卤素离子及其他非金属离子等；</w:t>
            </w:r>
            <w:r>
              <w:rPr>
                <w:rFonts w:hint="eastAsia" w:cs="宋体" w:asciiTheme="minorEastAsia" w:hAnsiTheme="minorEastAsia" w:eastAsiaTheme="minorEastAsia"/>
                <w:bCs/>
                <w:sz w:val="20"/>
                <w:szCs w:val="20"/>
                <w:lang w:bidi="ar"/>
              </w:rPr>
              <w:br/>
              <w:t xml:space="preserve">（1）重金属离子类：汞、镉、总铬、六价铬、铅、锰、银 、镍、锌、铁、钴、锡、镁、锌、铜、铝、砷等金属阳离子以及处于络合状态的重金属离子团(Cr2O7)2-、(CuCN)-、(AuCN)- 、(Ptcl6)2-等；</w:t>
            </w:r>
            <w:r>
              <w:rPr>
                <w:rFonts w:hint="eastAsia" w:cs="宋体" w:asciiTheme="minorEastAsia" w:hAnsiTheme="minorEastAsia" w:eastAsiaTheme="minorEastAsia"/>
                <w:bCs/>
                <w:sz w:val="20"/>
                <w:szCs w:val="20"/>
                <w:lang w:bidi="ar"/>
              </w:rPr>
              <w:br/>
              <w:t xml:space="preserve">（2）非金属离子类：氟酸或氟化物、游离氰或氰化合物、络离子化合物、AsO32-、AsO43-、Hg+、Hg2+等；</w:t>
            </w:r>
            <w:r>
              <w:rPr>
                <w:rFonts w:hint="eastAsia" w:cs="宋体" w:asciiTheme="minorEastAsia" w:hAnsiTheme="minorEastAsia" w:eastAsiaTheme="minorEastAsia"/>
                <w:bCs/>
                <w:sz w:val="20"/>
                <w:szCs w:val="20"/>
                <w:lang w:bidi="ar"/>
              </w:rPr>
              <w:br/>
              <w:t xml:space="preserve">（3）酸碱PH值:硝酸、盐酸、磷酸、硫酸、双氧水、氯化钾、氯化钙等。</w:t>
            </w:r>
            <w:r/>
          </w:p>
        </w:tc>
      </w:tr>
      <w:tr>
        <w:trPr>
          <w:trHeight w:val="1955"/>
        </w:trPr>
        <w:tc>
          <w:tcPr>
            <w:tcW w:w="63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有机物类</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有机物类：有机溶剂、洗涤剂、表面活性剂、苯、甲苯、二甲苯、苯胺、苯酚、多氯联苯、苯并芘、酚类、甲醛、乙醛、丙烯腈、丙烯醛、烷烃、烯烃、氟化氢、石油类、油脂类物质、甲醇、苯胺类、多环芳烃、硝基化合物、亚硝胺、氯苯类、硝基苯类、醚类、混合烃类、炳酮、糖类、卤代烃、蛋白质、有机磷农药 盐等。</w:t>
            </w:r>
            <w:r/>
          </w:p>
        </w:tc>
      </w:tr>
      <w:tr>
        <w:trPr>
          <w:trHeight w:val="1120"/>
        </w:trPr>
        <w:tc>
          <w:tcPr>
            <w:tcW w:w="63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生物类</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生物类：细菌、病毒、衣原体、支原体、螺旋体、真菌、布鲁氏杆菌，炭疽杆菌等。</w:t>
            </w:r>
            <w:r/>
          </w:p>
        </w:tc>
      </w:tr>
      <w:tr>
        <w:trPr>
          <w:trHeight w:val="7943"/>
        </w:trPr>
        <w:tc>
          <w:tcPr>
            <w:tcW w:w="63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设备控制系统及性能要求</w:t>
            </w:r>
            <w:r/>
          </w:p>
        </w:tc>
        <w:tc>
          <w:tcPr>
            <w:tcW w:w="84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性能要求</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（1）实用性广，可适应各类实验室的废水处理；</w:t>
            </w:r>
            <w:r>
              <w:rPr>
                <w:rFonts w:hint="eastAsia" w:cs="宋体" w:asciiTheme="minorEastAsia" w:hAnsiTheme="minorEastAsia" w:eastAsiaTheme="minorEastAsia"/>
                <w:bCs/>
                <w:sz w:val="20"/>
                <w:szCs w:val="20"/>
                <w:lang w:bidi="ar"/>
              </w:rPr>
              <w:br/>
              <w:t xml:space="preserve">（2）漏水漏电自动保护、高低压自动保护、无废水保护等功能；</w:t>
            </w:r>
            <w:r>
              <w:rPr>
                <w:rFonts w:hint="eastAsia" w:cs="宋体" w:asciiTheme="minorEastAsia" w:hAnsiTheme="minorEastAsia" w:eastAsiaTheme="minorEastAsia"/>
                <w:bCs/>
                <w:sz w:val="20"/>
                <w:szCs w:val="20"/>
                <w:lang w:bidi="ar"/>
              </w:rPr>
              <w:br/>
              <w:t xml:space="preserve">▲（3）定时自动清洗功能：系统定时对需要清洗的部件进行自动清洗，使用寿命更长，提供综合废水处理系统自清洗及校正功能的证明文件扫描件；</w:t>
            </w:r>
            <w:r>
              <w:rPr>
                <w:rFonts w:hint="eastAsia" w:cs="宋体" w:asciiTheme="minorEastAsia" w:hAnsiTheme="minorEastAsia" w:eastAsiaTheme="minorEastAsia"/>
                <w:bCs/>
                <w:sz w:val="20"/>
                <w:szCs w:val="20"/>
                <w:lang w:bidi="ar"/>
              </w:rPr>
              <w:br/>
              <w:t xml:space="preserve">▲（4）需要通过中央集中控制，自动化程度高，无须专人值守，提供综合废水处理远程控制系统证明文件扫描件；</w:t>
            </w:r>
            <w:r>
              <w:rPr>
                <w:rFonts w:hint="eastAsia" w:cs="宋体" w:asciiTheme="minorEastAsia" w:hAnsiTheme="minorEastAsia" w:eastAsiaTheme="minorEastAsia"/>
                <w:bCs/>
                <w:sz w:val="20"/>
                <w:szCs w:val="20"/>
                <w:lang w:bidi="ar"/>
              </w:rPr>
              <w:br/>
              <w:t xml:space="preserve">▲（5）定时开关机功能：可根据客户的要求设定早晚自动开关机，免去操作人员每天早上和晚上去设备处理间开机和关机；提供综合废水处理系统安全控制管理平台软件证明文件及测试报告扫描件；</w:t>
            </w:r>
            <w:r>
              <w:rPr>
                <w:rFonts w:hint="eastAsia" w:cs="宋体" w:asciiTheme="minorEastAsia" w:hAnsiTheme="minorEastAsia" w:eastAsiaTheme="minorEastAsia"/>
                <w:bCs/>
                <w:sz w:val="20"/>
                <w:szCs w:val="20"/>
                <w:lang w:bidi="ar"/>
              </w:rPr>
              <w:br/>
              <w:t xml:space="preserve">▲（6）需要实现动态化运行，数字化指标，处理效果好，不会产生废渣、废水等二次污染；触摸液晶显示屏，温度控制，调节设备参数等功能，实现设备自动运行，提供温度控制设备检测报告；</w:t>
            </w:r>
            <w:r>
              <w:rPr>
                <w:rFonts w:hint="eastAsia" w:cs="宋体" w:asciiTheme="minorEastAsia" w:hAnsiTheme="minorEastAsia" w:eastAsiaTheme="minorEastAsia"/>
                <w:bCs/>
                <w:sz w:val="20"/>
                <w:szCs w:val="20"/>
                <w:lang w:bidi="ar"/>
              </w:rPr>
              <w:br/>
              <w:t xml:space="preserve">（7）需要具有“一站式”设计，集成式一体化设备处理：外形美观、占地面积小等；</w:t>
            </w:r>
            <w:r>
              <w:rPr>
                <w:rFonts w:hint="eastAsia" w:cs="宋体" w:asciiTheme="minorEastAsia" w:hAnsiTheme="minorEastAsia" w:eastAsiaTheme="minorEastAsia"/>
                <w:bCs/>
                <w:sz w:val="20"/>
                <w:szCs w:val="20"/>
                <w:lang w:bidi="ar"/>
              </w:rPr>
              <w:br/>
              <w:t xml:space="preserve">（8）整个设备由微型计算机系统集中控制，根据客户设定参数，计算机系统可自动实时检测各传感器参数等功能；</w:t>
            </w:r>
            <w:r>
              <w:rPr>
                <w:rFonts w:hint="eastAsia" w:cs="宋体" w:asciiTheme="minorEastAsia" w:hAnsiTheme="minorEastAsia" w:eastAsiaTheme="minorEastAsia"/>
                <w:bCs/>
                <w:sz w:val="20"/>
                <w:szCs w:val="20"/>
                <w:lang w:bidi="ar"/>
              </w:rPr>
              <w:br/>
              <w:t xml:space="preserve">▲（9）物联网管理系统：管理系统可为所有使用者提供与本设备“识别”信息交换的多种管理服务模式，每个管理体系通过识别到的“证据”，控制和管理的“管控”、“规矩”、“目标”等管理方法，从而对设备进行控制和管理，实现了多用户共享物联网管理平台提供的从生产、调试、使用、运行、服务等多个环节的多种与设备“识别”信息交换的综合管理服务，实现 “控制管理”，提供实验室综合废水处理设备管理系统软件证明文件及测试报告扫描件；</w:t>
            </w:r>
            <w:r>
              <w:rPr>
                <w:rFonts w:hint="eastAsia" w:cs="宋体" w:asciiTheme="minorEastAsia" w:hAnsiTheme="minorEastAsia" w:eastAsiaTheme="minorEastAsia"/>
                <w:bCs/>
                <w:sz w:val="20"/>
                <w:szCs w:val="20"/>
                <w:lang w:bidi="ar"/>
              </w:rPr>
              <w:br/>
              <w:t xml:space="preserve">▲（10）云管理平台功能：监测系统 24 小时远程监测设备运行的各项参数指标，提供实验室综合废水废液处理设备云管理系统计算机软件证明文件扫描件；</w:t>
            </w:r>
            <w:r>
              <w:rPr>
                <w:rFonts w:hint="eastAsia" w:cs="宋体" w:asciiTheme="minorEastAsia" w:hAnsiTheme="minorEastAsia" w:eastAsiaTheme="minorEastAsia"/>
                <w:bCs/>
                <w:sz w:val="20"/>
                <w:szCs w:val="20"/>
                <w:lang w:bidi="ar"/>
              </w:rPr>
              <w:br/>
              <w:t xml:space="preserve">（11）考虑废水废液含有部分有机挥发行气体，为安全考虑，设备电器需要做防爆保护。</w:t>
            </w:r>
            <w:r/>
          </w:p>
        </w:tc>
      </w:tr>
      <w:tr>
        <w:trPr>
          <w:trHeight w:val="953"/>
        </w:trPr>
        <w:tc>
          <w:tcPr>
            <w:gridSpan w:val="2"/>
            <w:tcW w:w="147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sz w:val="20"/>
                <w:szCs w:val="20"/>
                <w:lang w:bidi="ar"/>
              </w:rPr>
              <w:t xml:space="preserve">其他要求</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▲设备需要具有防爆安装维修资质并提供证明文件，提供的设备需要具有防爆安装维修资质并提供证明文件及网站截图。</w:t>
            </w:r>
            <w:r/>
          </w:p>
        </w:tc>
      </w:tr>
      <w:tr>
        <w:trPr>
          <w:trHeight w:val="1996"/>
        </w:trPr>
        <w:tc>
          <w:tcPr>
            <w:gridSpan w:val="2"/>
            <w:tcW w:w="147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tcW w:w="352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能满足所有化学实验废水的处理需求，处理后废水符合国家污水综合排放标准（GB8978-1996）中的三级排放标准以及环评要求。主要包括：废水的分类收集、收集容量监测、酸碱度调节、温度调节、物理处理功能、化学处理功能、消毒杀菌、水质监测</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2.处理系统为成套设备，包括：整体外机、自动搅拌混凝气浮装置、自动絮凝助凝沉淀装置、电催化氧化系统、重金属去除系统、污泥干化器</w:t>
            </w:r>
            <w:r/>
          </w:p>
        </w:tc>
      </w:tr>
    </w:tbl>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教室无感扩声系统</w:t>
      </w:r>
      <w:r/>
    </w:p>
    <w:tbl>
      <w:tblPr>
        <w:tblW w:w="4894" w:type="pct"/>
        <w:tblLayout w:type="fixed"/>
        <w:tblLook w:val="04A0" w:firstRow="1" w:lastRow="0" w:firstColumn="1" w:lastColumn="0" w:noHBand="0" w:noVBand="1"/>
      </w:tblPr>
      <w:tblGrid>
        <w:gridCol w:w="858"/>
        <w:gridCol w:w="717"/>
        <w:gridCol w:w="7179"/>
        <w:gridCol w:w="1702"/>
      </w:tblGrid>
      <w:tr>
        <w:trPr>
          <w:trHeight w:val="341"/>
          <w:tblHeader/>
        </w:trPr>
        <w:tc>
          <w:tcPr>
            <w:gridSpan w:val="2"/>
            <w:tcBorders>
              <w:top w:val="single" w:color="000000" w:sz="4" w:space="0"/>
              <w:left w:val="single" w:color="000000" w:sz="4" w:space="0"/>
              <w:bottom w:val="single" w:color="auto" w:sz="4" w:space="0"/>
              <w:right w:val="single" w:color="000000" w:sz="4" w:space="0"/>
            </w:tcBorders>
            <w:tcW w:w="753"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
                <w:sz w:val="20"/>
                <w:szCs w:val="20"/>
                <w:lang w:bidi="ar"/>
              </w:rPr>
              <w:t xml:space="preserve">数量</w:t>
            </w:r>
            <w:r/>
          </w:p>
        </w:tc>
      </w:tr>
      <w:tr>
        <w:trPr>
          <w:trHeight w:val="399"/>
        </w:trPr>
        <w:tc>
          <w:tcPr>
            <w:tcBorders>
              <w:top w:val="single" w:color="auto" w:sz="4" w:space="0"/>
              <w:left w:val="single" w:color="auto" w:sz="4" w:space="0"/>
              <w:bottom w:val="single" w:color="auto" w:sz="4" w:space="0"/>
              <w:right w:val="single" w:color="auto" w:sz="4" w:space="0"/>
            </w:tcBorders>
            <w:tcW w:w="410"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教室无线扩声主机</w:t>
            </w:r>
            <w:r/>
          </w:p>
        </w:tc>
        <w:tc>
          <w:tcPr>
            <w:tcBorders>
              <w:top w:val="single" w:color="auto" w:sz="4" w:space="0"/>
              <w:left w:val="single" w:color="auto" w:sz="4" w:space="0"/>
              <w:bottom w:val="single" w:color="auto" w:sz="4" w:space="0"/>
              <w:right w:val="single" w:color="auto" w:sz="4" w:space="0"/>
            </w:tcBorders>
            <w:tcW w:w="343"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≥140(L)*140(W)*47.5(H)mm，外壳ABS材质。</w:t>
            </w:r>
            <w:r/>
          </w:p>
        </w:tc>
        <w:tc>
          <w:tcPr>
            <w:tcBorders>
              <w:top w:val="single" w:color="000000" w:sz="4" w:space="0"/>
              <w:left w:val="single" w:color="000000" w:sz="4" w:space="0"/>
              <w:right w:val="single" w:color="000000" w:sz="4" w:space="0"/>
            </w:tcBorders>
            <w:tcW w:w="81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rPr>
              <w:t xml:space="preserve">4</w:t>
            </w:r>
            <w:r/>
          </w:p>
        </w:tc>
      </w:tr>
      <w:tr>
        <w:trPr>
          <w:trHeight w:val="446"/>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配置</w:t>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工作电压：DC 24V/1A 电源适配器供电。</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3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工作温度：-10℃～40℃。</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12"/>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安装方式：壁挂安装。</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951"/>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通信协议：支持UHF无线音频输入、输出，与手持麦克风通过NFC和红外两种方式进行配对，支持线性音频输入、输出，支持通过USB和教学大屏连接，支持给无线手持麦克风充电</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07"/>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频率响应：主机线路—主机：80Hz～20 kHz；麦克风-主机：100Hz～10kHz。</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76"/>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信噪比:（麦克风-主机）：≥83dB； （主机线路-主机）：≥83dB。</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45"/>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总谐波失真: ≤0.12%。</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08"/>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无线频段：450Mhz～700Mhz。</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52"/>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支持NFC和红外配对。</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19"/>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具有配对指示灯提示功能。</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92"/>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主机设备采用数字音频处理器，无线发射和接收一体式设计。</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934"/>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具有USB接口、电源接口与音频接口，音频接口：LINE IN（3.5mm）；LINE IN（凤凰端子3PIN）；LINE OUT（3.5mm）；LINE OUT（凤凰端子3PIN）。</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942"/>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最大可实现35m长距离通信，为保证教室间不相互干扰正常工作距离范围为10～15m，根据使用场景，可直接现场定制化通信距离。</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708"/>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支持无线音频输入（UHF&amp;蓝牙），有线音频输入（两路line in、LAN输入）。</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20"/>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支持无线音频输出（UHF），有线音频输出（两路line out）。</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19"/>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具有音量调节、高低音效果调节。</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759"/>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具有啸叫抑制（AFC）功能开关、线路输入噪声门（Gate）功能开关、线路输入自动衰减（AUTOFADE）功能开关。</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49"/>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可通过拨码对UHF的接收和发射频道（频点）进行选择。</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857"/>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具有OLED显示屏，可显示当前UFH接收和发射的频率点和蓝牙开启和关闭的状态。</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57"/>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具有充电槽功能，支持 麦克风充电功能，即放即充。</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57"/>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可以同时连接90个或以上的扩音器。</w:t>
            </w:r>
            <w:r/>
          </w:p>
        </w:tc>
        <w:tc>
          <w:tcPr>
            <w:tcBorders>
              <w:left w:val="single" w:color="000000" w:sz="4" w:space="0"/>
              <w:bottom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000000" w:sz="4" w:space="0"/>
              <w:left w:val="single" w:color="000000" w:sz="4" w:space="0"/>
              <w:bottom w:val="none" w:color="000000" w:sz="4" w:space="0"/>
              <w:right w:val="single" w:color="000000" w:sz="4" w:space="0"/>
            </w:tcBorders>
            <w:tcW w:w="410"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无线麦克风</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整机尺寸110(L)*30(W)*15(H)mmm，外壳ABS材质。</w:t>
            </w:r>
            <w:r/>
          </w:p>
        </w:tc>
        <w:tc>
          <w:tcPr>
            <w:tcBorders>
              <w:top w:val="single" w:color="000000" w:sz="4" w:space="0"/>
              <w:left w:val="single" w:color="000000" w:sz="4" w:space="0"/>
              <w:right w:val="single" w:color="000000" w:sz="4" w:space="0"/>
            </w:tcBorders>
            <w:tcW w:w="81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rPr>
              <w:t xml:space="preserve">4</w:t>
            </w:r>
            <w:r/>
          </w:p>
        </w:tc>
      </w:tr>
      <w:tr>
        <w:trPr>
          <w:trHeight w:val="409"/>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配置</w:t>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电池容量：1000mah±5%。</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充电电压：DC 5V。</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工作温度 -10℃～40℃。</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使用寿命：≥280个循环。</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麦克风类型：全指向性驻极体。</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咪头灵敏度：-32 dBV/Pa±2dB。</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咪头频率响应：100Hz～20KHz。</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无线频段：450Mhz～700Mhz。</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咪头最大声压级：≥110dB@(THD&lt;3%)。</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254"/>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咪头信噪比：≥70dB @(f=1KHZ,S.P.L=1Pa，A-weighted)。</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345"/>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具有配对指示灯提示功能。</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充电接口：type-C充电接口，3PIN 充电触点。</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19"/>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充电方式：放置在主机的麦克风收纳槽内进行充电，插入type-c接口的USB充电线充电。</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采用锂电池供电，可充电循环使用，连续使用时间≥5小时。</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具有音量大小调节、PPT翻页和激光笔功能。</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使用时无固定位置要求，在教室范围内可自由移动。</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体积小巧、便于携带、悬挂等安装方式。</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000000" w:sz="4" w:space="0"/>
              <w:left w:val="single" w:color="000000" w:sz="4" w:space="0"/>
              <w:bottom w:val="none" w:color="000000"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可灵活配对，一个麦克风可适配所有同系列主机。</w:t>
            </w:r>
            <w:r/>
          </w:p>
        </w:tc>
        <w:tc>
          <w:tcPr>
            <w:tcBorders>
              <w:left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000000" w:sz="4" w:space="0"/>
              <w:left w:val="single" w:color="000000"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auto" w:sz="4" w:space="0"/>
              <w:right w:val="single" w:color="000000"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3433"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双击电源键，支持蓝牙功能的设备开启和关闭。</w:t>
            </w:r>
            <w:r/>
          </w:p>
        </w:tc>
        <w:tc>
          <w:tcPr>
            <w:tcBorders>
              <w:left w:val="single" w:color="000000" w:sz="4" w:space="0"/>
              <w:bottom w:val="single" w:color="000000" w:sz="4" w:space="0"/>
              <w:right w:val="single" w:color="000000" w:sz="4" w:space="0"/>
            </w:tcBorders>
            <w:tcW w:w="813" w:type="pct"/>
            <w:vAlign w:val="bottom"/>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auto" w:sz="4" w:space="0"/>
              <w:left w:val="single" w:color="auto" w:sz="4" w:space="0"/>
              <w:bottom w:val="single" w:color="auto" w:sz="4" w:space="0"/>
              <w:right w:val="single" w:color="auto" w:sz="4" w:space="0"/>
            </w:tcBorders>
            <w:tcW w:w="410"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无线扩声器(GS)</w:t>
            </w:r>
            <w:r/>
          </w:p>
        </w:tc>
        <w:tc>
          <w:tcPr>
            <w:tcBorders>
              <w:top w:val="single" w:color="auto" w:sz="4" w:space="0"/>
              <w:left w:val="single" w:color="auto" w:sz="4" w:space="0"/>
              <w:bottom w:val="single" w:color="auto" w:sz="4" w:space="0"/>
              <w:right w:val="single" w:color="auto" w:sz="4" w:space="0"/>
            </w:tcBorders>
            <w:tcW w:w="343"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整机尺寸长度：≥150MM*80MM*40MM</w:t>
            </w:r>
            <w:r/>
          </w:p>
        </w:tc>
        <w:tc>
          <w:tcPr>
            <w:tcBorders>
              <w:top w:val="single" w:color="000000" w:sz="4" w:space="0"/>
              <w:left w:val="single" w:color="000000" w:sz="4" w:space="0"/>
              <w:right w:val="single" w:color="000000" w:sz="4" w:space="0"/>
            </w:tcBorders>
            <w:tcW w:w="81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rPr>
              <w:t xml:space="preserve">4</w:t>
            </w:r>
            <w:r/>
          </w:p>
        </w:tc>
      </w:tr>
      <w:tr>
        <w:trPr>
          <w:trHeight w:val="409"/>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配置</w:t>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外壳材质：ABS材质或环保木质材质或其它</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安装方式：集成在灯具上或吸顶安装。</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工作电压：AC 220V/50HZ。</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信噪比：≥80dB@1W。</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动态范围 ：麦克风-主机：10mv~160mv。</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无线频段：450Mhz~700Mhz。</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频率响应：线路输入20Hz–20 kHz。</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291"/>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输入灵敏度：（-20dbFS）-0dbFS。</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失真度（失真+噪声）：＜0.5%@1W。</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328"/>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喇叭功率：≥4Ω 10W。</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工作温度：-10℃~40℃。</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56"/>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支持专业数字U段无线传输，有效避开校园内其他无线信号（如蓝牙、WiFi等）干扰。</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安装方式灵活：与灯融合(声光一体)，吸顶安装，壁挂安装。</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扩声器多点均衡布局，实现教室均衡扩声。</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9"/>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采用全音域喇叭与导向式音箱设计，音色饱满。</w:t>
            </w:r>
            <w:r/>
          </w:p>
        </w:tc>
        <w:tc>
          <w:tcPr>
            <w:tcBorders>
              <w:left w:val="single" w:color="000000" w:sz="4" w:space="0"/>
              <w:bottom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智能无感扩声麦克风</w:t>
            </w:r>
            <w:r/>
          </w:p>
        </w:tc>
        <w:tc>
          <w:tcPr>
            <w:tcBorders>
              <w:top w:val="single" w:color="auto" w:sz="4" w:space="0"/>
              <w:left w:val="single" w:color="auto" w:sz="4" w:space="0"/>
              <w:bottom w:val="single" w:color="auto" w:sz="4" w:space="0"/>
              <w:right w:val="single" w:color="auto" w:sz="4" w:space="0"/>
            </w:tcBorders>
            <w:tcW w:w="343"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整机尺寸：≤Φ250*40mm。</w:t>
            </w:r>
            <w:r/>
          </w:p>
        </w:tc>
        <w:tc>
          <w:tcPr>
            <w:tcBorders>
              <w:top w:val="single" w:color="000000" w:sz="4" w:space="0"/>
              <w:left w:val="single" w:color="000000" w:sz="4" w:space="0"/>
              <w:right w:val="single" w:color="000000" w:sz="4" w:space="0"/>
            </w:tcBorders>
            <w:tcW w:w="81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rPr>
              <w:t xml:space="preserve">4</w:t>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配置</w:t>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供电：USB Type-B接口 5V。</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麦克风类型：全指向麦克风。</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麦克风阵列：≥2单元MEMS麦克风阵列。</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灵敏度：-30dB(V/Pa)±3dB @1kHz。</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信噪比：≥62 dB(A)。</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频率响应：50Hz-8kHz。</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采样率：16K采样，高清宽带音频。</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拾音距离：≥5米距离内清晰拾音。</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波束成形：自适应波束。</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支持啸叫抑制(AFC)。</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支持自动增益控制（AGC）。</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支持噪声抑制(ANS)。</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支持自动混响抑制。</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音频输出：≥2个3.5mm Spk-out接口，支持线性音频输出。</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工作温度：-10℃～40℃。</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供电采用USB DC 5V，可使用常规USB接口充电。</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0"/>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USB接口：支持软件升级和参数配置。</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21"/>
        </w:trPr>
        <w:tc>
          <w:tcPr>
            <w:tcBorders>
              <w:top w:val="single" w:color="auto" w:sz="4" w:space="0"/>
              <w:left w:val="single" w:color="auto" w:sz="4" w:space="0"/>
              <w:bottom w:val="single" w:color="auto" w:sz="4" w:space="0"/>
              <w:right w:val="single" w:color="auto"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343"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内置嵌入式软件和音频处理模块，免配置，即插即用；无需使用额外的音频处理主机。</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15"/>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具备自适应校准能力，在不同场地均能实现自动校准，无需配手工置。</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714"/>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内置音频处理单元，超低信号处理延时，无需额外机柜放置机架式音频处理器，易于快速低成本安装部署。</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46"/>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教师可以在教室更大范围内自由走动，教室内的学生的发言都可被拾取，师生可以互相听到对方清晰的语音。</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06"/>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支持无感扩音，免接触，便于防疫和保持健康的教学环境。</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70"/>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至少5米远距离拾音，本地无感扩音，免接触，便于防疫和保持健康的教学环境。</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01"/>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端到端总延时≤20ms。</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3"/>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噪声抑制量至少30db。</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76"/>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设备无故障运行时间MTBF≥250000小时。</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2"/>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具备反馈抑制功能，有效抑制啸叫现象。</w:t>
            </w:r>
            <w:r/>
          </w:p>
        </w:tc>
        <w:tc>
          <w:tcPr>
            <w:tcBorders>
              <w:left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04"/>
        </w:trPr>
        <w:tc>
          <w:tcPr>
            <w:tcBorders>
              <w:top w:val="single" w:color="auto" w:sz="4" w:space="0"/>
              <w:left w:val="single" w:color="auto" w:sz="4" w:space="0"/>
              <w:bottom w:val="single" w:color="auto" w:sz="4" w:space="0"/>
              <w:right w:val="single" w:color="000000" w:sz="4" w:space="0"/>
            </w:tcBorders>
            <w:tcW w:w="41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343"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343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支持通过红外遥控器开关MIC，调节音量。</w:t>
            </w:r>
            <w:r/>
          </w:p>
        </w:tc>
        <w:tc>
          <w:tcPr>
            <w:tcBorders>
              <w:left w:val="single" w:color="000000" w:sz="4" w:space="0"/>
              <w:bottom w:val="single" w:color="000000" w:sz="4" w:space="0"/>
              <w:right w:val="single" w:color="000000" w:sz="4" w:space="0"/>
            </w:tcBorders>
            <w:tcW w:w="81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948"/>
        </w:trPr>
        <w:tc>
          <w:tcPr>
            <w:tcBorders>
              <w:top w:val="single" w:color="auto" w:sz="4" w:space="0"/>
              <w:left w:val="single" w:color="000000" w:sz="4" w:space="0"/>
              <w:bottom w:val="single" w:color="000000" w:sz="4" w:space="0"/>
              <w:right w:val="single" w:color="000000" w:sz="4" w:space="0"/>
            </w:tcBorders>
            <w:tcW w:w="410"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配件</w:t>
            </w:r>
            <w:r/>
          </w:p>
        </w:tc>
        <w:tc>
          <w:tcPr>
            <w:tcBorders>
              <w:top w:val="single" w:color="auto" w:sz="4" w:space="0"/>
              <w:left w:val="single" w:color="000000" w:sz="4" w:space="0"/>
              <w:bottom w:val="single" w:color="000000" w:sz="4" w:space="0"/>
              <w:right w:val="single" w:color="000000" w:sz="4" w:space="0"/>
            </w:tcBorders>
            <w:tcW w:w="343"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配置</w:t>
            </w:r>
            <w:r/>
          </w:p>
        </w:tc>
        <w:tc>
          <w:tcPr>
            <w:gridSpan w:val="2"/>
            <w:tcBorders>
              <w:top w:val="single" w:color="000000" w:sz="4" w:space="0"/>
              <w:left w:val="single" w:color="000000" w:sz="4" w:space="0"/>
              <w:bottom w:val="single" w:color="000000" w:sz="4" w:space="0"/>
              <w:right w:val="single" w:color="000000" w:sz="4" w:space="0"/>
            </w:tcBorders>
            <w:tcW w:w="424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1、伸缩吊杆（根据教室层高选择0.6~1.2米或1米~2米）x1；</w:t>
            </w:r>
            <w:r>
              <w:rPr>
                <w:rFonts w:hint="eastAsia" w:cs="宋体" w:asciiTheme="minorEastAsia" w:hAnsiTheme="minorEastAsia" w:eastAsiaTheme="minorEastAsia"/>
                <w:bCs/>
                <w:sz w:val="20"/>
                <w:szCs w:val="20"/>
                <w:lang w:bidi="ar"/>
              </w:rPr>
              <w:br/>
              <w:t xml:space="preserve">2、5V/1A电源适配器 x1；</w:t>
            </w:r>
            <w:r>
              <w:rPr>
                <w:rFonts w:hint="eastAsia" w:cs="宋体" w:asciiTheme="minorEastAsia" w:hAnsiTheme="minorEastAsia" w:eastAsiaTheme="minorEastAsia"/>
                <w:bCs/>
                <w:sz w:val="20"/>
                <w:szCs w:val="20"/>
                <w:lang w:bidi="ar"/>
              </w:rPr>
              <w:br/>
              <w:t xml:space="preserve">3、USB数据线A-B，公对公(10或15米) x1；</w:t>
            </w:r>
            <w:r>
              <w:rPr>
                <w:rFonts w:hint="eastAsia" w:cs="宋体" w:asciiTheme="minorEastAsia" w:hAnsiTheme="minorEastAsia" w:eastAsiaTheme="minorEastAsia"/>
                <w:bCs/>
                <w:sz w:val="20"/>
                <w:szCs w:val="20"/>
                <w:lang w:bidi="ar"/>
              </w:rPr>
              <w:br/>
              <w:t xml:space="preserve">4、AUX音频线，两端3.5mm插头(10米或15米) x1；</w:t>
            </w:r>
            <w:r>
              <w:rPr>
                <w:rFonts w:hint="eastAsia" w:cs="宋体" w:asciiTheme="minorEastAsia" w:hAnsiTheme="minorEastAsia" w:eastAsiaTheme="minorEastAsia"/>
                <w:bCs/>
                <w:sz w:val="20"/>
                <w:szCs w:val="20"/>
                <w:lang w:bidi="ar"/>
              </w:rPr>
              <w:br/>
              <w:t xml:space="preserve">5、USB数据线A-A，公对公，带磁环(5米) x1；</w:t>
            </w:r>
            <w:r>
              <w:rPr>
                <w:rFonts w:hint="eastAsia" w:cs="宋体" w:asciiTheme="minorEastAsia" w:hAnsiTheme="minorEastAsia" w:eastAsiaTheme="minorEastAsia"/>
                <w:bCs/>
                <w:sz w:val="20"/>
                <w:szCs w:val="20"/>
                <w:lang w:bidi="ar"/>
              </w:rPr>
              <w:br/>
              <w:t xml:space="preserve">6、无线扩声器GS灯具安装支架或壁挂支架（选配）x4。</w:t>
            </w:r>
            <w:r/>
          </w:p>
        </w:tc>
      </w:tr>
      <w:tr>
        <w:trPr>
          <w:trHeight w:val="2676"/>
        </w:trPr>
        <w:tc>
          <w:tcPr>
            <w:gridSpan w:val="2"/>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gridSpan w:val="2"/>
            <w:tcBorders>
              <w:top w:val="single" w:color="000000" w:sz="4" w:space="0"/>
              <w:left w:val="single" w:color="000000" w:sz="4" w:space="0"/>
              <w:bottom w:val="single" w:color="000000" w:sz="4" w:space="0"/>
              <w:right w:val="single" w:color="000000" w:sz="4" w:space="0"/>
            </w:tcBorders>
            <w:tcW w:w="4247" w:type="pct"/>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1）远距离无感拾音：即来即用，无需携带个人麦克风，解放老师双手。拾音范围覆盖整个讲台和教室前排区域。让老师授课更轻松。（2）教室多点均匀扩声：无线扩声器多点布局，实现教室内均匀扩声。教室每个位置的学生听到的音量一致。（3） 教学大屏多媒体音频播放：连接教学大屏或PC电脑，实现大屏或电脑的声音通过无线扩声器播放。（4）标配手持无线麦克风：支持一室一麦或一室两麦，用于老师在教室中后排区域时辅助拾音；或学生回答问题时拾音扩声。（5）电子教鞭功能：手持麦克风支持大屏PPT 翻页+激光笔，方便授课。</w:t>
            </w:r>
            <w:r>
              <w:rPr>
                <w:rFonts w:hint="eastAsia" w:cs="宋体" w:asciiTheme="minorEastAsia" w:hAnsiTheme="minorEastAsia" w:eastAsiaTheme="minorEastAsia"/>
                <w:sz w:val="20"/>
                <w:szCs w:val="20"/>
                <w:lang w:bidi="ar"/>
              </w:rPr>
              <w:br/>
              <w:t xml:space="preserve">包括：教室无线扩声主机、无线麦克风、无线扩声器(GS)、智能无感扩声麦克风及其相关的辅材。</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720" w:equalWidth="1"/>
          <w:docGrid w:linePitch="360"/>
        </w:sect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t xml:space="preserve">物联控制终端</w:t>
      </w:r>
      <w:r/>
    </w:p>
    <w:tbl>
      <w:tblPr>
        <w:tblW w:w="4828" w:type="pct"/>
        <w:tblLook w:val="04A0" w:firstRow="1" w:lastRow="0" w:firstColumn="1" w:lastColumn="0" w:noHBand="0" w:noVBand="1"/>
      </w:tblPr>
      <w:tblGrid>
        <w:gridCol w:w="613"/>
        <w:gridCol w:w="621"/>
        <w:gridCol w:w="662"/>
        <w:gridCol w:w="6292"/>
        <w:gridCol w:w="2127"/>
      </w:tblGrid>
      <w:tr>
        <w:trPr>
          <w:trHeight w:val="459"/>
          <w:tblHeader/>
        </w:trPr>
        <w:tc>
          <w:tcPr>
            <w:gridSpan w:val="3"/>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103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智能触屏控制终端</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88mm×88mm×45mm</w:t>
            </w:r>
            <w:r/>
          </w:p>
        </w:tc>
        <w:tc>
          <w:tcPr>
            <w:tcBorders>
              <w:top w:val="single" w:color="000000" w:sz="4" w:space="0"/>
              <w:left w:val="single" w:color="000000" w:sz="4" w:space="0"/>
              <w:right w:val="single" w:color="000000" w:sz="4" w:space="0"/>
            </w:tcBorders>
            <w:tcW w:w="1031" w:type="pct"/>
            <w:vAlign w:val="center"/>
            <w:vMerge w:val="restart"/>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t xml:space="preserve">3</w:t>
            </w:r>
            <w:r/>
          </w:p>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16"/>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restart"/>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基本功能</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阻燃ABS</w:t>
            </w:r>
            <w:r/>
          </w:p>
        </w:tc>
        <w:tc>
          <w:tcPr>
            <w:tcBorders>
              <w:left w:val="single" w:color="000000" w:sz="4" w:space="0"/>
              <w:right w:val="single" w:color="000000" w:sz="4" w:space="0"/>
            </w:tcBorders>
            <w:tcW w:w="1031"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16"/>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外观</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黑色+银色</w:t>
            </w:r>
            <w:r/>
          </w:p>
        </w:tc>
        <w:tc>
          <w:tcPr>
            <w:tcBorders>
              <w:left w:val="single" w:color="000000" w:sz="4" w:space="0"/>
              <w:right w:val="single" w:color="000000" w:sz="4" w:space="0"/>
            </w:tcBorders>
            <w:tcW w:w="1031"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16"/>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屏幕</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≥4英寸多点触控彩屏；分辨率≥480*480</w:t>
            </w:r>
            <w:r/>
          </w:p>
        </w:tc>
        <w:tc>
          <w:tcPr>
            <w:tcBorders>
              <w:left w:val="single" w:color="000000" w:sz="4" w:space="0"/>
              <w:right w:val="single" w:color="000000" w:sz="4" w:space="0"/>
            </w:tcBorders>
            <w:tcW w:w="1031"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工作温度</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-10℃~40℃</w:t>
            </w:r>
            <w:r/>
          </w:p>
        </w:tc>
        <w:tc>
          <w:tcPr>
            <w:tcBorders>
              <w:left w:val="single" w:color="000000" w:sz="4" w:space="0"/>
              <w:right w:val="single" w:color="000000" w:sz="4" w:space="0"/>
            </w:tcBorders>
            <w:tcW w:w="1031"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工作湿度</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5%~90%RH无冷凝</w:t>
            </w:r>
            <w:r/>
          </w:p>
        </w:tc>
        <w:tc>
          <w:tcPr>
            <w:tcBorders>
              <w:left w:val="single" w:color="000000" w:sz="4" w:space="0"/>
              <w:right w:val="single" w:color="000000" w:sz="4" w:space="0"/>
            </w:tcBorders>
            <w:tcW w:w="1031"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场景配置</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≥4场景配置功能，至少包括上课，投影，课间，放学</w:t>
            </w:r>
            <w:r/>
          </w:p>
        </w:tc>
        <w:tc>
          <w:tcPr>
            <w:tcBorders>
              <w:left w:val="single" w:color="000000" w:sz="4" w:space="0"/>
              <w:right w:val="single" w:color="000000" w:sz="4" w:space="0"/>
            </w:tcBorders>
            <w:tcW w:w="1031"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16"/>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功率</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&lt;5W</w:t>
            </w:r>
            <w:r/>
          </w:p>
        </w:tc>
        <w:tc>
          <w:tcPr>
            <w:tcBorders>
              <w:left w:val="single" w:color="000000" w:sz="4" w:space="0"/>
              <w:right w:val="single" w:color="000000" w:sz="4" w:space="0"/>
            </w:tcBorders>
            <w:tcW w:w="1031"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16"/>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电压</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~220V/50Hz</w:t>
            </w:r>
            <w:r/>
          </w:p>
        </w:tc>
        <w:tc>
          <w:tcPr>
            <w:tcBorders>
              <w:left w:val="single" w:color="000000" w:sz="4" w:space="0"/>
              <w:right w:val="single" w:color="000000" w:sz="4" w:space="0"/>
            </w:tcBorders>
            <w:tcW w:w="1031"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安装方式</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标准86盒，内嵌式安装</w:t>
            </w:r>
            <w:r/>
          </w:p>
        </w:tc>
        <w:tc>
          <w:tcPr>
            <w:tcBorders>
              <w:left w:val="single" w:color="000000" w:sz="4" w:space="0"/>
              <w:right w:val="single" w:color="000000" w:sz="4" w:space="0"/>
            </w:tcBorders>
            <w:tcW w:w="1031"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通讯方式</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无线通讯，支持自组网</w:t>
            </w:r>
            <w:r/>
          </w:p>
        </w:tc>
        <w:tc>
          <w:tcPr>
            <w:tcBorders>
              <w:left w:val="single" w:color="000000" w:sz="4" w:space="0"/>
              <w:right w:val="single" w:color="000000" w:sz="4" w:space="0"/>
            </w:tcBorders>
            <w:tcW w:w="1031"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照明物联终端</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88mm×88mm×45mm</w:t>
            </w:r>
            <w:r/>
          </w:p>
        </w:tc>
        <w:tc>
          <w:tcPr>
            <w:tcBorders>
              <w:left w:val="single" w:color="000000" w:sz="4" w:space="0"/>
              <w:right w:val="single" w:color="000000" w:sz="4" w:space="0"/>
            </w:tcBorders>
            <w:tcW w:w="1031"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222"/>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restart"/>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基本参数</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继电器要求</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四路继电器开关，每路最大负载400W，负载电压最大250VAC</w:t>
            </w:r>
            <w:r/>
          </w:p>
        </w:tc>
        <w:tc>
          <w:tcPr>
            <w:tcBorders>
              <w:left w:val="single" w:color="000000" w:sz="4" w:space="0"/>
              <w:right w:val="single" w:color="000000" w:sz="4" w:space="0"/>
            </w:tcBorders>
            <w:tcW w:w="1031"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额定供电</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AC220V</w:t>
            </w:r>
            <w:r/>
          </w:p>
        </w:tc>
        <w:tc>
          <w:tcPr>
            <w:tcBorders>
              <w:left w:val="single" w:color="000000" w:sz="4" w:space="0"/>
              <w:right w:val="single" w:color="000000" w:sz="4" w:space="0"/>
            </w:tcBorders>
            <w:tcW w:w="1031"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额定频率</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50Hz</w:t>
            </w:r>
            <w:r/>
          </w:p>
        </w:tc>
        <w:tc>
          <w:tcPr>
            <w:tcBorders>
              <w:left w:val="single" w:color="000000" w:sz="4" w:space="0"/>
              <w:right w:val="single" w:color="000000" w:sz="4" w:space="0"/>
            </w:tcBorders>
            <w:tcW w:w="1031"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restart"/>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基本功能</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面板采用钢化玻璃触控面板材质，不小于四个按钮，清晰提示工作状态，美观安全。</w:t>
            </w:r>
            <w:r/>
          </w:p>
        </w:tc>
        <w:tc>
          <w:tcPr>
            <w:tcBorders>
              <w:left w:val="single" w:color="000000" w:sz="4" w:space="0"/>
              <w:right w:val="single" w:color="000000" w:sz="4" w:space="0"/>
            </w:tcBorders>
            <w:tcW w:w="1031"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安全功能</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无电源直接接触，安全可靠。</w:t>
            </w:r>
            <w:r/>
          </w:p>
        </w:tc>
        <w:tc>
          <w:tcPr>
            <w:tcBorders>
              <w:left w:val="single" w:color="000000" w:sz="4" w:space="0"/>
              <w:right w:val="single" w:color="000000" w:sz="4" w:space="0"/>
            </w:tcBorders>
            <w:tcW w:w="1031"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控制要求</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支持4路照明设备控制，每一路照明设备可独立控制，满足分区照明的需求。</w:t>
            </w:r>
            <w:r/>
          </w:p>
        </w:tc>
        <w:tc>
          <w:tcPr>
            <w:tcBorders>
              <w:left w:val="single" w:color="000000" w:sz="4" w:space="0"/>
              <w:right w:val="single" w:color="000000" w:sz="4" w:space="0"/>
            </w:tcBorders>
            <w:tcW w:w="1031"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物联要求</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支持移动设备（手机）设备APP控制，如开和关。</w:t>
            </w:r>
            <w:r/>
          </w:p>
        </w:tc>
        <w:tc>
          <w:tcPr>
            <w:tcBorders>
              <w:left w:val="single" w:color="000000" w:sz="4" w:space="0"/>
              <w:right w:val="single" w:color="000000" w:sz="4" w:space="0"/>
            </w:tcBorders>
            <w:tcW w:w="1031"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空调设备控制终端</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84mm×84mm×38mm</w:t>
            </w:r>
            <w:r/>
          </w:p>
        </w:tc>
        <w:tc>
          <w:tcPr>
            <w:tcBorders>
              <w:left w:val="single" w:color="000000" w:sz="4" w:space="0"/>
              <w:right w:val="single" w:color="000000" w:sz="4" w:space="0"/>
            </w:tcBorders>
            <w:tcW w:w="1031" w:type="pct"/>
            <w:vAlign w:val="center"/>
            <w:vMerge w:val="continue"/>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基本参数</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设备功能</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管控1路设备</w:t>
            </w:r>
            <w:r/>
          </w:p>
        </w:tc>
        <w:tc>
          <w:tcPr>
            <w:tcBorders>
              <w:left w:val="single" w:color="000000" w:sz="4" w:space="0"/>
              <w:right w:val="single" w:color="000000" w:sz="4" w:space="0"/>
            </w:tcBorders>
            <w:tcW w:w="10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222"/>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restart"/>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基本功能</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材质和外观</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阻燃ABS、白色</w:t>
            </w:r>
            <w:r/>
          </w:p>
        </w:tc>
        <w:tc>
          <w:tcPr>
            <w:tcBorders>
              <w:left w:val="single" w:color="000000" w:sz="4" w:space="0"/>
              <w:right w:val="single" w:color="000000" w:sz="4" w:space="0"/>
            </w:tcBorders>
            <w:tcW w:w="10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16"/>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实时检测空调工作状态；支持多场景空调管理模式</w:t>
            </w:r>
            <w:r/>
          </w:p>
        </w:tc>
        <w:tc>
          <w:tcPr>
            <w:tcBorders>
              <w:left w:val="single" w:color="000000" w:sz="4" w:space="0"/>
              <w:right w:val="single" w:color="000000" w:sz="4" w:space="0"/>
            </w:tcBorders>
            <w:tcW w:w="10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222"/>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开关智能控制</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制冷制热模式设置，温度设置等</w:t>
            </w:r>
            <w:r/>
          </w:p>
        </w:tc>
        <w:tc>
          <w:tcPr>
            <w:tcBorders>
              <w:left w:val="single" w:color="000000" w:sz="4" w:space="0"/>
              <w:right w:val="single" w:color="000000" w:sz="4" w:space="0"/>
            </w:tcBorders>
            <w:tcW w:w="10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物联要求</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通过拨码开关简单操作，完成现场网络和设备地址配置</w:t>
            </w:r>
            <w:r/>
          </w:p>
        </w:tc>
        <w:tc>
          <w:tcPr>
            <w:tcBorders>
              <w:left w:val="single" w:color="000000" w:sz="4" w:space="0"/>
              <w:right w:val="single" w:color="000000" w:sz="4" w:space="0"/>
            </w:tcBorders>
            <w:tcW w:w="10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大屏智能控制模块</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110mm×61mm×28mm</w:t>
            </w:r>
            <w:r/>
          </w:p>
        </w:tc>
        <w:tc>
          <w:tcPr>
            <w:tcBorders>
              <w:left w:val="single" w:color="000000" w:sz="4" w:space="0"/>
              <w:right w:val="single" w:color="000000" w:sz="4" w:space="0"/>
            </w:tcBorders>
            <w:tcW w:w="1031" w:type="pct"/>
            <w:vAlign w:val="bottom"/>
            <w:vMerge w:val="continue"/>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基本参数</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设备功能</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管控1路设备</w:t>
            </w:r>
            <w:r/>
          </w:p>
        </w:tc>
        <w:tc>
          <w:tcPr>
            <w:tcBorders>
              <w:left w:val="single" w:color="000000" w:sz="4" w:space="0"/>
              <w:right w:val="single" w:color="000000" w:sz="4" w:space="0"/>
            </w:tcBorders>
            <w:tcW w:w="1031"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16"/>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基本功能</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外观</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灰白色</w:t>
            </w:r>
            <w:r/>
          </w:p>
        </w:tc>
        <w:tc>
          <w:tcPr>
            <w:tcBorders>
              <w:left w:val="single" w:color="000000" w:sz="4" w:space="0"/>
              <w:right w:val="single" w:color="000000" w:sz="4" w:space="0"/>
            </w:tcBorders>
            <w:tcW w:w="1031"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在线选择不同串口控制的交互一体机设备的管理及预设教学场景自动联动及远程开、关交互一体机</w:t>
            </w:r>
            <w:r/>
          </w:p>
        </w:tc>
        <w:tc>
          <w:tcPr>
            <w:tcBorders>
              <w:left w:val="single" w:color="000000" w:sz="4" w:space="0"/>
              <w:right w:val="single" w:color="000000" w:sz="4" w:space="0"/>
            </w:tcBorders>
            <w:tcW w:w="1031"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19"/>
        </w:trPr>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0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物联要求</w:t>
            </w:r>
            <w:r/>
          </w:p>
        </w:tc>
        <w:tc>
          <w:tcPr>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Zigbee无线通讯，自组网</w:t>
            </w:r>
            <w:r/>
          </w:p>
        </w:tc>
        <w:tc>
          <w:tcPr>
            <w:tcBorders>
              <w:left w:val="single" w:color="000000" w:sz="4" w:space="0"/>
              <w:bottom w:val="single" w:color="000000" w:sz="4" w:space="0"/>
              <w:right w:val="single" w:color="000000" w:sz="4" w:space="0"/>
            </w:tcBorders>
            <w:tcW w:w="1031"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638"/>
        </w:trPr>
        <w:tc>
          <w:tcPr>
            <w:gridSpan w:val="3"/>
            <w:tcBorders>
              <w:top w:val="single" w:color="000000" w:sz="4" w:space="0"/>
              <w:left w:val="single" w:color="000000" w:sz="4" w:space="0"/>
              <w:bottom w:val="single" w:color="000000" w:sz="4" w:space="0"/>
              <w:right w:val="single" w:color="000000" w:sz="4" w:space="0"/>
            </w:tcBorders>
            <w:tcW w:w="919"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Borders>
              <w:top w:val="single" w:color="000000" w:sz="4" w:space="0"/>
              <w:left w:val="single" w:color="000000" w:sz="4" w:space="0"/>
              <w:bottom w:val="single" w:color="000000" w:sz="4" w:space="0"/>
              <w:right w:val="single" w:color="000000" w:sz="4" w:space="0"/>
            </w:tcBorders>
            <w:tcW w:w="4081"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1、功能：多媒体设备控制、照明和窗帘控制、教学设备电源管理、课件展示、视频和音频播放、教学资源整合与调用、课堂提问与反馈、小组协作支持；</w:t>
            </w:r>
            <w:r>
              <w:rPr>
                <w:rFonts w:hint="eastAsia" w:cs="宋体" w:asciiTheme="minorEastAsia" w:hAnsiTheme="minorEastAsia" w:eastAsiaTheme="minorEastAsia"/>
                <w:sz w:val="20"/>
                <w:szCs w:val="20"/>
                <w:lang w:bidi="ar"/>
              </w:rPr>
              <w:br/>
              <w:t xml:space="preserve">2、主要包括：智能触屏控制终端、照明物联终端、空调设备控制终端、大屏智能控制模块。</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720" w:equalWidth="1"/>
          <w:docGrid w:linePitch="360"/>
        </w:sect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t xml:space="preserve">环境布展（型号一）</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6"/>
        <w:gridCol w:w="1204"/>
        <w:gridCol w:w="1607"/>
        <w:gridCol w:w="5953"/>
        <w:gridCol w:w="1502"/>
      </w:tblGrid>
      <w:tr>
        <w:trPr>
          <w:trHeight w:val="401"/>
          <w:tblHeader/>
        </w:trPr>
        <w:tc>
          <w:tcPr>
            <w:gridSpan w:val="3"/>
            <w:tcW w:w="3227"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5953" w:type="dxa"/>
            <w:vAlign w:val="center"/>
            <w:textDirection w:val="lrTb"/>
            <w:noWrap/>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W w:w="1502"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20"/>
        </w:trPr>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教室墙面出新</w:t>
            </w:r>
            <w:r/>
          </w:p>
        </w:tc>
        <w:tc>
          <w:tcPr>
            <w:tcW w:w="120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腻子（2遍）</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安全等级</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通过儿童安全级产品认证以及绿色建材三星认证。</w:t>
            </w:r>
            <w:r/>
          </w:p>
        </w:tc>
        <w:tc>
          <w:tcPr>
            <w:tcW w:w="1502" w:type="dxa"/>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1200㎡</w:t>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粘结度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≥0.3Mpa</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耐水性</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通过浸泡实验的检测。</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干燥时间</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表干时间2-4h，实干时间：24h-48h，符合GB/T 1728-2020《漆膜、腻子膜干燥时间测定法》。</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初期干燥抗裂性3h</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无裂纹。</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有害物质限量</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苯、甲苯、乙苯、二甲苯等苯系检测物总和≤100mg/kg，挥发性有机化合物（VOC）＜10,其中甲醛含量＜100mg/kg。</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打磨性标准</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符合手工可打磨标准</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放射性物质</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镭-226、钍 - 232、钾 - 40的含量不超过国家标准</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行业标准</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满足JG/T 298-2010《建筑室内用腻子》、JG/T 157-2009《建筑外墙用腻子》。</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有害物质限量标准</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满足GB 18582-2020《建筑用墙面涂料中有害物质限量》。</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打磨性标准</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满足GB/T 1770-2008《涂膜、腻子膜打磨性测定法》。</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乳胶漆（2遍）</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干燥时间（表干）</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≤2h</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对比率（白色和浅色）</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≥0.90</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耐碱性</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24小时内无异常。</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耐洗衣刷次数</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有害物质限量</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挥发性有机化合物（VOC）≤120g/L,苯、甲苯、乙苯、二甲苯等苯系检测物总和≤300mg/kg,其中甲醛含量＜100mg/kg。</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可溶性金属含量</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铅Pb≤90mg/kg、镉（Cd）≤75mg/kg、铬（Cr）≤60mg/kg、汞（Hg）≤60mg/kg。</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符合行业标准</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GB/T9756-2001、GB18582-2008。</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39"/>
        </w:trPr>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地胶垫</w:t>
            </w:r>
            <w:r/>
          </w:p>
        </w:tc>
        <w:tc>
          <w:tcPr>
            <w:tcW w:w="120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2.0mm水泥基自流平砂浆</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初始流动度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≥130mm</w:t>
            </w:r>
            <w:r/>
          </w:p>
        </w:tc>
        <w:tc>
          <w:tcPr>
            <w:tcW w:w="1502" w:type="dxa"/>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370㎡</w:t>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凝结时间</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初凝时间：2-5h，终凝时间：6-12h。</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抗压强度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24h抗压强度≥6.0MPa.垫层产品28d抗压强度能满足最低C16，面层产品28d抗压强度能满足最低28MPa。</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拉伸粘结强度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面层≥1.5MPa，垫层≥1.0MPa。</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抗折强度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满足《地面用水泥基自流平砂浆》；JC/T985-2005要求，水泥基自流平24小时抗折强度≥2.0MPa。</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5"/>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尺寸变化率</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垫层在-0.15%~+0.15%之间，面层满足在-0.10%~+0.10%之间。</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耐磨性</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面层≤400mm³ ，垫层≤800mm³</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PH值</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07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符合行业标准</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《地面用水泥基自流平砂浆》JC/T985-2005、《自流平地面工程技术标准》JGJ／T 175-2018、《建筑地面工程施工质量验收规范》GB 50209。</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PVC卷材</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2.0mm*20m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摩擦起电电压</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50V</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加热质量损失率</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0.0014</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加热尺寸变化率</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0.001</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残余凹陷度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0.08</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燃烧长度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12"/>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撕裂强度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350-500MPa,直角撕裂强度≥50N/mm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51"/>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有害物质含量</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铅Pb：3.4mg/kg、镉（Cd）≤2mg/kg、铬（Cr）≤2mg/kg、汞（Hg）≤2mg/kg，多溴联苯及其醚等有害物质每一项分别≤5mg/kg，甲醛释放量0.1mg/l</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耐磨性</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0.002</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燃烧性能</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B1级</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摩擦系数</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0.56</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阻燃性</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一级</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布线系统-地下</w:t>
            </w:r>
            <w:r/>
          </w:p>
        </w:tc>
        <w:tc>
          <w:tcPr>
            <w:tcW w:w="120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阻燃BV电线</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2.5平方、4平方、6平方</w:t>
            </w:r>
            <w:r/>
          </w:p>
        </w:tc>
        <w:tc>
          <w:tcPr>
            <w:tcW w:w="1502" w:type="dxa"/>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rPr>
                <w:rFonts w:hint="eastAsia" w:cs="宋体" w:asciiTheme="minorEastAsia" w:hAnsiTheme="minorEastAsia" w:eastAsiaTheme="minorEastAsia"/>
                <w:sz w:val="20"/>
                <w:szCs w:val="20"/>
                <w:lang w:bidi="ar"/>
              </w:rPr>
              <w:t xml:space="preserve">项</w:t>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印刷标志标准</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印有制造商、产品型号（连续标记，最大间隔275mm）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20℃导体电阻</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7.24Ω/km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70℃绝缘电阻</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≥0.01MΩ/km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成品电压试验</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交流2500V持续5min不击穿</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绝缘厚度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绝缘最薄处厚度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0.82mm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绝缘老化前抗张强度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15.1N/mm2</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ZB</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PVC线管</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De20及De25</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耐电压性能</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承受的电压范围2000-5000V,保持5min</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绝缘电阻</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≥100MΩ·m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0.03</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燃烧性能</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B1级</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六类非屏蔽网线</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导体直流电阻</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0.5mm线芯≤9.5Ω/100m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绝缘介电强度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导屏间2.5kV、屏屏间1.0kV</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近端串音值</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≥74.3－15×lg(f)</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耐温性</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-20℃至+75℃</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特性阻抗</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100±15Ω</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网络布线</w:t>
            </w:r>
            <w:r/>
          </w:p>
        </w:tc>
        <w:tc>
          <w:tcPr>
            <w:gridSpan w:val="2"/>
            <w:tcW w:w="756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教师演示设备、学生实验设备、实验准备台网线预留</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39"/>
        </w:trPr>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给排水系统</w:t>
            </w:r>
            <w:r>
              <w:rPr>
                <w:rFonts w:hint="eastAsia" w:cs="宋体" w:asciiTheme="minorEastAsia" w:hAnsiTheme="minorEastAsia" w:eastAsiaTheme="minorEastAsia"/>
                <w:sz w:val="20"/>
                <w:szCs w:val="20"/>
                <w:lang w:bidi="ar"/>
              </w:rPr>
              <w:t xml:space="preserve">-地下</w:t>
            </w:r>
            <w:r/>
          </w:p>
        </w:tc>
        <w:tc>
          <w:tcPr>
            <w:tcW w:w="120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优质PPR(给水)管</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φ25㎜</w:t>
            </w:r>
            <w:r/>
          </w:p>
        </w:tc>
        <w:tc>
          <w:tcPr>
            <w:tcW w:w="1502" w:type="dxa"/>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rPr>
                <w:rFonts w:hint="eastAsia" w:cs="宋体" w:asciiTheme="minorEastAsia" w:hAnsiTheme="minorEastAsia" w:eastAsiaTheme="minorEastAsia"/>
                <w:sz w:val="20"/>
                <w:szCs w:val="20"/>
                <w:lang w:bidi="ar"/>
              </w:rPr>
              <w:t xml:space="preserve">项</w:t>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标志</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每件有标签，标签有厂家型号</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静液压强度（20℃/1h）</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在实验压力6.40Mpa下无破裂，无渗漏。</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氧化诱导时间</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在210℃，≥20min</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透光率</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24"/>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0℃落锤冲击试验</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在环境温度23±5℃，湿度50±5%，调节时间48h，将样品放入0℃±1℃冷冻箱后4h取出，15秒内管件经8kg·m落锤冲击试验，无破损。</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PVC(排水)管</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φ50㎜</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管材平均壁厚</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维卡软化温度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83.3VST/℃</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0.018</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落锤冲击试验</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≤10，分布于A区</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需要符合的行业标准</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GB/T5836.1-2006</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矿棉板吊顶</w:t>
            </w:r>
            <w:r/>
          </w:p>
        </w:tc>
        <w:tc>
          <w:tcPr>
            <w:tcW w:w="120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矿棉板</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600*600*12mm</w:t>
            </w:r>
            <w:r/>
          </w:p>
        </w:tc>
        <w:tc>
          <w:tcPr>
            <w:tcW w:w="1502"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w:t>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含水率</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抗压强度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0.5MPA</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导热系数</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0.038-0.045W/（m·k）</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51"/>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烟密度等级</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≤75</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5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B1级</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轻钢龙骨</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主龙骨规格</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C38,高度38mm，宽度12mm，主龙骨间距900mm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次龙骨规格</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T型龙骨24*38mm，龙骨间距600mm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横撑龙骨间距</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600mm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边龙骨</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20*20*3000mm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41"/>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A级</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5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吊杆</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直径8mm钢筋，吊杆间距900mm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螺母</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M8</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挂件</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铁镀锌材质，厚度0.6mm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铝合金踢脚线</w:t>
            </w:r>
            <w:r/>
          </w:p>
        </w:tc>
        <w:tc>
          <w:tcPr>
            <w:tcW w:w="120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铝合金踢脚线</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80mm</w:t>
            </w:r>
            <w:r/>
          </w:p>
        </w:tc>
        <w:tc>
          <w:tcPr>
            <w:tcW w:w="1502" w:type="dxa"/>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160 m</w:t>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1.0mm厚</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长度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3.0m（阴角阳角为90°）</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表面处理</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阳极氧化处理，氧化膜厚度20微米</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4"/>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安装方式</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卡扣式，卡槽宽度12mm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维氏硬度测试</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15HW</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耐腐蚀性</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至少48-72小时的盐雾腐蚀</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A级不燃</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学科文</w:t>
            </w:r>
            <w:r>
              <w:rPr>
                <w:rFonts w:hint="eastAsia" w:cs="宋体" w:asciiTheme="minorEastAsia" w:hAnsiTheme="minorEastAsia" w:eastAsiaTheme="minorEastAsia"/>
                <w:sz w:val="20"/>
                <w:szCs w:val="20"/>
                <w:lang w:bidi="ar"/>
              </w:rPr>
              <w:t xml:space="preserve">化布置</w:t>
            </w:r>
            <w:r/>
          </w:p>
        </w:tc>
        <w:tc>
          <w:tcPr>
            <w:tcW w:w="120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背景墙费PVC板</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5mm*1000*2000mm</w:t>
            </w:r>
            <w:r/>
          </w:p>
        </w:tc>
        <w:tc>
          <w:tcPr>
            <w:tcW w:w="1502" w:type="dxa"/>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4室</w:t>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比重</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1.58-1.60g/cm3</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拉伸强度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50MPa</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弯曲强度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89MPa</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冲击强度</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2.9KJ/m2</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0"/>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维卡软化点</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79℃</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51"/>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变化率%腐蚀度g/m2 60±2℃  5h</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30%NAOH溶液、30%NACL溶液、20%H2SO4溶液、25%HCL溶液腐蚀度检测符合要求。</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64"/>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0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窗帘</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结合学科色彩和图案设计，需达到使实验室既具实用性又富有艺术性，营造学科氛围，能辅助教学提升孩子的学习兴趣。</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593"/>
        </w:trPr>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拆除+垃圾清运</w:t>
            </w:r>
            <w:r/>
          </w:p>
        </w:tc>
        <w:tc>
          <w:tcPr>
            <w:tcW w:w="12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拆除+垃圾清运</w:t>
            </w:r>
            <w:r/>
          </w:p>
        </w:tc>
        <w:tc>
          <w:tcPr>
            <w:tcW w:w="16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要求</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装修所有垃圾清除（含建筑垃圾）,搬运到学校指定地点。</w:t>
            </w:r>
            <w:r/>
          </w:p>
        </w:tc>
        <w:tc>
          <w:tcPr>
            <w:tcW w:w="1502" w:type="dxa"/>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4项</w:t>
            </w:r>
            <w:r/>
          </w:p>
        </w:tc>
      </w:tr>
      <w:tr>
        <w:trPr>
          <w:trHeight w:val="1593"/>
        </w:trPr>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水电安装调试</w:t>
            </w:r>
            <w:r/>
          </w:p>
        </w:tc>
        <w:tc>
          <w:tcPr>
            <w:gridSpan w:val="2"/>
            <w:tcW w:w="2811" w:type="dxa"/>
            <w:vAlign w:val="center"/>
            <w:textDirection w:val="lrTb"/>
            <w:noWrap w:val="false"/>
          </w:tcPr>
          <w:p>
            <w:pPr>
              <w:pStyle w:val="1095"/>
              <w:ind w:firstLine="400"/>
              <w:rPr>
                <w:rFonts w:hint="eastAsia" w:cs="宋体" w:asciiTheme="minorEastAsia" w:hAnsiTheme="minorEastAsia"/>
              </w:rPr>
            </w:pPr>
            <w:r>
              <w:rPr>
                <w:rFonts w:hint="eastAsia" w:cs="宋体" w:asciiTheme="minorEastAsia" w:hAnsiTheme="minorEastAsia"/>
                <w:sz w:val="20"/>
                <w:szCs w:val="20"/>
                <w:lang w:bidi="ar"/>
              </w:rPr>
              <w:t xml:space="preserve">水电安装调试</w:t>
            </w:r>
            <w:r/>
          </w:p>
        </w:tc>
        <w:tc>
          <w:tcPr>
            <w:tcW w:w="595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化学上通风实验室、物理力学实验室、生物创新实验室水电安装调试。</w:t>
            </w:r>
            <w:r/>
          </w:p>
        </w:tc>
        <w:tc>
          <w:tcPr>
            <w:tcW w:w="1502" w:type="dxa"/>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1项</w:t>
            </w:r>
            <w:r/>
          </w:p>
        </w:tc>
      </w:tr>
      <w:tr>
        <w:trPr>
          <w:trHeight w:val="2313"/>
        </w:trPr>
        <w:tc>
          <w:tcPr>
            <w:gridSpan w:val="3"/>
            <w:tcW w:w="3227"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W w:w="7455"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实现功能：（1）地面的防滑耐腐蚀处理保证学生实验的安全性；（2）窗帘的多元化设计确保学生的视觉感受，提升学生的学习兴趣；（3）通风系统可以及时排出这些有害气体，使室内空气质量符合安全标准；（4）节能灯具的使用确保学生在明亮的环境中实验，远离近视。</w:t>
            </w:r>
            <w:r>
              <w:rPr>
                <w:rFonts w:hint="eastAsia" w:cs="宋体" w:asciiTheme="minorEastAsia" w:hAnsiTheme="minorEastAsia" w:eastAsiaTheme="minorEastAsia"/>
                <w:sz w:val="20"/>
                <w:szCs w:val="20"/>
                <w:lang w:bidi="ar"/>
              </w:rPr>
              <w:br/>
              <w:t xml:space="preserve">2、装饰装修包括：安全防护设备、布线系统、给排水系统、学科文化、墙面出新、卷帘布置、灯具布置、PVC地胶、踢脚线、黑板灯、吊顶及垃圾清运。</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环境布展（型号二）</w:t>
      </w:r>
      <w:r/>
    </w:p>
    <w:tbl>
      <w:tblPr>
        <w:tblW w:w="496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8"/>
        <w:gridCol w:w="1009"/>
        <w:gridCol w:w="1276"/>
        <w:gridCol w:w="6376"/>
        <w:gridCol w:w="1420"/>
      </w:tblGrid>
      <w:tr>
        <w:trPr>
          <w:trHeight w:val="509"/>
          <w:tblHeader/>
        </w:trPr>
        <w:tc>
          <w:tcPr>
            <w:gridSpan w:val="3"/>
            <w:tcW w:w="1322"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3008" w:type="pct"/>
            <w:vAlign w:val="center"/>
            <w:textDirection w:val="lrTb"/>
            <w:noWrap/>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W w:w="669"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20"/>
        </w:trPr>
        <w:tc>
          <w:tcPr>
            <w:tcW w:w="24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布线系统--地上</w:t>
            </w:r>
            <w:r/>
          </w:p>
        </w:tc>
        <w:tc>
          <w:tcPr>
            <w:tcW w:w="47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阻燃BV电线</w:t>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2.5平方、4平方、6平方</w:t>
            </w:r>
            <w:r/>
          </w:p>
        </w:tc>
        <w:tc>
          <w:tcPr>
            <w:tcW w:w="66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4项</w:t>
            </w:r>
            <w:r/>
          </w:p>
        </w:tc>
      </w:tr>
      <w:tr>
        <w:trPr>
          <w:trHeight w:val="20"/>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印刷标志标准</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印有制造商、产品型号（连续标记，最大间隔275mm）</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20℃导体电阻</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7.24Ω/km</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70℃绝缘电阻</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≥0.01MΩ/km</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成品电压试验</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交流2500V持续5min不击穿</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绝缘厚度</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0.9mm</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绝缘最薄处厚度</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0.82mm</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绝缘老化前抗张强度</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15.1N/mm2</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ZB</w:t>
            </w:r>
            <w:r/>
          </w:p>
        </w:tc>
        <w:tc>
          <w:tcPr>
            <w:tcW w:w="669" w:type="pct"/>
            <w:vAlign w:val="center"/>
            <w:vMerge w:val="continue"/>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PVC线管</w:t>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De20及De25</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1.5mm</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耐电压性能</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承受的电压范围2000-5000V,保持5min</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绝缘电阻</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≥100MΩ·m</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0.03</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燃烧性能</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B1级</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六类非屏蔽网线</w:t>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导体直流电阻</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0.5mm线芯≤9.5Ω/100m</w:t>
            </w:r>
            <w:r/>
          </w:p>
        </w:tc>
        <w:tc>
          <w:tcPr>
            <w:tcW w:w="669" w:type="pct"/>
            <w:vAlign w:val="center"/>
            <w:vMerge w:val="continue"/>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绝缘介电强度</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导屏间2.5kV、屏屏间1.0kV</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54"/>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近端串音值</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≥74.3－15×lg(f)</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54"/>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耐温性</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-20℃至+75℃</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54"/>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特性阻抗</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100±15Ω</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网络布线</w:t>
            </w:r>
            <w:r/>
          </w:p>
        </w:tc>
        <w:tc>
          <w:tcPr>
            <w:gridSpan w:val="2"/>
            <w:tcW w:w="361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教师演示设备、学生演示设备、实验准备台网线预留。</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54"/>
        </w:trPr>
        <w:tc>
          <w:tcPr>
            <w:tcW w:w="24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给排水系统--地上</w:t>
            </w:r>
            <w:r/>
          </w:p>
        </w:tc>
        <w:tc>
          <w:tcPr>
            <w:tcW w:w="47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优质PPR(给水)管</w:t>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φ25㎜</w:t>
            </w:r>
            <w:r/>
          </w:p>
        </w:tc>
        <w:tc>
          <w:tcPr>
            <w:tcW w:w="66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4项</w:t>
            </w:r>
            <w:r/>
          </w:p>
        </w:tc>
      </w:tr>
      <w:tr>
        <w:trPr>
          <w:trHeight w:val="454"/>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标志</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每件有标签，标签有厂家型号</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静液压强度（20℃/1h）</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在实验压力6.40Mpa下无破裂，无渗漏</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氧化诱导时间</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在210℃，≥20min</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54"/>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透光率</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247"/>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0℃落锤冲击试验</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在环境温度23±5℃，湿度50±5%，调节时间48h，将样品放入0℃±1℃冷冻箱后4h取出，15秒内管件经8kg·m落锤冲击试验，无破损。</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
        </w:trPr>
        <w:tc>
          <w:tcPr>
            <w:tcW w:w="244" w:type="pct"/>
            <w:vAlign w:val="center"/>
            <w:vMerge w:val="continue"/>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PVC(排</w:t>
            </w:r>
            <w:r>
              <w:rPr>
                <w:rFonts w:hint="eastAsia" w:cs="宋体" w:asciiTheme="minorEastAsia" w:hAnsiTheme="minorEastAsia" w:eastAsiaTheme="minorEastAsia"/>
                <w:sz w:val="20"/>
                <w:szCs w:val="20"/>
                <w:lang w:bidi="ar"/>
              </w:rPr>
              <w:t xml:space="preserve">水)管</w:t>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φ50㎜</w:t>
            </w:r>
            <w:r/>
          </w:p>
        </w:tc>
        <w:tc>
          <w:tcPr>
            <w:tcW w:w="669" w:type="pct"/>
            <w:vAlign w:val="center"/>
            <w:vMerge w:val="continue"/>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71"/>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管材平均壁厚</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2.3mm</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71"/>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维卡软化温度</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83.3VST/℃</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41"/>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0.018</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71"/>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落锤冲击试验</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≤10，分布于A区</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71"/>
        </w:trPr>
        <w:tc>
          <w:tcPr>
            <w:tcW w:w="24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7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需要符合的行业标准</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GB/T5836.1-2006</w:t>
            </w:r>
            <w:r/>
          </w:p>
        </w:tc>
        <w:tc>
          <w:tcPr>
            <w:tcW w:w="6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332"/>
        </w:trPr>
        <w:tc>
          <w:tcPr>
            <w:tcW w:w="24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设备安装及调试</w:t>
            </w:r>
            <w:r/>
          </w:p>
        </w:tc>
        <w:tc>
          <w:tcPr>
            <w:tcW w:w="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设备及调试</w:t>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要求</w:t>
            </w:r>
            <w:r/>
          </w:p>
        </w:tc>
        <w:tc>
          <w:tcPr>
            <w:tcW w:w="300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设备安装及调试等，必须按JY/T0385-2006《中小学理科教室装备规范》有关规定执行。</w:t>
            </w:r>
            <w:r/>
          </w:p>
        </w:tc>
        <w:tc>
          <w:tcPr>
            <w:tcW w:w="669"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3项</w:t>
            </w:r>
            <w:r/>
          </w:p>
        </w:tc>
      </w:tr>
      <w:tr>
        <w:trPr>
          <w:trHeight w:val="879"/>
        </w:trPr>
        <w:tc>
          <w:tcPr>
            <w:gridSpan w:val="3"/>
            <w:tcW w:w="132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W w:w="3678" w:type="pct"/>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1、装饰装修包括：布线系统、给排水系统、安装调试。</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环境布展（型号三）</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30"/>
        <w:gridCol w:w="1240"/>
        <w:gridCol w:w="1486"/>
        <w:gridCol w:w="5324"/>
        <w:gridCol w:w="1502"/>
      </w:tblGrid>
      <w:tr>
        <w:trPr>
          <w:trHeight w:val="359"/>
          <w:tblHeader/>
        </w:trPr>
        <w:tc>
          <w:tcPr>
            <w:gridSpan w:val="3"/>
            <w:tcW w:w="0" w:type="auto"/>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参数名称</w:t>
            </w:r>
            <w:r/>
          </w:p>
        </w:tc>
        <w:tc>
          <w:tcPr>
            <w:tcW w:w="5324" w:type="dxa"/>
            <w:vAlign w:val="center"/>
            <w:textDirection w:val="lrTb"/>
            <w:noWrap/>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参数要求</w:t>
            </w:r>
            <w:r/>
          </w:p>
        </w:tc>
        <w:tc>
          <w:tcPr>
            <w:tcW w:w="1502"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57"/>
        </w:trPr>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轻钢龙骨石膏板隔墙</w:t>
            </w:r>
            <w:r/>
          </w:p>
        </w:tc>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主龙骨</w:t>
            </w:r>
            <w:r/>
          </w:p>
        </w:tc>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型号</w:t>
            </w:r>
            <w:r/>
          </w:p>
        </w:tc>
        <w:tc>
          <w:tcPr>
            <w:tcW w:w="532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C 型</w:t>
            </w:r>
            <w:r/>
          </w:p>
        </w:tc>
        <w:tc>
          <w:tcPr>
            <w:tcW w:w="1502" w:type="dxa"/>
            <w:vAlign w:val="center"/>
            <w:vMerge w:val="restart"/>
            <w:textDirection w:val="lrTb"/>
            <w:noWrap w:val="false"/>
          </w:tcPr>
          <w:p>
            <w:pPr>
              <w:jc w:val="center"/>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0"/>
                <w:szCs w:val="20"/>
                <w:lang w:bidi="ar"/>
              </w:rPr>
              <w:t xml:space="preserve">1项</w:t>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宽度</w:t>
            </w:r>
            <w:r/>
          </w:p>
        </w:tc>
        <w:tc>
          <w:tcPr>
            <w:tcW w:w="532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75mm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高度</w:t>
            </w:r>
            <w:r/>
          </w:p>
        </w:tc>
        <w:tc>
          <w:tcPr>
            <w:tcW w:w="532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W w:w="532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0.8mm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副龙骨</w:t>
            </w:r>
            <w:r/>
          </w:p>
        </w:tc>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型号</w:t>
            </w:r>
            <w:r/>
          </w:p>
        </w:tc>
        <w:tc>
          <w:tcPr>
            <w:tcW w:w="532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C 型</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宽度</w:t>
            </w:r>
            <w:r/>
          </w:p>
        </w:tc>
        <w:tc>
          <w:tcPr>
            <w:tcW w:w="532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高度</w:t>
            </w:r>
            <w:r/>
          </w:p>
        </w:tc>
        <w:tc>
          <w:tcPr>
            <w:tcW w:w="532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W w:w="532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天地龙骨</w:t>
            </w:r>
            <w:r/>
          </w:p>
        </w:tc>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型号</w:t>
            </w:r>
            <w:r/>
          </w:p>
        </w:tc>
        <w:tc>
          <w:tcPr>
            <w:tcW w:w="532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U 型</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宽度</w:t>
            </w:r>
            <w:r/>
          </w:p>
        </w:tc>
        <w:tc>
          <w:tcPr>
            <w:tcW w:w="532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75mm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高度</w:t>
            </w:r>
            <w:r/>
          </w:p>
        </w:tc>
        <w:tc>
          <w:tcPr>
            <w:tcW w:w="532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W w:w="532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0.8mm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主龙骨间距</w:t>
            </w:r>
            <w:r/>
          </w:p>
        </w:tc>
        <w:tc>
          <w:tcPr>
            <w:tcW w:w="532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1200mm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副龙骨间距</w:t>
            </w:r>
            <w:r/>
          </w:p>
        </w:tc>
        <w:tc>
          <w:tcPr>
            <w:tcW w:w="532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600mm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712"/>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石膏板</w:t>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12mm纸面石膏板</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板材规格</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1200*2400mm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防火性能</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B1 级（难燃级）</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岩棉</w:t>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纤维直径</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4 - 7μm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容重</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100kg/m³</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导热系数</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满足0.038 - 0.045W/(m</w:t>
            </w:r>
            <w:r>
              <w:rPr>
                <w:rFonts w:hint="eastAsia" w:ascii="MS Gothic" w:hAnsi="MS Gothic" w:eastAsia="MS Gothic" w:cs="MS Gothic"/>
                <w:sz w:val="20"/>
                <w:szCs w:val="20"/>
                <w:lang w:bidi="ar"/>
              </w:rPr>
              <w:t xml:space="preserve">・</w:t>
            </w:r>
            <w:r>
              <w:rPr>
                <w:rFonts w:hint="eastAsia" w:cs="宋体" w:asciiTheme="minorEastAsia" w:hAnsiTheme="minorEastAsia" w:eastAsiaTheme="minorEastAsia"/>
                <w:sz w:val="20"/>
                <w:szCs w:val="20"/>
                <w:lang w:bidi="ar"/>
              </w:rPr>
              <w:t xml:space="preserve">K)</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防火性能</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 级不燃材料</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填充厚度</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67"/>
        </w:trPr>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布线系统-地下</w:t>
            </w:r>
            <w:r/>
          </w:p>
        </w:tc>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阻燃BV电线</w:t>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2.5平方、4平方、6平方</w:t>
            </w:r>
            <w:r/>
          </w:p>
        </w:tc>
        <w:tc>
          <w:tcPr>
            <w:tcW w:w="1502" w:type="dxa"/>
            <w:vAlign w:val="center"/>
            <w:vMerge w:val="restart"/>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0"/>
                <w:szCs w:val="20"/>
                <w:lang w:bidi="ar"/>
              </w:rPr>
              <w:t xml:space="preserve">1项</w:t>
            </w:r>
            <w:r/>
          </w:p>
        </w:tc>
      </w:tr>
      <w:tr>
        <w:trPr>
          <w:trHeight w:val="86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印刷标志标准</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印有制造商、产品型号（连续标记，最大间隔275mm）。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86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20℃导体电阻</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7.24Ω/km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768"/>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70℃绝缘电阻</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≥0.01MΩ/km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863"/>
        </w:trPr>
        <w:tc>
          <w:tcPr>
            <w:tcW w:w="0" w:type="auto"/>
            <w:vAlign w:val="center"/>
            <w:vMerge w:val="continue"/>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成品电压试验</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交流2500V持续5min不击穿</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62"/>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绝缘厚度</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86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绝缘最薄处厚度</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0.82mm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86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绝缘老化前抗张强度</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15.1N/mm2</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62"/>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ZB</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62"/>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PVC线管</w:t>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De20及De25</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62"/>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62"/>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耐电压性能</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承受的电压范围2000-5000V,保持5min</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62"/>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绝缘电阻</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≥100MΩ·m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62"/>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0.03</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62"/>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燃烧性能</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B1级</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86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六类非屏蔽网线</w:t>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导体直流电阻</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0.5mm线芯≤9.5Ω/100m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86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绝缘介电强度</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导屏间2.5kV、屏屏间1.0kV</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62"/>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近端串音值</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≥74.3－15×lg(f)</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62"/>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耐温性</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-20℃至+75℃</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62"/>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特性阻抗</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100±15Ω</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722"/>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网络布线</w:t>
            </w:r>
            <w:r/>
          </w:p>
        </w:tc>
        <w:tc>
          <w:tcPr>
            <w:gridSpan w:val="2"/>
            <w:tcW w:w="68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教师演示设备、学生实验设备、实验准备台网线预留</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62"/>
        </w:trPr>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给排水系统-地下</w:t>
            </w:r>
            <w:r/>
          </w:p>
        </w:tc>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优质PPR(给水)管</w:t>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φ25㎜</w:t>
            </w:r>
            <w:r/>
          </w:p>
        </w:tc>
        <w:tc>
          <w:tcPr>
            <w:tcW w:w="1502" w:type="dxa"/>
            <w:vAlign w:val="center"/>
            <w:vMerge w:val="restart"/>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0"/>
                <w:szCs w:val="20"/>
                <w:lang w:bidi="ar"/>
              </w:rPr>
              <w:t xml:space="preserve">1项</w:t>
            </w:r>
            <w:r/>
          </w:p>
        </w:tc>
      </w:tr>
      <w:tr>
        <w:trPr>
          <w:trHeight w:val="462"/>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标志</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每件有标签，标签有厂家型号</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86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静液压强度（20℃/1h）</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在实验压力6.40Mpa下无破裂，无渗漏</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86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氧化诱导时间</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在210℃，≥20min</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836"/>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透光率</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1618"/>
        </w:trPr>
        <w:tc>
          <w:tcPr>
            <w:tcW w:w="0" w:type="auto"/>
            <w:vAlign w:val="center"/>
            <w:vMerge w:val="continue"/>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优质PPR(给水)管</w:t>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0℃落锤冲击试验</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在环境温度23±5℃，湿度50±5%，调节时间48h，将样品放入0℃±1℃冷冻箱后4h取出，15秒内管件经8kg·m落锤冲击试验，无破损。</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62"/>
        </w:trPr>
        <w:tc>
          <w:tcPr>
            <w:tcW w:w="0" w:type="auto"/>
            <w:vAlign w:val="center"/>
            <w:vMerge w:val="continue"/>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PVC(排水)管</w:t>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φ50㎜</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86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管材平均壁厚</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2.3mm</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86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维卡软化温度</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83.3VST/℃</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62"/>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0.018</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86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落锤冲击试验</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≤10，分布于A区</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86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需要符合的行业标准</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GB/T5836.1-2006</w:t>
            </w:r>
            <w:r/>
          </w:p>
        </w:tc>
        <w:tc>
          <w:tcPr>
            <w:tcW w:w="1502" w:type="dxa"/>
            <w:vAlign w:val="center"/>
            <w:vMerge w:val="continue"/>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1664"/>
        </w:trPr>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拆除+垃圾清运</w:t>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拆除+垃圾清运</w:t>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要求</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装修所有垃圾清除（含建筑垃圾）,搬运到学校指定地点。</w:t>
            </w:r>
            <w:r/>
          </w:p>
        </w:tc>
        <w:tc>
          <w:tcPr>
            <w:tcW w:w="1502" w:type="dxa"/>
            <w:vAlign w:val="center"/>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0"/>
                <w:szCs w:val="20"/>
                <w:lang w:bidi="ar"/>
              </w:rPr>
              <w:t xml:space="preserve">1项</w:t>
            </w:r>
            <w:r/>
          </w:p>
        </w:tc>
      </w:tr>
      <w:tr>
        <w:trPr>
          <w:trHeight w:val="1664"/>
        </w:trPr>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设备安装及调试</w:t>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设备及调试</w:t>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要求</w:t>
            </w:r>
            <w:r/>
          </w:p>
        </w:tc>
        <w:tc>
          <w:tcPr>
            <w:tcW w:w="532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设备安装及调试等，必须按JY/T0385-2006《中小学理科教室装备规范》有关规定执行。</w:t>
            </w:r>
            <w:r/>
          </w:p>
        </w:tc>
        <w:tc>
          <w:tcPr>
            <w:tcW w:w="1502" w:type="dxa"/>
            <w:vAlign w:val="center"/>
            <w:textDirection w:val="lrTb"/>
            <w:noWrap w:val="false"/>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0"/>
                <w:szCs w:val="20"/>
                <w:lang w:bidi="ar"/>
              </w:rPr>
              <w:t xml:space="preserve">1项</w:t>
            </w:r>
            <w:r/>
          </w:p>
        </w:tc>
      </w:tr>
      <w:tr>
        <w:trPr>
          <w:trHeight w:val="924"/>
        </w:trPr>
        <w:tc>
          <w:tcPr>
            <w:gridSpan w:val="3"/>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W w:w="6826" w:type="dxa"/>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功能：隔开功能区域起到隔音防火功能；</w:t>
            </w:r>
            <w:r>
              <w:rPr>
                <w:rFonts w:hint="eastAsia" w:cs="宋体" w:asciiTheme="minorEastAsia" w:hAnsiTheme="minorEastAsia" w:eastAsiaTheme="minorEastAsia"/>
                <w:sz w:val="20"/>
                <w:szCs w:val="20"/>
                <w:lang w:bidi="ar"/>
              </w:rPr>
              <w:br/>
              <w:t xml:space="preserve">包括：75系列轻钢龙骨、12mm石膏板、填充岩棉。</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720" w:equalWidth="1"/>
          <w:docGrid w:linePitch="360"/>
        </w:sect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t xml:space="preserve">教师演示设备（一），数量：2</w:t>
      </w:r>
      <w:r/>
    </w:p>
    <w:tbl>
      <w:tblPr>
        <w:tblW w:w="496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8"/>
        <w:gridCol w:w="1312"/>
        <w:gridCol w:w="8259"/>
      </w:tblGrid>
      <w:tr>
        <w:trPr>
          <w:trHeight w:val="314"/>
          <w:tblHeader/>
        </w:trPr>
        <w:tc>
          <w:tcPr>
            <w:gridSpan w:val="2"/>
            <w:tcW w:w="1104"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
                <w:sz w:val="20"/>
                <w:szCs w:val="20"/>
                <w:lang w:bidi="ar"/>
              </w:rPr>
              <w:t xml:space="preserve">参数名称</w:t>
            </w:r>
            <w:r/>
          </w:p>
        </w:tc>
        <w:tc>
          <w:tcPr>
            <w:tcW w:w="3896"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
                <w:sz w:val="20"/>
                <w:szCs w:val="20"/>
                <w:lang w:bidi="ar"/>
              </w:rPr>
              <w:t xml:space="preserve">参数要求</w:t>
            </w:r>
            <w:r/>
          </w:p>
        </w:tc>
      </w:tr>
      <w:tr>
        <w:trPr>
          <w:trHeight w:val="397"/>
        </w:trPr>
        <w:tc>
          <w:tcPr>
            <w:tcW w:w="48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整体规格</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规格：≥2800×700×850mm</w:t>
            </w:r>
            <w:r/>
          </w:p>
        </w:tc>
      </w:tr>
      <w:tr>
        <w:trPr>
          <w:trHeight w:val="397"/>
        </w:trPr>
        <w:tc>
          <w:tcPr>
            <w:tcW w:w="485" w:type="pct"/>
            <w:vAlign w:val="center"/>
            <w:vMerge w:val="continue"/>
            <w:textDirection w:val="lrTb"/>
            <w:noWrap w:val="false"/>
          </w:tcPr>
          <w:p>
            <w:pPr>
              <w:pStyle w:val="2043"/>
              <w:rPr>
                <w:rFonts w:hint="eastAsia" w:cs="宋体" w:asciiTheme="minorEastAsia" w:hAnsiTheme="minorEastAsia" w:eastAsiaTheme="minorEastAsia"/>
                <w:b/>
                <w:bCs/>
                <w:sz w:val="20"/>
                <w:szCs w:val="20"/>
                <w:lang w:bidi="ar"/>
              </w:rPr>
            </w:pPr>
            <w:r>
              <w:rPr>
                <w:rFonts w:hint="eastAsia" w:cs="宋体" w:asciiTheme="minorEastAsia" w:hAnsiTheme="minorEastAsia" w:eastAsiaTheme="minorEastAsia"/>
                <w:b/>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冷轧钢板（纳米陶瓷镀膜防锈处理）</w:t>
            </w:r>
            <w:r/>
          </w:p>
        </w:tc>
      </w:tr>
      <w:tr>
        <w:trPr>
          <w:trHeight w:val="397"/>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≥0.9mm</w:t>
            </w:r>
            <w:r/>
          </w:p>
        </w:tc>
      </w:tr>
      <w:tr>
        <w:trPr>
          <w:trHeight w:val="397"/>
        </w:trPr>
        <w:tc>
          <w:tcPr>
            <w:tcW w:w="48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▲操作区平面</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双面实芯理化板台面</w:t>
            </w:r>
            <w:r/>
          </w:p>
        </w:tc>
      </w:tr>
      <w:tr>
        <w:trPr>
          <w:trHeight w:val="397"/>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厚度</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≥12.7mm</w:t>
            </w:r>
            <w:r/>
          </w:p>
        </w:tc>
      </w:tr>
      <w:tr>
        <w:trPr>
          <w:trHeight w:val="397"/>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边缘厚</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25mm</w:t>
            </w:r>
            <w:r/>
          </w:p>
        </w:tc>
      </w:tr>
      <w:tr>
        <w:trPr>
          <w:trHeight w:val="1435"/>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耐腐蚀</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化学性能检测：参照GB/T 17657-2022标准对台面板正反两面进行硫酸（98%）、氢氟酸（48%）、硝酸（65%）、四氯化碳、氢氧化钠（40%）、氨水(28%)、氯化镁(10%)、三氯化铁(10%)、乙酰丙酮、三氯乙酸、三氯乙烯、异丙醇、异辛烷等不少于139项化学试剂及有机溶液检测。</w:t>
            </w:r>
            <w:r/>
          </w:p>
        </w:tc>
      </w:tr>
      <w:tr>
        <w:trPr>
          <w:trHeight w:val="916"/>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阻燃性能检测</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参照GB 8624-2012《建筑材料及制品燃烧性能分级》等标准，燃烧性等级达到B1级；水平燃烧符合HB级，垂直燃烧符合V-0级，烟气毒性等级符合t1级要求。</w:t>
            </w:r>
            <w:r/>
          </w:p>
        </w:tc>
      </w:tr>
      <w:tr>
        <w:trPr>
          <w:trHeight w:val="2175"/>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抗霉菌性能</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抗霉菌性能检测：参照JC/T 2039-2010等标准，黑曲霉、土曲霉、宛氏拟青霉、绳状青霉、出芽短梗霉、球毛壳霉、长枝木霉等7种霉菌检测，等级为0级；</w:t>
            </w:r>
            <w:r>
              <w:rPr>
                <w:rFonts w:hint="eastAsia" w:cs="宋体" w:asciiTheme="minorEastAsia" w:hAnsiTheme="minorEastAsia" w:eastAsiaTheme="minorEastAsia"/>
                <w:bCs/>
                <w:sz w:val="20"/>
                <w:szCs w:val="20"/>
                <w:lang w:bidi="ar"/>
              </w:rPr>
              <w:br/>
              <w:t xml:space="preserve">抗细菌性能检测：参照JC/T 2039-2010等标准，大肠埃希氏菌、金黄色葡萄球菌、白色念珠菌、白色葡萄球菌、铜绿假单胞菌、肺炎克雷伯氏菌、鼠伤寒沙门氏菌、甲型溶血性链球群、枯草芽孢杆菌、表皮葡萄球菌、耐甲氧西林金黄色葡萄球菌、肠沙门氏菌肠亚种、粪肠球菌、宋氏志贺氏菌、变异库克菌等不少于14种菌种检测，抗菌率≥99.99%。</w:t>
            </w:r>
            <w:r/>
          </w:p>
        </w:tc>
      </w:tr>
      <w:tr>
        <w:trPr>
          <w:trHeight w:val="2049"/>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环保要求</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环保性能检测：环保性能检测：参照GB/T 39600-2021等标准，甲醛释放量满足E0级技术指标要求，释放量检测结果值≤0.006mg/m³;参照GB18584-2001等标准，满足4种重金属含量检测：可溶性铅≤0.4mg/kg，可溶性镉：未检出，可溶性铬≤0.7mg/kg，可溶性汞：未检出；参照QB/T 2761-2006等标准，检测甲醛、甲苯去除率,检测结果为甲醛去除率达60%，甲苯去除率达15%。</w:t>
            </w:r>
            <w:r>
              <w:rPr>
                <w:rFonts w:hint="eastAsia" w:cs="宋体" w:asciiTheme="minorEastAsia" w:hAnsiTheme="minorEastAsia" w:eastAsiaTheme="minorEastAsia"/>
                <w:bCs/>
                <w:sz w:val="20"/>
                <w:szCs w:val="20"/>
                <w:lang w:bidi="ar"/>
              </w:rPr>
              <w:br/>
              <w:t xml:space="preserve">TVOC释放量检测：参照HJ571-2010《环境标志产品技术要求 人造板及其制品》标准，总挥发性有机化合物TVOC释放量为未检出。</w:t>
            </w:r>
            <w:r/>
          </w:p>
        </w:tc>
      </w:tr>
      <w:tr>
        <w:trPr>
          <w:trHeight w:val="510"/>
        </w:trPr>
        <w:tc>
          <w:tcPr>
            <w:tcW w:w="48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主体结构</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冷轧钢板（纳米陶瓷镀膜防锈处理）</w:t>
            </w:r>
            <w:r/>
          </w:p>
        </w:tc>
      </w:tr>
      <w:tr>
        <w:trPr>
          <w:trHeight w:val="510"/>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≥0.9mm</w:t>
            </w:r>
            <w:r/>
          </w:p>
        </w:tc>
      </w:tr>
      <w:tr>
        <w:trPr>
          <w:trHeight w:val="510"/>
        </w:trPr>
        <w:tc>
          <w:tcPr>
            <w:tcW w:w="48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门板</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冷轧钢板（纳米陶瓷镀膜防锈处理）</w:t>
            </w:r>
            <w:r/>
          </w:p>
        </w:tc>
      </w:tr>
      <w:tr>
        <w:trPr>
          <w:trHeight w:val="510"/>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≥0.9mm</w:t>
            </w:r>
            <w:r/>
          </w:p>
        </w:tc>
      </w:tr>
      <w:tr>
        <w:trPr>
          <w:trHeight w:val="510"/>
        </w:trPr>
        <w:tc>
          <w:tcPr>
            <w:tcW w:w="48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侧、背、隔板</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冷轧钢板（纳米陶瓷镀膜防锈处理）</w:t>
            </w:r>
            <w:r/>
          </w:p>
        </w:tc>
      </w:tr>
      <w:tr>
        <w:trPr>
          <w:trHeight w:val="510"/>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≥0.9mm</w:t>
            </w:r>
            <w:r/>
          </w:p>
        </w:tc>
      </w:tr>
      <w:tr>
        <w:trPr>
          <w:trHeight w:val="510"/>
        </w:trPr>
        <w:tc>
          <w:tcPr>
            <w:tcW w:w="48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三节承重式滚珠滑道</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钢制</w:t>
            </w:r>
            <w:r/>
          </w:p>
        </w:tc>
      </w:tr>
      <w:tr>
        <w:trPr>
          <w:trHeight w:val="510"/>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三节承重式滚珠滑道</w:t>
            </w:r>
            <w:r/>
          </w:p>
        </w:tc>
      </w:tr>
      <w:tr>
        <w:trPr>
          <w:trHeight w:val="510"/>
        </w:trPr>
        <w:tc>
          <w:tcPr>
            <w:tcW w:w="48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铰链</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钢制</w:t>
            </w:r>
            <w:r/>
          </w:p>
        </w:tc>
      </w:tr>
      <w:tr>
        <w:trPr>
          <w:trHeight w:val="510"/>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质量要求</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开合十万次不变形</w:t>
            </w:r>
            <w:r/>
          </w:p>
        </w:tc>
      </w:tr>
      <w:tr>
        <w:trPr>
          <w:trHeight w:val="454"/>
        </w:trPr>
        <w:tc>
          <w:tcPr>
            <w:tcW w:w="48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▲教师教学电源</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外观材质</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铁制机箱，机械抽屉式。</w:t>
            </w:r>
            <w:r/>
          </w:p>
        </w:tc>
      </w:tr>
      <w:tr>
        <w:trPr>
          <w:trHeight w:val="643"/>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电源输出</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具备1个220V交流电源输出插座，和5V/0.5A输出/USB接口，带输出指示灯。</w:t>
            </w:r>
            <w:r/>
          </w:p>
        </w:tc>
      </w:tr>
      <w:tr>
        <w:trPr>
          <w:trHeight w:val="1190"/>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vMerge w:val="continue"/>
            <w:textDirection w:val="lrTb"/>
            <w:noWrap w:val="false"/>
          </w:tcPr>
          <w:p>
            <w:pPr>
              <w:pStyle w:val="2043"/>
              <w:jc w:val="both"/>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需要教师通过控制界面进行设置直流1.5-30V分辨率0.1V,交流1-30V分辨率1V，具备过载保护点智能侦测功能，电流高于过载保护功点则自动保护，电流低于过载保护点则自动恢复至设定值。</w:t>
            </w:r>
            <w:r/>
          </w:p>
        </w:tc>
      </w:tr>
      <w:tr>
        <w:trPr>
          <w:trHeight w:val="453"/>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vMerge w:val="continue"/>
            <w:textDirection w:val="lrTb"/>
            <w:noWrap w:val="false"/>
          </w:tcPr>
          <w:p>
            <w:pPr>
              <w:pStyle w:val="2043"/>
              <w:jc w:val="both"/>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直流高压240、300V两档100mA</w:t>
            </w:r>
            <w:r/>
          </w:p>
        </w:tc>
      </w:tr>
      <w:tr>
        <w:trPr>
          <w:trHeight w:val="409"/>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网络接口</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需要具备以太网接口（RJ - 45）</w:t>
            </w:r>
            <w:r/>
          </w:p>
        </w:tc>
      </w:tr>
      <w:tr>
        <w:trPr>
          <w:trHeight w:val="1016"/>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系统具备漏电保护功能；</w:t>
            </w:r>
            <w:r>
              <w:rPr>
                <w:rFonts w:hint="eastAsia" w:cs="宋体" w:asciiTheme="minorEastAsia" w:hAnsiTheme="minorEastAsia" w:eastAsiaTheme="minorEastAsia"/>
                <w:bCs/>
                <w:sz w:val="20"/>
                <w:szCs w:val="20"/>
                <w:lang w:bidi="ar"/>
              </w:rPr>
              <w:br/>
              <w:t xml:space="preserve">电源主控台与主体结构形成一体化；</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控制显示具有液晶真彩触摸屏和数据显示一体化功能。</w:t>
            </w:r>
            <w:r/>
          </w:p>
        </w:tc>
      </w:tr>
      <w:tr>
        <w:trPr>
          <w:trHeight w:val="1536"/>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vMerge w:val="continue"/>
            <w:textDirection w:val="lrTb"/>
            <w:noWrap w:val="false"/>
          </w:tcPr>
          <w:p>
            <w:pPr>
              <w:pStyle w:val="2043"/>
              <w:jc w:val="both"/>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具备密码控制功能，经过教师操作后方可启动实验电源的控制系统（教师可自定密码），对电源控制台进行操作防误操作方便教师合理安排实验。密码可根据需要自行设置，出厂时默认无密码状态。具备风机无极变频调速和启动控制功能。</w:t>
            </w:r>
            <w:r>
              <w:rPr>
                <w:rFonts w:hint="eastAsia" w:cs="宋体" w:asciiTheme="minorEastAsia" w:hAnsiTheme="minorEastAsia" w:eastAsiaTheme="minorEastAsia"/>
                <w:bCs/>
                <w:sz w:val="20"/>
                <w:szCs w:val="20"/>
                <w:lang w:bidi="ar"/>
              </w:rPr>
              <w:br/>
              <w:t xml:space="preserve">2、教师主控可实现对学生低压交直流电压的设置和分组控制，学生的锁定。多媒体为拓展功能。</w:t>
            </w:r>
            <w:r/>
          </w:p>
        </w:tc>
      </w:tr>
      <w:tr>
        <w:trPr>
          <w:trHeight w:val="454"/>
        </w:trPr>
        <w:tc>
          <w:tcPr>
            <w:tcW w:w="48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水槽</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外径尺寸</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≥550×450×310mm</w:t>
            </w:r>
            <w:r/>
          </w:p>
        </w:tc>
      </w:tr>
      <w:tr>
        <w:trPr>
          <w:trHeight w:val="454"/>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内径尺寸</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≥480×380×270±2mm</w:t>
            </w:r>
            <w:r/>
          </w:p>
        </w:tc>
      </w:tr>
      <w:tr>
        <w:trPr>
          <w:trHeight w:val="454"/>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环保型PP材料一次性注塑成型，耐强酸碱及有机溶剂</w:t>
            </w:r>
            <w:r/>
          </w:p>
        </w:tc>
      </w:tr>
      <w:tr>
        <w:trPr>
          <w:trHeight w:val="454"/>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壁厚</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壁厚6mm</w:t>
            </w:r>
            <w:r/>
          </w:p>
        </w:tc>
      </w:tr>
      <w:tr>
        <w:trPr>
          <w:trHeight w:val="454"/>
        </w:trPr>
        <w:tc>
          <w:tcPr>
            <w:tcW w:w="48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★三联水嘴</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整体材质</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铜质表面烤漆处理</w:t>
            </w:r>
            <w:r/>
          </w:p>
        </w:tc>
      </w:tr>
      <w:tr>
        <w:trPr>
          <w:trHeight w:val="454"/>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阀芯</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陶瓷阀芯90°旋转</w:t>
            </w:r>
            <w:r/>
          </w:p>
        </w:tc>
      </w:tr>
      <w:tr>
        <w:trPr>
          <w:trHeight w:val="454"/>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鹅颈管</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可360度旋转</w:t>
            </w:r>
            <w:r/>
          </w:p>
        </w:tc>
      </w:tr>
      <w:tr>
        <w:trPr>
          <w:trHeight w:val="454"/>
        </w:trPr>
        <w:tc>
          <w:tcPr>
            <w:tcW w:w="48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洗眼器</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主体采用环保型PP材料一次性注塑成型</w:t>
            </w:r>
            <w:r/>
          </w:p>
        </w:tc>
      </w:tr>
      <w:tr>
        <w:trPr>
          <w:trHeight w:val="454"/>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工作压力</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0.2-0.4MPa</w:t>
            </w:r>
            <w:r/>
          </w:p>
        </w:tc>
      </w:tr>
      <w:tr>
        <w:trPr>
          <w:trHeight w:val="454"/>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洗眼器喷头流量</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12升/分钟</w:t>
            </w:r>
            <w:r/>
          </w:p>
        </w:tc>
      </w:tr>
      <w:tr>
        <w:trPr>
          <w:trHeight w:val="793"/>
        </w:trPr>
        <w:tc>
          <w:tcPr>
            <w:tcW w:w="485"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896"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阀门可自动关闭，密封可靠</w:t>
            </w:r>
            <w:r>
              <w:rPr>
                <w:rFonts w:hint="eastAsia" w:cs="宋体" w:asciiTheme="minorEastAsia" w:hAnsiTheme="minorEastAsia" w:eastAsiaTheme="minorEastAsia"/>
                <w:bCs/>
                <w:sz w:val="20"/>
                <w:szCs w:val="20"/>
                <w:lang w:bidi="ar"/>
              </w:rPr>
              <w:br/>
              <w:t xml:space="preserve">洗眼盆头，出水经缓压处理呈泡沫状水柱，防止冲伤眼睛，设有防尘盖，使用时可自动被水冲开</w:t>
            </w:r>
            <w:r/>
          </w:p>
        </w:tc>
      </w:tr>
      <w:tr>
        <w:trPr>
          <w:trHeight w:val="2477"/>
        </w:trPr>
        <w:tc>
          <w:tcPr>
            <w:gridSpan w:val="2"/>
            <w:tcW w:w="1104"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其他要求</w:t>
            </w:r>
            <w:r/>
          </w:p>
        </w:tc>
        <w:tc>
          <w:tcPr>
            <w:tcW w:w="3896" w:type="pct"/>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rPr>
                <w:rFonts w:hint="eastAsia" w:cs="宋体" w:asciiTheme="minorEastAsia" w:hAnsiTheme="minorEastAsia" w:eastAsiaTheme="minorEastAsia"/>
                <w:bCs/>
                <w:sz w:val="20"/>
                <w:szCs w:val="20"/>
                <w:lang w:bidi="ar"/>
              </w:rPr>
              <w:t xml:space="preserve">操作区平面</w:t>
            </w:r>
            <w:r>
              <w:rPr>
                <w:rFonts w:hint="eastAsia" w:cs="宋体" w:asciiTheme="minorEastAsia" w:hAnsiTheme="minorEastAsia" w:eastAsiaTheme="minorEastAsia"/>
                <w:sz w:val="20"/>
                <w:szCs w:val="20"/>
                <w:lang w:bidi="ar"/>
              </w:rPr>
              <w:t xml:space="preserve">：须提供由经国家认证委认证的第三方检测机构出具的检测报告（检测报告上须含有“CMA”或“CNAS”标志），检测报告必须满足上述关于台面的化学性能、环保性能、TVOC释放量、物理性能、阻燃性能、氙灯老化性能、放射性参数、抗霉菌性能、抗细菌性能的要求；</w:t>
            </w:r>
            <w:r>
              <w:rPr>
                <w:rFonts w:hint="eastAsia" w:cs="宋体" w:asciiTheme="minorEastAsia" w:hAnsiTheme="minorEastAsia" w:eastAsiaTheme="minorEastAsia"/>
                <w:sz w:val="20"/>
                <w:szCs w:val="20"/>
                <w:lang w:bidi="ar"/>
              </w:rPr>
              <w:br/>
              <w:t xml:space="preserve">▲（2）主控电源：必须满足GB4793.1-2007《测量、控制和实验室用电气设备的安全要求 第1部分：通用要求》。须提供由经国家认证委认证的第三方检测机构出具的检测报告（检测报告上须含有“CMA”或“CNAS”标志）。</w:t>
            </w:r>
            <w:r>
              <w:rPr>
                <w:rFonts w:hint="eastAsia" w:cs="宋体" w:asciiTheme="minorEastAsia" w:hAnsiTheme="minorEastAsia" w:eastAsiaTheme="minorEastAsia"/>
                <w:sz w:val="20"/>
                <w:szCs w:val="20"/>
                <w:lang w:bidi="ar"/>
              </w:rPr>
              <w:br/>
            </w:r>
            <w:r>
              <w:rPr>
                <w:rFonts w:cs="宋体" w:asciiTheme="minorEastAsia" w:hAnsiTheme="minorEastAsia" w:eastAsiaTheme="minorEastAsia"/>
                <w:sz w:val="20"/>
                <w:szCs w:val="20"/>
                <w:lang w:bidi="ar"/>
              </w:rPr>
              <w:t xml:space="preserve">★</w:t>
            </w:r>
            <w:r>
              <w:rPr>
                <w:rFonts w:hint="eastAsia" w:cs="宋体" w:asciiTheme="minorEastAsia" w:hAnsiTheme="minorEastAsia" w:eastAsiaTheme="minorEastAsia"/>
                <w:sz w:val="20"/>
                <w:szCs w:val="20"/>
                <w:lang w:bidi="ar"/>
              </w:rPr>
              <w:t xml:space="preserve">（3）三联水嘴：</w:t>
            </w:r>
            <w:r>
              <w:rPr>
                <w:rFonts w:cs="宋体" w:asciiTheme="minorEastAsia" w:hAnsiTheme="minorEastAsia" w:eastAsiaTheme="minorEastAsia"/>
                <w:color w:val="000000"/>
                <w:sz w:val="20"/>
              </w:rPr>
              <w:t xml:space="preserve">提供国家确定的认证机构出具的、处于有效期之内的节能产品认证证书</w:t>
            </w:r>
            <w:r>
              <w:rPr>
                <w:rFonts w:hint="eastAsia" w:cs="宋体" w:asciiTheme="minorEastAsia" w:hAnsiTheme="minorEastAsia" w:eastAsiaTheme="minorEastAsia"/>
                <w:sz w:val="20"/>
                <w:szCs w:val="20"/>
                <w:lang w:bidi="ar"/>
              </w:rPr>
              <w:t xml:space="preserve">.</w:t>
            </w:r>
            <w:r/>
          </w:p>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▲（4）教师演示设备：晶粒度:≥5级；维氏硬度HV1:≥100；多元素含量的测定：C、Si、Mn、P、S、Cr等均合格；试验Ka:盐雾连续喷雾200h，应无锈蚀、腐蚀斑点、起泡、开裂</w:t>
            </w:r>
            <w:r>
              <w:rPr>
                <w:rFonts w:hint="eastAsia" w:cs="宋体" w:asciiTheme="minorEastAsia" w:hAnsiTheme="minorEastAsia" w:eastAsiaTheme="minorEastAsia"/>
                <w:sz w:val="20"/>
                <w:szCs w:val="20"/>
                <w:lang w:bidi="ar"/>
              </w:rPr>
              <w:t xml:space="preserve">等现象；产品有害物质：铅Pb、镉Cd、铬Cr、汞Hg、锑Sb、钡Ba、硒Se、砷AS等均未检出；氨释放量：≤0.1mg/L。须提供由经国家认证委认证的第三方检测机构出具的检测报告（检测报告上须含有“CMA”或“CNAS”标志）。</w:t>
            </w:r>
            <w:r/>
          </w:p>
        </w:tc>
      </w:tr>
      <w:tr>
        <w:trPr>
          <w:trHeight w:val="2221"/>
        </w:trPr>
        <w:tc>
          <w:tcPr>
            <w:gridSpan w:val="2"/>
            <w:tcW w:w="1104"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tcW w:w="3896" w:type="pct"/>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1.提供教师实验教学、演示设备域，通水、电、网络，实现对学生端电源集中控制。</w:t>
            </w:r>
            <w:r/>
          </w:p>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2.为成套设备：</w:t>
            </w:r>
            <w:r>
              <w:rPr>
                <w:rFonts w:hint="eastAsia" w:cs="宋体" w:asciiTheme="minorEastAsia" w:hAnsiTheme="minorEastAsia" w:eastAsiaTheme="minorEastAsia"/>
                <w:bCs/>
                <w:sz w:val="20"/>
                <w:szCs w:val="20"/>
                <w:lang w:bidi="ar"/>
              </w:rPr>
              <w:t xml:space="preserve">操作区平面</w:t>
            </w:r>
            <w:r>
              <w:rPr>
                <w:rFonts w:hint="eastAsia" w:cs="宋体" w:asciiTheme="minorEastAsia" w:hAnsiTheme="minorEastAsia" w:eastAsiaTheme="minorEastAsia"/>
                <w:sz w:val="20"/>
                <w:szCs w:val="20"/>
                <w:lang w:bidi="ar"/>
              </w:rPr>
              <w:t xml:space="preserve">面为实验操作、展示区，预留电脑屏显区域；需要有储物功能，预留设备（主机标准机箱、24寸显示器、中控、功放、24口交换机*2）等放置空间；配备水、电、网络供给与控制系统；配备洗眼器以及其他相关配套设施。</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rPr>
        <w:t xml:space="preserve">教师演示设备（二），数量：1</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16"/>
        <w:gridCol w:w="1440"/>
        <w:gridCol w:w="7088"/>
      </w:tblGrid>
      <w:tr>
        <w:trPr>
          <w:trHeight w:val="270"/>
          <w:tblHeader/>
        </w:trPr>
        <w:tc>
          <w:tcPr>
            <w:gridSpan w:val="2"/>
            <w:tcW w:w="3456" w:type="dxa"/>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7088" w:type="dxa"/>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r>
      <w:tr>
        <w:trPr>
          <w:trHeight w:val="454"/>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整体规格</w:t>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规格：≥2800×700×850mm</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冷轧钢板（纳米陶瓷镀膜防锈处理）</w:t>
            </w:r>
            <w:r/>
          </w:p>
        </w:tc>
      </w:tr>
      <w:tr>
        <w:trPr>
          <w:trHeight w:val="454"/>
        </w:trPr>
        <w:tc>
          <w:tcPr>
            <w:tcBorders>
              <w:bottom w:val="single" w:color="auto" w:sz="4" w:space="0"/>
            </w:tcBorders>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≥0.9mm</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▲操作区平面</w:t>
            </w:r>
            <w:r/>
          </w:p>
        </w:tc>
        <w:tc>
          <w:tcPr>
            <w:tcBorders>
              <w:left w:val="single" w:color="auto" w:sz="4" w:space="0"/>
            </w:tcBorders>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双面实芯理化板台面</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Borders>
              <w:left w:val="single" w:color="auto" w:sz="4" w:space="0"/>
            </w:tcBorders>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厚度</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≥12.7mm</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Borders>
              <w:left w:val="single" w:color="auto" w:sz="4" w:space="0"/>
            </w:tcBorders>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边缘厚</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25mm</w:t>
            </w:r>
            <w:r/>
          </w:p>
        </w:tc>
      </w:tr>
      <w:tr>
        <w:trPr>
          <w:trHeight w:val="133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Borders>
              <w:left w:val="single" w:color="auto" w:sz="4" w:space="0"/>
            </w:tcBorders>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耐腐蚀</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化学性能检测：参照GB/T 17657-2022标准对台面板正反两面进行硫酸（98%）、氢氟酸（48%）、硝酸（65%）、四氯化碳、氢氧化钠（40%）、氨水(28%)、氯化镁(10%)、三氯化铁(10%)、乙酰丙酮、三氯乙酸、三氯乙烯、异丙醇、异辛烷等不少于139项化学试剂及有机溶液检测。</w:t>
            </w:r>
            <w:r/>
          </w:p>
        </w:tc>
      </w:tr>
      <w:tr>
        <w:trPr>
          <w:trHeight w:val="889"/>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Borders>
              <w:left w:val="single" w:color="auto" w:sz="4" w:space="0"/>
            </w:tcBorders>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阻燃性能检测</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参照GB 8624-2012《建筑材料及制品燃烧性能分级》等标准，燃烧性等级达到B1级；水平燃烧符合HB级，垂直燃烧符合V-0级，烟气毒性等级符合t1级要求。</w:t>
            </w:r>
            <w:r/>
          </w:p>
        </w:tc>
      </w:tr>
      <w:tr>
        <w:trPr>
          <w:trHeight w:val="251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Borders>
              <w:left w:val="single" w:color="auto" w:sz="4" w:space="0"/>
            </w:tcBorders>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抗霉菌性能</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抗霉菌性能检测：参照JC/T 2039-2010等标准，黑曲霉、土曲霉、宛氏拟青霉、绳状青霉、出芽短梗霉、球毛壳霉、长枝木霉等7种霉菌检测，等级为0级；</w:t>
            </w:r>
            <w:r>
              <w:rPr>
                <w:rFonts w:hint="eastAsia" w:cs="宋体" w:asciiTheme="minorEastAsia" w:hAnsiTheme="minorEastAsia" w:eastAsiaTheme="minorEastAsia"/>
                <w:bCs/>
                <w:sz w:val="20"/>
                <w:szCs w:val="20"/>
                <w:lang w:bidi="ar"/>
              </w:rPr>
              <w:br/>
              <w:t xml:space="preserve">抗细菌性能检测：参照JC/T 2039-2010等标准，大肠埃希氏菌、金黄色葡萄球菌、白色念珠菌、白色葡萄球菌、铜绿假单胞菌、肺炎克雷伯氏菌、鼠伤寒沙门氏菌、甲型溶血性链球群、枯草芽孢杆菌、表皮葡萄球菌、耐甲氧西林金黄色葡萄球菌、肠沙门氏菌肠亚种、粪肠球菌、宋氏志贺氏菌、变异库克菌等不少于14种菌种检测，抗菌率≥99.99%。</w:t>
            </w:r>
            <w:r/>
          </w:p>
        </w:tc>
      </w:tr>
      <w:tr>
        <w:trPr>
          <w:trHeight w:val="2097"/>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Borders>
              <w:left w:val="single" w:color="auto" w:sz="4" w:space="0"/>
            </w:tcBorders>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环保要求</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环保性能检测：环保性能检测：参照GB/T 39600-2021等标准，甲醛释放量满足E0级技术指标要求，释放量检测结果值≤0.006mg/m³;参照GB18584-2001等标准，满足4种重金属含量检测：可溶性铅≤0.4mg/kg，可溶性镉：未检出，可溶性铬≤0.7mg/kg，可溶性汞：未检出；参照QB/T 2761-2006等标准，检测甲醛、甲苯去除率,检测结果为甲醛去除率达60%，甲苯去除率达15%。</w:t>
            </w:r>
            <w:r>
              <w:rPr>
                <w:rFonts w:hint="eastAsia" w:cs="宋体" w:asciiTheme="minorEastAsia" w:hAnsiTheme="minorEastAsia" w:eastAsiaTheme="minorEastAsia"/>
                <w:bCs/>
                <w:sz w:val="20"/>
                <w:szCs w:val="20"/>
                <w:lang w:bidi="ar"/>
              </w:rPr>
              <w:br/>
              <w:t xml:space="preserve">TVOC释放量检测：参照HJ571-2010《环境标志产品技术要求 人造板及其制品》标准，总挥发性有机化合物TVOC释放量为未检出。</w:t>
            </w:r>
            <w:r/>
          </w:p>
        </w:tc>
      </w:tr>
      <w:tr>
        <w:trPr>
          <w:trHeight w:val="454"/>
        </w:trPr>
        <w:tc>
          <w:tcPr>
            <w:tcBorders>
              <w:top w:val="single" w:color="auto" w:sz="4" w:space="0"/>
            </w:tcBorders>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主体结构</w:t>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冷轧钢板（纳米陶瓷镀膜防锈处理）</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≥0.9mm</w:t>
            </w:r>
            <w:r/>
          </w:p>
        </w:tc>
      </w:tr>
      <w:tr>
        <w:trPr>
          <w:trHeight w:val="454"/>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门板</w:t>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冷轧钢板（纳米陶瓷镀膜防锈处理）</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≥0.9mm</w:t>
            </w:r>
            <w:r/>
          </w:p>
        </w:tc>
      </w:tr>
      <w:tr>
        <w:trPr>
          <w:trHeight w:val="454"/>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侧、背、隔板</w:t>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冷轧钢板（纳米陶瓷镀膜防锈处理）</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≥0.9mm</w:t>
            </w:r>
            <w:r/>
          </w:p>
        </w:tc>
      </w:tr>
      <w:tr>
        <w:trPr>
          <w:trHeight w:val="454"/>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三节承重式滚珠滑道</w:t>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钢制</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三节承重式滚珠滑道</w:t>
            </w:r>
            <w:r/>
          </w:p>
        </w:tc>
      </w:tr>
      <w:tr>
        <w:trPr>
          <w:trHeight w:val="454"/>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铰链</w:t>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钢制</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质量要求</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开合十万次不变形</w:t>
            </w:r>
            <w:r/>
          </w:p>
        </w:tc>
      </w:tr>
      <w:tr>
        <w:trPr>
          <w:trHeight w:val="815"/>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▲教师教学电源</w:t>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安装位置</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放置在操作平面上，电源操作面板采用手动或自动翻转方式。面板上设置数显表。中间设交直流电源输出</w:t>
            </w:r>
            <w:r/>
          </w:p>
        </w:tc>
      </w:tr>
      <w:tr>
        <w:trPr>
          <w:trHeight w:val="1580"/>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（1）每个电源配备1个独立变压器，以便电源系统既能独立操作，也能被教师台控制。</w:t>
            </w:r>
            <w:r>
              <w:rPr>
                <w:rFonts w:hint="eastAsia" w:cs="宋体" w:asciiTheme="minorEastAsia" w:hAnsiTheme="minorEastAsia" w:eastAsiaTheme="minorEastAsia"/>
                <w:bCs/>
                <w:sz w:val="20"/>
                <w:szCs w:val="20"/>
                <w:lang w:bidi="ar"/>
              </w:rPr>
              <w:br/>
              <w:t xml:space="preserve">（2）能够通过数字化键盘设置电源的低压交流电压值和直流电压值，需要配有数显电压表，分别显示交流和直流电压值。</w:t>
            </w:r>
            <w:r/>
          </w:p>
        </w:tc>
      </w:tr>
      <w:tr>
        <w:trPr>
          <w:trHeight w:val="971"/>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低压交流电压</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电源的低压交流电压分两档，即1V-18V/2A、19V-30V/1A，分辩率为1V。具备自动过载保护功能，电流高于过载保护点则自动保护、电流低于过载保护点则自动恢复至设定值</w:t>
            </w:r>
            <w:r/>
          </w:p>
        </w:tc>
      </w:tr>
      <w:tr>
        <w:trPr>
          <w:trHeight w:val="1139"/>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低压直流电压</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电源的低压直流电压分两档，即1.5V-16.0V/2A、16.1V-30.0V/1A，分辩率为0.1V。具备自动过载保护功能，电流高于过载保护点则自动保护、电流低于过载保护点则自动恢复至设定值。</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插座</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需要嵌入五孔AC220v电源输出插座一个</w:t>
            </w:r>
            <w:r/>
          </w:p>
        </w:tc>
      </w:tr>
      <w:tr>
        <w:trPr>
          <w:trHeight w:val="454"/>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水槽</w:t>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外径尺寸</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≥550×450×310mm</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内径尺寸</w:t>
            </w:r>
            <w:r/>
          </w:p>
        </w:tc>
        <w:tc>
          <w:tcPr>
            <w:tcW w:w="7088" w:type="dxa"/>
            <w:vAlign w:val="center"/>
            <w:textDirection w:val="lrTb"/>
            <w:noWrap w:val="false"/>
          </w:tcPr>
          <w:p>
            <w:pPr>
              <w:pStyle w:val="1095"/>
              <w:ind w:firstLine="400"/>
              <w:rPr>
                <w:rFonts w:hint="eastAsia" w:cs="宋体" w:asciiTheme="minorEastAsia" w:hAnsiTheme="minorEastAsia"/>
                <w:bCs/>
                <w:sz w:val="20"/>
                <w:szCs w:val="20"/>
              </w:rPr>
            </w:pPr>
            <w:r>
              <w:rPr>
                <w:rFonts w:hint="eastAsia" w:cs="宋体" w:asciiTheme="minorEastAsia" w:hAnsiTheme="minorEastAsia"/>
                <w:bCs/>
                <w:sz w:val="20"/>
                <w:szCs w:val="20"/>
                <w:lang w:bidi="ar"/>
              </w:rPr>
              <w:t xml:space="preserve">≥480×380×270±2mm</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环保型PP材料一次性注塑成型，耐强酸碱及有机溶剂</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壁厚</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壁厚6mm</w:t>
            </w:r>
            <w:r/>
          </w:p>
        </w:tc>
      </w:tr>
      <w:tr>
        <w:trPr>
          <w:trHeight w:val="454"/>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★三联水嘴</w:t>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铜质表面烤漆处理</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阀芯</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陶瓷阀芯90°旋转</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40"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鹅颈管</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可360度旋转</w:t>
            </w:r>
            <w:r/>
          </w:p>
        </w:tc>
      </w:tr>
      <w:tr>
        <w:trPr>
          <w:trHeight w:val="2678"/>
        </w:trPr>
        <w:tc>
          <w:tcPr>
            <w:gridSpan w:val="2"/>
            <w:tcW w:w="3456"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其他要求</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操作区平面：须提供由经国家认证委认证的第三方检测机构出具的检测报告（检测报告上须含有“CMA”或“CNAS”标志），检测报告必须满足上述关于台面的化学性能、环保性能、TVOC释放量、物理性能、阻燃性能、氙灯老化性能、放射性参数、抗霉菌性能、抗细菌性能的要求；</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▲（2）主控电源：必须满足GB4793.1-2007《测量、控制和实验室用电气设备的安全要求 第1部分：通用要求》。须提供由经国家认证委认证的第三方检测机构出具的检测报告（检测报告上须含有“CMA”或“CNAS”标志）。</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★（3）三联水嘴：</w:t>
            </w:r>
            <w:r>
              <w:rPr>
                <w:rFonts w:cs="宋体" w:asciiTheme="minorEastAsia" w:hAnsiTheme="minorEastAsia" w:eastAsiaTheme="minorEastAsia"/>
                <w:color w:val="000000"/>
                <w:sz w:val="20"/>
              </w:rPr>
              <w:t xml:space="preserve">提供国家确定的认证机构出具的、处于有效期之内的节能产品认证证书</w:t>
            </w:r>
            <w:r>
              <w:rPr>
                <w:rFonts w:hint="eastAsia" w:cs="宋体" w:asciiTheme="minorEastAsia" w:hAnsiTheme="minorEastAsia" w:eastAsiaTheme="minorEastAsia"/>
                <w:bCs/>
                <w:sz w:val="20"/>
                <w:szCs w:val="20"/>
                <w:lang w:bidi="ar"/>
              </w:rPr>
              <w:t xml:space="preserve">。</w:t>
            </w:r>
            <w:r/>
          </w:p>
        </w:tc>
      </w:tr>
      <w:tr>
        <w:trPr>
          <w:trHeight w:val="1601"/>
        </w:trPr>
        <w:tc>
          <w:tcPr>
            <w:gridSpan w:val="2"/>
            <w:tcW w:w="3456"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1.提供教师实验教学、演示设备域，通水、电、网络，实现对学生端电源集中控制。</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2.为成套设备：操作区平面为实验操作、展示区，预留电脑屏显区域；</w:t>
            </w:r>
            <w:r>
              <w:rPr>
                <w:rFonts w:hint="eastAsia" w:cs="宋体" w:asciiTheme="minorEastAsia" w:hAnsiTheme="minorEastAsia" w:eastAsiaTheme="minorEastAsia"/>
                <w:sz w:val="20"/>
                <w:szCs w:val="20"/>
                <w:lang w:bidi="ar"/>
              </w:rPr>
              <w:t xml:space="preserve">需要有储物功能</w:t>
            </w:r>
            <w:r>
              <w:rPr>
                <w:rFonts w:hint="eastAsia" w:cs="宋体" w:asciiTheme="minorEastAsia" w:hAnsiTheme="minorEastAsia" w:eastAsiaTheme="minorEastAsia"/>
                <w:bCs/>
                <w:sz w:val="20"/>
                <w:szCs w:val="20"/>
                <w:lang w:bidi="ar"/>
              </w:rPr>
              <w:t xml:space="preserve">，预留设备（主机标准机箱、24寸显示器、中控、功放、24口交换机*2）等放置空间；配备水、电、网络供给与控制系统；配备洗眼器以及其他相关配套设施。</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rPr>
        <w:t xml:space="preserve">教师演示设备（三），数量：2</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16"/>
        <w:gridCol w:w="1468"/>
        <w:gridCol w:w="7088"/>
      </w:tblGrid>
      <w:tr>
        <w:trPr>
          <w:trHeight w:val="270"/>
          <w:tblHeader/>
        </w:trPr>
        <w:tc>
          <w:tcPr>
            <w:gridSpan w:val="2"/>
            <w:tcW w:w="3484"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
                <w:sz w:val="20"/>
                <w:szCs w:val="20"/>
                <w:lang w:bidi="ar"/>
              </w:rPr>
              <w:t xml:space="preserve">参数名称</w:t>
            </w:r>
            <w:r/>
          </w:p>
        </w:tc>
        <w:tc>
          <w:tcPr>
            <w:tcW w:w="7088"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
                <w:sz w:val="20"/>
                <w:szCs w:val="20"/>
                <w:lang w:bidi="ar"/>
              </w:rPr>
              <w:t xml:space="preserve">参数要求</w:t>
            </w:r>
            <w:r/>
          </w:p>
        </w:tc>
      </w:tr>
      <w:tr>
        <w:trPr>
          <w:trHeight w:val="454"/>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整体规格</w:t>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规格：≥2800×700×850mm</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冷轧钢板（纳米陶瓷镀膜防锈处理）</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≥0.9mm</w:t>
            </w:r>
            <w:r/>
          </w:p>
        </w:tc>
      </w:tr>
      <w:tr>
        <w:trPr>
          <w:trHeight w:val="454"/>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▲操作区平面</w:t>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双面实芯理化板台面</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厚度</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≥12.7mm</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边缘厚</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25mm</w:t>
            </w:r>
            <w:r/>
          </w:p>
        </w:tc>
      </w:tr>
      <w:tr>
        <w:trPr>
          <w:trHeight w:val="1370"/>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耐腐蚀</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化学性能检测：参照GB/T 17657-2022标准对台面板正反两面进行硫酸（98%）、氢氟酸（48%）、硝酸（65%）、四氯化碳、氢氧化钠（40%）、氨水(28%)、氯化镁(10%)、三氯化铁(10%)、乙酰丙酮、三氯乙酸、三氯乙烯、异丙醇、异辛烷等不少于139项化学试剂及有机溶液检测。</w:t>
            </w:r>
            <w:r/>
          </w:p>
        </w:tc>
      </w:tr>
      <w:tr>
        <w:trPr>
          <w:trHeight w:val="917"/>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阻燃性能检测</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参照GB 8624-2012《建筑材料及制品燃烧性能分级》等标准，燃烧性等级达到B1级；水平燃烧符合HB级，垂直燃烧符合V-0级，烟气毒性等级符合t1级要求。</w:t>
            </w:r>
            <w:r/>
          </w:p>
        </w:tc>
      </w:tr>
      <w:tr>
        <w:trPr>
          <w:trHeight w:val="2435"/>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抗霉菌性能</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抗霉菌性能检测：参照JC/T 2039-2010等标准，黑曲霉、土曲霉、宛氏拟青霉、绳状青霉、出芽短梗霉、球毛壳霉、长枝木霉等7种霉菌检测，等级为0级；</w:t>
            </w:r>
            <w:r>
              <w:rPr>
                <w:rFonts w:hint="eastAsia" w:cs="宋体" w:asciiTheme="minorEastAsia" w:hAnsiTheme="minorEastAsia" w:eastAsiaTheme="minorEastAsia"/>
                <w:bCs/>
                <w:sz w:val="20"/>
                <w:szCs w:val="20"/>
                <w:lang w:bidi="ar"/>
              </w:rPr>
              <w:br/>
              <w:t xml:space="preserve">抗细菌性能检测：参照JC/T 2039-2010等标准，大肠埃希氏菌、金黄色葡萄球菌、白色念珠菌、白色葡萄球菌、铜绿假单胞菌、肺炎克雷伯氏菌、鼠伤寒沙门氏菌、甲型溶血性链球群、枯草芽孢杆菌、表皮葡萄球菌、耐甲氧西林金黄色葡萄球菌、肠沙门氏菌肠亚种、粪肠球菌、宋氏志贺氏菌、变异库克菌等不少于14种菌种检测，抗菌率≥99.99%。</w:t>
            </w:r>
            <w:r/>
          </w:p>
        </w:tc>
      </w:tr>
      <w:tr>
        <w:trPr>
          <w:trHeight w:val="2306"/>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环保要求</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环保性能检测：环保性能检测：参照GB/T 39600-2021等标准，甲醛释放量满足E0级技术指标要求，释放量检测结果值≤0.006mg/m³;参照GB18584-2001等标准，满足4种重金属含量检测：可溶性铅≤0.4mg/kg，可溶性镉：未检出，可溶性铬≤0.7mg/kg，可溶性汞：未检出；参照QB/T 2761-2006等标准，检测甲醛、甲苯去除率,检测结果为甲醛去除率达60%，甲苯去除率达15%。</w:t>
            </w:r>
            <w:r>
              <w:rPr>
                <w:rFonts w:hint="eastAsia" w:cs="宋体" w:asciiTheme="minorEastAsia" w:hAnsiTheme="minorEastAsia" w:eastAsiaTheme="minorEastAsia"/>
                <w:bCs/>
                <w:sz w:val="20"/>
                <w:szCs w:val="20"/>
                <w:lang w:bidi="ar"/>
              </w:rPr>
              <w:br/>
              <w:t xml:space="preserve">TVOC释放量检测：参照HJ571-2010《环境标志产品技术要求 人造板及其制品》标准，总挥发性有机化合物TVOC释放量为未检出。</w:t>
            </w:r>
            <w:r/>
          </w:p>
        </w:tc>
      </w:tr>
      <w:tr>
        <w:trPr>
          <w:trHeight w:val="454"/>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主体结构</w:t>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冷轧钢板（纳米陶瓷镀膜防锈处理）</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≥0.9mm</w:t>
            </w:r>
            <w:r/>
          </w:p>
        </w:tc>
      </w:tr>
      <w:tr>
        <w:trPr>
          <w:trHeight w:val="454"/>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门板</w:t>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冷轧钢板（纳米陶瓷镀膜防锈处理）</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≥0.9mm</w:t>
            </w:r>
            <w:r/>
          </w:p>
        </w:tc>
      </w:tr>
      <w:tr>
        <w:trPr>
          <w:trHeight w:val="454"/>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侧、背、隔板</w:t>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冷轧钢板（纳米陶瓷镀膜防锈处理）</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≥0.9mm</w:t>
            </w:r>
            <w:r/>
          </w:p>
        </w:tc>
      </w:tr>
      <w:tr>
        <w:trPr>
          <w:trHeight w:val="454"/>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三节承重式滚珠滑道</w:t>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钢制</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三节承重式滚珠滑道</w:t>
            </w:r>
            <w:r/>
          </w:p>
        </w:tc>
      </w:tr>
      <w:tr>
        <w:trPr>
          <w:trHeight w:val="454"/>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铰链</w:t>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钢制</w:t>
            </w:r>
            <w:r/>
          </w:p>
        </w:tc>
      </w:tr>
      <w:tr>
        <w:trPr>
          <w:trHeight w:val="454"/>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质量要求</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开合十万次不变形</w:t>
            </w:r>
            <w:r/>
          </w:p>
        </w:tc>
      </w:tr>
      <w:tr>
        <w:trPr>
          <w:trHeight w:val="449"/>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▲教师教学电源</w:t>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外观材质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铁制机箱，机械抽屉式</w:t>
            </w:r>
            <w:r/>
          </w:p>
        </w:tc>
      </w:tr>
      <w:tr>
        <w:trPr>
          <w:trHeight w:val="671"/>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电源输出</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需要具有1组5孔220V交流电源输出插座和USB 低压5V输出、额定电流≤1A,且需要同时带有输出指示灯</w:t>
            </w:r>
            <w:r/>
          </w:p>
        </w:tc>
      </w:tr>
      <w:tr>
        <w:trPr>
          <w:trHeight w:val="849"/>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vMerge w:val="continue"/>
            <w:textDirection w:val="lrTb"/>
            <w:noWrap w:val="false"/>
          </w:tcPr>
          <w:p>
            <w:pPr>
              <w:pStyle w:val="2043"/>
              <w:jc w:val="both"/>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需要教师通过控制界面进行设置直流0-24V分辨率0.1V,交流1-24V分辨率1V，具备过载保护点智能侦测功能，电流高于过载保护功点则自动保护，电流低于过载保护点则自动恢复至设定值。</w:t>
            </w:r>
            <w:r/>
          </w:p>
        </w:tc>
      </w:tr>
      <w:tr>
        <w:trPr>
          <w:trHeight w:val="341"/>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vMerge w:val="continue"/>
            <w:textDirection w:val="lrTb"/>
            <w:noWrap w:val="false"/>
          </w:tcPr>
          <w:p>
            <w:pPr>
              <w:pStyle w:val="2043"/>
              <w:jc w:val="both"/>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直流高压240、300V两档100mA</w:t>
            </w:r>
            <w:r/>
          </w:p>
        </w:tc>
      </w:tr>
      <w:tr>
        <w:trPr>
          <w:trHeight w:val="335"/>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网络接口</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需要具备以太网接口（RJ - 45）</w:t>
            </w:r>
            <w:r/>
          </w:p>
        </w:tc>
      </w:tr>
      <w:tr>
        <w:trPr>
          <w:trHeight w:val="835"/>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系统具备漏电保护功能；</w:t>
            </w:r>
            <w:r>
              <w:rPr>
                <w:rFonts w:hint="eastAsia" w:cs="宋体" w:asciiTheme="minorEastAsia" w:hAnsiTheme="minorEastAsia" w:eastAsiaTheme="minorEastAsia"/>
                <w:bCs/>
                <w:sz w:val="20"/>
                <w:szCs w:val="20"/>
                <w:lang w:bidi="ar"/>
              </w:rPr>
              <w:br/>
              <w:t xml:space="preserve">电源主控台与主体结构形成一体化；</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控制显示具有液晶真彩触摸屏和数据显示一体化功能。</w:t>
            </w:r>
            <w:r/>
          </w:p>
        </w:tc>
      </w:tr>
      <w:tr>
        <w:trPr>
          <w:trHeight w:val="1587"/>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vMerge w:val="continue"/>
            <w:textDirection w:val="lrTb"/>
            <w:noWrap w:val="false"/>
          </w:tcPr>
          <w:p>
            <w:pPr>
              <w:pStyle w:val="2043"/>
              <w:jc w:val="both"/>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具有密码控制功能，经过教师操作后方可启动实验电源的控制系统（教师可自定密码），对电源控制台进行操作防误操作方便教师合理安排实验。密码可根据需要自行设置，出厂时默认无密码状态。需要具备风机无极变频调速和启动控制功能。</w:t>
            </w:r>
            <w:r>
              <w:rPr>
                <w:rFonts w:hint="eastAsia" w:cs="宋体" w:asciiTheme="minorEastAsia" w:hAnsiTheme="minorEastAsia" w:eastAsiaTheme="minorEastAsia"/>
                <w:bCs/>
                <w:sz w:val="20"/>
                <w:szCs w:val="20"/>
                <w:lang w:bidi="ar"/>
              </w:rPr>
              <w:br/>
              <w:t xml:space="preserve">2、教师主控可实现对学生低压交直流电压的设置和分组控制，学生的锁定。多媒体为拓展功能。</w:t>
            </w:r>
            <w:r/>
          </w:p>
        </w:tc>
      </w:tr>
      <w:tr>
        <w:trPr>
          <w:trHeight w:val="397"/>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水槽</w:t>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外径尺寸</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≥550×450×310mm</w:t>
            </w:r>
            <w:r/>
          </w:p>
        </w:tc>
      </w:tr>
      <w:tr>
        <w:trPr>
          <w:trHeight w:val="397"/>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内径尺寸</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≥480×380×270±2mm</w:t>
            </w:r>
            <w:r/>
          </w:p>
        </w:tc>
      </w:tr>
      <w:tr>
        <w:trPr>
          <w:trHeight w:val="397"/>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环保型PP材料一次性注塑成型，耐强酸碱及有机溶剂</w:t>
            </w:r>
            <w:r/>
          </w:p>
        </w:tc>
      </w:tr>
      <w:tr>
        <w:trPr>
          <w:trHeight w:val="397"/>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壁厚</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壁厚6mm</w:t>
            </w:r>
            <w:r/>
          </w:p>
        </w:tc>
      </w:tr>
      <w:tr>
        <w:trPr>
          <w:trHeight w:val="397"/>
        </w:trPr>
        <w:tc>
          <w:tcPr>
            <w:tcW w:w="0" w:type="auto"/>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★三联水嘴</w:t>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整体材质</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铜质表面烤漆处理</w:t>
            </w:r>
            <w:r/>
          </w:p>
        </w:tc>
      </w:tr>
      <w:tr>
        <w:trPr>
          <w:trHeight w:val="397"/>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阀芯</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陶瓷阀芯90°旋转</w:t>
            </w:r>
            <w:r/>
          </w:p>
        </w:tc>
      </w:tr>
      <w:tr>
        <w:trPr>
          <w:trHeight w:val="397"/>
        </w:trPr>
        <w:tc>
          <w:tcPr>
            <w:tcW w:w="0" w:type="auto"/>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1468"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鹅颈管</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可360度旋转</w:t>
            </w:r>
            <w:r/>
          </w:p>
        </w:tc>
      </w:tr>
      <w:tr>
        <w:trPr>
          <w:trHeight w:val="270"/>
        </w:trPr>
        <w:tc>
          <w:tcPr>
            <w:gridSpan w:val="2"/>
            <w:tcW w:w="3484"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其他要求</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操作区平面：须提供由经国家认证委认证的第三方检测机构出具的检测报告（检测报告上须含有“CMA”或“CNAS”标志），检测报告必须满足上述关于台面的化学性能、环保性能、TVOC释放量、物理性能、阻燃性能、氙灯老化性能、放射性参数、抗霉菌性能、抗细菌性能的要求；</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▲（2）主控电源：必须满足GB4793.1-2007《测量、控制和实验室用电气设备的安全要求 第1部分：通用要求》。须提供由经国家认证委认证的第三方检测机构出具的检测报告（检测报告上须含有“CMA”或“CNAS”标志）。</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★（3）三联水嘴：</w:t>
            </w:r>
            <w:r>
              <w:rPr>
                <w:rFonts w:cs="宋体" w:asciiTheme="minorEastAsia" w:hAnsiTheme="minorEastAsia" w:eastAsiaTheme="minorEastAsia"/>
                <w:color w:val="000000"/>
                <w:sz w:val="20"/>
              </w:rPr>
              <w:t xml:space="preserve">提供国家确定的认证机构出具的、处于有效期之内的节能产品认证证书</w:t>
            </w:r>
            <w:r>
              <w:rPr>
                <w:rFonts w:hint="eastAsia" w:cs="宋体" w:asciiTheme="minorEastAsia" w:hAnsiTheme="minorEastAsia" w:eastAsiaTheme="minorEastAsia"/>
                <w:bCs/>
                <w:sz w:val="20"/>
                <w:szCs w:val="20"/>
                <w:lang w:bidi="ar"/>
              </w:rPr>
              <w:t xml:space="preserve">。</w:t>
            </w:r>
            <w:r/>
          </w:p>
        </w:tc>
      </w:tr>
      <w:tr>
        <w:trPr>
          <w:trHeight w:val="1566"/>
        </w:trPr>
        <w:tc>
          <w:tcPr>
            <w:gridSpan w:val="2"/>
            <w:tcW w:w="3484"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tcW w:w="7088"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1.提供教师实验教学、演示设备域，通水、电、网络，实现对学生端电源集中控制。</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为成套设备：操作区平面为实验操作、展示区，预留电脑屏显区域；需要有储物功能，预留设备（主机标准机箱、24寸显示器、中控、功放、24口交换机*2）等放置空间；配备水、电、网络供给与控制系统；配备洗眼器及其他相关配套设施。</w:t>
            </w:r>
            <w:r/>
          </w:p>
        </w:tc>
      </w:tr>
    </w:tbl>
    <w:p>
      <w:pPr>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720" w:equalWidth="1"/>
          <w:docGrid w:linePitch="360"/>
        </w:sectPr>
      </w:pPr>
      <w:r>
        <w:rPr>
          <w:rFonts w:cs="宋体" w:asciiTheme="minorEastAsia" w:hAnsiTheme="minorEastAsia" w:eastAsiaTheme="minorEastAsia"/>
        </w:rPr>
        <w:br w:type="page" w:clear="all"/>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t xml:space="preserve">学生实验设备（一），数量：28</w:t>
      </w:r>
      <w:r/>
    </w:p>
    <w:tbl>
      <w:tblPr>
        <w:tblW w:w="48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0"/>
        <w:gridCol w:w="1294"/>
        <w:gridCol w:w="8082"/>
      </w:tblGrid>
      <w:tr>
        <w:trPr>
          <w:trHeight w:val="313"/>
          <w:tblHeader/>
        </w:trPr>
        <w:tc>
          <w:tcPr>
            <w:gridSpan w:val="2"/>
            <w:tcW w:w="1135"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865"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r>
      <w:tr>
        <w:trPr>
          <w:trHeight w:val="454"/>
        </w:trPr>
        <w:tc>
          <w:tcPr>
            <w:tcW w:w="516"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整体规格</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≥1200×600×780mm</w:t>
            </w:r>
            <w:r/>
          </w:p>
        </w:tc>
      </w:tr>
      <w:tr>
        <w:trPr>
          <w:trHeight w:val="567"/>
        </w:trPr>
        <w:tc>
          <w:tcPr>
            <w:tcW w:w="51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操作区平面</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双面膜耐腐蚀实芯理化板</w:t>
            </w:r>
            <w:r/>
          </w:p>
        </w:tc>
      </w:tr>
      <w:tr>
        <w:trPr>
          <w:trHeight w:val="779"/>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厚度</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12.7mm（实验台前端两角倒R20圆角）</w:t>
            </w:r>
            <w:r/>
          </w:p>
        </w:tc>
      </w:tr>
      <w:tr>
        <w:trPr>
          <w:trHeight w:val="779"/>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前挡板参数</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前挡板整体采用厚1.0mm挤出成型铝合金，尺寸：1070*28*98mm金属表面经高温塑粉烤漆处理。</w:t>
            </w:r>
            <w:r/>
          </w:p>
        </w:tc>
      </w:tr>
      <w:tr>
        <w:trPr>
          <w:trHeight w:val="902"/>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左右侧挡板</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左右两侧设有挡板，采用ABS工程塑料一体成型，尺寸：215*75*98±2mm，易碰撞处全部采用倒圆角处理</w:t>
            </w:r>
            <w:r/>
          </w:p>
        </w:tc>
      </w:tr>
      <w:tr>
        <w:trPr>
          <w:trHeight w:val="602"/>
        </w:trPr>
        <w:tc>
          <w:tcPr>
            <w:tcW w:w="51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支撑架</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塑钢结构</w:t>
            </w:r>
            <w:r/>
          </w:p>
        </w:tc>
      </w:tr>
      <w:tr>
        <w:trPr>
          <w:trHeight w:val="602"/>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造型</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“Z"型</w:t>
            </w:r>
            <w:r/>
          </w:p>
        </w:tc>
      </w:tr>
      <w:tr>
        <w:trPr>
          <w:trHeight w:val="602"/>
        </w:trPr>
        <w:tc>
          <w:tcPr>
            <w:tcW w:w="51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支撑主体</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金属方管</w:t>
            </w:r>
            <w:r/>
          </w:p>
        </w:tc>
      </w:tr>
      <w:tr>
        <w:trPr>
          <w:trHeight w:val="902"/>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支撑固定方管尺寸:≥30*30*厚1.5mm；左右侧边支管加强连接件金属尺寸：198*71*32*厚3mm</w:t>
            </w:r>
            <w:r/>
          </w:p>
        </w:tc>
      </w:tr>
      <w:tr>
        <w:trPr>
          <w:trHeight w:val="733"/>
        </w:trPr>
        <w:tc>
          <w:tcPr>
            <w:tcW w:w="51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左右侧边支管、下拉杆、底管</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钢制</w:t>
            </w:r>
            <w:r/>
          </w:p>
        </w:tc>
      </w:tr>
      <w:tr>
        <w:trPr>
          <w:trHeight w:val="1109"/>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3865" w:type="pct"/>
            <w:vAlign w:val="center"/>
            <w:textDirection w:val="lrTb"/>
            <w:noWrap w:val="false"/>
          </w:tcPr>
          <w:p>
            <w:pPr>
              <w:pStyle w:val="1095"/>
              <w:rPr>
                <w:rFonts w:hint="eastAsia" w:cs="宋体" w:asciiTheme="minorEastAsia" w:hAnsiTheme="minorEastAsia"/>
                <w:bCs/>
                <w:sz w:val="20"/>
                <w:szCs w:val="20"/>
              </w:rPr>
            </w:pPr>
            <w:r>
              <w:rPr>
                <w:rFonts w:hint="eastAsia" w:cs="宋体" w:asciiTheme="minorEastAsia" w:hAnsiTheme="minorEastAsia"/>
              </w:rPr>
              <w:t xml:space="preserve">左右侧边支管椭圆管尺寸：80*40厚2.0mm；下拉杆椭圆管尺寸：80*40厚1.2mm，</w:t>
            </w:r>
            <w:r>
              <w:rPr>
                <w:rFonts w:hint="eastAsia" w:cs="宋体" w:asciiTheme="minorEastAsia" w:hAnsiTheme="minorEastAsia"/>
                <w:bCs/>
                <w:sz w:val="20"/>
                <w:szCs w:val="20"/>
                <w:lang w:bidi="ar"/>
              </w:rPr>
              <w:t xml:space="preserve">桌脚外侧安装ABS工程塑料护套，外观流线简洁美观，易碰撞处全部采用倒圆角处理，整体设计美观、合理、安全、牢固、耐用。</w:t>
            </w:r>
            <w:r/>
          </w:p>
        </w:tc>
      </w:tr>
      <w:tr>
        <w:trPr>
          <w:trHeight w:val="720"/>
        </w:trPr>
        <w:tc>
          <w:tcPr>
            <w:tcW w:w="51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书包斗</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环保型ABS工程塑料</w:t>
            </w:r>
            <w:r/>
          </w:p>
        </w:tc>
      </w:tr>
      <w:tr>
        <w:trPr>
          <w:trHeight w:val="720"/>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规格要求</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≥4.6mm、有挂凳口，一次性注塑成型</w:t>
            </w:r>
            <w:r/>
          </w:p>
        </w:tc>
      </w:tr>
      <w:tr>
        <w:trPr>
          <w:trHeight w:val="720"/>
        </w:trPr>
        <w:tc>
          <w:tcPr>
            <w:tcW w:w="51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箱体</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环保型ABS工程塑料</w:t>
            </w:r>
            <w:r/>
          </w:p>
        </w:tc>
      </w:tr>
      <w:tr>
        <w:trPr>
          <w:trHeight w:val="720"/>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规格要求</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380*220*730±2mm，壁厚3.0mm，采用环保型ABS工程塑料一次性注塑成型。</w:t>
            </w:r>
            <w:r/>
          </w:p>
        </w:tc>
      </w:tr>
      <w:tr>
        <w:trPr>
          <w:trHeight w:val="661"/>
        </w:trPr>
        <w:tc>
          <w:tcPr>
            <w:tcW w:w="51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▲学生电源</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位置</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中间位置固定</w:t>
            </w:r>
            <w:r/>
          </w:p>
        </w:tc>
      </w:tr>
      <w:tr>
        <w:trPr>
          <w:trHeight w:val="661"/>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电源输出</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具有不少于1组5孔220V交流电源输出插座。</w:t>
            </w:r>
            <w:r/>
          </w:p>
        </w:tc>
      </w:tr>
      <w:tr>
        <w:trPr>
          <w:trHeight w:val="964"/>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具备短路、过载保护功能。</w:t>
            </w:r>
            <w:r>
              <w:rPr>
                <w:rFonts w:hint="eastAsia" w:cs="宋体" w:asciiTheme="minorEastAsia" w:hAnsiTheme="minorEastAsia" w:eastAsiaTheme="minorEastAsia"/>
                <w:bCs/>
                <w:sz w:val="20"/>
                <w:szCs w:val="20"/>
                <w:lang w:bidi="ar"/>
              </w:rPr>
              <w:br/>
              <w:t xml:space="preserve">教师可集中分组控制学生电源通断。</w:t>
            </w:r>
            <w:r/>
          </w:p>
        </w:tc>
      </w:tr>
      <w:tr>
        <w:trPr>
          <w:trHeight w:val="1777"/>
        </w:trPr>
        <w:tc>
          <w:tcPr>
            <w:gridSpan w:val="2"/>
            <w:tcW w:w="113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sz w:val="20"/>
                <w:szCs w:val="20"/>
                <w:lang w:bidi="ar"/>
              </w:rPr>
              <w:t xml:space="preserve">其他要求</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学生操作区：无晶间腐蚀；孔隙率（铁试剂法）：≤3个孔/cm²；多元素含量的测定：Si、Fe、Cu、Mn、Mg等均合格；力学性能：抗拉强度Rm≥200N/mm2；规定非比例延伸强度RP0.2≥150N/mm2；断后伸长率A50mm≥5%；韦氏硬度≥10；产品有害物质：铅Pb、镉Cd、铬Cr、汞Hg、锑Sb、钡Ba、硒Se、砷AS等均未检出；磁粉检测：未发现超标缺陷，评定为1级。须提供由经国家认证委认证的第三方检测机构出具的检测报告（检测报告上须含有“CMA”或“CNAS”标志）</w:t>
            </w:r>
            <w:r/>
          </w:p>
          <w:p>
            <w:pPr>
              <w:pStyle w:val="2043"/>
              <w:jc w:val="left"/>
              <w:rPr>
                <w:rFonts w:hint="eastAsia" w:cs="宋体" w:asciiTheme="minorEastAsia" w:hAnsiTheme="minorEastAsia" w:eastAsiaTheme="minorEastAsia"/>
              </w:rPr>
            </w:pPr>
            <w:r>
              <w:rPr>
                <w:rFonts w:hint="eastAsia" w:cs="宋体" w:asciiTheme="minorEastAsia" w:hAnsiTheme="minorEastAsia" w:eastAsiaTheme="minorEastAsia"/>
                <w:bCs/>
                <w:sz w:val="20"/>
                <w:szCs w:val="20"/>
                <w:lang w:bidi="ar"/>
              </w:rPr>
              <w:t xml:space="preserve">▲书包斗：符合GB 28481-2012 塑料家具中有害物质限量要求；邻苯二甲酸酯：DBP、BBP、DEHP、DNOP均≤0.001%；DINP、DIDP均≤0.005%；重金属：可溶性镉、可溶性铬、可溶性铅均≤5mg/kg、可溶性汞≤2mg/kg；多环芳烃：苯并[a]芘、16种多环芳烃（PAH）总量均未检出。须提供由经国家认证委认证的第三方检测机构出具的检测报告（检测报告上须含有“CMA”或“CNAS”标志）</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▲学生电源:满足：GB4793.1-2007《测量、控制和实验室用电气设备的安全要求 第1部分：通用要求》。须提供由经国家认证委认证的第三方检测机构出具的检测报告（检测报告上须含有“CMA”或“CNAS”标志）</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★三联水嘴：</w:t>
            </w:r>
            <w:r>
              <w:rPr>
                <w:rFonts w:cs="宋体" w:asciiTheme="minorEastAsia" w:hAnsiTheme="minorEastAsia" w:eastAsiaTheme="minorEastAsia"/>
                <w:color w:val="000000"/>
                <w:sz w:val="20"/>
              </w:rPr>
              <w:t xml:space="preserve">提供国家确定的认证机构出具的、处于有效期之内的节能产品认证证书</w:t>
            </w:r>
            <w:r>
              <w:rPr>
                <w:rFonts w:hint="eastAsia" w:cs="宋体" w:asciiTheme="minorEastAsia" w:hAnsiTheme="minorEastAsia" w:eastAsiaTheme="minorEastAsia"/>
                <w:bCs/>
                <w:sz w:val="20"/>
                <w:szCs w:val="20"/>
                <w:lang w:bidi="ar"/>
              </w:rPr>
              <w:t xml:space="preserve">。</w:t>
            </w:r>
            <w:r/>
          </w:p>
        </w:tc>
      </w:tr>
      <w:tr>
        <w:trPr>
          <w:trHeight w:val="1483"/>
        </w:trPr>
        <w:tc>
          <w:tcPr>
            <w:gridSpan w:val="2"/>
            <w:tcW w:w="113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sz w:val="20"/>
                <w:szCs w:val="20"/>
                <w:lang w:bidi="ar"/>
              </w:rPr>
              <w:t xml:space="preserve">整体概述</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1.提供学生实验操作、学习区域，每个演示设备域2个学生位，电源受教师端集中控制。</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2.学生演示设备、水槽等为成套设备：演示设备平面为实验操作、学习区，配备书包斗。</w:t>
            </w:r>
            <w:r/>
          </w:p>
        </w:tc>
      </w:tr>
    </w:tbl>
    <w:p>
      <w:pPr>
        <w:rPr>
          <w:rFonts w:hint="eastAsia" w:cs="宋体" w:asciiTheme="minorEastAsia" w:hAnsiTheme="minorEastAsia" w:eastAsiaTheme="minorEastAsia"/>
        </w:rPr>
      </w:pPr>
      <w:r>
        <w:rPr>
          <w:rFonts w:cs="宋体" w:asciiTheme="minorEastAsia" w:hAnsiTheme="minorEastAsia" w:eastAsiaTheme="minorEastAsia"/>
        </w:rPr>
        <w:br w:type="page" w:clear="all"/>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学生实验设备</w:t>
      </w:r>
      <w:r>
        <w:rPr>
          <w:rFonts w:hint="eastAsia" w:cs="宋体" w:asciiTheme="minorEastAsia" w:hAnsiTheme="minorEastAsia" w:eastAsiaTheme="minorEastAsia"/>
          <w:sz w:val="24"/>
          <w:lang w:bidi="ar"/>
        </w:rPr>
        <w:t xml:space="preserve">（一）水槽、三联水嘴</w:t>
      </w:r>
      <w:r>
        <w:rPr>
          <w:rFonts w:hint="eastAsia" w:cs="宋体" w:asciiTheme="minorEastAsia" w:hAnsiTheme="minorEastAsia" w:eastAsiaTheme="minorEastAsia"/>
          <w:sz w:val="24"/>
        </w:rPr>
        <w:t xml:space="preserve">，数量：14</w:t>
      </w:r>
      <w:r/>
    </w:p>
    <w:tbl>
      <w:tblPr>
        <w:tblW w:w="48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0"/>
        <w:gridCol w:w="1294"/>
        <w:gridCol w:w="8082"/>
      </w:tblGrid>
      <w:tr>
        <w:trPr>
          <w:trHeight w:val="313"/>
          <w:tblHeader/>
        </w:trPr>
        <w:tc>
          <w:tcPr>
            <w:gridSpan w:val="2"/>
            <w:tcW w:w="1135"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865"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r>
      <w:tr>
        <w:trPr>
          <w:trHeight w:val="528"/>
        </w:trPr>
        <w:tc>
          <w:tcPr>
            <w:tcW w:w="51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水槽</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外观尺寸</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≥500×600×820mm</w:t>
            </w:r>
            <w:r/>
          </w:p>
        </w:tc>
      </w:tr>
      <w:tr>
        <w:trPr>
          <w:trHeight w:val="528"/>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水槽尺寸</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≥400×370×250mm（内径）</w:t>
            </w:r>
            <w:r/>
          </w:p>
        </w:tc>
      </w:tr>
      <w:tr>
        <w:trPr>
          <w:trHeight w:val="902"/>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采用环保型ABS工程塑料一次性注塑成型，表面木纹与光面项结合处理</w:t>
            </w:r>
            <w:r/>
          </w:p>
        </w:tc>
      </w:tr>
      <w:tr>
        <w:trPr>
          <w:trHeight w:val="528"/>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壁厚</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水槽壁厚6mm</w:t>
            </w:r>
            <w:r/>
          </w:p>
        </w:tc>
      </w:tr>
      <w:tr>
        <w:trPr>
          <w:trHeight w:val="1299"/>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结构</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（两套学生桌共用1套水槽）前部凸起榫卯连接结构并合理布局加强筋，安装时不用胶水粘结，不用任何金属螺丝，能够通过自身力量相互连接，实现不变形，不扭曲</w:t>
            </w:r>
            <w:r/>
          </w:p>
        </w:tc>
      </w:tr>
      <w:tr>
        <w:trPr>
          <w:trHeight w:val="528"/>
        </w:trPr>
        <w:tc>
          <w:tcPr>
            <w:tcW w:w="51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★三联水嘴</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整体材质</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铜质表面烤漆处理</w:t>
            </w:r>
            <w:r/>
          </w:p>
        </w:tc>
      </w:tr>
      <w:tr>
        <w:trPr>
          <w:trHeight w:val="528"/>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阀芯</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陶瓷阀芯</w:t>
            </w:r>
            <w:r/>
          </w:p>
        </w:tc>
      </w:tr>
      <w:tr>
        <w:trPr>
          <w:trHeight w:val="633"/>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鹅颈管</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可360度旋转</w:t>
            </w:r>
            <w:r/>
          </w:p>
        </w:tc>
      </w:tr>
      <w:tr>
        <w:trPr>
          <w:trHeight w:val="1777"/>
        </w:trPr>
        <w:tc>
          <w:tcPr>
            <w:gridSpan w:val="2"/>
            <w:tcW w:w="113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sz w:val="20"/>
                <w:szCs w:val="20"/>
                <w:lang w:bidi="ar"/>
              </w:rPr>
              <w:t xml:space="preserve">其他要求</w:t>
            </w:r>
            <w:r/>
          </w:p>
        </w:tc>
        <w:tc>
          <w:tcPr>
            <w:tcW w:w="3865" w:type="pct"/>
            <w:vAlign w:val="center"/>
            <w:textDirection w:val="lrTb"/>
            <w:noWrap w:val="false"/>
          </w:tcPr>
          <w:p>
            <w:pPr>
              <w:pStyle w:val="2043"/>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▲水槽：符合GB 28481-2012 塑料家具中有害物质限量要求；邻苯二甲酸酯：DBP、BBP、DEHP、DNOP均≤0.001%；DINP、DIDP均≤0.005%；重金属：可溶性镉、可溶性铬、可溶性铅均≤5mg/kg、可溶性汞≤2mg/kg；多环芳烃：苯并[a]芘、16种多环芳烃（PAH）总量均未检出。提供由经国家认证委认证的第三方检测机构出具的检测报告（检测报告上须含有“CMA”或“CNAS”标志）</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rPr>
            </w:r>
            <w:r/>
          </w:p>
        </w:tc>
      </w:tr>
    </w:tbl>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学生实验设备（二），数量：56</w:t>
      </w:r>
      <w:r/>
    </w:p>
    <w:tbl>
      <w:tblPr>
        <w:tblW w:w="48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9"/>
        <w:gridCol w:w="1297"/>
        <w:gridCol w:w="8080"/>
      </w:tblGrid>
      <w:tr>
        <w:trPr>
          <w:trHeight w:val="373"/>
          <w:tblHeader/>
        </w:trPr>
        <w:tc>
          <w:tcPr>
            <w:gridSpan w:val="2"/>
            <w:tcW w:w="1136"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864"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r>
      <w:tr>
        <w:trPr>
          <w:trHeight w:val="508"/>
        </w:trPr>
        <w:tc>
          <w:tcPr>
            <w:tcW w:w="516"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整体规格</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≥1200×600×780mm</w:t>
            </w:r>
            <w:r/>
          </w:p>
        </w:tc>
      </w:tr>
      <w:tr>
        <w:trPr>
          <w:trHeight w:val="508"/>
        </w:trPr>
        <w:tc>
          <w:tcPr>
            <w:tcW w:w="51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操作区平面</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双面膜耐腐蚀实芯理化板</w:t>
            </w:r>
            <w:r/>
          </w:p>
        </w:tc>
      </w:tr>
      <w:tr>
        <w:trPr>
          <w:trHeight w:val="508"/>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厚度</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12.7mm（实验台前端两角倒R20圆角）</w:t>
            </w:r>
            <w:r/>
          </w:p>
        </w:tc>
      </w:tr>
      <w:tr>
        <w:trPr>
          <w:trHeight w:val="916"/>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前挡板参数</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前挡板整体采用厚1.0mm挤出成型铝合金，尺寸：1070*28*98mm，金属表面经高温塑粉烤漆处理。金属表面经高温塑粉烤漆处理</w:t>
            </w:r>
            <w:r/>
          </w:p>
        </w:tc>
      </w:tr>
      <w:tr>
        <w:trPr>
          <w:trHeight w:val="916"/>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左右侧挡板</w:t>
            </w:r>
            <w:r/>
          </w:p>
        </w:tc>
        <w:tc>
          <w:tcPr>
            <w:tcW w:w="3864" w:type="pct"/>
            <w:vAlign w:val="center"/>
            <w:textDirection w:val="lrTb"/>
            <w:noWrap w:val="false"/>
          </w:tcPr>
          <w:p>
            <w:pPr>
              <w:pStyle w:val="1095"/>
              <w:ind w:firstLine="400"/>
              <w:rPr>
                <w:rFonts w:hint="eastAsia" w:cs="宋体" w:asciiTheme="minorEastAsia" w:hAnsiTheme="minorEastAsia"/>
              </w:rPr>
            </w:pPr>
            <w:r>
              <w:rPr>
                <w:rFonts w:hint="eastAsia" w:cs="宋体" w:asciiTheme="minorEastAsia" w:hAnsiTheme="minorEastAsia"/>
                <w:bCs/>
                <w:sz w:val="20"/>
                <w:szCs w:val="20"/>
                <w:lang w:bidi="ar"/>
              </w:rPr>
              <w:t xml:space="preserve">左右两侧设有挡板，采用ABS工程塑料一体成型，</w:t>
            </w:r>
            <w:r>
              <w:rPr>
                <w:rFonts w:hint="eastAsia" w:cs="宋体" w:asciiTheme="minorEastAsia" w:hAnsiTheme="minorEastAsia"/>
              </w:rPr>
              <w:t xml:space="preserve">尺寸：215*75*98±2mm；</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易碰撞处全部采用倒圆角处理</w:t>
            </w:r>
            <w:r/>
          </w:p>
        </w:tc>
      </w:tr>
      <w:tr>
        <w:trPr>
          <w:trHeight w:val="508"/>
        </w:trPr>
        <w:tc>
          <w:tcPr>
            <w:tcW w:w="51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支撑架</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塑钢结构</w:t>
            </w:r>
            <w:r/>
          </w:p>
        </w:tc>
      </w:tr>
      <w:tr>
        <w:trPr>
          <w:trHeight w:val="508"/>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造型</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“Z"型</w:t>
            </w:r>
            <w:r/>
          </w:p>
        </w:tc>
      </w:tr>
      <w:tr>
        <w:trPr>
          <w:trHeight w:val="508"/>
        </w:trPr>
        <w:tc>
          <w:tcPr>
            <w:tcW w:w="51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支撑主体</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金属方管</w:t>
            </w:r>
            <w:r/>
          </w:p>
        </w:tc>
      </w:tr>
      <w:tr>
        <w:trPr>
          <w:trHeight w:val="916"/>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支撑固定方管尺寸:≥30*30*厚1.5mm；左右侧边支管加强连接件金属尺寸：198*71*32*厚3mm；</w:t>
            </w:r>
            <w:r/>
          </w:p>
        </w:tc>
      </w:tr>
      <w:tr>
        <w:trPr>
          <w:trHeight w:val="539"/>
        </w:trPr>
        <w:tc>
          <w:tcPr>
            <w:tcW w:w="51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左右侧边支管、下拉杆、底管</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钢制</w:t>
            </w:r>
            <w:r/>
          </w:p>
        </w:tc>
      </w:tr>
      <w:tr>
        <w:trPr>
          <w:trHeight w:val="1229"/>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左右侧边支管椭圆管尺寸：80*40厚2.0mm；下拉杆椭圆管尺寸：80*40厚1.2mm；左右侧边支杆底管尺寸：60*30*厚1.8mm；桌脚外侧安装ABS工程塑料护套，外观流线简洁美观，易碰撞处全部采用倒圆角处理，整体设计美观、合理、安全、牢固、耐用。</w:t>
            </w:r>
            <w:r/>
          </w:p>
        </w:tc>
      </w:tr>
      <w:tr>
        <w:trPr>
          <w:trHeight w:val="508"/>
        </w:trPr>
        <w:tc>
          <w:tcPr>
            <w:tcW w:w="51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书包斗</w:t>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环保型ABS工程塑料</w:t>
            </w:r>
            <w:r/>
          </w:p>
        </w:tc>
      </w:tr>
      <w:tr>
        <w:trPr>
          <w:trHeight w:val="563"/>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规格要求</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≥4.6mm、有挂凳口，一次性注塑成型</w:t>
            </w:r>
            <w:r/>
          </w:p>
        </w:tc>
      </w:tr>
      <w:tr>
        <w:trPr>
          <w:trHeight w:val="1708"/>
        </w:trPr>
        <w:tc>
          <w:tcPr>
            <w:gridSpan w:val="2"/>
            <w:tcW w:w="1136"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sz w:val="20"/>
                <w:szCs w:val="20"/>
                <w:lang w:bidi="ar"/>
              </w:rPr>
              <w:t xml:space="preserve">整体概述</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1.提供学生实验操作、学习区域，每个演示设备域2个学生位，电源受教师端集中控制。</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2.学生演示设备、水槽等为成套设备：演示设备平面为实验操作、学习区，配备书包斗。</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学生实验设备（三），数量：28</w:t>
      </w:r>
      <w:r/>
    </w:p>
    <w:tbl>
      <w:tblPr>
        <w:tblW w:w="48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8"/>
        <w:gridCol w:w="1286"/>
        <w:gridCol w:w="8082"/>
      </w:tblGrid>
      <w:tr>
        <w:trPr>
          <w:trHeight w:val="370"/>
          <w:tblHeader/>
        </w:trPr>
        <w:tc>
          <w:tcPr>
            <w:gridSpan w:val="2"/>
            <w:tcW w:w="1135"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865"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r>
      <w:tr>
        <w:trPr>
          <w:trHeight w:val="370"/>
        </w:trPr>
        <w:tc>
          <w:tcPr>
            <w:tcW w:w="520"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整体规格</w:t>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≥1200×600×780mm</w:t>
            </w:r>
            <w:r/>
          </w:p>
        </w:tc>
      </w:tr>
      <w:tr>
        <w:trPr>
          <w:trHeight w:val="370"/>
        </w:trPr>
        <w:tc>
          <w:tcPr>
            <w:tcW w:w="520"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操作区平面</w:t>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双面膜耐腐蚀实芯理化板</w:t>
            </w:r>
            <w:r/>
          </w:p>
        </w:tc>
      </w:tr>
      <w:tr>
        <w:trPr>
          <w:trHeight w:val="370"/>
        </w:trPr>
        <w:tc>
          <w:tcPr>
            <w:tcW w:w="52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厚度</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12.7mm（实验台前端两角倒R20圆角）</w:t>
            </w:r>
            <w:r/>
          </w:p>
        </w:tc>
      </w:tr>
      <w:tr>
        <w:trPr>
          <w:trHeight w:val="672"/>
        </w:trPr>
        <w:tc>
          <w:tcPr>
            <w:tcW w:w="52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前挡板参数</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前挡板整体采用厚1.0mm挤出成型铝合金，尺寸：1070*28*98mm金属表面经高温塑粉烤漆处理。</w:t>
            </w:r>
            <w:r/>
          </w:p>
        </w:tc>
      </w:tr>
      <w:tr>
        <w:trPr>
          <w:trHeight w:val="672"/>
        </w:trPr>
        <w:tc>
          <w:tcPr>
            <w:tcW w:w="52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左右侧挡板</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左右两侧设有挡板，采用ABS工程塑料一体成型，，</w:t>
            </w:r>
            <w:r>
              <w:rPr>
                <w:rFonts w:hint="eastAsia" w:cs="宋体" w:asciiTheme="minorEastAsia" w:hAnsiTheme="minorEastAsia" w:eastAsiaTheme="minorEastAsia"/>
              </w:rPr>
              <w:t xml:space="preserve">尺寸：215*75*98±2mm；</w:t>
            </w:r>
            <w:r>
              <w:rPr>
                <w:rFonts w:hint="eastAsia" w:cs="宋体" w:asciiTheme="minorEastAsia" w:hAnsiTheme="minorEastAsia" w:eastAsiaTheme="minorEastAsia"/>
                <w:bCs/>
                <w:sz w:val="20"/>
                <w:szCs w:val="20"/>
                <w:lang w:bidi="ar"/>
              </w:rPr>
              <w:t xml:space="preserve">易碰撞处全部采用倒圆角处理</w:t>
            </w:r>
            <w:r/>
          </w:p>
        </w:tc>
      </w:tr>
      <w:tr>
        <w:trPr>
          <w:trHeight w:val="370"/>
        </w:trPr>
        <w:tc>
          <w:tcPr>
            <w:tcW w:w="520"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支撑架</w:t>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塑钢结构</w:t>
            </w:r>
            <w:r/>
          </w:p>
        </w:tc>
      </w:tr>
      <w:tr>
        <w:trPr>
          <w:trHeight w:val="370"/>
        </w:trPr>
        <w:tc>
          <w:tcPr>
            <w:tcW w:w="52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造型</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“Z"型</w:t>
            </w:r>
            <w:r/>
          </w:p>
        </w:tc>
      </w:tr>
      <w:tr>
        <w:trPr>
          <w:trHeight w:val="370"/>
        </w:trPr>
        <w:tc>
          <w:tcPr>
            <w:tcW w:w="520"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支撑主体</w:t>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金属方管</w:t>
            </w:r>
            <w:r/>
          </w:p>
        </w:tc>
      </w:tr>
      <w:tr>
        <w:trPr>
          <w:trHeight w:val="672"/>
        </w:trPr>
        <w:tc>
          <w:tcPr>
            <w:tcW w:w="52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支撑固定方管尺寸:≥30*30*厚1.5mm；左右侧边支管加强连接件金属尺寸：198*71*32*厚3mm；</w:t>
            </w:r>
            <w:r/>
          </w:p>
        </w:tc>
      </w:tr>
      <w:tr>
        <w:trPr>
          <w:trHeight w:val="394"/>
        </w:trPr>
        <w:tc>
          <w:tcPr>
            <w:tcW w:w="520"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左右侧边支管、下拉杆、底管</w:t>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钢制</w:t>
            </w:r>
            <w:r/>
          </w:p>
        </w:tc>
      </w:tr>
      <w:tr>
        <w:trPr>
          <w:trHeight w:val="1304"/>
        </w:trPr>
        <w:tc>
          <w:tcPr>
            <w:tcW w:w="52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左右侧边支管椭圆管尺寸：80*40厚2.0mm；下拉杆椭圆管尺寸：80*40厚1.2mm；左右侧边支杆底管尺寸：60*30*厚1.8mm；桌脚外侧安装ABS工程塑料护套，外观流线简洁美观，易碰撞处全部采用倒圆角处理，整体设计美观、合理、安全、牢固、耐用。</w:t>
            </w:r>
            <w:r/>
          </w:p>
        </w:tc>
      </w:tr>
      <w:tr>
        <w:trPr>
          <w:trHeight w:val="370"/>
        </w:trPr>
        <w:tc>
          <w:tcPr>
            <w:tcW w:w="520"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书包斗</w:t>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环保型ABS工程塑料</w:t>
            </w:r>
            <w:r/>
          </w:p>
        </w:tc>
      </w:tr>
      <w:tr>
        <w:trPr>
          <w:trHeight w:val="370"/>
        </w:trPr>
        <w:tc>
          <w:tcPr>
            <w:tcW w:w="52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规格要求</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≥4.6mm、有挂凳口，一次性注塑成型</w:t>
            </w:r>
            <w:r/>
          </w:p>
        </w:tc>
      </w:tr>
      <w:tr>
        <w:trPr>
          <w:trHeight w:val="370"/>
        </w:trPr>
        <w:tc>
          <w:tcPr>
            <w:tcW w:w="520"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箱体</w:t>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环保型ABS工程塑料</w:t>
            </w:r>
            <w:r/>
          </w:p>
        </w:tc>
      </w:tr>
      <w:tr>
        <w:trPr>
          <w:trHeight w:val="814"/>
        </w:trPr>
        <w:tc>
          <w:tcPr>
            <w:tcW w:w="52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规格要求</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380*220*730±2mm，采用环保型ABS工程塑料一次性注塑成型。</w:t>
            </w:r>
            <w:r/>
          </w:p>
        </w:tc>
      </w:tr>
      <w:tr>
        <w:trPr>
          <w:trHeight w:val="479"/>
        </w:trPr>
        <w:tc>
          <w:tcPr>
            <w:tcW w:w="520"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▲学生电源</w:t>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安装位置</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实验操作区平面</w:t>
            </w:r>
            <w:r/>
          </w:p>
        </w:tc>
      </w:tr>
      <w:tr>
        <w:trPr>
          <w:trHeight w:val="990"/>
        </w:trPr>
        <w:tc>
          <w:tcPr>
            <w:tcW w:w="52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低压交流电压</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学生电源的低压交流电压分两档，即1V-18V/2A、19V-30V/1A，分辨率1V，具备自动智能侦测过载保护功能，电流高于过载保护点则自动保护、电流低于过载保护点则自动恢复至设定值。</w:t>
            </w:r>
            <w:r/>
          </w:p>
        </w:tc>
      </w:tr>
      <w:tr>
        <w:trPr>
          <w:trHeight w:val="1304"/>
        </w:trPr>
        <w:tc>
          <w:tcPr>
            <w:tcW w:w="52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低压直流电压</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学生电源的低压直流电压分两档，即1.5V-16V/2A、16.1V-30V/1A，分辨率为0.1V。具备自动智能侦测过载保护功能，电流高于过载保护点则自动保护、电流低于过载保护点则自动恢复至设定值。</w:t>
            </w:r>
            <w:r/>
          </w:p>
        </w:tc>
      </w:tr>
      <w:tr>
        <w:trPr>
          <w:trHeight w:val="672"/>
        </w:trPr>
        <w:tc>
          <w:tcPr>
            <w:tcW w:w="52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电源输出</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具有不少于1组5孔220V交流电源输出插座，并带有交流220V输出显示</w:t>
            </w:r>
            <w:r/>
          </w:p>
        </w:tc>
      </w:tr>
      <w:tr>
        <w:trPr>
          <w:trHeight w:val="2174"/>
        </w:trPr>
        <w:tc>
          <w:tcPr>
            <w:tcW w:w="520"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5"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其他功能</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1、教师可集中分组控制学生电源通断。</w:t>
            </w:r>
            <w:r>
              <w:rPr>
                <w:rFonts w:hint="eastAsia" w:cs="宋体" w:asciiTheme="minorEastAsia" w:hAnsiTheme="minorEastAsia" w:eastAsiaTheme="minorEastAsia"/>
                <w:bCs/>
                <w:sz w:val="20"/>
                <w:szCs w:val="20"/>
                <w:lang w:bidi="ar"/>
              </w:rPr>
              <w:br/>
              <w:t xml:space="preserve">2、学生电源被教师控制及锁定后不能自主操作。</w:t>
            </w:r>
            <w:r>
              <w:rPr>
                <w:rFonts w:hint="eastAsia" w:cs="宋体" w:asciiTheme="minorEastAsia" w:hAnsiTheme="minorEastAsia" w:eastAsiaTheme="minorEastAsia"/>
                <w:bCs/>
                <w:sz w:val="20"/>
                <w:szCs w:val="20"/>
                <w:lang w:bidi="ar"/>
              </w:rPr>
              <w:br/>
              <w:t xml:space="preserve">3、过载保护采用数码闪烁提示功能。</w:t>
            </w:r>
            <w:r>
              <w:rPr>
                <w:rFonts w:hint="eastAsia" w:cs="宋体" w:asciiTheme="minorEastAsia" w:hAnsiTheme="minorEastAsia" w:eastAsiaTheme="minorEastAsia"/>
                <w:bCs/>
                <w:sz w:val="20"/>
                <w:szCs w:val="20"/>
                <w:lang w:bidi="ar"/>
              </w:rPr>
              <w:br/>
              <w:t xml:space="preserve">4、学生电源技术要求满足：GB4793.1-2007《测量、控制和实验室用电气设备的安全要求 第1部分：通用要求》。</w:t>
            </w:r>
            <w:r/>
          </w:p>
        </w:tc>
      </w:tr>
      <w:tr>
        <w:trPr>
          <w:trHeight w:val="1446"/>
        </w:trPr>
        <w:tc>
          <w:tcPr>
            <w:gridSpan w:val="2"/>
            <w:tcW w:w="113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其他要求</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▲箱体：符合GB 28481-2012 塑料家具中有害物质限量要求；邻苯二甲酸酯：DBP、BBP、DEHP、DNOP均≤0.001%；DINP、DIDP均≤0.005%；重金属：可溶性镉、可溶性铬、可溶性铅均≤5mg/kg、可溶性汞≤2mg/kg；多环芳烃：苯并[a]芘≤0.05mg/kg；16种多环芳烃（PAH）总量未检出。须提供国家认可的第三方检测机构出具的检测报告（具备CMA或CNAS标志）复印件</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▲学生电源:满足：GB4793.1-2007《测量、控制和实验室用电气设备的安全要求 第1部分：通用要求》。须提供国家认可的第三方检测机构出具的检测报告（具备CMA或CNAS标志）复印件</w:t>
            </w:r>
            <w:r/>
          </w:p>
        </w:tc>
      </w:tr>
      <w:tr>
        <w:trPr>
          <w:trHeight w:val="1634"/>
        </w:trPr>
        <w:tc>
          <w:tcPr>
            <w:gridSpan w:val="2"/>
            <w:tcW w:w="1135"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tcW w:w="3865"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1.提供学生实验操作、学习区域，每个演示设备域2个学生位，电源受教师端集中控制。</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2.学生演示设备、水槽等为成套设备：演示设备平面为实验操作、学习区，配备书包斗。</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学生实验设备（四），数量：7</w:t>
      </w:r>
      <w:r/>
    </w:p>
    <w:tbl>
      <w:tblPr>
        <w:tblW w:w="48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3"/>
        <w:gridCol w:w="1133"/>
        <w:gridCol w:w="8080"/>
      </w:tblGrid>
      <w:tr>
        <w:trPr>
          <w:trHeight w:val="321"/>
          <w:tblHeader/>
        </w:trPr>
        <w:tc>
          <w:tcPr>
            <w:gridSpan w:val="2"/>
            <w:tcW w:w="1136"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864"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r>
      <w:tr>
        <w:trPr>
          <w:trHeight w:val="321"/>
        </w:trPr>
        <w:tc>
          <w:tcPr>
            <w:tcW w:w="594"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整体规格</w:t>
            </w:r>
            <w:r/>
          </w:p>
        </w:tc>
        <w:tc>
          <w:tcPr>
            <w:tcW w:w="542"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≥2800×1200×780mm</w:t>
            </w:r>
            <w:r/>
          </w:p>
        </w:tc>
      </w:tr>
      <w:tr>
        <w:trPr>
          <w:trHeight w:val="510"/>
        </w:trPr>
        <w:tc>
          <w:tcPr>
            <w:tcW w:w="594"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操作区平面</w:t>
            </w:r>
            <w:r/>
          </w:p>
        </w:tc>
        <w:tc>
          <w:tcPr>
            <w:tcW w:w="542"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双面膜实芯理化板(2.8m长台面一体成型)</w:t>
            </w:r>
            <w:r/>
          </w:p>
        </w:tc>
      </w:tr>
      <w:tr>
        <w:trPr>
          <w:trHeight w:val="510"/>
        </w:trPr>
        <w:tc>
          <w:tcPr>
            <w:tcW w:w="59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42"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厚度</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≥12.7mm</w:t>
            </w:r>
            <w:r/>
          </w:p>
        </w:tc>
      </w:tr>
      <w:tr>
        <w:trPr>
          <w:trHeight w:val="578"/>
        </w:trPr>
        <w:tc>
          <w:tcPr>
            <w:tcW w:w="594"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书包斗</w:t>
            </w:r>
            <w:r/>
          </w:p>
        </w:tc>
        <w:tc>
          <w:tcPr>
            <w:tcW w:w="542"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整体ABS工程塑料一次性注塑成型</w:t>
            </w:r>
            <w:r/>
          </w:p>
        </w:tc>
      </w:tr>
      <w:tr>
        <w:trPr>
          <w:trHeight w:val="520"/>
        </w:trPr>
        <w:tc>
          <w:tcPr>
            <w:tcW w:w="59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42"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规格要求</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≥425*270*165mm镂空设计</w:t>
            </w:r>
            <w:r/>
          </w:p>
        </w:tc>
      </w:tr>
      <w:tr>
        <w:trPr>
          <w:trHeight w:val="520"/>
        </w:trPr>
        <w:tc>
          <w:tcPr>
            <w:tcW w:w="594"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支撑脚</w:t>
            </w:r>
            <w:r/>
          </w:p>
        </w:tc>
        <w:tc>
          <w:tcPr>
            <w:tcW w:w="542"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优质铝镁合金型材和环保型ABS工程塑料连接组合框架</w:t>
            </w:r>
            <w:r/>
          </w:p>
        </w:tc>
      </w:tr>
      <w:tr>
        <w:trPr>
          <w:trHeight w:val="559"/>
        </w:trPr>
        <w:tc>
          <w:tcPr>
            <w:tcW w:w="59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542"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规格要求</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上腿规格：长580mm×宽50mm×高140mm。</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下腿规格：长510mm×宽50mm×高140mm。</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立柱：采用50mm×100mm，壁厚1.5mm。</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前横梁：采用43mm×40mm，壁厚1.2mm。</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中横梁：采用32mm×27mm，壁厚1.2mm。</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后横梁：采用50mm×95mm，壁厚1.2mm，</w:t>
            </w:r>
            <w:r/>
          </w:p>
        </w:tc>
      </w:tr>
      <w:tr>
        <w:trPr>
          <w:trHeight w:val="1432"/>
        </w:trPr>
        <w:tc>
          <w:tcPr>
            <w:gridSpan w:val="2"/>
            <w:tcW w:w="1136"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sz w:val="20"/>
                <w:szCs w:val="20"/>
                <w:lang w:bidi="ar"/>
              </w:rPr>
              <w:t xml:space="preserve">整体概述</w:t>
            </w:r>
            <w:r/>
          </w:p>
        </w:tc>
        <w:tc>
          <w:tcPr>
            <w:tcW w:w="386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1.提供学生实验操作、学习区域。</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2.生物创新实验室的学生演示设备包含：整体操作平面、书包斗、支撑体、箱体、电源、台灯、水槽、水嘴以及其他配套设施</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学生实验设备（四）箱体、学生电源、生物台灯，数量：28</w:t>
      </w:r>
      <w:r/>
    </w:p>
    <w:tbl>
      <w:tblPr>
        <w:tblW w:w="482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6"/>
        <w:gridCol w:w="1339"/>
        <w:gridCol w:w="8060"/>
      </w:tblGrid>
      <w:tr>
        <w:trPr>
          <w:trHeight w:val="321"/>
          <w:tblHeader/>
        </w:trPr>
        <w:tc>
          <w:tcPr>
            <w:gridSpan w:val="2"/>
            <w:tcW w:w="1093"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907"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r>
      <w:tr>
        <w:trPr>
          <w:trHeight w:val="520"/>
        </w:trPr>
        <w:tc>
          <w:tcPr>
            <w:tcW w:w="444"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箱体</w:t>
            </w:r>
            <w:r/>
          </w:p>
        </w:tc>
        <w:tc>
          <w:tcPr>
            <w:tcW w:w="64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90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环保型ABS工程塑料一次性注塑成型</w:t>
            </w:r>
            <w:r/>
          </w:p>
        </w:tc>
      </w:tr>
      <w:tr>
        <w:trPr>
          <w:trHeight w:val="520"/>
        </w:trPr>
        <w:tc>
          <w:tcPr>
            <w:tcW w:w="4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4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规格（要求）</w:t>
            </w:r>
            <w:r/>
          </w:p>
        </w:tc>
        <w:tc>
          <w:tcPr>
            <w:tcW w:w="390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380*220*730±2mm，壁厚3.0mm</w:t>
            </w:r>
            <w:r/>
          </w:p>
        </w:tc>
      </w:tr>
      <w:tr>
        <w:trPr>
          <w:trHeight w:val="520"/>
        </w:trPr>
        <w:tc>
          <w:tcPr>
            <w:tcW w:w="444"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学生电源</w:t>
            </w:r>
            <w:r/>
          </w:p>
        </w:tc>
        <w:tc>
          <w:tcPr>
            <w:tcW w:w="64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位置</w:t>
            </w:r>
            <w:r/>
          </w:p>
        </w:tc>
        <w:tc>
          <w:tcPr>
            <w:tcW w:w="390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桌斗中间位置固定学生电源盒</w:t>
            </w:r>
            <w:r/>
          </w:p>
        </w:tc>
      </w:tr>
      <w:tr>
        <w:trPr>
          <w:trHeight w:val="520"/>
        </w:trPr>
        <w:tc>
          <w:tcPr>
            <w:tcW w:w="4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49"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电源输出</w:t>
            </w:r>
            <w:r/>
          </w:p>
        </w:tc>
        <w:tc>
          <w:tcPr>
            <w:tcW w:w="390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零火供电方式，负载功率高。</w:t>
            </w:r>
            <w:r/>
          </w:p>
        </w:tc>
      </w:tr>
      <w:tr>
        <w:trPr>
          <w:trHeight w:val="520"/>
        </w:trPr>
        <w:tc>
          <w:tcPr>
            <w:tcW w:w="4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49"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90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具备1个220V交流电源输出插座</w:t>
            </w:r>
            <w:r/>
          </w:p>
        </w:tc>
      </w:tr>
      <w:tr>
        <w:trPr>
          <w:trHeight w:val="520"/>
        </w:trPr>
        <w:tc>
          <w:tcPr>
            <w:tcW w:w="4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4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90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需要具备短路、过载保护功能，并带有交流220V输出显示</w:t>
            </w:r>
            <w:r/>
          </w:p>
        </w:tc>
      </w:tr>
      <w:tr>
        <w:trPr>
          <w:trHeight w:val="520"/>
        </w:trPr>
        <w:tc>
          <w:tcPr>
            <w:tcW w:w="444"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生物台灯</w:t>
            </w:r>
            <w:r/>
          </w:p>
        </w:tc>
        <w:tc>
          <w:tcPr>
            <w:tcW w:w="64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安装位置</w:t>
            </w:r>
            <w:r/>
          </w:p>
        </w:tc>
        <w:tc>
          <w:tcPr>
            <w:tcW w:w="390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生物实验室配置（演示设备）</w:t>
            </w:r>
            <w:r/>
          </w:p>
        </w:tc>
      </w:tr>
      <w:tr>
        <w:trPr>
          <w:trHeight w:val="520"/>
        </w:trPr>
        <w:tc>
          <w:tcPr>
            <w:tcW w:w="4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4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90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约400×180mm</w:t>
            </w:r>
            <w:r/>
          </w:p>
        </w:tc>
      </w:tr>
      <w:tr>
        <w:trPr>
          <w:trHeight w:val="520"/>
        </w:trPr>
        <w:tc>
          <w:tcPr>
            <w:tcW w:w="4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4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电压</w:t>
            </w:r>
            <w:r/>
          </w:p>
        </w:tc>
        <w:tc>
          <w:tcPr>
            <w:tcW w:w="390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AC86V-AC220V</w:t>
            </w:r>
            <w:r/>
          </w:p>
        </w:tc>
      </w:tr>
      <w:tr>
        <w:trPr>
          <w:trHeight w:val="520"/>
        </w:trPr>
        <w:tc>
          <w:tcPr>
            <w:tcW w:w="4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4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功率</w:t>
            </w:r>
            <w:r/>
          </w:p>
        </w:tc>
        <w:tc>
          <w:tcPr>
            <w:tcW w:w="390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约5W</w:t>
            </w:r>
            <w:r/>
          </w:p>
        </w:tc>
      </w:tr>
      <w:tr>
        <w:trPr>
          <w:trHeight w:val="520"/>
        </w:trPr>
        <w:tc>
          <w:tcPr>
            <w:tcW w:w="4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4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90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优质不锈钢材+亚克力</w:t>
            </w:r>
            <w:r/>
          </w:p>
        </w:tc>
      </w:tr>
      <w:tr>
        <w:trPr>
          <w:trHeight w:val="520"/>
        </w:trPr>
        <w:tc>
          <w:tcPr>
            <w:tcW w:w="4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4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发光颜色</w:t>
            </w:r>
            <w:r/>
          </w:p>
        </w:tc>
        <w:tc>
          <w:tcPr>
            <w:tcW w:w="390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正白光</w:t>
            </w:r>
            <w:r/>
          </w:p>
        </w:tc>
      </w:tr>
      <w:tr>
        <w:trPr>
          <w:trHeight w:val="520"/>
        </w:trPr>
        <w:tc>
          <w:tcPr>
            <w:tcW w:w="4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4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投射角度</w:t>
            </w:r>
            <w:r/>
          </w:p>
        </w:tc>
        <w:tc>
          <w:tcPr>
            <w:tcW w:w="390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180度</w:t>
            </w:r>
            <w:r/>
          </w:p>
        </w:tc>
      </w:tr>
      <w:tr>
        <w:trPr>
          <w:trHeight w:val="520"/>
        </w:trPr>
        <w:tc>
          <w:tcPr>
            <w:tcW w:w="444"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4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环境温度</w:t>
            </w:r>
            <w:r/>
          </w:p>
        </w:tc>
        <w:tc>
          <w:tcPr>
            <w:tcW w:w="390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-30-60 ℃</w:t>
            </w:r>
            <w:r/>
          </w:p>
        </w:tc>
      </w:tr>
      <w:tr>
        <w:trPr>
          <w:trHeight w:val="1107"/>
        </w:trPr>
        <w:tc>
          <w:tcPr>
            <w:gridSpan w:val="2"/>
            <w:tcW w:w="1093"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sz w:val="20"/>
                <w:szCs w:val="20"/>
                <w:lang w:bidi="ar"/>
              </w:rPr>
              <w:t xml:space="preserve">整体概述</w:t>
            </w:r>
            <w:r/>
          </w:p>
        </w:tc>
        <w:tc>
          <w:tcPr>
            <w:tcW w:w="390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1.提供学生实验操作、学习区域。</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2、生物创新实验室的学生演示设备包含：整体操作平面、书包斗、桌架、箱体、电源、台灯、水槽、水嘴以及其他配套设施</w:t>
            </w:r>
            <w:r/>
          </w:p>
        </w:tc>
      </w:tr>
    </w:tbl>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实验准备设备（一），数量：2</w:t>
      </w:r>
      <w:r/>
    </w:p>
    <w:tbl>
      <w:tblPr>
        <w:tblW w:w="48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276"/>
        <w:gridCol w:w="8221"/>
      </w:tblGrid>
      <w:tr>
        <w:trPr>
          <w:trHeight w:val="346"/>
          <w:tblHeader/>
        </w:trPr>
        <w:tc>
          <w:tcPr>
            <w:gridSpan w:val="2"/>
            <w:tcW w:w="1069"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931" w:type="pct"/>
            <w:vAlign w:val="center"/>
            <w:textDirection w:val="lrTb"/>
            <w:noWrap/>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r>
      <w:tr>
        <w:trPr>
          <w:trHeight w:val="457"/>
        </w:trPr>
        <w:tc>
          <w:tcPr>
            <w:tcW w:w="459"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整体规格</w:t>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931"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≥2400*1200*780mm（含水槽台长3000mm）</w:t>
            </w:r>
            <w:r/>
          </w:p>
        </w:tc>
      </w:tr>
      <w:tr>
        <w:trPr>
          <w:trHeight w:val="461"/>
        </w:trPr>
        <w:tc>
          <w:tcPr>
            <w:tcW w:w="459"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▲操作区平面</w:t>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931"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双面膜实芯理化板</w:t>
            </w:r>
            <w:r/>
          </w:p>
        </w:tc>
      </w:tr>
      <w:tr>
        <w:trPr>
          <w:trHeight w:val="515"/>
        </w:trPr>
        <w:tc>
          <w:tcPr>
            <w:tcW w:w="459"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厚度</w:t>
            </w:r>
            <w:r/>
          </w:p>
        </w:tc>
        <w:tc>
          <w:tcPr>
            <w:tcW w:w="3931"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≥12.7mm</w:t>
            </w:r>
            <w:r/>
          </w:p>
        </w:tc>
      </w:tr>
      <w:tr>
        <w:trPr>
          <w:trHeight w:val="1043"/>
        </w:trPr>
        <w:tc>
          <w:tcPr>
            <w:tcBorders>
              <w:bottom w:val="single" w:color="auto" w:sz="4" w:space="0"/>
            </w:tcBorders>
            <w:tcW w:w="459"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环保要求</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符合甲醛释放量&lt;0.005 mg/M3；同时参照GB 18584-2001《室内装饰装修材料木家具中有害物质限量》标准，符合4种重金属含量mg/kg（可溶性铅≤2.8、镉：≤0.1、铬≤0.2、汞：未检出）</w:t>
            </w:r>
            <w:r/>
          </w:p>
        </w:tc>
      </w:tr>
      <w:tr>
        <w:trPr>
          <w:trHeight w:val="787"/>
        </w:trPr>
        <w:tc>
          <w:tcPr>
            <w:tcBorders>
              <w:top w:val="single" w:color="auto" w:sz="4" w:space="0"/>
              <w:left w:val="single" w:color="auto" w:sz="4" w:space="0"/>
              <w:bottom w:val="single" w:color="auto" w:sz="4" w:space="0"/>
              <w:right w:val="single" w:color="auto" w:sz="4" w:space="0"/>
            </w:tcBorders>
            <w:tcW w:w="459"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主体构造</w:t>
            </w:r>
            <w:r/>
          </w:p>
        </w:tc>
        <w:tc>
          <w:tcPr>
            <w:tcBorders>
              <w:left w:val="single" w:color="auto" w:sz="4" w:space="0"/>
            </w:tcBorders>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材质(含喷涂)</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桌脚采用三段式高强度铝合金结构并配有塑料连接件</w:t>
            </w:r>
            <w:r/>
          </w:p>
        </w:tc>
      </w:tr>
      <w:tr>
        <w:trPr>
          <w:trHeight w:val="751"/>
        </w:trPr>
        <w:tc>
          <w:tcPr>
            <w:tcBorders>
              <w:top w:val="single" w:color="auto" w:sz="4" w:space="0"/>
              <w:left w:val="single" w:color="auto" w:sz="4" w:space="0"/>
              <w:bottom w:val="single" w:color="auto" w:sz="4" w:space="0"/>
              <w:right w:val="single" w:color="auto" w:sz="4" w:space="0"/>
            </w:tcBorders>
            <w:tcW w:w="459"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left w:val="single" w:color="auto" w:sz="4" w:space="0"/>
            </w:tcBorders>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结构</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新型铝塑结构，金属表面经环氧树脂粉末喷涂高温固化处理</w:t>
            </w:r>
            <w:r/>
          </w:p>
        </w:tc>
      </w:tr>
      <w:tr>
        <w:trPr>
          <w:trHeight w:val="443"/>
        </w:trPr>
        <w:tc>
          <w:tcPr>
            <w:tcBorders>
              <w:top w:val="single" w:color="auto" w:sz="4" w:space="0"/>
            </w:tcBorders>
            <w:tcW w:w="459"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书包斗</w:t>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整体ABS工程塑料一次性注塑成型</w:t>
            </w:r>
            <w:r/>
          </w:p>
        </w:tc>
      </w:tr>
      <w:tr>
        <w:trPr>
          <w:trHeight w:val="496"/>
        </w:trPr>
        <w:tc>
          <w:tcPr>
            <w:tcW w:w="459"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规格尺寸</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≥400*260*110mm</w:t>
            </w:r>
            <w:r/>
          </w:p>
        </w:tc>
      </w:tr>
      <w:tr>
        <w:trPr>
          <w:trHeight w:val="432"/>
        </w:trPr>
        <w:tc>
          <w:tcPr>
            <w:tcW w:w="459"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支撑脚</w:t>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结构</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三段式高强度铝合金结构</w:t>
            </w:r>
            <w:r/>
          </w:p>
        </w:tc>
      </w:tr>
      <w:tr>
        <w:trPr>
          <w:trHeight w:val="1311"/>
        </w:trPr>
        <w:tc>
          <w:tcPr>
            <w:tcW w:w="459"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规格尺寸</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整体规格≥500*760mm,中立柱≥125*55mm*1.2mm厚承重型铝合金型材微倾斜式设计，同一侧面两只工型腿上部采用一条≥66*25mm铝合金型材连成一个整体</w:t>
            </w:r>
            <w:r/>
          </w:p>
        </w:tc>
      </w:tr>
      <w:tr>
        <w:trPr>
          <w:trHeight w:val="497"/>
        </w:trPr>
        <w:tc>
          <w:tcPr>
            <w:tcW w:w="459" w:type="pct"/>
            <w:vAlign w:val="center"/>
            <w:vMerge w:val="restart"/>
            <w:textDirection w:val="lrTb"/>
            <w:noWrap/>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水槽</w:t>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外观尺寸</w:t>
            </w:r>
            <w:r/>
          </w:p>
        </w:tc>
        <w:tc>
          <w:tcPr>
            <w:tcW w:w="3931"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≥500*600*780/840mm</w:t>
            </w:r>
            <w:r/>
          </w:p>
        </w:tc>
      </w:tr>
      <w:tr>
        <w:trPr>
          <w:trHeight w:val="461"/>
        </w:trPr>
        <w:tc>
          <w:tcPr>
            <w:tcW w:w="459"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水槽尺寸</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360*310*230mm</w:t>
            </w:r>
            <w:r/>
          </w:p>
        </w:tc>
      </w:tr>
      <w:tr>
        <w:trPr>
          <w:trHeight w:val="425"/>
        </w:trPr>
        <w:tc>
          <w:tcPr>
            <w:tcW w:w="459"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PP</w:t>
            </w:r>
            <w:r/>
          </w:p>
        </w:tc>
      </w:tr>
      <w:tr>
        <w:trPr>
          <w:trHeight w:val="515"/>
        </w:trPr>
        <w:tc>
          <w:tcPr>
            <w:tcW w:w="459"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壁厚</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6mm</w:t>
            </w:r>
            <w:r/>
          </w:p>
        </w:tc>
      </w:tr>
      <w:tr>
        <w:trPr>
          <w:trHeight w:val="461"/>
        </w:trPr>
        <w:tc>
          <w:tcPr>
            <w:tcW w:w="459" w:type="pct"/>
            <w:vAlign w:val="center"/>
            <w:vMerge w:val="restart"/>
            <w:textDirection w:val="lrTb"/>
            <w:noWrap/>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★三联水嘴</w:t>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整体材质</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铜喷塑</w:t>
            </w:r>
            <w:r/>
          </w:p>
        </w:tc>
      </w:tr>
      <w:tr>
        <w:trPr>
          <w:trHeight w:val="443"/>
        </w:trPr>
        <w:tc>
          <w:tcPr>
            <w:tcW w:w="459"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阀芯</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铜质瓷芯</w:t>
            </w:r>
            <w:r/>
          </w:p>
        </w:tc>
      </w:tr>
      <w:tr>
        <w:trPr>
          <w:trHeight w:val="497"/>
        </w:trPr>
        <w:tc>
          <w:tcPr>
            <w:tcW w:w="459" w:type="pct"/>
            <w:vAlign w:val="center"/>
            <w:vMerge w:val="restart"/>
            <w:textDirection w:val="lrTb"/>
            <w:noWrap/>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试剂架</w:t>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≥2400*335*750mm</w:t>
            </w:r>
            <w:r/>
          </w:p>
        </w:tc>
      </w:tr>
      <w:tr>
        <w:trPr>
          <w:trHeight w:val="425"/>
        </w:trPr>
        <w:tc>
          <w:tcPr>
            <w:tcW w:w="459"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框架材质</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铝玻试剂架（双面双层），可分两段，上下可调节</w:t>
            </w:r>
            <w:r/>
          </w:p>
        </w:tc>
      </w:tr>
      <w:tr>
        <w:trPr>
          <w:trHeight w:val="479"/>
        </w:trPr>
        <w:tc>
          <w:tcPr>
            <w:tcW w:w="459"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立柱（规格/厚度）</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≥42mm*90mm，厚度1.25mm（±0.2mm）</w:t>
            </w:r>
            <w:r/>
          </w:p>
        </w:tc>
      </w:tr>
      <w:tr>
        <w:trPr>
          <w:trHeight w:val="697"/>
        </w:trPr>
        <w:tc>
          <w:tcPr>
            <w:tcW w:w="459"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护栏</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优质铝材一体挤压成型，规格≥15mm*40mm，厚度1.2mm（±0.2mm）</w:t>
            </w:r>
            <w:r/>
          </w:p>
        </w:tc>
      </w:tr>
      <w:tr>
        <w:trPr>
          <w:trHeight w:val="1002"/>
        </w:trPr>
        <w:tc>
          <w:tcPr>
            <w:tcW w:w="459"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挂板</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中央台挂板规格≥300mm，采用高性能钢铁冲压成型，材料表面经过防腐氧化处理和纯环氧树脂塑粉高温固化处理，具有较强的耐蚀性及承重性</w:t>
            </w:r>
            <w:r/>
          </w:p>
        </w:tc>
      </w:tr>
      <w:tr>
        <w:trPr>
          <w:trHeight w:val="715"/>
        </w:trPr>
        <w:tc>
          <w:tcPr>
            <w:tcW w:w="459"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立柱底座</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≥1.0mm厚镀锌冷轧钢冲压成U字型，底部和侧面均有预留螺丝孔位用于固定桌面和立柱</w:t>
            </w:r>
            <w:r/>
          </w:p>
        </w:tc>
      </w:tr>
      <w:tr>
        <w:trPr>
          <w:trHeight w:val="426"/>
        </w:trPr>
        <w:tc>
          <w:tcPr>
            <w:tcW w:w="459"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立柱堵头</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全新料注塑成型</w:t>
            </w:r>
            <w:r/>
          </w:p>
        </w:tc>
      </w:tr>
      <w:tr>
        <w:trPr>
          <w:trHeight w:val="442"/>
        </w:trPr>
        <w:tc>
          <w:tcPr>
            <w:tcW w:w="459"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玻璃</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8mm厚的钢化玻璃，四周磨砂安全角</w:t>
            </w:r>
            <w:r/>
          </w:p>
        </w:tc>
      </w:tr>
      <w:tr>
        <w:trPr>
          <w:trHeight w:val="479"/>
        </w:trPr>
        <w:tc>
          <w:tcPr>
            <w:tcW w:w="459"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洗眼器</w:t>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主体采用环保型PP材料一次性注塑成型</w:t>
            </w:r>
            <w:r/>
          </w:p>
        </w:tc>
      </w:tr>
      <w:tr>
        <w:trPr>
          <w:trHeight w:val="479"/>
        </w:trPr>
        <w:tc>
          <w:tcPr>
            <w:tcW w:w="459"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工作压力</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0.2-0.4MPa</w:t>
            </w:r>
            <w:r/>
          </w:p>
        </w:tc>
      </w:tr>
      <w:tr>
        <w:trPr>
          <w:trHeight w:val="461"/>
        </w:trPr>
        <w:tc>
          <w:tcPr>
            <w:tcW w:w="459"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洗眼器喷头流量</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12升/分钟</w:t>
            </w:r>
            <w:r/>
          </w:p>
        </w:tc>
      </w:tr>
      <w:tr>
        <w:trPr>
          <w:trHeight w:val="1091"/>
        </w:trPr>
        <w:tc>
          <w:tcPr>
            <w:tcW w:w="459"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阀门可自动关闭，密封可靠；</w:t>
            </w:r>
            <w:r>
              <w:rPr>
                <w:rFonts w:hint="eastAsia" w:cs="宋体" w:asciiTheme="minorEastAsia" w:hAnsiTheme="minorEastAsia" w:eastAsiaTheme="minorEastAsia"/>
                <w:bCs/>
                <w:sz w:val="20"/>
                <w:szCs w:val="20"/>
                <w:lang w:bidi="ar"/>
              </w:rPr>
              <w:br/>
              <w:t xml:space="preserve">洗眼盆头，出水经缓压处理呈泡沫状水柱，防止冲伤眼睛，设有防尘盖，使用时可自动被水冲开。</w:t>
            </w:r>
            <w:r/>
          </w:p>
        </w:tc>
      </w:tr>
      <w:tr>
        <w:trPr>
          <w:trHeight w:val="725"/>
        </w:trPr>
        <w:tc>
          <w:tcPr>
            <w:tcW w:w="459"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电源</w:t>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位置</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中间位置固定学生电源盒。</w:t>
            </w:r>
            <w:r/>
          </w:p>
        </w:tc>
      </w:tr>
      <w:tr>
        <w:trPr>
          <w:trHeight w:val="472"/>
        </w:trPr>
        <w:tc>
          <w:tcPr>
            <w:tcW w:w="459"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电源输出</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零火供电方式，负载功率高。</w:t>
            </w:r>
            <w:r/>
          </w:p>
        </w:tc>
      </w:tr>
      <w:tr>
        <w:trPr>
          <w:trHeight w:val="615"/>
        </w:trPr>
        <w:tc>
          <w:tcPr>
            <w:tcW w:w="459"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具备1个220V交流电源输出插座。</w:t>
            </w:r>
            <w:r/>
          </w:p>
        </w:tc>
      </w:tr>
      <w:tr>
        <w:trPr>
          <w:trHeight w:val="592"/>
        </w:trPr>
        <w:tc>
          <w:tcPr>
            <w:tcW w:w="459"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网络接口</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学生实验设备预留网线（以太网接口（RJ - 45））。</w:t>
            </w:r>
            <w:r/>
          </w:p>
        </w:tc>
      </w:tr>
      <w:tr>
        <w:trPr>
          <w:trHeight w:val="636"/>
        </w:trPr>
        <w:tc>
          <w:tcPr>
            <w:tcW w:w="459"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具备短路、过载保护功能，并带有交流220V输出显示功能。</w:t>
            </w:r>
            <w:r/>
          </w:p>
        </w:tc>
      </w:tr>
      <w:tr>
        <w:trPr>
          <w:trHeight w:val="1660"/>
        </w:trPr>
        <w:tc>
          <w:tcPr>
            <w:gridSpan w:val="2"/>
            <w:tcW w:w="1069"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其他要求</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▲（1）操作区平面：须提供由经国家认证委认证的第三方检测机构出具的检测报告（检测报告上须含有“CMA”或“CNAS”标志），检测报告必须满足上述关于台面的环保性能的要求；                             </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★（2）三联水嘴：</w:t>
            </w:r>
            <w:r>
              <w:rPr>
                <w:rFonts w:cs="宋体" w:asciiTheme="minorEastAsia" w:hAnsiTheme="minorEastAsia" w:eastAsiaTheme="minorEastAsia"/>
                <w:color w:val="000000"/>
                <w:sz w:val="20"/>
              </w:rPr>
              <w:t xml:space="preserve">提供国家确定的认证机构出具的、处于有效期之内的节能产品认证证书</w:t>
            </w:r>
            <w:r>
              <w:rPr>
                <w:rFonts w:hint="eastAsia" w:cs="宋体" w:asciiTheme="minorEastAsia" w:hAnsiTheme="minorEastAsia" w:eastAsiaTheme="minorEastAsia"/>
                <w:bCs/>
                <w:sz w:val="20"/>
                <w:szCs w:val="20"/>
                <w:lang w:bidi="ar"/>
              </w:rPr>
              <w:t xml:space="preserve">。</w:t>
            </w:r>
            <w:r/>
          </w:p>
        </w:tc>
      </w:tr>
      <w:tr>
        <w:trPr>
          <w:trHeight w:val="1199"/>
        </w:trPr>
        <w:tc>
          <w:tcPr>
            <w:gridSpan w:val="2"/>
            <w:tcW w:w="1069"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tcW w:w="393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1.实验准备操作区域，通水、电、网络。</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2.为成套设备，化学准备实验设备配备试剂架、洗眼器以及其他相关配套设施。</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实验准备设备（二），数量：1</w:t>
      </w:r>
      <w:r/>
    </w:p>
    <w:tbl>
      <w:tblPr>
        <w:tblW w:w="443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276"/>
        <w:gridCol w:w="7229"/>
      </w:tblGrid>
      <w:tr>
        <w:trPr>
          <w:trHeight w:val="300"/>
          <w:tblHeader/>
        </w:trPr>
        <w:tc>
          <w:tcPr>
            <w:gridSpan w:val="2"/>
            <w:tcW w:w="1180"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820" w:type="pct"/>
            <w:vAlign w:val="center"/>
            <w:textDirection w:val="lrTb"/>
            <w:noWrap/>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r>
      <w:tr>
        <w:trPr>
          <w:trHeight w:val="333"/>
        </w:trPr>
        <w:tc>
          <w:tcPr>
            <w:tcW w:w="507"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整体规格</w:t>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820"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≥2400*1200*780mm（含水槽台长3000mm）</w:t>
            </w:r>
            <w:r/>
          </w:p>
        </w:tc>
      </w:tr>
      <w:tr>
        <w:trPr>
          <w:trHeight w:val="333"/>
        </w:trPr>
        <w:tc>
          <w:tcPr>
            <w:tcW w:w="507"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▲操作区平面</w:t>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20"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双面膜实芯理化板</w:t>
            </w:r>
            <w:r/>
          </w:p>
        </w:tc>
      </w:tr>
      <w:tr>
        <w:trPr>
          <w:trHeight w:val="398"/>
        </w:trPr>
        <w:tc>
          <w:tcPr>
            <w:tcW w:w="5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厚度</w:t>
            </w:r>
            <w:r/>
          </w:p>
        </w:tc>
        <w:tc>
          <w:tcPr>
            <w:tcW w:w="3820"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≥12.7mm</w:t>
            </w:r>
            <w:r/>
          </w:p>
        </w:tc>
      </w:tr>
      <w:tr>
        <w:trPr>
          <w:trHeight w:val="1146"/>
        </w:trPr>
        <w:tc>
          <w:tcPr>
            <w:tcBorders>
              <w:bottom w:val="single" w:color="auto" w:sz="4" w:space="0"/>
            </w:tcBorders>
            <w:tcW w:w="5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环保要求</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符合甲醛释放量&lt;0.005 mg/M3；同时参照GB 18584-2001《室内装饰装修材料木家具中有害物质限量》标准，符合4种重金属含量mg/kg（可溶性铅≤2.8、镉：≤0.1、铬≤0.2、汞：未检出）</w:t>
            </w:r>
            <w:r/>
          </w:p>
        </w:tc>
      </w:tr>
      <w:tr>
        <w:trPr>
          <w:trHeight w:val="520"/>
        </w:trPr>
        <w:tc>
          <w:tcPr>
            <w:tcBorders>
              <w:top w:val="single" w:color="auto" w:sz="4" w:space="0"/>
              <w:left w:val="single" w:color="auto" w:sz="4" w:space="0"/>
              <w:bottom w:val="single" w:color="auto" w:sz="4" w:space="0"/>
              <w:right w:val="single" w:color="auto" w:sz="4" w:space="0"/>
            </w:tcBorders>
            <w:tcW w:w="507"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主体构造</w:t>
            </w:r>
            <w:r/>
          </w:p>
        </w:tc>
        <w:tc>
          <w:tcPr>
            <w:tcBorders>
              <w:left w:val="single" w:color="auto" w:sz="4" w:space="0"/>
            </w:tcBorders>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材质(含喷涂)</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桌脚采用三段式高强度铝合金结构并配有塑料连接件</w:t>
            </w:r>
            <w:r/>
          </w:p>
        </w:tc>
      </w:tr>
      <w:tr>
        <w:trPr>
          <w:trHeight w:val="619"/>
        </w:trPr>
        <w:tc>
          <w:tcPr>
            <w:tcBorders>
              <w:top w:val="single" w:color="auto" w:sz="4" w:space="0"/>
              <w:left w:val="single" w:color="auto" w:sz="4" w:space="0"/>
              <w:bottom w:val="single" w:color="auto" w:sz="4" w:space="0"/>
              <w:right w:val="single" w:color="auto" w:sz="4" w:space="0"/>
            </w:tcBorders>
            <w:tcW w:w="5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left w:val="single" w:color="auto" w:sz="4" w:space="0"/>
            </w:tcBorders>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结构</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新型铝塑结构，金属表面经环氧树脂粉末喷涂高温固化处理</w:t>
            </w:r>
            <w:r/>
          </w:p>
        </w:tc>
      </w:tr>
      <w:tr>
        <w:trPr>
          <w:trHeight w:val="365"/>
        </w:trPr>
        <w:tc>
          <w:tcPr>
            <w:tcBorders>
              <w:top w:val="single" w:color="auto" w:sz="4" w:space="0"/>
            </w:tcBorders>
            <w:tcW w:w="507"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书包斗</w:t>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整体ABS工程塑料一次性注塑成型</w:t>
            </w:r>
            <w:r/>
          </w:p>
        </w:tc>
      </w:tr>
      <w:tr>
        <w:trPr>
          <w:trHeight w:val="350"/>
        </w:trPr>
        <w:tc>
          <w:tcPr>
            <w:tcW w:w="5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规格尺寸</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≥400*260*110mm</w:t>
            </w:r>
            <w:r/>
          </w:p>
        </w:tc>
      </w:tr>
      <w:tr>
        <w:trPr>
          <w:trHeight w:val="333"/>
        </w:trPr>
        <w:tc>
          <w:tcPr>
            <w:tcW w:w="507"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支撑脚</w:t>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结构</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三段式高强度铝合金结构</w:t>
            </w:r>
            <w:r/>
          </w:p>
        </w:tc>
      </w:tr>
      <w:tr>
        <w:trPr>
          <w:trHeight w:val="882"/>
        </w:trPr>
        <w:tc>
          <w:tcPr>
            <w:tcW w:w="5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规格尺寸</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整体规格≥500*760mm,中立柱≥125*55mm*1.2mm厚承重型铝合金型材微倾斜式设计，同一侧面两只工型腿上部采用一条≥66*25mm铝合金型材连成一个整体</w:t>
            </w:r>
            <w:r/>
          </w:p>
        </w:tc>
      </w:tr>
      <w:tr>
        <w:trPr>
          <w:trHeight w:val="350"/>
        </w:trPr>
        <w:tc>
          <w:tcPr>
            <w:tcW w:w="507" w:type="pct"/>
            <w:vAlign w:val="center"/>
            <w:vMerge w:val="restart"/>
            <w:textDirection w:val="lrTb"/>
            <w:noWrap/>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水槽</w:t>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外观尺寸</w:t>
            </w:r>
            <w:r/>
          </w:p>
        </w:tc>
        <w:tc>
          <w:tcPr>
            <w:tcW w:w="3820"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≥500*600*780/840</w:t>
            </w:r>
            <w:r/>
          </w:p>
        </w:tc>
      </w:tr>
      <w:tr>
        <w:trPr>
          <w:trHeight w:val="333"/>
        </w:trPr>
        <w:tc>
          <w:tcPr>
            <w:tcW w:w="507"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水槽尺寸</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360*310*230mm</w:t>
            </w:r>
            <w:r/>
          </w:p>
        </w:tc>
      </w:tr>
      <w:tr>
        <w:trPr>
          <w:trHeight w:val="294"/>
        </w:trPr>
        <w:tc>
          <w:tcPr>
            <w:tcW w:w="507"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PP</w:t>
            </w:r>
            <w:r/>
          </w:p>
        </w:tc>
      </w:tr>
      <w:tr>
        <w:trPr>
          <w:trHeight w:val="294"/>
        </w:trPr>
        <w:tc>
          <w:tcPr>
            <w:tcW w:w="507"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壁厚</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6mm</w:t>
            </w:r>
            <w:r/>
          </w:p>
        </w:tc>
      </w:tr>
      <w:tr>
        <w:trPr>
          <w:trHeight w:val="333"/>
        </w:trPr>
        <w:tc>
          <w:tcPr>
            <w:tcW w:w="507" w:type="pct"/>
            <w:vAlign w:val="center"/>
            <w:vMerge w:val="restart"/>
            <w:textDirection w:val="lrTb"/>
            <w:noWrap/>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★三联水嘴</w:t>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整体材质</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铜喷塑</w:t>
            </w:r>
            <w:r/>
          </w:p>
        </w:tc>
      </w:tr>
      <w:tr>
        <w:trPr>
          <w:trHeight w:val="323"/>
        </w:trPr>
        <w:tc>
          <w:tcPr>
            <w:tcW w:w="507"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阀芯</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铜质瓷芯</w:t>
            </w:r>
            <w:r/>
          </w:p>
        </w:tc>
      </w:tr>
      <w:tr>
        <w:trPr>
          <w:trHeight w:val="349"/>
        </w:trPr>
        <w:tc>
          <w:tcPr>
            <w:tcW w:w="507"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电源</w:t>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位置</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桌斗中间位置固定学生电源盒</w:t>
            </w:r>
            <w:r/>
          </w:p>
        </w:tc>
      </w:tr>
      <w:tr>
        <w:trPr>
          <w:trHeight w:val="316"/>
        </w:trPr>
        <w:tc>
          <w:tcPr>
            <w:tcW w:w="5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74"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电源输出</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零火供电方式，负载功率高。</w:t>
            </w:r>
            <w:r/>
          </w:p>
        </w:tc>
      </w:tr>
      <w:tr>
        <w:trPr>
          <w:trHeight w:val="333"/>
        </w:trPr>
        <w:tc>
          <w:tcPr>
            <w:tcW w:w="5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具备1个220V交流电源输出插座</w:t>
            </w:r>
            <w:r/>
          </w:p>
        </w:tc>
      </w:tr>
      <w:tr>
        <w:trPr>
          <w:trHeight w:val="333"/>
        </w:trPr>
        <w:tc>
          <w:tcPr>
            <w:tcW w:w="5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网络接口</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学生实验设备预留网线（以太网接口（RJ - 45））</w:t>
            </w:r>
            <w:r/>
          </w:p>
        </w:tc>
      </w:tr>
      <w:tr>
        <w:trPr>
          <w:trHeight w:val="547"/>
        </w:trPr>
        <w:tc>
          <w:tcPr>
            <w:tcW w:w="5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具备短路、过载保护功能。并带有交流220V输出显示</w:t>
            </w:r>
            <w:r/>
          </w:p>
        </w:tc>
      </w:tr>
      <w:tr>
        <w:trPr>
          <w:trHeight w:val="1409"/>
        </w:trPr>
        <w:tc>
          <w:tcPr>
            <w:gridSpan w:val="2"/>
            <w:tcW w:w="1180"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其他要求</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▲（1）操作区平面：须提供由经国家认证委认证的第三方检测机构出具的检测报告（检测报告上须含有“CMA”或“CNAS”标志），检测报告必须满足上述关于台面的环保性能的要求；                             </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★（2）三联水嘴：</w:t>
            </w:r>
            <w:r>
              <w:rPr>
                <w:rFonts w:cs="宋体" w:asciiTheme="minorEastAsia" w:hAnsiTheme="minorEastAsia" w:eastAsiaTheme="minorEastAsia"/>
                <w:color w:val="000000"/>
                <w:sz w:val="20"/>
              </w:rPr>
              <w:t xml:space="preserve">提供国家确定的认证机构出具的、处于有效期之内的节能产品认证证书</w:t>
            </w:r>
            <w:r>
              <w:rPr>
                <w:rFonts w:hint="eastAsia" w:cs="宋体" w:asciiTheme="minorEastAsia" w:hAnsiTheme="minorEastAsia" w:eastAsiaTheme="minorEastAsia"/>
                <w:bCs/>
                <w:sz w:val="20"/>
                <w:szCs w:val="20"/>
                <w:lang w:bidi="ar"/>
              </w:rPr>
              <w:t xml:space="preserve">。  </w:t>
            </w:r>
            <w:r/>
          </w:p>
        </w:tc>
      </w:tr>
      <w:tr>
        <w:trPr>
          <w:trHeight w:val="1340"/>
        </w:trPr>
        <w:tc>
          <w:tcPr>
            <w:gridSpan w:val="2"/>
            <w:tcW w:w="1180"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tcW w:w="382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1.实验准备操作区域，通水、电、网络。</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2.为成套设备，化学准备实验设备配备试剂架、洗眼器以及其他相关配套设施。</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仪器储存设备，数量：33</w:t>
      </w:r>
      <w:r/>
    </w:p>
    <w:tbl>
      <w:tblPr>
        <w:tblW w:w="443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9"/>
        <w:gridCol w:w="1276"/>
        <w:gridCol w:w="7229"/>
      </w:tblGrid>
      <w:tr>
        <w:trPr>
          <w:trHeight w:val="304"/>
          <w:tblHeader/>
        </w:trPr>
        <w:tc>
          <w:tcPr>
            <w:gridSpan w:val="2"/>
            <w:tcW w:w="1180"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820"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r>
      <w:tr>
        <w:trPr>
          <w:trHeight w:val="618"/>
        </w:trPr>
        <w:tc>
          <w:tcPr>
            <w:tcW w:w="507"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整体规格</w:t>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82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1000*500*2000</w:t>
            </w:r>
            <w:r/>
          </w:p>
        </w:tc>
      </w:tr>
      <w:tr>
        <w:trPr>
          <w:trHeight w:val="305"/>
        </w:trPr>
        <w:tc>
          <w:tcPr>
            <w:tcW w:w="507"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侧板</w:t>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2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环保PP料注塑成型</w:t>
            </w:r>
            <w:r/>
          </w:p>
        </w:tc>
      </w:tr>
      <w:tr>
        <w:trPr>
          <w:trHeight w:val="322"/>
        </w:trPr>
        <w:tc>
          <w:tcPr>
            <w:tcW w:w="5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厚度</w:t>
            </w:r>
            <w:r/>
          </w:p>
        </w:tc>
        <w:tc>
          <w:tcPr>
            <w:tcW w:w="382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整体4cm,壁厚4mm</w:t>
            </w:r>
            <w:r/>
          </w:p>
        </w:tc>
      </w:tr>
      <w:tr>
        <w:trPr>
          <w:trHeight w:val="305"/>
        </w:trPr>
        <w:tc>
          <w:tcPr>
            <w:tcW w:w="507"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层板</w:t>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2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工程塑料挤出成型</w:t>
            </w:r>
            <w:r/>
          </w:p>
        </w:tc>
      </w:tr>
      <w:tr>
        <w:trPr>
          <w:trHeight w:val="322"/>
        </w:trPr>
        <w:tc>
          <w:tcPr>
            <w:tcW w:w="5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厚度</w:t>
            </w:r>
            <w:r/>
          </w:p>
        </w:tc>
        <w:tc>
          <w:tcPr>
            <w:tcW w:w="382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23mm</w:t>
            </w:r>
            <w:r/>
          </w:p>
        </w:tc>
      </w:tr>
      <w:tr>
        <w:trPr>
          <w:trHeight w:val="439"/>
        </w:trPr>
        <w:tc>
          <w:tcPr>
            <w:tcW w:w="5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加强筋参数</w:t>
            </w:r>
            <w:r/>
          </w:p>
        </w:tc>
        <w:tc>
          <w:tcPr>
            <w:tcW w:w="382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层板内设14条加强筋并内置30*15mm钢管2条，可承重100kg左右。</w:t>
            </w:r>
            <w:r/>
          </w:p>
        </w:tc>
      </w:tr>
      <w:tr>
        <w:trPr>
          <w:trHeight w:val="373"/>
        </w:trPr>
        <w:tc>
          <w:tcPr>
            <w:tcW w:w="507"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82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层板可以随意抽取，自由组合各层空间。</w:t>
            </w:r>
            <w:r/>
          </w:p>
        </w:tc>
      </w:tr>
      <w:tr>
        <w:trPr>
          <w:trHeight w:val="1483"/>
        </w:trPr>
        <w:tc>
          <w:tcPr>
            <w:tcW w:w="507"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sz w:val="20"/>
                <w:szCs w:val="20"/>
                <w:lang w:bidi="ar"/>
              </w:rPr>
              <w:t xml:space="preserve">储物</w:t>
            </w:r>
            <w:r>
              <w:rPr>
                <w:rFonts w:hint="eastAsia" w:cs="宋体" w:asciiTheme="minorEastAsia" w:hAnsiTheme="minorEastAsia" w:eastAsiaTheme="minorEastAsia"/>
                <w:lang w:bidi="ar"/>
              </w:rPr>
              <w:t xml:space="preserve">区</w:t>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2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sz w:val="20"/>
                <w:szCs w:val="20"/>
                <w:lang w:bidi="ar"/>
              </w:rPr>
              <w:t xml:space="preserve">上储物</w:t>
            </w:r>
            <w:r>
              <w:rPr>
                <w:rFonts w:hint="eastAsia" w:cs="宋体" w:asciiTheme="minorEastAsia" w:hAnsiTheme="minorEastAsia" w:eastAsiaTheme="minorEastAsia"/>
                <w:lang w:bidi="ar"/>
              </w:rPr>
              <w:t xml:space="preserve">区</w:t>
            </w:r>
            <w:r>
              <w:rPr>
                <w:rFonts w:hint="eastAsia" w:cs="宋体" w:asciiTheme="minorEastAsia" w:hAnsiTheme="minorEastAsia" w:eastAsiaTheme="minorEastAsia"/>
                <w:bCs/>
                <w:sz w:val="20"/>
                <w:szCs w:val="20"/>
                <w:lang w:bidi="ar"/>
              </w:rPr>
              <w:t xml:space="preserve">：采用增强型PP材质一体注塑成型镶嵌4mm±0.5mm钢化烤漆玻璃,中间玻璃做镂空处理，透明可视。</w:t>
            </w:r>
            <w:r>
              <w:rPr>
                <w:rFonts w:hint="eastAsia" w:cs="宋体" w:asciiTheme="minorEastAsia" w:hAnsiTheme="minorEastAsia" w:eastAsiaTheme="minorEastAsia"/>
                <w:bCs/>
                <w:sz w:val="20"/>
                <w:szCs w:val="20"/>
                <w:lang w:bidi="ar"/>
              </w:rPr>
              <w:br/>
            </w:r>
            <w:r>
              <w:rPr>
                <w:rFonts w:hint="eastAsia" w:cs="宋体" w:asciiTheme="minorEastAsia" w:hAnsiTheme="minorEastAsia" w:eastAsiaTheme="minorEastAsia"/>
                <w:sz w:val="20"/>
                <w:szCs w:val="20"/>
                <w:lang w:bidi="ar"/>
              </w:rPr>
              <w:t xml:space="preserve">下储物</w:t>
            </w:r>
            <w:r>
              <w:rPr>
                <w:rFonts w:hint="eastAsia" w:cs="宋体" w:asciiTheme="minorEastAsia" w:hAnsiTheme="minorEastAsia" w:eastAsiaTheme="minorEastAsia"/>
                <w:lang w:bidi="ar"/>
              </w:rPr>
              <w:t xml:space="preserve">区</w:t>
            </w:r>
            <w:r>
              <w:rPr>
                <w:rFonts w:hint="eastAsia" w:cs="宋体" w:asciiTheme="minorEastAsia" w:hAnsiTheme="minorEastAsia" w:eastAsiaTheme="minorEastAsia"/>
                <w:bCs/>
                <w:sz w:val="20"/>
                <w:szCs w:val="20"/>
                <w:lang w:bidi="ar"/>
              </w:rPr>
              <w:t xml:space="preserve">：采用增强型PP材质一体注塑成型镶嵌4mm±0.5mm钢化烤漆玻璃；实验室全塑仪器门使用玻璃主要是基于其透明度、安全性、易清洁和维护以及多功能性等优点。</w:t>
            </w:r>
            <w:r/>
          </w:p>
        </w:tc>
      </w:tr>
      <w:tr>
        <w:trPr>
          <w:trHeight w:val="586"/>
        </w:trPr>
        <w:tc>
          <w:tcPr>
            <w:tcW w:w="507"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门把手</w:t>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2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采用增强型PP材质一次注塑成型，安装于两门的门缝处，凹凸配套，增加内部的气密性。</w:t>
            </w:r>
            <w:r/>
          </w:p>
        </w:tc>
      </w:tr>
      <w:tr>
        <w:trPr>
          <w:trHeight w:val="602"/>
        </w:trPr>
        <w:tc>
          <w:tcPr>
            <w:tcW w:w="507"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门铰链</w:t>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82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改性pp材料模具一次成型，伸缩式pp旋转门轴，内嵌隐藏方便安装，耐腐蚀。</w:t>
            </w:r>
            <w:r/>
          </w:p>
        </w:tc>
      </w:tr>
      <w:tr>
        <w:trPr>
          <w:trHeight w:val="1132"/>
        </w:trPr>
        <w:tc>
          <w:tcPr>
            <w:tcW w:w="507"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辅材</w:t>
            </w:r>
            <w:r/>
          </w:p>
        </w:tc>
        <w:tc>
          <w:tcPr>
            <w:tcW w:w="6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材质与要求</w:t>
            </w:r>
            <w:r/>
          </w:p>
        </w:tc>
        <w:tc>
          <w:tcPr>
            <w:tcW w:w="382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门铰链：用改性pp材料模具一次成型，伸缩式pp旋转门轴，内嵌隐藏方便安装，耐腐蚀。</w:t>
            </w:r>
            <w:r>
              <w:rPr>
                <w:rFonts w:hint="eastAsia" w:cs="宋体" w:asciiTheme="minorEastAsia" w:hAnsiTheme="minorEastAsia" w:eastAsiaTheme="minorEastAsia"/>
                <w:bCs/>
                <w:sz w:val="20"/>
                <w:szCs w:val="20"/>
                <w:lang w:bidi="ar"/>
              </w:rPr>
              <w:br/>
              <w:t xml:space="preserve">螺丝：柜门固定所需螺丝均采用304不锈钢（也可选配PP塑料螺丝），确保内部空间无裸露金属材料，确保耐腐蚀性。</w:t>
            </w:r>
            <w:r/>
          </w:p>
        </w:tc>
      </w:tr>
      <w:tr>
        <w:trPr>
          <w:trHeight w:val="2325"/>
        </w:trPr>
        <w:tc>
          <w:tcPr>
            <w:gridSpan w:val="2"/>
            <w:tcW w:w="1180"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其他要求</w:t>
            </w:r>
            <w:r/>
          </w:p>
        </w:tc>
        <w:tc>
          <w:tcPr>
            <w:tcW w:w="382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▲顶部和底部都预留通风系统接口，与通风管路连接；接口处配有手动调节装置，可以打开或关闭通风口。其中有害物质限量要求符合GB 28481-2012《塑料家具中有害物质限量》中相关要求，须提供由经国家认证委认证的第三方检测机构出具的检测报告（检测报告上须含有“CMA”或“CNAS”标志）。储物设备力学性能要符合标准</w:t>
            </w:r>
            <w:r>
              <w:rPr>
                <w:rFonts w:hint="eastAsia" w:cs="宋体" w:asciiTheme="minorEastAsia" w:hAnsiTheme="minorEastAsia" w:eastAsiaTheme="minorEastAsia"/>
                <w:sz w:val="20"/>
                <w:szCs w:val="20"/>
                <w:lang w:bidi="ar"/>
              </w:rPr>
              <w:t xml:space="preserve">GB/T 24820-2024《实验室家具通用技术条件》</w:t>
            </w:r>
            <w:r>
              <w:rPr>
                <w:rFonts w:hint="eastAsia" w:cs="宋体" w:asciiTheme="minorEastAsia" w:hAnsiTheme="minorEastAsia" w:eastAsiaTheme="minorEastAsia"/>
                <w:bCs/>
                <w:sz w:val="20"/>
                <w:szCs w:val="20"/>
                <w:lang w:bidi="ar"/>
              </w:rPr>
              <w:t xml:space="preserve">中储物设备力学性能的相关要求，须提供由经国家认证委认证的第三方检测机构出具的检测报告（检测报告上须含有“CMA”或“CNAS”标志）</w:t>
            </w:r>
            <w:r/>
          </w:p>
        </w:tc>
      </w:tr>
      <w:tr>
        <w:trPr>
          <w:trHeight w:val="1770"/>
        </w:trPr>
        <w:tc>
          <w:tcPr>
            <w:gridSpan w:val="2"/>
            <w:tcW w:w="1180"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tcW w:w="382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1、实验室准备展示区，实验室仪器储存设备为实验室的仪器和设备提供了一个安全的储存空间，能够有效避免仪器因碰撞、摔落或刮花而受损，同时降低了实验室事故的风险</w:t>
            </w:r>
            <w:r>
              <w:rPr>
                <w:rFonts w:hint="eastAsia" w:ascii="MS Gothic" w:hAnsi="MS Gothic" w:eastAsia="MS Gothic" w:cs="MS Gothic"/>
                <w:bCs/>
                <w:sz w:val="20"/>
                <w:szCs w:val="20"/>
                <w:lang w:bidi="ar"/>
              </w:rPr>
              <w:t xml:space="preserve">‌</w:t>
            </w:r>
            <w:r/>
          </w:p>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2、仪器储存设备整体由侧板，结构板，门板，背板及层板等组成，整体是PP料注塑成型，层板是中空挤出而成，柜门PP料注塑成型镶嵌钢化玻璃。</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易爆储存设备、易燃储存设备、耐腐蚀品储存设备，数量：1</w:t>
      </w:r>
      <w:r/>
    </w:p>
    <w:tbl>
      <w:tblPr>
        <w:tblW w:w="0" w:type="auto"/>
        <w:tblLayout w:type="fixed"/>
        <w:tblLook w:val="04A0" w:firstRow="1" w:lastRow="0" w:firstColumn="1" w:lastColumn="0" w:noHBand="0" w:noVBand="1"/>
      </w:tblPr>
      <w:tblGrid>
        <w:gridCol w:w="534"/>
        <w:gridCol w:w="1134"/>
        <w:gridCol w:w="1134"/>
        <w:gridCol w:w="7796"/>
      </w:tblGrid>
      <w:tr>
        <w:trPr>
          <w:trHeight w:val="321"/>
          <w:tblHeader/>
        </w:trPr>
        <w:tc>
          <w:tcPr>
            <w:gridSpan w:val="3"/>
            <w:tcBorders>
              <w:top w:val="single" w:color="000000" w:sz="4" w:space="0"/>
              <w:left w:val="single" w:color="000000" w:sz="4" w:space="0"/>
              <w:bottom w:val="none" w:color="000000" w:sz="4" w:space="0"/>
              <w:right w:val="single" w:color="000000" w:sz="4" w:space="0"/>
            </w:tcBorders>
            <w:tcW w:w="2802"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
                <w:sz w:val="20"/>
                <w:szCs w:val="20"/>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
                <w:sz w:val="20"/>
                <w:szCs w:val="20"/>
                <w:lang w:bidi="ar"/>
              </w:rPr>
              <w:t xml:space="preserve">参数要求</w:t>
            </w:r>
            <w:r/>
          </w:p>
        </w:tc>
      </w:tr>
      <w:tr>
        <w:trPr>
          <w:trHeight w:val="345"/>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易燃存储设备</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整体规格</w:t>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≥H1800*W900*D510mm</w:t>
            </w:r>
            <w:r/>
          </w:p>
        </w:tc>
      </w:tr>
      <w:tr>
        <w:trPr>
          <w:trHeight w:val="341"/>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主体构造</w:t>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冷轧钢板</w:t>
            </w:r>
            <w:r/>
          </w:p>
        </w:tc>
      </w:tr>
      <w:tr>
        <w:trPr>
          <w:trHeight w:val="698"/>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壳体全部采用≥1.2mm 的一级冷轧钢板</w:t>
            </w:r>
            <w:r>
              <w:rPr>
                <w:rFonts w:hint="eastAsia" w:cs="宋体" w:asciiTheme="minorEastAsia" w:hAnsiTheme="minorEastAsia" w:eastAsiaTheme="minorEastAsia"/>
                <w:bCs/>
                <w:sz w:val="20"/>
                <w:szCs w:val="20"/>
                <w:lang w:bidi="ar"/>
              </w:rPr>
              <w:br/>
              <w:t xml:space="preserve">底座采用≥2.0mm 的一级冷轧钢板</w:t>
            </w:r>
            <w:r/>
          </w:p>
        </w:tc>
      </w:tr>
      <w:tr>
        <w:trPr>
          <w:trHeight w:val="34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内胆衬板</w:t>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pp（聚丙烯树脂）板</w:t>
            </w:r>
            <w:r/>
          </w:p>
        </w:tc>
      </w:tr>
      <w:tr>
        <w:trPr>
          <w:trHeight w:val="323"/>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层板</w:t>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PP聚丙烯树脂</w:t>
            </w:r>
            <w:r/>
          </w:p>
        </w:tc>
      </w:tr>
      <w:tr>
        <w:trPr>
          <w:trHeight w:val="58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样式及数量</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3块瓷白色一体注塑阶梯式，层板底部做网状加强筋，并做包钢处理，内置加强钢管，确保承重不变型，隔板设有10mm的通气孔。</w:t>
            </w:r>
            <w:r/>
          </w:p>
        </w:tc>
      </w:tr>
      <w:tr>
        <w:trPr>
          <w:trHeight w:val="627"/>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通风口</w:t>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顶部中间有≥φ150mm风口且风口中内置一个AC220V、50H、0.18A轴流风机。</w:t>
            </w:r>
            <w:r/>
          </w:p>
        </w:tc>
      </w:tr>
      <w:tr>
        <w:trPr>
          <w:trHeight w:val="347"/>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铰链</w:t>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金属</w:t>
            </w:r>
            <w:r/>
          </w:p>
        </w:tc>
      </w:tr>
      <w:tr>
        <w:trPr>
          <w:trHeight w:val="483"/>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规格（要求）</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钢琴式铰链、能开180度</w:t>
            </w:r>
            <w:r/>
          </w:p>
        </w:tc>
      </w:tr>
      <w:tr>
        <w:trPr>
          <w:trHeight w:val="317"/>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锁具</w:t>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双机械锁</w:t>
            </w:r>
            <w:r/>
          </w:p>
        </w:tc>
      </w:tr>
      <w:tr>
        <w:trPr>
          <w:trHeight w:val="274"/>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等级</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B级</w:t>
            </w:r>
            <w:r/>
          </w:p>
        </w:tc>
      </w:tr>
      <w:tr>
        <w:trPr>
          <w:trHeight w:val="419"/>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符合《易制爆危险化学品储存场所治安防范要求》（GA1511-2018）。</w:t>
            </w:r>
            <w:r/>
          </w:p>
        </w:tc>
      </w:tr>
      <w:tr>
        <w:trPr>
          <w:trHeight w:val="536"/>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安全要求</w:t>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控制器</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顶部配置温湿度控制器，对内部相对温湿度实时监控，数字显示设定和测量值，内部的温湿度如超过设定的测量值即时报警提示。</w:t>
            </w:r>
            <w:r/>
          </w:p>
        </w:tc>
      </w:tr>
      <w:tr>
        <w:trPr>
          <w:trHeight w:val="557"/>
        </w:trPr>
        <w:tc>
          <w:tcPr>
            <w:tcBorders>
              <w:top w:val="single" w:color="auto" w:sz="4" w:space="0"/>
              <w:left w:val="single" w:color="auto" w:sz="4" w:space="0"/>
              <w:bottom w:val="single" w:color="auto"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auto" w:sz="4" w:space="0"/>
              <w:left w:val="single" w:color="000000" w:sz="4" w:space="0"/>
              <w:bottom w:val="single" w:color="auto" w:sz="4" w:space="0"/>
              <w:right w:val="single" w:color="auto"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时控开关</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配有微电脑时控开关，能根据用户设定的时间自动打开和关闭风机，电源开关指示灯指示风机是否正常工作，可自动或手动控制。</w:t>
            </w:r>
            <w:r/>
          </w:p>
        </w:tc>
      </w:tr>
      <w:tr>
        <w:trPr>
          <w:trHeight w:val="409"/>
        </w:trPr>
        <w:tc>
          <w:tcPr>
            <w:tcBorders>
              <w:top w:val="single" w:color="000000" w:sz="4" w:space="0"/>
              <w:left w:val="single" w:color="000000" w:sz="4" w:space="0"/>
              <w:bottom w:val="single" w:color="000000" w:sz="4" w:space="0"/>
              <w:right w:val="single" w:color="000000" w:sz="4" w:space="0"/>
            </w:tcBorders>
            <w:tcW w:w="534" w:type="dxa"/>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易爆存储设备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≥H1800*W900*D510mm</w:t>
            </w:r>
            <w:r/>
          </w:p>
        </w:tc>
      </w:tr>
      <w:tr>
        <w:trPr>
          <w:trHeight w:val="330"/>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主体构造</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冷轧钢板</w:t>
            </w:r>
            <w:r/>
          </w:p>
        </w:tc>
      </w:tr>
      <w:tr>
        <w:trPr>
          <w:trHeight w:val="517"/>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壳体全部采用≥1.2mm 的一级冷轧钢板；</w:t>
            </w:r>
            <w:r>
              <w:rPr>
                <w:rFonts w:hint="eastAsia" w:cs="宋体" w:asciiTheme="minorEastAsia" w:hAnsiTheme="minorEastAsia" w:eastAsiaTheme="minorEastAsia"/>
                <w:bCs/>
                <w:sz w:val="20"/>
                <w:szCs w:val="20"/>
                <w:lang w:bidi="ar"/>
              </w:rPr>
              <w:br/>
              <w:t xml:space="preserve">底座采用≥2.0mm 的一级冷轧钢板。</w:t>
            </w:r>
            <w:r/>
          </w:p>
        </w:tc>
      </w:tr>
      <w:tr>
        <w:trPr>
          <w:trHeight w:val="348"/>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内胆衬板</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pp（聚丙烯树脂）板</w:t>
            </w:r>
            <w:r/>
          </w:p>
        </w:tc>
      </w:tr>
      <w:tr>
        <w:trPr>
          <w:trHeight w:val="425"/>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层板</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PP聚丙烯树脂</w:t>
            </w:r>
            <w:r/>
          </w:p>
        </w:tc>
      </w:tr>
      <w:tr>
        <w:trPr>
          <w:trHeight w:val="783"/>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样式及数量</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3块瓷白色一体注塑阶梯式，层板底部做网状加强筋，并做包钢处理，内置加强钢管，确保承重不变型，隔板设有10mm的通气孔。</w:t>
            </w:r>
            <w:r/>
          </w:p>
        </w:tc>
      </w:tr>
      <w:tr>
        <w:trPr>
          <w:trHeight w:val="599"/>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通风口</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顶部中间有≥φ150mm风口且风口中内置一个AC220V、50H、0.18A轴流风机。</w:t>
            </w:r>
            <w:r/>
          </w:p>
        </w:tc>
      </w:tr>
      <w:tr>
        <w:trPr>
          <w:trHeight w:val="355"/>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铰链</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金属</w:t>
            </w:r>
            <w:r/>
          </w:p>
        </w:tc>
      </w:tr>
      <w:tr>
        <w:trPr>
          <w:trHeight w:val="426"/>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规格（要求）</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钢琴式铰链、能开180度</w:t>
            </w:r>
            <w:r/>
          </w:p>
        </w:tc>
      </w:tr>
      <w:tr>
        <w:trPr>
          <w:trHeight w:val="510"/>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锁具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双机械锁</w:t>
            </w:r>
            <w:r/>
          </w:p>
        </w:tc>
      </w:tr>
      <w:tr>
        <w:trPr>
          <w:trHeight w:val="510"/>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等级</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B级</w:t>
            </w:r>
            <w:r/>
          </w:p>
        </w:tc>
      </w:tr>
      <w:tr>
        <w:trPr>
          <w:trHeight w:val="665"/>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符合《易制爆危险化学品储存场所治安防范要求》（GA1511-2018）。</w:t>
            </w:r>
            <w:r/>
          </w:p>
        </w:tc>
      </w:tr>
      <w:tr>
        <w:trPr>
          <w:trHeight w:val="946"/>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安全要求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控制器</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顶部配置温湿度控制器，对内部相对温湿度实时监控，数字显示设定和测量值，内部的温湿度如超过设定的测量值即时报警提示。</w:t>
            </w:r>
            <w:r/>
          </w:p>
        </w:tc>
      </w:tr>
      <w:tr>
        <w:trPr>
          <w:trHeight w:val="977"/>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时控开关</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配有微电脑时控开关，能根据设定的时间自动打开和关闭风机，电源开关指示灯指示风机是否正常工作，可自动或手动控制。</w:t>
            </w:r>
            <w:r/>
          </w:p>
        </w:tc>
      </w:tr>
      <w:tr>
        <w:trPr>
          <w:trHeight w:val="255"/>
        </w:trPr>
        <w:tc>
          <w:tcPr>
            <w:tcBorders>
              <w:top w:val="single" w:color="000000" w:sz="4" w:space="0"/>
              <w:left w:val="single" w:color="000000" w:sz="4" w:space="0"/>
              <w:bottom w:val="single" w:color="000000" w:sz="4" w:space="0"/>
              <w:right w:val="single" w:color="000000" w:sz="4" w:space="0"/>
            </w:tcBorders>
            <w:tcW w:w="534" w:type="dxa"/>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耐腐蚀品储存设备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Borders>
              <w:top w:val="single" w:color="000000" w:sz="4" w:space="0"/>
              <w:left w:val="single" w:color="000000" w:sz="4" w:space="0"/>
              <w:bottom w:val="single" w:color="000000" w:sz="4" w:space="0"/>
              <w:right w:val="single" w:color="auto"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W900*D450*H1800mm</w:t>
            </w:r>
            <w:r/>
          </w:p>
        </w:tc>
      </w:tr>
      <w:tr>
        <w:trPr>
          <w:trHeight w:val="397"/>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主体构造</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auto"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优质纯料PP(聚丙烯)板制作，具有耐强酸碱性能。</w:t>
            </w:r>
            <w:r/>
          </w:p>
        </w:tc>
      </w:tr>
      <w:tr>
        <w:trPr>
          <w:trHeight w:val="262"/>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厚度</w:t>
            </w:r>
            <w:r/>
          </w:p>
        </w:tc>
        <w:tc>
          <w:tcPr>
            <w:tcBorders>
              <w:top w:val="single" w:color="000000" w:sz="4" w:space="0"/>
              <w:left w:val="single" w:color="000000" w:sz="4" w:space="0"/>
              <w:bottom w:val="single" w:color="000000" w:sz="4" w:space="0"/>
              <w:right w:val="single" w:color="auto"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8.0mm</w:t>
            </w:r>
            <w:r/>
          </w:p>
        </w:tc>
      </w:tr>
      <w:tr>
        <w:trPr>
          <w:trHeight w:val="868"/>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连接部分</w:t>
            </w:r>
            <w:r/>
          </w:p>
        </w:tc>
        <w:tc>
          <w:tcPr>
            <w:tcBorders>
              <w:top w:val="single" w:color="000000" w:sz="4" w:space="0"/>
              <w:left w:val="single" w:color="000000" w:sz="4" w:space="0"/>
              <w:bottom w:val="single" w:color="000000" w:sz="4" w:space="0"/>
              <w:right w:val="single" w:color="auto"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所有的内部连接装置都需隐藏布置和抗腐蚀，没有外露的螺钉，外部连接装置都抗化；</w:t>
            </w:r>
            <w:r>
              <w:rPr>
                <w:rFonts w:hint="eastAsia" w:cs="宋体" w:asciiTheme="minorEastAsia" w:hAnsiTheme="minorEastAsia" w:eastAsiaTheme="minorEastAsia"/>
                <w:bCs/>
                <w:sz w:val="20"/>
                <w:szCs w:val="20"/>
                <w:lang w:bidi="ar"/>
              </w:rPr>
              <w:br/>
              <w:t xml:space="preserve">学腐蚀的不锈钢部件与非金属材料。</w:t>
            </w:r>
            <w:r/>
          </w:p>
        </w:tc>
      </w:tr>
      <w:tr>
        <w:trPr>
          <w:trHeight w:val="340"/>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上玻璃门</w:t>
            </w:r>
            <w:r/>
          </w:p>
        </w:tc>
        <w:tc>
          <w:tcPr>
            <w:tcBorders>
              <w:top w:val="single" w:color="000000" w:sz="4" w:space="0"/>
              <w:left w:val="single" w:color="000000" w:sz="4" w:space="0"/>
              <w:bottom w:val="single" w:color="000000" w:sz="4" w:space="0"/>
              <w:right w:val="single" w:color="auto"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5mm厚玻璃</w:t>
            </w:r>
            <w:r/>
          </w:p>
        </w:tc>
      </w:tr>
      <w:tr>
        <w:trPr>
          <w:trHeight w:val="416"/>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下门板材质</w:t>
            </w:r>
            <w:r/>
          </w:p>
        </w:tc>
        <w:tc>
          <w:tcPr>
            <w:tcBorders>
              <w:top w:val="single" w:color="000000" w:sz="4" w:space="0"/>
              <w:left w:val="single" w:color="000000" w:sz="4" w:space="0"/>
              <w:bottom w:val="single" w:color="000000" w:sz="4" w:space="0"/>
              <w:right w:val="single" w:color="auto"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PP板</w:t>
            </w:r>
            <w:r/>
          </w:p>
        </w:tc>
      </w:tr>
      <w:tr>
        <w:trPr>
          <w:trHeight w:val="493"/>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配件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合页、碰珠、螺丝</w:t>
            </w:r>
            <w:r/>
          </w:p>
        </w:tc>
        <w:tc>
          <w:tcPr>
            <w:tcBorders>
              <w:top w:val="single" w:color="000000" w:sz="4" w:space="0"/>
              <w:left w:val="single" w:color="000000" w:sz="4" w:space="0"/>
              <w:bottom w:val="single" w:color="000000" w:sz="4" w:space="0"/>
              <w:right w:val="single" w:color="auto"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均采用PP材质耐强酸、强碱等良好性能，门开启角度180度。</w:t>
            </w:r>
            <w:r/>
          </w:p>
        </w:tc>
      </w:tr>
      <w:tr>
        <w:trPr>
          <w:trHeight w:val="357"/>
        </w:trPr>
        <w:tc>
          <w:tcPr>
            <w:tcBorders>
              <w:top w:val="single" w:color="000000" w:sz="4" w:space="0"/>
              <w:left w:val="single" w:color="000000" w:sz="4" w:space="0"/>
              <w:bottom w:val="single" w:color="000000" w:sz="4" w:space="0"/>
              <w:right w:val="single" w:color="000000" w:sz="4" w:space="0"/>
            </w:tcBorders>
            <w:tcW w:w="5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拉手</w:t>
            </w:r>
            <w:r/>
          </w:p>
        </w:tc>
        <w:tc>
          <w:tcPr>
            <w:tcBorders>
              <w:top w:val="single" w:color="000000" w:sz="4" w:space="0"/>
              <w:left w:val="single" w:color="000000" w:sz="4" w:space="0"/>
              <w:bottom w:val="single" w:color="000000" w:sz="4" w:space="0"/>
              <w:right w:val="single" w:color="auto"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材料PP板制作成型，拉手为U型麻面。</w:t>
            </w:r>
            <w:r/>
          </w:p>
        </w:tc>
      </w:tr>
      <w:tr>
        <w:trPr>
          <w:trHeight w:val="743"/>
        </w:trPr>
        <w:tc>
          <w:tcPr>
            <w:gridSpan w:val="3"/>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tcBorders>
              <w:top w:val="single" w:color="000000" w:sz="4" w:space="0"/>
              <w:left w:val="single" w:color="000000" w:sz="4" w:space="0"/>
              <w:bottom w:val="single" w:color="000000" w:sz="4" w:space="0"/>
              <w:right w:val="single" w:color="000000" w:sz="4" w:space="0"/>
            </w:tcBorders>
            <w:tcW w:w="7796" w:type="dxa"/>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危化品分类存储，具有通风功能，满足危化品管理相关要求。</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存放易制爆、易燃品、腐蚀品试剂。</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425" w:equalWidth="1"/>
          <w:docGrid w:linePitch="360"/>
        </w:sectPr>
      </w:pPr>
      <w:r>
        <w:rPr>
          <w:rFonts w:hint="eastAsia" w:cs="宋体" w:asciiTheme="minorEastAsia" w:hAnsiTheme="minorEastAsia" w:eastAsiaTheme="minorEastAsia"/>
        </w:rPr>
      </w:r>
      <w:r/>
    </w:p>
    <w:p>
      <w:pPr>
        <w:pStyle w:val="921"/>
        <w:numPr>
          <w:ilvl w:val="1"/>
          <w:numId w:val="5"/>
        </w:numPr>
        <w:rPr>
          <w:rFonts w:hint="eastAsia" w:cs="宋体" w:asciiTheme="minorEastAsia" w:hAnsiTheme="minorEastAsia" w:eastAsiaTheme="minorEastAsia"/>
        </w:rPr>
      </w:pPr>
      <w:r>
        <w:rPr>
          <w:rFonts w:hint="eastAsia" w:cs="宋体" w:asciiTheme="minorEastAsia" w:hAnsiTheme="minorEastAsia" w:eastAsiaTheme="minorEastAsia"/>
        </w:rPr>
        <w:t xml:space="preserve">药品储存设备，数量：9</w:t>
      </w:r>
      <w:r/>
    </w:p>
    <w:tbl>
      <w:tblPr>
        <w:tblW w:w="4894" w:type="pct"/>
        <w:tblLook w:val="04A0" w:firstRow="1" w:lastRow="0" w:firstColumn="1" w:lastColumn="0" w:noHBand="0" w:noVBand="1"/>
      </w:tblPr>
      <w:tblGrid>
        <w:gridCol w:w="1017"/>
        <w:gridCol w:w="1018"/>
        <w:gridCol w:w="1016"/>
        <w:gridCol w:w="7405"/>
      </w:tblGrid>
      <w:tr>
        <w:trPr>
          <w:trHeight w:val="406"/>
          <w:tblHeader/>
        </w:trPr>
        <w:tc>
          <w:tcPr>
            <w:gridSpan w:val="3"/>
            <w:tcBorders>
              <w:top w:val="single" w:color="000000" w:sz="4" w:space="0"/>
              <w:left w:val="single" w:color="000000" w:sz="4" w:space="0"/>
              <w:bottom w:val="single" w:color="000000" w:sz="4" w:space="0"/>
              <w:right w:val="single" w:color="000000" w:sz="4" w:space="0"/>
            </w:tcBorders>
            <w:tcW w:w="1459"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r>
      <w:tr>
        <w:trPr>
          <w:trHeight w:val="406"/>
        </w:trPr>
        <w:tc>
          <w:tcPr>
            <w:gridSpan w:val="2"/>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1000*500*2000mm</w:t>
            </w:r>
            <w:r/>
          </w:p>
        </w:tc>
      </w:tr>
      <w:tr>
        <w:trPr>
          <w:trHeight w:val="406"/>
        </w:trPr>
        <w:tc>
          <w:tcPr>
            <w:tcBorders>
              <w:top w:val="single" w:color="auto" w:sz="4" w:space="0"/>
              <w:left w:val="single" w:color="auto" w:sz="4" w:space="0"/>
              <w:bottom w:val="single" w:color="auto" w:sz="4" w:space="0"/>
              <w:right w:val="single" w:color="auto" w:sz="4" w:space="0"/>
            </w:tcBorders>
            <w:tcW w:w="48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主体构造</w:t>
            </w:r>
            <w:r/>
          </w:p>
        </w:tc>
        <w:tc>
          <w:tcPr>
            <w:tcBorders>
              <w:top w:val="single" w:color="000000" w:sz="4" w:space="0"/>
              <w:left w:val="single" w:color="auto" w:sz="4" w:space="0"/>
              <w:bottom w:val="single" w:color="000000" w:sz="4" w:space="0"/>
              <w:right w:val="single" w:color="000000" w:sz="4" w:space="0"/>
            </w:tcBorders>
            <w:tcW w:w="487"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侧、背板</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环保PP料注塑成型</w:t>
            </w:r>
            <w:r/>
          </w:p>
        </w:tc>
      </w:tr>
      <w:tr>
        <w:trPr>
          <w:trHeight w:val="1048"/>
        </w:trPr>
        <w:tc>
          <w:tcPr>
            <w:tcBorders>
              <w:top w:val="single" w:color="auto" w:sz="4" w:space="0"/>
              <w:left w:val="single" w:color="auto" w:sz="4" w:space="0"/>
              <w:bottom w:val="single" w:color="auto" w:sz="4" w:space="0"/>
              <w:right w:val="single" w:color="auto" w:sz="4" w:space="0"/>
            </w:tcBorders>
            <w:tcW w:w="48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487"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厚度</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整体4cm,壁厚4mm，榫卯连接结构并合理布局加强筋，配合专用塑料紧固件连接，顶板、中板和底板的底部镶嵌15*30mm钢管加强</w:t>
            </w:r>
            <w:r/>
          </w:p>
        </w:tc>
      </w:tr>
      <w:tr>
        <w:trPr>
          <w:trHeight w:val="406"/>
        </w:trPr>
        <w:tc>
          <w:tcPr>
            <w:tcBorders>
              <w:top w:val="single" w:color="auto" w:sz="4" w:space="0"/>
              <w:left w:val="single" w:color="auto" w:sz="4" w:space="0"/>
              <w:bottom w:val="single" w:color="auto" w:sz="4" w:space="0"/>
              <w:right w:val="single" w:color="auto" w:sz="4" w:space="0"/>
            </w:tcBorders>
            <w:tcW w:w="48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487"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层板（顶板、中板和底板）</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工程塑料挤出成型</w:t>
            </w:r>
            <w:r/>
          </w:p>
        </w:tc>
      </w:tr>
      <w:tr>
        <w:trPr>
          <w:trHeight w:val="406"/>
        </w:trPr>
        <w:tc>
          <w:tcPr>
            <w:tcBorders>
              <w:top w:val="single" w:color="auto" w:sz="4" w:space="0"/>
              <w:left w:val="single" w:color="auto" w:sz="4" w:space="0"/>
              <w:bottom w:val="single" w:color="auto" w:sz="4" w:space="0"/>
              <w:right w:val="single" w:color="auto" w:sz="4" w:space="0"/>
            </w:tcBorders>
            <w:tcW w:w="48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487"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厚度</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23mm</w:t>
            </w:r>
            <w:r/>
          </w:p>
        </w:tc>
      </w:tr>
      <w:tr>
        <w:trPr>
          <w:trHeight w:val="720"/>
        </w:trPr>
        <w:tc>
          <w:tcPr>
            <w:tcBorders>
              <w:top w:val="single" w:color="auto" w:sz="4" w:space="0"/>
              <w:left w:val="single" w:color="auto" w:sz="4" w:space="0"/>
              <w:bottom w:val="single" w:color="auto" w:sz="4" w:space="0"/>
              <w:right w:val="single" w:color="auto" w:sz="4" w:space="0"/>
            </w:tcBorders>
            <w:tcW w:w="48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487"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加强筋参数</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层板内设14条加强筋并内置30*15钢管2条，可承重100kg左右</w:t>
            </w:r>
            <w:r/>
          </w:p>
        </w:tc>
      </w:tr>
      <w:tr>
        <w:trPr>
          <w:trHeight w:val="720"/>
        </w:trPr>
        <w:tc>
          <w:tcPr>
            <w:tcBorders>
              <w:top w:val="single" w:color="auto" w:sz="4" w:space="0"/>
              <w:left w:val="single" w:color="auto" w:sz="4" w:space="0"/>
              <w:bottom w:val="single" w:color="auto" w:sz="4" w:space="0"/>
              <w:right w:val="single" w:color="auto" w:sz="4" w:space="0"/>
            </w:tcBorders>
            <w:tcW w:w="48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487"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上部配两块活动层板，下部配一块活动层板，层板可以随意抽取，自由组合各层空间并配有阶梯台阶</w:t>
            </w:r>
            <w:r/>
          </w:p>
        </w:tc>
      </w:tr>
      <w:tr>
        <w:trPr>
          <w:trHeight w:val="2361"/>
        </w:trPr>
        <w:tc>
          <w:tcPr>
            <w:tcBorders>
              <w:top w:val="single" w:color="auto" w:sz="4" w:space="0"/>
              <w:left w:val="single" w:color="auto" w:sz="4" w:space="0"/>
              <w:bottom w:val="single" w:color="auto" w:sz="4" w:space="0"/>
              <w:right w:val="single" w:color="auto" w:sz="4" w:space="0"/>
            </w:tcBorders>
            <w:tcW w:w="48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487"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sz w:val="20"/>
                <w:szCs w:val="20"/>
                <w:lang w:bidi="ar"/>
              </w:rPr>
              <w:t xml:space="preserve">储物</w:t>
            </w:r>
            <w:r>
              <w:rPr>
                <w:rFonts w:hint="eastAsia" w:cs="宋体" w:asciiTheme="minorEastAsia" w:hAnsiTheme="minorEastAsia" w:eastAsiaTheme="minorEastAsia"/>
                <w:lang w:bidi="ar"/>
              </w:rPr>
              <w:t xml:space="preserve">区</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上</w:t>
            </w:r>
            <w:r>
              <w:rPr>
                <w:rFonts w:hint="eastAsia" w:cs="宋体" w:asciiTheme="minorEastAsia" w:hAnsiTheme="minorEastAsia" w:eastAsiaTheme="minorEastAsia"/>
                <w:sz w:val="20"/>
                <w:szCs w:val="20"/>
                <w:lang w:bidi="ar"/>
              </w:rPr>
              <w:t xml:space="preserve">储物</w:t>
            </w:r>
            <w:r>
              <w:rPr>
                <w:rFonts w:hint="eastAsia" w:cs="宋体" w:asciiTheme="minorEastAsia" w:hAnsiTheme="minorEastAsia" w:eastAsiaTheme="minorEastAsia"/>
                <w:lang w:bidi="ar"/>
              </w:rPr>
              <w:t xml:space="preserve">区</w:t>
            </w:r>
            <w:r>
              <w:rPr>
                <w:rFonts w:hint="eastAsia" w:cs="宋体" w:asciiTheme="minorEastAsia" w:hAnsiTheme="minorEastAsia" w:eastAsiaTheme="minorEastAsia"/>
                <w:bCs/>
                <w:sz w:val="20"/>
                <w:szCs w:val="20"/>
                <w:lang w:bidi="ar"/>
              </w:rPr>
              <w:t xml:space="preserve">：采用增强型PP材质一体注塑成型镶嵌4mm±0.5mm钢化烤漆玻璃,中间玻璃做镂空处理，透明可视。</w:t>
            </w:r>
            <w:r>
              <w:rPr>
                <w:rFonts w:hint="eastAsia" w:cs="宋体" w:asciiTheme="minorEastAsia" w:hAnsiTheme="minorEastAsia" w:eastAsiaTheme="minorEastAsia"/>
                <w:bCs/>
                <w:sz w:val="20"/>
                <w:szCs w:val="20"/>
                <w:lang w:bidi="ar"/>
              </w:rPr>
              <w:br/>
              <w:t xml:space="preserve">下</w:t>
            </w:r>
            <w:r>
              <w:rPr>
                <w:rFonts w:hint="eastAsia" w:cs="宋体" w:asciiTheme="minorEastAsia" w:hAnsiTheme="minorEastAsia" w:eastAsiaTheme="minorEastAsia"/>
                <w:sz w:val="20"/>
                <w:szCs w:val="20"/>
                <w:lang w:bidi="ar"/>
              </w:rPr>
              <w:t xml:space="preserve">储物</w:t>
            </w:r>
            <w:r>
              <w:rPr>
                <w:rFonts w:hint="eastAsia" w:cs="宋体" w:asciiTheme="minorEastAsia" w:hAnsiTheme="minorEastAsia" w:eastAsiaTheme="minorEastAsia"/>
                <w:lang w:bidi="ar"/>
              </w:rPr>
              <w:t xml:space="preserve">区</w:t>
            </w:r>
            <w:r>
              <w:rPr>
                <w:rFonts w:hint="eastAsia" w:cs="宋体" w:asciiTheme="minorEastAsia" w:hAnsiTheme="minorEastAsia" w:eastAsiaTheme="minorEastAsia"/>
                <w:bCs/>
                <w:sz w:val="20"/>
                <w:szCs w:val="20"/>
                <w:lang w:bidi="ar"/>
              </w:rPr>
              <w:t xml:space="preserve">：采用增强型PP材质一体注塑成型镶嵌4mm±0.5mm钢化烤漆玻璃；实验室全塑仪器门使用玻璃主要是基于其透明度、安全性、易清洁和维护以及多功能性等优点。</w:t>
            </w:r>
            <w:r/>
          </w:p>
        </w:tc>
      </w:tr>
      <w:tr>
        <w:trPr>
          <w:trHeight w:val="1705"/>
        </w:trPr>
        <w:tc>
          <w:tcPr>
            <w:tcBorders>
              <w:top w:val="single" w:color="auto" w:sz="4" w:space="0"/>
              <w:left w:val="single" w:color="auto" w:sz="4" w:space="0"/>
              <w:bottom w:val="single" w:color="auto" w:sz="4" w:space="0"/>
              <w:right w:val="single" w:color="auto" w:sz="4" w:space="0"/>
            </w:tcBorders>
            <w:tcW w:w="48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auto" w:sz="4" w:space="0"/>
              <w:bottom w:val="single" w:color="000000" w:sz="4" w:space="0"/>
              <w:right w:val="single" w:color="000000" w:sz="4" w:space="0"/>
            </w:tcBorders>
            <w:tcW w:w="487"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辅材</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材质与要求</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门铰链：用改性pp材料模具一次成型，伸缩式pp旋转门轴，内嵌隐藏方便安装，耐腐蚀。</w:t>
            </w:r>
            <w:r>
              <w:rPr>
                <w:rFonts w:hint="eastAsia" w:cs="宋体" w:asciiTheme="minorEastAsia" w:hAnsiTheme="minorEastAsia" w:eastAsiaTheme="minorEastAsia"/>
                <w:bCs/>
                <w:sz w:val="20"/>
                <w:szCs w:val="20"/>
                <w:lang w:bidi="ar"/>
              </w:rPr>
              <w:br/>
              <w:t xml:space="preserve">螺丝：门固定所需螺丝均采用304不锈钢（也可选配PP塑料螺丝），确保内部空间无裸露金属材料，确保耐腐蚀性。</w:t>
            </w:r>
            <w:r/>
          </w:p>
        </w:tc>
      </w:tr>
      <w:tr>
        <w:trPr>
          <w:trHeight w:val="421"/>
        </w:trPr>
        <w:tc>
          <w:tcPr>
            <w:tcBorders>
              <w:top w:val="single" w:color="auto" w:sz="4" w:space="0"/>
              <w:left w:val="single" w:color="000000" w:sz="4" w:space="0"/>
              <w:bottom w:val="single" w:color="000000" w:sz="4" w:space="0"/>
              <w:right w:val="single" w:color="000000" w:sz="4" w:space="0"/>
            </w:tcBorders>
            <w:tcW w:w="486" w:type="pct"/>
            <w:vAlign w:val="center"/>
            <w:vMerge w:val="restart"/>
            <w:textDirection w:val="lrTb"/>
            <w:noWrap/>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通风系统</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风机</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250单相轴流风机，220V110W</w:t>
            </w:r>
            <w:r/>
          </w:p>
        </w:tc>
      </w:tr>
      <w:tr>
        <w:trPr>
          <w:trHeight w:val="406"/>
        </w:trPr>
        <w:tc>
          <w:tcPr>
            <w:tcBorders>
              <w:top w:val="single" w:color="000000" w:sz="4" w:space="0"/>
              <w:left w:val="single" w:color="000000" w:sz="4" w:space="0"/>
              <w:bottom w:val="single" w:color="000000" w:sz="4" w:space="0"/>
              <w:right w:val="single" w:color="000000" w:sz="4" w:space="0"/>
            </w:tcBorders>
            <w:tcW w:w="486"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PP材质</w:t>
            </w:r>
            <w:r/>
          </w:p>
        </w:tc>
      </w:tr>
      <w:tr>
        <w:trPr>
          <w:trHeight w:val="406"/>
        </w:trPr>
        <w:tc>
          <w:tcPr>
            <w:tcBorders>
              <w:top w:val="single" w:color="000000" w:sz="4" w:space="0"/>
              <w:left w:val="single" w:color="000000" w:sz="4" w:space="0"/>
              <w:bottom w:val="single" w:color="000000" w:sz="4" w:space="0"/>
              <w:right w:val="single" w:color="000000" w:sz="4" w:space="0"/>
            </w:tcBorders>
            <w:tcW w:w="486"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1850立方/小时、1450转/分</w:t>
            </w:r>
            <w:r/>
          </w:p>
        </w:tc>
      </w:tr>
      <w:tr>
        <w:trPr>
          <w:trHeight w:val="406"/>
        </w:trPr>
        <w:tc>
          <w:tcPr>
            <w:tcBorders>
              <w:top w:val="single" w:color="000000" w:sz="4" w:space="0"/>
              <w:left w:val="single" w:color="000000" w:sz="4" w:space="0"/>
              <w:bottom w:val="single" w:color="000000" w:sz="4" w:space="0"/>
              <w:right w:val="single" w:color="000000" w:sz="4" w:space="0"/>
            </w:tcBorders>
            <w:tcW w:w="486"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通风管道</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采用具有耐酸碱性能PVC</w:t>
            </w:r>
            <w:r/>
          </w:p>
        </w:tc>
      </w:tr>
      <w:tr>
        <w:trPr>
          <w:trHeight w:val="1048"/>
        </w:trPr>
        <w:tc>
          <w:tcPr>
            <w:tcBorders>
              <w:top w:val="single" w:color="000000" w:sz="4" w:space="0"/>
              <w:left w:val="single" w:color="000000" w:sz="4" w:space="0"/>
              <w:bottom w:val="single" w:color="000000" w:sz="4" w:space="0"/>
              <w:right w:val="single" w:color="000000" w:sz="4" w:space="0"/>
            </w:tcBorders>
            <w:tcW w:w="486" w:type="pct"/>
            <w:vAlign w:val="center"/>
            <w:vMerge w:val="continue"/>
            <w:textDirection w:val="lrTb"/>
            <w:noWrap/>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主风管：Ф200㎜</w:t>
            </w:r>
            <w:r>
              <w:rPr>
                <w:rFonts w:hint="eastAsia" w:cs="宋体" w:asciiTheme="minorEastAsia" w:hAnsiTheme="minorEastAsia" w:eastAsiaTheme="minorEastAsia"/>
                <w:bCs/>
                <w:sz w:val="20"/>
                <w:szCs w:val="20"/>
                <w:lang w:bidi="ar"/>
              </w:rPr>
              <w:br/>
              <w:t xml:space="preserve">支分管：Ф160㎜</w:t>
            </w:r>
            <w:r>
              <w:rPr>
                <w:rFonts w:hint="eastAsia" w:cs="宋体" w:asciiTheme="minorEastAsia" w:hAnsiTheme="minorEastAsia" w:eastAsiaTheme="minorEastAsia"/>
                <w:bCs/>
                <w:sz w:val="20"/>
                <w:szCs w:val="20"/>
                <w:lang w:bidi="ar"/>
              </w:rPr>
              <w:br/>
              <w:t xml:space="preserve">立管采用Ф110mm</w:t>
            </w:r>
            <w:r/>
          </w:p>
        </w:tc>
      </w:tr>
      <w:tr>
        <w:trPr>
          <w:trHeight w:val="2265"/>
        </w:trPr>
        <w:tc>
          <w:tcPr>
            <w:gridSpan w:val="3"/>
            <w:tcBorders>
              <w:top w:val="single" w:color="000000" w:sz="4" w:space="0"/>
              <w:left w:val="single" w:color="000000" w:sz="4" w:space="0"/>
              <w:bottom w:val="single" w:color="000000" w:sz="4" w:space="0"/>
              <w:right w:val="single" w:color="000000" w:sz="4" w:space="0"/>
            </w:tcBorders>
            <w:tcW w:w="1459" w:type="pct"/>
            <w:vAlign w:val="center"/>
            <w:textDirection w:val="lrTb"/>
            <w:noWrap/>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1、实验室准备展示区，实验室药品储物设备采用高强度、抗腐蚀的材料制成，具有良好的保温性能和密封性，以防止药品挥发污染环境。药品</w:t>
            </w:r>
            <w:r>
              <w:rPr>
                <w:rFonts w:hint="eastAsia" w:cs="宋体" w:asciiTheme="minorEastAsia" w:hAnsiTheme="minorEastAsia" w:eastAsiaTheme="minorEastAsia"/>
                <w:sz w:val="20"/>
                <w:szCs w:val="20"/>
                <w:lang w:bidi="ar"/>
              </w:rPr>
              <w:t xml:space="preserve">储物</w:t>
            </w:r>
            <w:r>
              <w:rPr>
                <w:rFonts w:hint="eastAsia" w:cs="宋体" w:asciiTheme="minorEastAsia" w:hAnsiTheme="minorEastAsia" w:eastAsiaTheme="minorEastAsia"/>
                <w:lang w:bidi="ar"/>
              </w:rPr>
              <w:t xml:space="preserve">区</w:t>
            </w:r>
            <w:r>
              <w:rPr>
                <w:rFonts w:hint="eastAsia" w:cs="宋体" w:asciiTheme="minorEastAsia" w:hAnsiTheme="minorEastAsia" w:eastAsiaTheme="minorEastAsia"/>
                <w:bCs/>
                <w:sz w:val="20"/>
                <w:szCs w:val="20"/>
                <w:lang w:bidi="ar"/>
              </w:rPr>
              <w:t xml:space="preserve">的功能如下：药品储存功能、安全防护功能、环境控制功能、药品管理功能；</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2、药品</w:t>
            </w:r>
            <w:r>
              <w:rPr>
                <w:rFonts w:hint="eastAsia" w:cs="宋体" w:asciiTheme="minorEastAsia" w:hAnsiTheme="minorEastAsia" w:eastAsiaTheme="minorEastAsia"/>
                <w:sz w:val="20"/>
                <w:szCs w:val="20"/>
                <w:lang w:bidi="ar"/>
              </w:rPr>
              <w:t xml:space="preserve">储存设备</w:t>
            </w:r>
            <w:r>
              <w:rPr>
                <w:rFonts w:hint="eastAsia" w:cs="宋体" w:asciiTheme="minorEastAsia" w:hAnsiTheme="minorEastAsia" w:eastAsiaTheme="minorEastAsia"/>
                <w:bCs/>
                <w:sz w:val="20"/>
                <w:szCs w:val="20"/>
                <w:lang w:bidi="ar"/>
              </w:rPr>
              <w:t xml:space="preserve">的组成：外壳、内衬材料、层板、面板材料、把手和锁具、密封件、通风口、通风设备、照明设备、防泄漏装置等。</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425" w:equalWidth="1"/>
          <w:docGrid w:linePitch="360"/>
        </w:sectPr>
      </w:pPr>
      <w:r>
        <w:rPr>
          <w:rFonts w:hint="eastAsia" w:cs="宋体" w:asciiTheme="minorEastAsia" w:hAnsiTheme="minorEastAsia" w:eastAsiaTheme="minorEastAsia"/>
        </w:rPr>
      </w:r>
      <w:r/>
    </w:p>
    <w:tbl>
      <w:tblPr>
        <w:tblW w:w="0" w:type="auto"/>
        <w:tblLook w:val="04A0" w:firstRow="1" w:lastRow="0" w:firstColumn="1" w:lastColumn="0" w:noHBand="0" w:noVBand="1"/>
      </w:tblPr>
      <w:tblGrid>
        <w:gridCol w:w="499"/>
        <w:gridCol w:w="1700"/>
        <w:gridCol w:w="11921"/>
        <w:gridCol w:w="498"/>
        <w:gridCol w:w="498"/>
        <w:gridCol w:w="498"/>
      </w:tblGrid>
      <w:tr>
        <w:trPr>
          <w:trHeight w:val="625"/>
          <w:tblHeader/>
        </w:trPr>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序号</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产品名称</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技术参数</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单位</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备注</w:t>
            </w:r>
            <w:r/>
          </w:p>
        </w:tc>
      </w:tr>
      <w:tr>
        <w:trPr>
          <w:trHeight w:val="610"/>
        </w:trPr>
        <w:tc>
          <w:tcPr>
            <w:gridSpan w:val="3"/>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高中化学配套仪器实验</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4</w:t>
            </w:r>
            <w:r/>
          </w:p>
        </w:tc>
        <w:tc>
          <w:tcPr>
            <w:tcBorders>
              <w:top w:val="single" w:color="000000" w:sz="4" w:space="0"/>
              <w:left w:val="single" w:color="000000" w:sz="4" w:space="0"/>
              <w:bottom w:val="single" w:color="auto" w:sz="4" w:space="0"/>
              <w:right w:val="single" w:color="000000" w:sz="4" w:space="0"/>
            </w:tcBorders>
            <w:tcW w:w="0" w:type="auto"/>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支撑杆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不锈钢，精车加工，防刮伤，φ10-370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四爪夹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L=255mm，夹具部分L=100mm，杆部分L=155mm，木质垫片，镀铬，一字手紧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支撑杆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L=600mm，一分为二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滤纸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定性，φ150mm，定制外包装L=152mm，W=152mm，H=22mm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高精度迷你电子秤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6种单位转换，双托盘，500g，精度0.01，机身尺寸12.7*10.6*1.5cm锈钢拉丝秤盘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酒精灯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玻璃，150ml，总高约120mm，瓶身约φ80mm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陶土网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160mm*160mm，金属，陶土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三脚架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铁圈内径75mm，高130mm±5mm，铁圈带耳，冲压处理，不可拆卸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6孔，孔径23mm，L=226mm，W=65mm，H=122mm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榉木，不锈钢防锈弹簧，最大开口宽度22mm，L=175mm(公差0至+3mm)，W=20mm(公差-2mm至+1mm)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刷毛φ=20mm，L=270mm，顶端棉纱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标签纸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每张含72个标签，16*22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洗瓶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150ml，塑料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研钵和研杵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70ml，陶瓷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双头药匙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不锈钢，双头，L=200mm，大头宽15mm，小头宽12mm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记号笔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黑色，双头，油性防水，L=140mm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称量纸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100×100mm，500张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带塑料手紧螺丝，外φ= 80mm，黑色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支撑环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锌合金，带塑料手紧螺丝，外φ=110mm，不含塑料手紧螺丝L=220mm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镊子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不锈钢，圆头头，直嘴，L=125mm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秒表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计时器，XL-008，最长计时24时，71*61*20mm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升降台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304不锈钢台面,含标贴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乳胶管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内径φ6mm,外径φ10mm,黑色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gridSpan w:val="3"/>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高中化学物质及其变化实验</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4</w:t>
            </w:r>
            <w:r/>
          </w:p>
        </w:tc>
        <w:tc>
          <w:tcPr>
            <w:tcBorders>
              <w:top w:val="single" w:color="auto"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灯座模块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E10，壳体亚克力材质，4mm香蕉插头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氯化钠药品瓶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硝酸钾药品瓶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氧化铜药品瓶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灯泡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4v，0.08A，E10螺口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双插座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1对，黑红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红色、蓝色导线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硅胶线，19A，500mm，φ4全铜枪式灯笼头，1平线径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鳄鱼夹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内径4mm，L=51mm，可接φ4香蕉插头，防静电，无绝缘胶套，/铁镀镍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100ml烧杯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高型，玻璃，100ml，H=90mm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φ=20mm,L=180mm,标口PN19,玻璃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15*21*26,1孔,φ7mm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木炭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玻璃，烧制，两端烧口，230x55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玻璃，50ml，H=200mm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激光笔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含：3节纽扣电池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碳棒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石墨棒，φ=5，L=50mm，4根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gridSpan w:val="3"/>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高中化学金属及其化合物实验</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L=175mm，外壳W=18mm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15*21*26，1孔，φ7mm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瓷坩埚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高壁，30ml，壁高46mm，上外径=40mm±0.5mm，下外径25.5mm±0.5mm，盖子外径45.5mm±0.5mm，坩埚壁厚2mm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玻璃漏斗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 90mm，L=160mm，下管外径9mm±0.5mm，玻璃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红水，内标，量程-10℃~+110℃，φ8mm，L=235mm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铁粉药品瓶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碳酸氢钠药品瓶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透明，小口窄颈，高硼硅，30ml，瓶身直径38mm，H=79mm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碳酸钠粉末药品瓶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氯化钠药品瓶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透明，小口窄颈，高硼硅，30ml，瓶身直径38mm，H=79mm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泥三角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陶瓷管，L=60mm，φ=12mm负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φ=20mm，L=180mm，标口PN19，玻璃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红色石蕊试纸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盒装，L=30mm，宽=15mm，h=70mm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坩埚钳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L=200mm，不锈钢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玻璃，50ml，H=200mm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钴玻璃片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50mm×50mm，倒角，蓝色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铂丝棒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铂丝L=40mm，手柄L=180-220mm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玻璃，低型，50ml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单面磨砂，50*50*2mm，4*C2倒角，高温磨边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集气瓶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玻璃气体收集瓶，250ml，口内径42，边口磨砂，带磨砂玻璃片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玻璃，烧制，两端烧口，155x85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玻璃，烧制，两端烧口，230x55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塑料水槽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175*175*72mm，扁平方形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三孔橡胶塞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46×38×29，白色，梯形，三孔φ=8mm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球形干燥管套件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含球形干燥管、单孔橡胶塞、10cm直管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gridSpan w:val="3"/>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高中化学非金属及其化合物（一）实验</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集气瓶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玻璃气体收集瓶,250ml,口内径42,边口磨砂,带磨砂玻璃片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球形,60ml,玻璃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玻璃,烧制,两端烧口，85x60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玻璃,烧制,两端烧口，230x55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玻璃,烧制,两端烧口，155x85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玻璃,50ml,H=200mm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100ml,精度0.1mL,塑料盖,口径(12,14)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具支圆底烧瓶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侧臂，100ml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φ=20mm,L=180mm,标口PN19,玻璃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玻璃,直,L=105mm,φ8mm,吸管嘴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高型,玻璃,100ml,H=90mm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长颈漏斗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 90mm,L=160mm,下管外径9mm±0.5mm,玻璃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玻璃弯管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15×2cm,60度弯管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有色纸条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有色纸条：50×15mm，500张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gridSpan w:val="3"/>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高中化学非金属及其化合物（二）实验</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二氧化锰药品瓶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氯化钠药品瓶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硫粉药品瓶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氯化铵药品瓶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氢氧化钙药品瓶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铁粉药品瓶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26*32*30mm,2个孔φ=7mm,红色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三角瓶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玻璃，100ml，H=95mm，标口，口径29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紫铜片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紫铜，30×10×0.2mm，10片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钝角玻璃管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L=50*100mm,d=8mm,钝角角度150°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15*21*26,1孔,φ=7mm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医用棉球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灭菌脱脂,医用,小号,一包8g,一包10个装,外包装尺寸11.5cm*11.5cm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圆底烧瓶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玻璃，50ml，H=100mm，磨砂标口，口径29mm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蒸发皿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75ml,φ=80mm,外φ80mm,陶瓷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针筒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50ML,鲁尔头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坩埚钳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L=200mm,不锈钢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100g,精度0.1g,天平底座L=210mm,W=70mm,天平H=135mm,含砝码盒(5g,10g,20g,50g）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gridSpan w:val="3"/>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高中化学物质结构与元素周期律实验</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L=175mm，外壳W=18mm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砂纸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230×92mm，碳化硅材质，2张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1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8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点滴板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6孔，85×55×10mm，白色， 陶瓷比色板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球形，60ml，玻璃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圆底烧瓶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玻璃，100ml，H=111.5mm±0.5mm，磨砂标口，口径24mm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直形冷凝管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玻璃，冷凝部分管长30cm，磨砂标口，口径24mm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蒸馏头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玻璃，H=137mm±2mm，磨砂标口，24#*24#*24#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尾接管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玻璃，尾部φ= 10mm，尾部壁厚1.5mm，磨砂标口，口径24mm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红水，内标，量程-10°C~+150°C，φ8mm，L=235mm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橡塞胶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26X19X28，白色，梯形，单孔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玻璃，250ml，H=146mm，非磨砂标口，口径29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gridSpan w:val="3"/>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高中化学化学反应与能量实验</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红水，内标，量程-10℃~+110℃，φ=8mm，L=235mm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砂纸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230×92mm，碳化硅材质，2张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氢氧化钡（八水）药品瓶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氯化铵药品瓶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大理石药品瓶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二氧化锰药品瓶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亚克力板</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100×100×3mm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铜电极片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76*40*0.8mm，冲压Cu，紫铜，四角倒钝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锌电极片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76*40*0.8mm，冲压Zn</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鳄鱼夹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内径4mm，L=51mm，可接φ4香蕉插头，防静电，无绝缘胶套，铁镀镍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红色导线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硅胶线，19A，500mm，φ4全铜枪式灯笼头，1平线径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蓝色导线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硅胶线，19A，500mm，φ4全铜枪式灯笼头，1平线径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指针式电流表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2.5级，0.6A，3A，香蕉插座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铁，30×10×0.2mm，10片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铝，30×10×0.2mm，10片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紫铜片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紫铜，30×10×0.2mm，10片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碳棒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石墨棒，φ=5，L=50mm，4根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玻璃，50ml，H=200mm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量热器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22201，φ=105*139mm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环形搅拌棒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环外径=20mm，L=200mm，φ=6mm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木片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7×7cm，1.5mm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gridSpan w:val="3"/>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高中化学有机化合物实验</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φ=20mm，L=180mm，标口PN19，玻璃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牙签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（一包，两百支）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直，φ=8mm，壁厚1.5mm±0.05，L=170mm，两端烧口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15*21*26，1孔，φ=7mm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铜丝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紫铜，d=0.6mm，1米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玻璃，烧制，两端烧口，230x55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钝角玻璃管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L=50*100mm，d=8mm，钝角角度150°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沸石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颗粒φ=2mm，±1mm，30g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淀粉药品瓶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橡皮泥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黏土，12色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gridSpan w:val="3"/>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高中化学化学反应速率与化学平衡实验</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球形，60ml，玻璃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双孔橡胶塞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26*32*30mm，2个孔φ=7mm，红色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单孔橡胶塞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φ26*φ32*30，1波纹孔φ=7mm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玻璃，250ml，H=135mm，口径=50mm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玻璃，50ml，H=200mm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锌粒药品瓶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铁粉药品瓶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红水，内标，量程-10℃~+110℃，φ8mm，L=235mm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玻璃，烧制，两端烧口，155x85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针筒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50ML，鲁尔头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二通阀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白色，带螺帽，LUER考克阀二通开关PC材质透明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针筒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20ML，鲁尔头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圆底烧瓶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玻璃，50ml，H=100mm，磨砂标口，口径29mm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止水夹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M4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试剂瓶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透明，小口窄颈，高硼硅，30ml，瓶身直径38mm，H=79mm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gridSpan w:val="3"/>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高中化学离子反应与平衡实验</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试管（16×160mm)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氯化铁药品瓶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碳酸钠粉末药品瓶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氯化铵药品瓶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硝酸钾药品瓶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无水乙酸钠药品瓶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pH试纸</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pH广泛试纸1-14，规格：7mm*5m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量筒(10mL)</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酸式滴定管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透明，10mL，玻璃，精度0.05mL，L=464mm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碱式滴定管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透明，10mL，玻璃，精度0.05mL，带刻度线管部分L=377mm，硅胶管部分L=75mm，尖嘴滴管部分L=72mm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滴定管夹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双侧，铝制，蝴蝶夹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锥形瓶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100ml，直口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烧杯（250mL)</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试剂瓶（125mL）</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小口窄颈，高硼硅，125ml，刻度100ml，H=114mm，瓶身φ55mm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氢氧化镁药品瓶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氯化钠药品瓶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硫酸铵药品瓶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试剂瓶（透明，30mL）</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透明，小口窄颈，高硼硅，30ml，瓶身直径38mm，H=79mm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试剂瓶（棕色，30mL）</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棕色，小口窄颈，高硼硅，30ml，瓶身直径38mm，H=79mm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白色滴瓶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gridSpan w:val="3"/>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高中化学化学反应与电能实验</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锌片</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锌，30×10×0.2mm，10片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铜片</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紫铜，30×10×0.2mm，10片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电流计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2.5级，±300μA，香蕉插座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红色导线</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硅胶线，19A，500mm，φ4全铜枪式灯笼头，1平线径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蓝色导线</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硅胶线，19A，500mm，φ4全铜枪式灯笼头，1平线径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鳄鱼夹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内径4mm，L=51mm，可接φ4香蕉插头，防静电，无绝缘胶套，铁镀镍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烧杯（150mL)</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玻璃，低型，150ml，H=83mm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碳棒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石墨棒，φ=5，L=50mm，4根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淀粉碘化钾试纸</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盒装，L=30mm，W=15mm，H=73mm±1mm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具支试管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玻璃，L=200mm，φ=20mm，具支L=27m±2mm，标口，口径PN19，非磨砂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橡胶塞</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15*21*26、无孔、红色、梯形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直角弯管（155×85mm）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玻璃，烧制，，气泡袋包装，两端烧口TE36701-57-01A，155x85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试管（16×160mm)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铁钉</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304不锈钢，2.0寸(50mm长)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锌粒药品瓶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铁片</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铁，30×10×0.2mm，10片，含标贴，50×70mm自封袋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烧杯（250mL)</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砂纸</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230×92mm，碳化硅材质，2张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白色滴瓶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开关</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单刀单掷开关模块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盐桥</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含氯化钾溶液、琼脂,比例为1:2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U型管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玻璃，H=150mm，φ=15mm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gridSpan w:val="3"/>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高中化学烃和烃的衍生物实验</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圆底烧瓶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玻璃，50ml，H=100mm，磨砂标口，口径29mm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分液漏斗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球形，60ml，玻璃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双孔橡胶塞</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26*32*30mm，2个孔φ=7mm，红色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单孔橡胶塞</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φ26*φ32*30，1波纹孔φ=7mm，红色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直角弯管（85×60mm）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玻璃，烧制，两端烧口，85x60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直角弯管（230x55）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玻璃，烧制，两端烧口，230x55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直角弯管（155×85mm）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玻璃，烧制，两端烧口，155x85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0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玻璃，L=200mm，φ=20mm，具支L=27m±2mm，标口，口径PN19，非磨砂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单孔橡胶塞</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15*21*26，1孔，φ=7mm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试管（16×160mm)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烧杯（50mL)</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玻璃，直，L= 65 mm，φ8mm，尖嘴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量筒（10mL）</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沸石</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颗粒φ=2mm，±1mm，30g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氢氧化钠药品瓶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1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电石药品瓶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30ml，广口，pp试剂瓶，口径24.8mm，L=59.6mm，含标贴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82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苯酚药品瓶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30ml，广口，pp试剂瓶，口径24.8mm，L=59.7mm，含标贴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烧杯（250mL）</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红水，内标，量程-10℃~+110℃，φ8mm，L=235mm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锥形瓶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玻璃，250ml，H=146mm，非磨砂标口，口径29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钝角玻璃管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L=50*100mm，d=8mm，钝角角度150°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试管（20×180mm)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φ=20mm，L=180mm，标口PN19，玻璃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白色滴瓶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玻璃弯管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玻璃，60×200×30mm，烧制，两端烧口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gridSpan w:val="3"/>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高中化学生物大分子和合成高分子实验</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φ=20mm，L=180mm，标口PN19，玻璃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碱式滴定管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 ，10mL ，玻璃 ，蓝线 ，精度0.05mL ，带刻度线管部分L=377mm ，硅胶管部分L=75mm ，尖嘴滴管部分L=72mm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滴定管夹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双侧 ，铝制 ，蝴蝶夹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医用棉球</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灭菌脱脂，医用，小号，一包8g，一包10个装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pH试纸</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pH广泛试纸1-14，规格：7mm*5m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0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57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白色滴瓶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3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苯酚药品瓶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小刀</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L=175mm，外壳W=18mm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2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高锰酸钾药品瓶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9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淀粉药品瓶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0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蔗糖药品瓶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葡萄糖药品瓶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多功能电极支架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一.参数：</w:t>
            </w:r>
            <w:r>
              <w:rPr>
                <w:rFonts w:hint="eastAsia" w:cs="宋体" w:asciiTheme="minorEastAsia" w:hAnsiTheme="minorEastAsia" w:eastAsiaTheme="minorEastAsia"/>
                <w:sz w:val="20"/>
                <w:szCs w:val="20"/>
                <w:lang w:bidi="ar"/>
              </w:rPr>
              <w:br/>
              <w:t xml:space="preserve">实验室仪器专用多功能支架，可以应用于台式PH计、电导率仪、离子计等。可以单独使用，多角度旋转。可以同时使用5根传感器探头。可以360度旋转，可以自由伸缩。</w:t>
            </w:r>
            <w:r>
              <w:rPr>
                <w:rFonts w:hint="eastAsia" w:cs="宋体" w:asciiTheme="minorEastAsia" w:hAnsiTheme="minorEastAsia" w:eastAsiaTheme="minorEastAsia"/>
                <w:sz w:val="20"/>
                <w:szCs w:val="20"/>
                <w:lang w:bidi="ar"/>
              </w:rPr>
              <w:br/>
              <w:t xml:space="preserve">二、可完成实验：</w:t>
            </w:r>
            <w:r>
              <w:rPr>
                <w:rFonts w:hint="eastAsia" w:cs="宋体" w:asciiTheme="minorEastAsia" w:hAnsiTheme="minorEastAsia" w:eastAsiaTheme="minorEastAsia"/>
                <w:sz w:val="20"/>
                <w:szCs w:val="20"/>
                <w:lang w:bidi="ar"/>
              </w:rPr>
              <w:br/>
              <w:t xml:space="preserve">1.强电解质和弱电解质在水中电离；2.盐溶液的酸碱性；3.反应条件对FeCl3水解平衡的影响；4.验证次氯酸光照分解产物的数字化实验。</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3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恒温水浴锅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一.参数：</w:t>
            </w:r>
            <w:r>
              <w:rPr>
                <w:rFonts w:hint="eastAsia" w:cs="宋体" w:asciiTheme="minorEastAsia" w:hAnsiTheme="minorEastAsia" w:eastAsiaTheme="minorEastAsia"/>
                <w:sz w:val="20"/>
                <w:szCs w:val="20"/>
                <w:lang w:bidi="ar"/>
              </w:rPr>
              <w:br/>
              <w:t xml:space="preserve">工作室容积：3升。</w:t>
            </w:r>
            <w:r>
              <w:rPr>
                <w:rFonts w:hint="eastAsia" w:cs="宋体" w:asciiTheme="minorEastAsia" w:hAnsiTheme="minorEastAsia" w:eastAsiaTheme="minorEastAsia"/>
                <w:sz w:val="20"/>
                <w:szCs w:val="20"/>
                <w:lang w:bidi="ar"/>
              </w:rPr>
              <w:br/>
              <w:t xml:space="preserve">温控范围：室温～100℃。</w:t>
            </w:r>
            <w:r>
              <w:rPr>
                <w:rFonts w:hint="eastAsia" w:cs="宋体" w:asciiTheme="minorEastAsia" w:hAnsiTheme="minorEastAsia" w:eastAsiaTheme="minorEastAsia"/>
                <w:sz w:val="20"/>
                <w:szCs w:val="20"/>
                <w:lang w:bidi="ar"/>
              </w:rPr>
              <w:br/>
              <w:t xml:space="preserve">加热功率：≥300W</w:t>
            </w:r>
            <w:r>
              <w:rPr>
                <w:rFonts w:hint="eastAsia" w:cs="宋体" w:asciiTheme="minorEastAsia" w:hAnsiTheme="minorEastAsia" w:eastAsiaTheme="minorEastAsia"/>
                <w:sz w:val="20"/>
                <w:szCs w:val="20"/>
                <w:lang w:bidi="ar"/>
              </w:rPr>
              <w:br/>
              <w:t xml:space="preserve">电  源：交流220V 50Hz。</w:t>
            </w:r>
            <w:r>
              <w:rPr>
                <w:rFonts w:hint="eastAsia" w:cs="宋体" w:asciiTheme="minorEastAsia" w:hAnsiTheme="minorEastAsia" w:eastAsiaTheme="minorEastAsia"/>
                <w:sz w:val="20"/>
                <w:szCs w:val="20"/>
                <w:lang w:bidi="ar"/>
              </w:rPr>
              <w:br/>
              <w:t xml:space="preserve">工作尺寸：≥160*160*140mm</w:t>
            </w:r>
            <w:r>
              <w:rPr>
                <w:rFonts w:hint="eastAsia" w:cs="宋体" w:asciiTheme="minorEastAsia" w:hAnsiTheme="minorEastAsia" w:eastAsiaTheme="minorEastAsia"/>
                <w:sz w:val="20"/>
                <w:szCs w:val="20"/>
                <w:lang w:bidi="ar"/>
              </w:rPr>
              <w:br/>
              <w:t xml:space="preserve">二、可完成实验</w:t>
            </w:r>
            <w:r>
              <w:rPr>
                <w:rFonts w:hint="eastAsia" w:cs="宋体" w:asciiTheme="minorEastAsia" w:hAnsiTheme="minorEastAsia" w:eastAsiaTheme="minorEastAsia"/>
                <w:sz w:val="20"/>
                <w:szCs w:val="20"/>
                <w:lang w:bidi="ar"/>
              </w:rPr>
              <w:br/>
              <w:t xml:space="preserve">1.葡萄糖的银镜反应；2.乙醛的银镜反应；3.葡萄糖；4.糖类的性质。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3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无线智能电导率传感器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导率传感器内置电导率、温度两种传感器模块，无需连接数据采集器，通过蓝牙直连电脑、手机或平板等终端可直接进行数据采集，在终端上实时显示并记录电导率/温度的变化，绘制电导率/温度-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由传感器主体和前端电导率探头连接构成。主体正面有电源按钮、电源和蓝牙指示灯、传感器名称；背面有蓝牙编号及电池仓，机身外壳与电池仓用密封圈密封。</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1.传感器内置蓝牙无线模块：使用蓝牙5.0技术，该技术拥有极低的运行和待机功耗。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2.传感器与数据采集终端（电脑、平板或手机）直接通过蓝牙无线连接，便于运动情况下的数据测量及各种实验环境中的数据采集，无需数据采集器；传感器两种测量二合一，可测量电导率、温度。 </w:t>
            </w:r>
            <w:r>
              <w:rPr>
                <w:rFonts w:hint="eastAsia" w:cs="宋体" w:asciiTheme="minorEastAsia" w:hAnsiTheme="minorEastAsia" w:eastAsiaTheme="minorEastAsia"/>
                <w:sz w:val="20"/>
                <w:szCs w:val="20"/>
                <w:lang w:bidi="ar"/>
              </w:rPr>
              <w:br/>
              <w:t xml:space="preserve">3.可脱机进行数据采集。 </w:t>
            </w:r>
            <w:r>
              <w:rPr>
                <w:rFonts w:hint="eastAsia" w:cs="宋体" w:asciiTheme="minorEastAsia" w:hAnsiTheme="minorEastAsia" w:eastAsiaTheme="minorEastAsia"/>
                <w:sz w:val="20"/>
                <w:szCs w:val="20"/>
                <w:lang w:bidi="ar"/>
              </w:rPr>
              <w:br/>
              <w:t xml:space="preserve">4.传感器具有唯一蓝牙编号，便于数据终端选择性连接。 </w:t>
            </w:r>
            <w:r>
              <w:rPr>
                <w:rFonts w:hint="eastAsia" w:cs="宋体" w:asciiTheme="minorEastAsia" w:hAnsiTheme="minorEastAsia" w:eastAsiaTheme="minorEastAsia"/>
                <w:sz w:val="20"/>
                <w:szCs w:val="20"/>
                <w:lang w:bidi="ar"/>
              </w:rPr>
              <w:br/>
              <w:t xml:space="preserve">5.使用纽扣电池，电池可更换，一枚电池可正常课堂使用2年。 </w:t>
            </w:r>
            <w:r>
              <w:rPr>
                <w:rFonts w:hint="eastAsia" w:cs="宋体" w:asciiTheme="minorEastAsia" w:hAnsiTheme="minorEastAsia" w:eastAsiaTheme="minorEastAsia"/>
                <w:sz w:val="20"/>
                <w:szCs w:val="20"/>
                <w:lang w:bidi="ar"/>
              </w:rPr>
              <w:br/>
              <w:t xml:space="preserve">6.测量数据可用于测定总溶解固体。 </w:t>
            </w:r>
            <w:r>
              <w:rPr>
                <w:rFonts w:hint="eastAsia" w:cs="宋体" w:asciiTheme="minorEastAsia" w:hAnsiTheme="minorEastAsia" w:eastAsiaTheme="minorEastAsia"/>
                <w:sz w:val="20"/>
                <w:szCs w:val="20"/>
                <w:lang w:bidi="ar"/>
              </w:rPr>
              <w:br/>
              <w:t xml:space="preserve">7.传感器会自动进行温度补偿。 </w:t>
            </w:r>
            <w:r>
              <w:rPr>
                <w:rFonts w:hint="eastAsia" w:cs="宋体" w:asciiTheme="minorEastAsia" w:hAnsiTheme="minorEastAsia" w:eastAsiaTheme="minorEastAsia"/>
                <w:sz w:val="20"/>
                <w:szCs w:val="20"/>
                <w:lang w:bidi="ar"/>
              </w:rPr>
              <w:br/>
              <w:t xml:space="preserve">8.可实现标定功能。 </w:t>
            </w:r>
            <w:r>
              <w:rPr>
                <w:rFonts w:hint="eastAsia" w:cs="宋体" w:asciiTheme="minorEastAsia" w:hAnsiTheme="minorEastAsia" w:eastAsiaTheme="minorEastAsia"/>
                <w:sz w:val="20"/>
                <w:szCs w:val="20"/>
                <w:lang w:bidi="ar"/>
              </w:rPr>
              <w:br/>
              <w:t xml:space="preserve">9.连接方式：蓝牙无线。 </w:t>
            </w:r>
            <w:r>
              <w:rPr>
                <w:rFonts w:hint="eastAsia" w:cs="宋体" w:asciiTheme="minorEastAsia" w:hAnsiTheme="minorEastAsia" w:eastAsiaTheme="minorEastAsia"/>
                <w:sz w:val="20"/>
                <w:szCs w:val="20"/>
                <w:lang w:bidi="ar"/>
              </w:rPr>
              <w:br/>
              <w:t xml:space="preserve">10.节能方式：传感器打开电源，但无连接或连接无活动，几分钟后自动关闭电源。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电导率：</w:t>
            </w:r>
            <w:r>
              <w:rPr>
                <w:rFonts w:hint="eastAsia" w:cs="宋体" w:asciiTheme="minorEastAsia" w:hAnsiTheme="minorEastAsia" w:eastAsiaTheme="minorEastAsia"/>
                <w:sz w:val="20"/>
                <w:szCs w:val="20"/>
                <w:lang w:bidi="ar"/>
              </w:rPr>
              <w:br/>
              <w:t xml:space="preserve">1.量程：0~20000μS/cm</w:t>
            </w:r>
            <w:r>
              <w:rPr>
                <w:rFonts w:hint="eastAsia" w:cs="宋体" w:asciiTheme="minorEastAsia" w:hAnsiTheme="minorEastAsia" w:eastAsiaTheme="minorEastAsia"/>
                <w:sz w:val="20"/>
                <w:szCs w:val="20"/>
                <w:lang w:bidi="ar"/>
              </w:rPr>
              <w:br/>
              <w:t xml:space="preserve">2.分辨率：8μS/cm</w:t>
            </w:r>
            <w:r>
              <w:rPr>
                <w:rFonts w:hint="eastAsia" w:cs="宋体" w:asciiTheme="minorEastAsia" w:hAnsiTheme="minorEastAsia" w:eastAsiaTheme="minorEastAsia"/>
                <w:sz w:val="20"/>
                <w:szCs w:val="20"/>
                <w:lang w:bidi="ar"/>
              </w:rPr>
              <w:br/>
              <w:t xml:space="preserve">3.精度：±3%F.S</w:t>
            </w:r>
            <w:r>
              <w:rPr>
                <w:rFonts w:hint="eastAsia" w:cs="宋体" w:asciiTheme="minorEastAsia" w:hAnsiTheme="minorEastAsia" w:eastAsiaTheme="minorEastAsia"/>
                <w:sz w:val="20"/>
                <w:szCs w:val="20"/>
                <w:lang w:bidi="ar"/>
              </w:rPr>
              <w:br/>
              <w:t xml:space="preserve">温度：</w:t>
            </w:r>
            <w:r>
              <w:rPr>
                <w:rFonts w:hint="eastAsia" w:cs="宋体" w:asciiTheme="minorEastAsia" w:hAnsiTheme="minorEastAsia" w:eastAsiaTheme="minorEastAsia"/>
                <w:sz w:val="20"/>
                <w:szCs w:val="20"/>
                <w:lang w:bidi="ar"/>
              </w:rPr>
              <w:br/>
              <w:t xml:space="preserve">1.量程：0~60℃   </w:t>
            </w:r>
            <w:r>
              <w:rPr>
                <w:rFonts w:hint="eastAsia" w:cs="宋体" w:asciiTheme="minorEastAsia" w:hAnsiTheme="minorEastAsia" w:eastAsiaTheme="minorEastAsia"/>
                <w:sz w:val="20"/>
                <w:szCs w:val="20"/>
                <w:lang w:bidi="ar"/>
              </w:rPr>
              <w:br/>
              <w:t xml:space="preserve">2.分辨率：0.1℃  </w:t>
            </w:r>
            <w:r>
              <w:rPr>
                <w:rFonts w:hint="eastAsia" w:cs="宋体" w:asciiTheme="minorEastAsia" w:hAnsiTheme="minorEastAsia" w:eastAsiaTheme="minorEastAsia"/>
                <w:sz w:val="20"/>
                <w:szCs w:val="20"/>
                <w:lang w:bidi="ar"/>
              </w:rPr>
              <w:br/>
              <w:t xml:space="preserve">3.精度：0.5℃</w:t>
            </w:r>
            <w:r>
              <w:rPr>
                <w:rFonts w:hint="eastAsia" w:cs="宋体" w:asciiTheme="minorEastAsia" w:hAnsiTheme="minorEastAsia" w:eastAsiaTheme="minorEastAsia"/>
                <w:sz w:val="20"/>
                <w:szCs w:val="20"/>
                <w:lang w:bidi="ar"/>
              </w:rPr>
              <w:br/>
              <w:t xml:space="preserve">4.采样速率：10次/秒</w:t>
            </w:r>
            <w:r>
              <w:rPr>
                <w:rFonts w:hint="eastAsia" w:cs="宋体" w:asciiTheme="minorEastAsia" w:hAnsiTheme="minorEastAsia" w:eastAsiaTheme="minorEastAsia"/>
                <w:sz w:val="20"/>
                <w:szCs w:val="20"/>
                <w:lang w:bidi="ar"/>
              </w:rPr>
              <w:br/>
              <w:t xml:space="preserve">5.连续使用时间：≥120小时</w:t>
            </w:r>
            <w:r>
              <w:rPr>
                <w:rFonts w:hint="eastAsia" w:cs="宋体" w:asciiTheme="minorEastAsia" w:hAnsiTheme="minorEastAsia" w:eastAsiaTheme="minorEastAsia"/>
                <w:sz w:val="20"/>
                <w:szCs w:val="20"/>
                <w:lang w:bidi="ar"/>
              </w:rPr>
              <w:br/>
              <w:t xml:space="preserve">6.防水等级：IP67</w:t>
            </w:r>
            <w:r>
              <w:rPr>
                <w:rFonts w:hint="eastAsia" w:cs="宋体" w:asciiTheme="minorEastAsia" w:hAnsiTheme="minorEastAsia" w:eastAsiaTheme="minorEastAsia"/>
                <w:sz w:val="20"/>
                <w:szCs w:val="20"/>
                <w:lang w:bidi="ar"/>
              </w:rPr>
              <w:br/>
              <w:t xml:space="preserve">7.通讯距离：≥30m（空旷无遮挡）</w:t>
            </w:r>
            <w:r>
              <w:rPr>
                <w:rFonts w:hint="eastAsia" w:cs="宋体" w:asciiTheme="minorEastAsia" w:hAnsiTheme="minorEastAsia" w:eastAsiaTheme="minorEastAsia"/>
                <w:sz w:val="20"/>
                <w:szCs w:val="20"/>
                <w:lang w:bidi="ar"/>
              </w:rPr>
              <w:br/>
              <w:t xml:space="preserve">8.电池型号：CR2032</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观察氢氧化钙与二氧化碳的反应、测量溶液的电导率、试验物质的导电性、渗透研究等实验。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bl>
    <w:p>
      <w:pPr>
        <w:rPr>
          <w:rFonts w:hint="eastAsia" w:cs="宋体" w:asciiTheme="minorEastAsia" w:hAnsiTheme="minorEastAsia" w:eastAsiaTheme="minorEastAsia"/>
        </w:rPr>
        <w:sectPr>
          <w:footnotePr/>
          <w:endnotePr/>
          <w:type w:val="nextPage"/>
          <w:pgSz w:w="16838" w:h="11906" w:orient="landscape"/>
          <w:pgMar w:top="720" w:right="720" w:bottom="720" w:left="720" w:header="851" w:footer="992" w:gutter="0"/>
          <w:cols w:num="1" w:sep="0" w:space="720" w:equalWidth="1"/>
          <w:docGrid w:linePitch="360"/>
        </w:sectPr>
      </w:pPr>
      <w:r>
        <w:rPr>
          <w:rFonts w:hint="eastAsia" w:cs="宋体" w:asciiTheme="minorEastAsia" w:hAnsiTheme="minorEastAsia" w:eastAsiaTheme="minorEastAsia"/>
        </w:rPr>
      </w:r>
      <w:r/>
    </w:p>
    <w:tbl>
      <w:tblPr>
        <w:tblpPr w:horzAnchor="margin" w:tblpXSpec="left" w:vertAnchor="margin" w:tblpY="976" w:leftFromText="180" w:topFromText="0" w:rightFromText="180" w:bottomFromText="0"/>
        <w:tblW w:w="4531" w:type="pct"/>
        <w:tblLook w:val="04A0" w:firstRow="1" w:lastRow="0" w:firstColumn="1" w:lastColumn="0" w:noHBand="0" w:noVBand="1"/>
      </w:tblPr>
      <w:tblGrid>
        <w:gridCol w:w="1451"/>
        <w:gridCol w:w="3831"/>
        <w:gridCol w:w="4494"/>
        <w:gridCol w:w="1452"/>
        <w:gridCol w:w="1455"/>
        <w:gridCol w:w="1466"/>
      </w:tblGrid>
      <w:tr>
        <w:trPr>
          <w:trHeight w:val="625"/>
          <w:tblHeader/>
        </w:trPr>
        <w:tc>
          <w:tcPr>
            <w:shd w:val="clear" w:color="auto" w:fill="dce6f1"/>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序号</w:t>
            </w:r>
            <w:r/>
          </w:p>
        </w:tc>
        <w:tc>
          <w:tcPr>
            <w:shd w:val="clear" w:color="auto" w:fill="dce6f1"/>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产品名称</w:t>
            </w:r>
            <w:r/>
          </w:p>
        </w:tc>
        <w:tc>
          <w:tcPr>
            <w:shd w:val="clear" w:color="auto" w:fill="dce6f1"/>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技术参数</w:t>
            </w:r>
            <w:r/>
          </w:p>
        </w:tc>
        <w:tc>
          <w:tcPr>
            <w:shd w:val="clear" w:color="auto" w:fill="dce6f1"/>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单位</w:t>
            </w:r>
            <w:r/>
          </w:p>
        </w:tc>
        <w:tc>
          <w:tcPr>
            <w:shd w:val="clear" w:color="auto" w:fill="dce6f1"/>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c>
          <w:tcPr>
            <w:shd w:val="clear" w:color="auto" w:fill="dce6f1"/>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备注</w:t>
            </w:r>
            <w:r/>
          </w:p>
        </w:tc>
      </w:tr>
      <w:tr>
        <w:trPr>
          <w:trHeight w:val="610"/>
        </w:trPr>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无菌涂布器（或无菌棉签）</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玻璃三角刮刀(涂布器)，玻璃材质</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接种环</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金属手柄，合金金属丝</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微量移液器10-100μL</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20µL～200µL</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35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移液器架</w:t>
            </w:r>
            <w:r/>
          </w:p>
        </w:tc>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可放置5支移液器</w:t>
            </w: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bl>
    <w:p>
      <w:pPr>
        <w:pStyle w:val="1095"/>
        <w:ind w:firstLine="720"/>
        <w:rPr>
          <w:rFonts w:hint="eastAsia" w:cs="宋体" w:asciiTheme="minorEastAsia" w:hAnsiTheme="minorEastAsia"/>
        </w:rPr>
        <w:sectPr>
          <w:footnotePr/>
          <w:endnotePr/>
          <w:type w:val="nextPage"/>
          <w:pgSz w:w="16838" w:h="11906" w:orient="landscape"/>
          <w:pgMar w:top="720" w:right="720" w:bottom="720" w:left="720" w:header="851" w:footer="992" w:gutter="0"/>
          <w:cols w:num="1" w:sep="0" w:space="720" w:equalWidth="1"/>
          <w:docGrid w:linePitch="360"/>
        </w:sectPr>
      </w:pPr>
      <w:r>
        <w:rPr>
          <w:rFonts w:hint="eastAsia" w:cs="宋体" w:asciiTheme="minorEastAsia" w:hAnsiTheme="minorEastAsia"/>
          <w:b/>
          <w:bCs/>
          <w:sz w:val="36"/>
          <w:szCs w:val="36"/>
          <w:lang w:bidi="ar"/>
        </w:rPr>
        <w:t xml:space="preserve">高中生物实验仪器</w:t>
      </w:r>
      <w:r/>
    </w:p>
    <w:p>
      <w:pPr>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lang w:bidi="ar"/>
        </w:rPr>
        <w:t xml:space="preserve">高中物理实验仪器</w:t>
      </w:r>
      <w:r/>
    </w:p>
    <w:tbl>
      <w:tblPr>
        <w:tblW w:w="4589" w:type="pct"/>
        <w:tblLook w:val="04A0" w:firstRow="1" w:lastRow="0" w:firstColumn="1" w:lastColumn="0" w:noHBand="0" w:noVBand="1"/>
      </w:tblPr>
      <w:tblGrid>
        <w:gridCol w:w="1272"/>
        <w:gridCol w:w="3373"/>
        <w:gridCol w:w="5856"/>
        <w:gridCol w:w="1273"/>
        <w:gridCol w:w="1273"/>
        <w:gridCol w:w="1284"/>
      </w:tblGrid>
      <w:tr>
        <w:trPr>
          <w:trHeight w:val="625"/>
          <w:tblHeader/>
        </w:trPr>
        <w:tc>
          <w:tcPr>
            <w:shd w:val="clear" w:color="auto" w:fill="dce6f1"/>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序号</w:t>
            </w:r>
            <w:r/>
          </w:p>
        </w:tc>
        <w:tc>
          <w:tcPr>
            <w:shd w:val="clear" w:color="auto" w:fill="dce6f1"/>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产品名称</w:t>
            </w:r>
            <w:r/>
          </w:p>
        </w:tc>
        <w:tc>
          <w:tcPr>
            <w:shd w:val="clear" w:color="auto" w:fill="dce6f1"/>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技术参数</w:t>
            </w:r>
            <w:r/>
          </w:p>
        </w:tc>
        <w:tc>
          <w:tcPr>
            <w:shd w:val="clear" w:color="auto" w:fill="dce6f1"/>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单位</w:t>
            </w:r>
            <w:r/>
          </w:p>
        </w:tc>
        <w:tc>
          <w:tcPr>
            <w:shd w:val="clear" w:color="auto" w:fill="dce6f1"/>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c>
          <w:tcPr>
            <w:shd w:val="clear" w:color="auto" w:fill="dce6f1"/>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备注</w:t>
            </w:r>
            <w:r/>
          </w:p>
        </w:tc>
      </w:tr>
      <w:tr>
        <w:trPr>
          <w:trHeight w:val="325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一端带有定滑轮的长木板</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斜面小车：</w:t>
            </w:r>
            <w:r>
              <w:rPr>
                <w:rFonts w:hint="eastAsia" w:cs="宋体" w:asciiTheme="minorEastAsia" w:hAnsiTheme="minorEastAsia" w:eastAsiaTheme="minorEastAsia"/>
                <w:sz w:val="20"/>
                <w:szCs w:val="20"/>
                <w:lang w:bidi="ar"/>
              </w:rPr>
              <w:br/>
              <w:t xml:space="preserve">产品由斜面板、小车、支撑杆、摩擦块、砝码桶组成。1.斜面板外形尺寸：815×100×20mm；档条宽15mm、高14mm。2.标尺全长800mm、累计误差不超过2mm、最小分度值10mm，其“0”位与挡条内侧边线齐平，刻线和数字清晰。3.安装支撑杆孔直径为6mm，深30－40mm，孔与支撑杆配合松紧适度。4.滑轮倾角可调，应能承受0.25N·m的转动力矩而不滑动。5.支撑杆总长150mm。6.摩擦块外形尺寸：100mm×80mm×40mm，摩擦面分别有2个和4个圆孔。</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学生实验纸材</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打点纸带、墨粉纸、坐标纸、实验用纸。</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60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一般材料</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磁性橡胶片、乒乓球、大头针、回形针、橡胶泥、胶帽、泡沫塑料、透明胶带、小蜡烛、灯芯、火柴、塑料板、木板、玻璃板、毛巾、棉布、橡皮筋、气球、塑料袋、塑料薄膜、纸板、坐标纸、图钉、高泡洗衣粉、钢炭(木炭)粉或痱子粉﹑松香等。</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电容器(电容2000μF或以上)</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云母片、电解电容器(25V，470～1000µF)、三极管、驻极体话筒、光声控延时开关、100kΩ可变电阻、1kΩ电阻、74LS00。</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定值电阻(500Ω,0.5A )</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定值电阻(碳膜电阻、金属膜电阻、绕线电阻、水泥电阻等)、可变电阻(电位器等)、特殊电阻(热敏电阻、光敏电阻等)。</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单刀双掷开关</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27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电工材料</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鳄鱼夹、插口夹、香蕉插头、电阻丝、锌片、铜片、灯泡(15W、60W)、小电池(5号、纽扣、太阳电池)、保险丝、保险管(不同规格的合金熔丝、保险管)、焊锡、绝缘胶布、导线等。</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游标卡尺(10、20、50分度)</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电流表(0-0.6A和0-3A)</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2.5级，0.6A，3A。</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干电池</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每组2～3个1号电池。</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节</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可拆装的小型变压器</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温度报警实验器材套件</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热敏电阻、74LS14、1kΩ可变电阻、蜂鸣器(YMD或HMB)。</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电熨斗控温电路套件</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防盗报警电路器材套件</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小永磁体、干簧管、74LS14、  2.2kΩ电阻、蜂鸣器(YMD或HMB)。</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4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光控开关实验器材套件</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光敏电阻、74LS14、发光二极管、51kΩ可变电阻、330Ω电阻。</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火灾报警器</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电子闹钟套件</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铁架台</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10"/>
        </w:trPr>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17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气体定律实验器</w:t>
            </w:r>
            <w:r/>
          </w:p>
        </w:tc>
        <w:tc>
          <w:tcPr>
            <w:tcBorders>
              <w:top w:val="single" w:color="000000" w:sz="4" w:space="0"/>
              <w:left w:val="single" w:color="000000" w:sz="4" w:space="0"/>
              <w:bottom w:val="single" w:color="000000" w:sz="4" w:space="0"/>
              <w:right w:val="single" w:color="000000" w:sz="4" w:space="0"/>
            </w:tcBorders>
            <w:tcW w:w="2043"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bl>
    <w:p>
      <w:pPr>
        <w:rPr>
          <w:rFonts w:hint="eastAsia" w:cs="宋体" w:asciiTheme="minorEastAsia" w:hAnsiTheme="minorEastAsia" w:eastAsiaTheme="minorEastAsia"/>
        </w:rPr>
        <w:sectPr>
          <w:footnotePr/>
          <w:endnotePr/>
          <w:type w:val="nextPage"/>
          <w:pgSz w:w="16838" w:h="11906" w:orient="landscape"/>
          <w:pgMar w:top="720" w:right="720" w:bottom="720" w:left="720" w:header="851" w:footer="992" w:gutter="0"/>
          <w:cols w:num="1" w:sep="0" w:space="720" w:equalWidth="1"/>
          <w:docGrid w:linePitch="360"/>
        </w:sect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b/>
          <w:bCs/>
          <w:sz w:val="32"/>
          <w:szCs w:val="32"/>
          <w:lang w:bidi="ar"/>
        </w:rPr>
        <w:t xml:space="preserve">高中物理数字化探究演示系统</w:t>
      </w:r>
      <w:r/>
    </w:p>
    <w:tbl>
      <w:tblPr>
        <w:tblW w:w="4574" w:type="pct"/>
        <w:tblLook w:val="04A0" w:firstRow="1" w:lastRow="0" w:firstColumn="1" w:lastColumn="0" w:noHBand="0" w:noVBand="1"/>
      </w:tblPr>
      <w:tblGrid>
        <w:gridCol w:w="417"/>
        <w:gridCol w:w="2745"/>
        <w:gridCol w:w="6745"/>
        <w:gridCol w:w="1117"/>
        <w:gridCol w:w="986"/>
        <w:gridCol w:w="2274"/>
      </w:tblGrid>
      <w:tr>
        <w:trPr>
          <w:trHeight w:val="450"/>
          <w:tblHeader/>
        </w:trPr>
        <w:tc>
          <w:tcPr>
            <w:shd w:val="clear" w:color="auto" w:fill="dce6f1"/>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序号</w:t>
            </w:r>
            <w:r/>
          </w:p>
        </w:tc>
        <w:tc>
          <w:tcPr>
            <w:shd w:val="clear" w:color="auto" w:fill="dce6f1"/>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产品名称</w:t>
            </w:r>
            <w:r/>
          </w:p>
        </w:tc>
        <w:tc>
          <w:tcPr>
            <w:shd w:val="clear" w:color="auto" w:fill="dce6f1"/>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技术参数</w:t>
            </w:r>
            <w:r/>
          </w:p>
        </w:tc>
        <w:tc>
          <w:tcPr>
            <w:shd w:val="clear" w:color="auto" w:fill="dce6f1"/>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单位</w:t>
            </w:r>
            <w:r/>
          </w:p>
        </w:tc>
        <w:tc>
          <w:tcPr>
            <w:shd w:val="clear" w:color="auto" w:fill="dce6f1"/>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c>
          <w:tcPr>
            <w:shd w:val="clear" w:color="auto" w:fill="dce6f1"/>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备注</w:t>
            </w:r>
            <w:r/>
          </w:p>
        </w:tc>
      </w:tr>
      <w:tr>
        <w:trPr>
          <w:trHeight w:val="450"/>
        </w:trPr>
        <w:tc>
          <w:tcPr>
            <w:gridSpan w:val="6"/>
            <w:shd w:val="clear" w:color="auto" w:fill="b8cce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教师端传感器</w:t>
            </w:r>
            <w:r/>
          </w:p>
        </w:tc>
      </w:tr>
      <w:tr>
        <w:trPr>
          <w:trHeight w:val="1425"/>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数字化实验系统</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支持实验设计、数据采集和保存、数据分析计算等，是一款功能强大的教学用实验数据处理软件。</w:t>
            </w:r>
            <w:r>
              <w:rPr>
                <w:rFonts w:hint="eastAsia" w:cs="宋体" w:asciiTheme="minorEastAsia" w:hAnsiTheme="minorEastAsia" w:eastAsiaTheme="minorEastAsia"/>
                <w:sz w:val="20"/>
                <w:szCs w:val="20"/>
                <w:lang w:bidi="ar"/>
              </w:rPr>
              <w:br/>
              <w:t xml:space="preserve">功能：</w:t>
            </w:r>
            <w:r>
              <w:rPr>
                <w:rFonts w:hint="eastAsia" w:cs="宋体" w:asciiTheme="minorEastAsia" w:hAnsiTheme="minorEastAsia" w:eastAsiaTheme="minorEastAsia"/>
                <w:sz w:val="20"/>
                <w:szCs w:val="20"/>
                <w:lang w:bidi="ar"/>
              </w:rPr>
              <w:br/>
              <w:t xml:space="preserve">1.支持Windows、Android、iOS/iPadOS、MacOS、 Linux、Harmony OS、统信UOS。</w:t>
            </w:r>
            <w:r>
              <w:rPr>
                <w:rFonts w:hint="eastAsia" w:cs="宋体" w:asciiTheme="minorEastAsia" w:hAnsiTheme="minorEastAsia" w:eastAsiaTheme="minorEastAsia"/>
                <w:sz w:val="20"/>
                <w:szCs w:val="20"/>
                <w:lang w:bidi="ar"/>
              </w:rPr>
              <w:br/>
              <w:t xml:space="preserve">2.支持有线连接，无线蓝牙连接。</w:t>
            </w:r>
            <w:r>
              <w:rPr>
                <w:rFonts w:hint="eastAsia" w:cs="宋体" w:asciiTheme="minorEastAsia" w:hAnsiTheme="minorEastAsia" w:eastAsiaTheme="minorEastAsia"/>
                <w:sz w:val="20"/>
                <w:szCs w:val="20"/>
                <w:lang w:bidi="ar"/>
              </w:rPr>
              <w:br/>
              <w:t xml:space="preserve">3.支持传感器自动识别。</w:t>
            </w:r>
            <w:r>
              <w:rPr>
                <w:rFonts w:hint="eastAsia" w:cs="宋体" w:asciiTheme="minorEastAsia" w:hAnsiTheme="minorEastAsia" w:eastAsiaTheme="minorEastAsia"/>
                <w:sz w:val="20"/>
                <w:szCs w:val="20"/>
                <w:lang w:bidi="ar"/>
              </w:rPr>
              <w:br/>
              <w:t xml:space="preserve">4.可连接多个采集器，并支持多个采集器同时工作。</w:t>
            </w:r>
            <w:r>
              <w:rPr>
                <w:rFonts w:hint="eastAsia" w:cs="宋体" w:asciiTheme="minorEastAsia" w:hAnsiTheme="minorEastAsia" w:eastAsiaTheme="minorEastAsia"/>
                <w:sz w:val="20"/>
                <w:szCs w:val="20"/>
                <w:lang w:bidi="ar"/>
              </w:rPr>
              <w:br/>
              <w:t xml:space="preserve">5.可支持20个传感器同时采集。</w:t>
            </w:r>
            <w:r>
              <w:rPr>
                <w:rFonts w:hint="eastAsia" w:cs="宋体" w:asciiTheme="minorEastAsia" w:hAnsiTheme="minorEastAsia" w:eastAsiaTheme="minorEastAsia"/>
                <w:sz w:val="20"/>
                <w:szCs w:val="20"/>
                <w:lang w:bidi="ar"/>
              </w:rPr>
              <w:br/>
              <w:t xml:space="preserve">6.通过坐标图像曲线、表格、数值、仪表盘等方式，实时、直观、精确显示实验数据。</w:t>
            </w:r>
            <w:r>
              <w:rPr>
                <w:rFonts w:hint="eastAsia" w:cs="宋体" w:asciiTheme="minorEastAsia" w:hAnsiTheme="minorEastAsia" w:eastAsiaTheme="minorEastAsia"/>
                <w:sz w:val="20"/>
                <w:szCs w:val="20"/>
                <w:lang w:bidi="ar"/>
              </w:rPr>
              <w:br/>
              <w:t xml:space="preserve">7.根据实验需要，可进行公式（变量）编辑，自主添加实验变量（或增量等），并通过公式编辑实现不同物理量之间的转换。</w:t>
            </w:r>
            <w:r>
              <w:rPr>
                <w:rFonts w:hint="eastAsia" w:cs="宋体" w:asciiTheme="minorEastAsia" w:hAnsiTheme="minorEastAsia" w:eastAsiaTheme="minorEastAsia"/>
                <w:sz w:val="20"/>
                <w:szCs w:val="20"/>
                <w:lang w:bidi="ar"/>
              </w:rPr>
              <w:br/>
              <w:t xml:space="preserve">8.可对数据图表操作，包括对图表内数据曲线的移动、缩放、改变曲线颜色及大小等，便于实验前后的数据分析处理，适合于教学中实验结果的精确测定与验证。</w:t>
            </w:r>
            <w:r>
              <w:rPr>
                <w:rFonts w:hint="eastAsia" w:cs="宋体" w:asciiTheme="minorEastAsia" w:hAnsiTheme="minorEastAsia" w:eastAsiaTheme="minorEastAsia"/>
                <w:sz w:val="20"/>
                <w:szCs w:val="20"/>
                <w:lang w:bidi="ar"/>
              </w:rPr>
              <w:br/>
              <w:t xml:space="preserve">9.具有完善的数据处理功能，包含多种数据拟合：直线拟合、抛物线拟合、倒数拟合、积分、重叠显示等。</w:t>
            </w:r>
            <w:r>
              <w:rPr>
                <w:rFonts w:hint="eastAsia" w:cs="宋体" w:asciiTheme="minorEastAsia" w:hAnsiTheme="minorEastAsia" w:eastAsiaTheme="minorEastAsia"/>
                <w:sz w:val="20"/>
                <w:szCs w:val="20"/>
                <w:lang w:bidi="ar"/>
              </w:rPr>
              <w:br/>
              <w:t xml:space="preserve">10.实验结果以图片等不同方式进行保存。</w:t>
            </w:r>
            <w:r>
              <w:rPr>
                <w:rFonts w:hint="eastAsia" w:cs="宋体" w:asciiTheme="minorEastAsia" w:hAnsiTheme="minorEastAsia" w:eastAsiaTheme="minorEastAsia"/>
                <w:sz w:val="20"/>
                <w:szCs w:val="20"/>
                <w:lang w:bidi="ar"/>
              </w:rPr>
              <w:br/>
              <w:t xml:space="preserve">11.包含小学科学、初中物理、初中化学、初中生物、高中物理、高中生物、高中化学7个专用实验模块，超过150个实验专有模板，全定制化的实验界面及实验操作，贴合教学过程。</w:t>
            </w:r>
            <w:r>
              <w:rPr>
                <w:rFonts w:hint="eastAsia" w:cs="宋体" w:asciiTheme="minorEastAsia" w:hAnsiTheme="minorEastAsia" w:eastAsiaTheme="minorEastAsia"/>
                <w:sz w:val="20"/>
                <w:szCs w:val="20"/>
                <w:lang w:bidi="ar"/>
              </w:rPr>
              <w:br/>
              <w:t xml:space="preserve">12.软件可关联“在线实验设计平台”，通过注册和登录，登录之后可使用“在线实验设计平台”，体验功能更为强大的实验自主设计软件。</w:t>
            </w:r>
            <w:r>
              <w:rPr>
                <w:rFonts w:hint="eastAsia" w:cs="宋体" w:asciiTheme="minorEastAsia" w:hAnsiTheme="minorEastAsia" w:eastAsiaTheme="minorEastAsia"/>
                <w:sz w:val="20"/>
                <w:szCs w:val="20"/>
                <w:lang w:bidi="ar"/>
              </w:rPr>
              <w:br/>
              <w:t xml:space="preserve">13.通用界面支持多种功能风格显示，并且可自定义界面风格。</w:t>
            </w:r>
            <w:r>
              <w:rPr>
                <w:rFonts w:hint="eastAsia" w:cs="宋体" w:asciiTheme="minorEastAsia" w:hAnsiTheme="minorEastAsia" w:eastAsiaTheme="minorEastAsia"/>
                <w:sz w:val="20"/>
                <w:szCs w:val="20"/>
                <w:lang w:bidi="ar"/>
              </w:rPr>
              <w:br/>
              <w:t xml:space="preserve">▲14、提供丰富完整的在线实验教学案例，资源数量不少于700个。提供能在国家市场监督总局认证服务平台查询到报告编号的封面有CMA和CNAS标志的检测报告和相关网页截图材料佐证。</w:t>
            </w:r>
            <w:r>
              <w:rPr>
                <w:rFonts w:hint="eastAsia" w:cs="宋体" w:asciiTheme="minorEastAsia" w:hAnsiTheme="minorEastAsia" w:eastAsiaTheme="minorEastAsia"/>
                <w:sz w:val="20"/>
                <w:szCs w:val="20"/>
                <w:lang w:bidi="ar"/>
              </w:rPr>
              <w:br/>
              <w:t xml:space="preserve">▲15、提供丰富的在线实验视频，视频数量不少于150个。提供能在国家市场监督总局认证服务平台查询到报告编号的封面有CMA和CNAS标志的检测报告和相关网页截图材料佐证。                                                                   </w:t>
            </w:r>
            <w:r>
              <w:rPr>
                <w:rFonts w:hint="eastAsia" w:cs="宋体" w:asciiTheme="minorEastAsia" w:hAnsiTheme="minorEastAsia" w:eastAsiaTheme="minorEastAsia"/>
                <w:sz w:val="20"/>
                <w:szCs w:val="20"/>
                <w:lang w:bidi="ar"/>
              </w:rPr>
              <w:br/>
              <w:t xml:space="preserve">▲16、在线实验视频既可以通过自有平台浏览，同时也可以通过第三方平台浏览。提供能在国家市场监督总局认证服务平台查询到报告编号的封面</w:t>
            </w:r>
            <w:r>
              <w:rPr>
                <w:rFonts w:hint="eastAsia" w:cs="宋体" w:asciiTheme="minorEastAsia" w:hAnsiTheme="minorEastAsia" w:eastAsiaTheme="minorEastAsia"/>
                <w:sz w:val="20"/>
                <w:szCs w:val="20"/>
                <w:lang w:bidi="ar"/>
              </w:rPr>
              <w:t xml:space="preserve">有CMA和CNAS标志的检测报告和相关网页截图材料佐证。</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885"/>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无线智能电压传感器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压传感器无需连接数据采集器，通过蓝牙或USB直连电脑、手机或平板等终端可直接进行数据采集，在终端上实时显示并记录电压的变化，绘制电压-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主体正面有电源按钮、电源和蓝牙指示灯、传感器名称；背面有蓝牙编号；底部有Type-C接口；上端为导线插孔，附件红黑导线可一端接入传感器，另一端接入电路进行测量。</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1.用于测量电路、电器两端的电压。</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6.可实现校零功能。</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1.量程：-30V~30V</w:t>
            </w:r>
            <w:r>
              <w:rPr>
                <w:rFonts w:hint="eastAsia" w:cs="宋体" w:asciiTheme="minorEastAsia" w:hAnsiTheme="minorEastAsia" w:eastAsiaTheme="minorEastAsia"/>
                <w:sz w:val="20"/>
                <w:szCs w:val="20"/>
                <w:lang w:bidi="ar"/>
              </w:rPr>
              <w:br/>
              <w:t xml:space="preserve">2.分辨率：0.02V</w:t>
            </w:r>
            <w:r>
              <w:rPr>
                <w:rFonts w:hint="eastAsia" w:cs="宋体" w:asciiTheme="minorEastAsia" w:hAnsiTheme="minorEastAsia" w:eastAsiaTheme="minorEastAsia"/>
                <w:sz w:val="20"/>
                <w:szCs w:val="20"/>
                <w:lang w:bidi="ar"/>
              </w:rPr>
              <w:br/>
              <w:t xml:space="preserve">3.精度：±1%F.S</w:t>
            </w:r>
            <w:r>
              <w:rPr>
                <w:rFonts w:hint="eastAsia" w:cs="宋体" w:asciiTheme="minorEastAsia" w:hAnsiTheme="minorEastAsia" w:eastAsiaTheme="minorEastAsia"/>
                <w:sz w:val="20"/>
                <w:szCs w:val="20"/>
                <w:lang w:bidi="ar"/>
              </w:rPr>
              <w:br/>
              <w:t xml:space="preserve">4.采样速率：蓝牙：1000次/秒；USB：10000次/秒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探究串联电路中用电器两端的电压与电源两端电压的关系、探究并联电路中各支路用电器两端的电压与电源两端电压的关系、练习使用滑动变阻器、探究电流和电压的关系、探究电流和电阻的关系、伏安法测电阻、伏安法测灯泡电阻、额定功率与实际功率、测量小灯泡的功率、观察电容器的充放电、研究伏安特性曲线（小灯泡，电阻，导体，晶体二极管）、串并联电路中的电压、串并联电路中的电阻、自感、伏安法测金属的电阻率、电磁感应、振荡电路（电压）、电池及电源电动势和内阻的测量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2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无线智能电流传感器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流传感器无需连接数据采集器，通过蓝牙或USB直连电脑、手机或平板等终端可直接进行数据采集，在终端上实时显示并记录电流的变化，绘制电流-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主体正面有电源按钮、电源和蓝牙指示灯、传感器名称；背面有蓝牙编号；底部有Type-C接口；上端为导线插孔，附件红黑导线可一端接入传感器，另一端接入电路进行测量。</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1.用于测量电路中的电流。</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6.可实现校零功能。</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1.量程：-1A~1A</w:t>
            </w:r>
            <w:r>
              <w:rPr>
                <w:rFonts w:hint="eastAsia" w:cs="宋体" w:asciiTheme="minorEastAsia" w:hAnsiTheme="minorEastAsia" w:eastAsiaTheme="minorEastAsia"/>
                <w:sz w:val="20"/>
                <w:szCs w:val="20"/>
                <w:lang w:bidi="ar"/>
              </w:rPr>
              <w:br/>
              <w:t xml:space="preserve">2.分辨率：0.5mA</w:t>
            </w:r>
            <w:r>
              <w:rPr>
                <w:rFonts w:hint="eastAsia" w:cs="宋体" w:asciiTheme="minorEastAsia" w:hAnsiTheme="minorEastAsia" w:eastAsiaTheme="minorEastAsia"/>
                <w:sz w:val="20"/>
                <w:szCs w:val="20"/>
                <w:lang w:bidi="ar"/>
              </w:rPr>
              <w:br/>
              <w:t xml:space="preserve">3.精度：±1%F.S</w:t>
            </w:r>
            <w:r>
              <w:rPr>
                <w:rFonts w:hint="eastAsia" w:cs="宋体" w:asciiTheme="minorEastAsia" w:hAnsiTheme="minorEastAsia" w:eastAsiaTheme="minorEastAsia"/>
                <w:sz w:val="20"/>
                <w:szCs w:val="20"/>
                <w:lang w:bidi="ar"/>
              </w:rPr>
              <w:br/>
              <w:t xml:space="preserve">4.采样速率：1000次/秒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探究串、并联电路电流的特点、比较灯泡亮度、探究影响导体电阻大小的因素、探究电流和电压的关系、探究电流和电阻的关系、半导体电阻的应用（酒精浓度检测仪）、伏安法测（定值）电阻、伏安法测灯泡电阻、额定功率与实际功率、测量小灯泡的功率、电热跟什么因素有关、研究导体电阻与长度、横截面积及材料的定量关系、金属丝电阻率的测量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72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无线智能磁感应强度传感器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磁感应强度传感器无需连接数据采集器，通过蓝牙或USB直连电脑、手机或平板等终端可直接进行数据采集，在终端上实时显示并记录磁感应强度的变化，并可绘制磁感应强度-时间图像。本传感器也可以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由传感器主体和前端磁场探头连接构成。主体正面有电源按钮、电源和蓝牙指示灯、传感器名称；背面有蓝牙编号；底部有Type-C接口。</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1.用于测量磁场的磁场强度。</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6.可测量地磁场、永磁体、通电线圈的磁感强度。</w:t>
            </w:r>
            <w:r>
              <w:rPr>
                <w:rFonts w:hint="eastAsia" w:cs="宋体" w:asciiTheme="minorEastAsia" w:hAnsiTheme="minorEastAsia" w:eastAsiaTheme="minorEastAsia"/>
                <w:sz w:val="20"/>
                <w:szCs w:val="20"/>
                <w:lang w:bidi="ar"/>
              </w:rPr>
              <w:br/>
              <w:t xml:space="preserve">7.无需校准，即连即用。</w:t>
            </w:r>
            <w:r>
              <w:rPr>
                <w:rFonts w:hint="eastAsia" w:cs="宋体" w:asciiTheme="minorEastAsia" w:hAnsiTheme="minorEastAsia" w:eastAsiaTheme="minorEastAsia"/>
                <w:sz w:val="20"/>
                <w:szCs w:val="20"/>
                <w:lang w:bidi="ar"/>
              </w:rPr>
              <w:br/>
              <w:t xml:space="preserve">8.连接方式：蓝牙无线或有线。</w:t>
            </w:r>
            <w:r>
              <w:rPr>
                <w:rFonts w:hint="eastAsia" w:cs="宋体" w:asciiTheme="minorEastAsia" w:hAnsiTheme="minorEastAsia" w:eastAsiaTheme="minorEastAsia"/>
                <w:sz w:val="20"/>
                <w:szCs w:val="20"/>
                <w:lang w:bidi="ar"/>
              </w:rPr>
              <w:br/>
              <w:t xml:space="preserve">9.节能方式：传感器打开电源，但无连接或连接无活动，几分钟后自动关闭电源。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10.支持固件空中升级。</w:t>
            </w:r>
            <w:r>
              <w:rPr>
                <w:rFonts w:hint="eastAsia" w:cs="宋体" w:asciiTheme="minorEastAsia" w:hAnsiTheme="minorEastAsia" w:eastAsiaTheme="minorEastAsia"/>
                <w:sz w:val="20"/>
                <w:szCs w:val="20"/>
                <w:lang w:bidi="ar"/>
              </w:rPr>
              <w:br/>
              <w:t xml:space="preserve">11.支持平台：Windows、Android、iOS/iPadOS、MacOS、 Linux、Harmony </w:t>
            </w:r>
            <w:r>
              <w:rPr>
                <w:rFonts w:hint="eastAsia" w:cs="宋体" w:asciiTheme="minorEastAsia" w:hAnsiTheme="minorEastAsia" w:eastAsiaTheme="minorEastAsia"/>
                <w:sz w:val="20"/>
                <w:szCs w:val="20"/>
                <w:lang w:bidi="ar"/>
              </w:rPr>
              <w:t xml:space="preserve">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1.量程：-64mT~64mT</w:t>
            </w:r>
            <w:r>
              <w:rPr>
                <w:rFonts w:hint="eastAsia" w:cs="宋体" w:asciiTheme="minorEastAsia" w:hAnsiTheme="minorEastAsia" w:eastAsiaTheme="minorEastAsia"/>
                <w:sz w:val="20"/>
                <w:szCs w:val="20"/>
                <w:lang w:bidi="ar"/>
              </w:rPr>
              <w:br/>
              <w:t xml:space="preserve">2.分辨率：0.04mT</w:t>
            </w:r>
            <w:r>
              <w:rPr>
                <w:rFonts w:hint="eastAsia" w:cs="宋体" w:asciiTheme="minorEastAsia" w:hAnsiTheme="minorEastAsia" w:eastAsiaTheme="minorEastAsia"/>
                <w:sz w:val="20"/>
                <w:szCs w:val="20"/>
                <w:lang w:bidi="ar"/>
              </w:rPr>
              <w:br/>
              <w:t xml:space="preserve">3.精度：±3%F.S</w:t>
            </w:r>
            <w:r>
              <w:rPr>
                <w:rFonts w:hint="eastAsia" w:cs="宋体" w:asciiTheme="minorEastAsia" w:hAnsiTheme="minorEastAsia" w:eastAsiaTheme="minorEastAsia"/>
                <w:sz w:val="20"/>
                <w:szCs w:val="20"/>
                <w:lang w:bidi="ar"/>
              </w:rPr>
              <w:br/>
              <w:t xml:space="preserve">4.采样速率：500次/秒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150mAh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探究磁场的方向、探究通电螺线管外部的磁场分布、电磁铁的磁性等实验。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935"/>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无线智能力传感器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力传感器无需连接数据采集器，通过蓝牙或USB直连电脑、手机或平板等终端可直接进行数据采集，在终端上实时显示并记录力的变化，绘制相应变化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本传感器造型方正，在其顶部有用于手拎的两个开孔，一个用于固定于铁杆的异形孔，背部和底部分别设有能用于固定在小车等处的螺丝孔；正面有电源按钮、电源和蓝牙指示灯、蓝牙编号、传感器名称及量程范围；下端为力传感器接口，可拧上钩子（测量拉力）或防撞塑料件（测量推力）。</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1.用于测量拉力或压力。</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6.使用（固定）方式：手（指）拎、固定在连接杆上。</w:t>
            </w:r>
            <w:r>
              <w:rPr>
                <w:rFonts w:hint="eastAsia" w:cs="宋体" w:asciiTheme="minorEastAsia" w:hAnsiTheme="minorEastAsia" w:eastAsiaTheme="minorEastAsia"/>
                <w:sz w:val="20"/>
                <w:szCs w:val="20"/>
                <w:lang w:bidi="ar"/>
              </w:rPr>
              <w:br/>
              <w:t xml:space="preserve">7.可实现校零功能。</w:t>
            </w:r>
            <w:r>
              <w:rPr>
                <w:rFonts w:hint="eastAsia" w:cs="宋体" w:asciiTheme="minorEastAsia" w:hAnsiTheme="minorEastAsia" w:eastAsiaTheme="minorEastAsia"/>
                <w:sz w:val="20"/>
                <w:szCs w:val="20"/>
                <w:lang w:bidi="ar"/>
              </w:rPr>
              <w:br/>
              <w:t xml:space="preserve">8.连接方式：蓝牙无线或有线。</w:t>
            </w:r>
            <w:r>
              <w:rPr>
                <w:rFonts w:hint="eastAsia" w:cs="宋体" w:asciiTheme="minorEastAsia" w:hAnsiTheme="minorEastAsia" w:eastAsiaTheme="minorEastAsia"/>
                <w:sz w:val="20"/>
                <w:szCs w:val="20"/>
                <w:lang w:bidi="ar"/>
              </w:rPr>
              <w:br/>
              <w:t xml:space="preserve">9.节能方式：传感器打开电源，但无连接或连接无活动，几分钟后自动关闭电源。</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10.支持固件空中升级。</w:t>
            </w:r>
            <w:r>
              <w:rPr>
                <w:rFonts w:hint="eastAsia" w:cs="宋体" w:asciiTheme="minorEastAsia" w:hAnsiTheme="minorEastAsia" w:eastAsiaTheme="minorEastAsia"/>
                <w:sz w:val="20"/>
                <w:szCs w:val="20"/>
                <w:lang w:bidi="ar"/>
              </w:rPr>
              <w:br/>
              <w:t xml:space="preserve">11.支持平台：Windows、Android、iOS/iPadOS、MacOS、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1.量程：-50N~50N</w:t>
            </w:r>
            <w:r>
              <w:rPr>
                <w:rFonts w:hint="eastAsia" w:cs="宋体" w:asciiTheme="minorEastAsia" w:hAnsiTheme="minorEastAsia" w:eastAsiaTheme="minorEastAsia"/>
                <w:sz w:val="20"/>
                <w:szCs w:val="20"/>
                <w:lang w:bidi="ar"/>
              </w:rPr>
              <w:br/>
              <w:t xml:space="preserve">2.分辨率：0.03N</w:t>
            </w:r>
            <w:r>
              <w:rPr>
                <w:rFonts w:hint="eastAsia" w:cs="宋体" w:asciiTheme="minorEastAsia" w:hAnsiTheme="minorEastAsia" w:eastAsiaTheme="minorEastAsia"/>
                <w:sz w:val="20"/>
                <w:szCs w:val="20"/>
                <w:lang w:bidi="ar"/>
              </w:rPr>
              <w:br/>
              <w:t xml:space="preserve">3.精度：±1%F.S</w:t>
            </w:r>
            <w:r>
              <w:rPr>
                <w:rFonts w:hint="eastAsia" w:cs="宋体" w:asciiTheme="minorEastAsia" w:hAnsiTheme="minorEastAsia" w:eastAsiaTheme="minorEastAsia"/>
                <w:sz w:val="20"/>
                <w:szCs w:val="20"/>
                <w:lang w:bidi="ar"/>
              </w:rPr>
              <w:br/>
              <w:t xml:space="preserve">4.采样速率：蓝牙：1000次/秒；USB：5000次/秒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力的作用的是相互、探究重力与质量的关系、测量摩擦力、探究影响滑动摩擦力的因素、大气压的测量、测量浮力的大小、探究浮力的大小跟哪些因素有关、探究浮力的大小跟排开液体所受重力的关系、探究杠杆的平衡条件、研究定滑轮与动滑轮的特点、使用动滑轮是否省功、测量滑轮组的机械效率、探究弹性形变与外力的关系、测量提升物体所做的功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015"/>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无线智能温度传感器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由传感器主体和前端探头连接构成。主体正面有电源按钮、电源和蓝牙指示灯、传感器名称；背面有蓝牙编号及电池仓，机身外壳与电池仓用密封圈密封。</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1.用于测量物体表面、气体、酸碱等液体的温度。</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6.使用纽扣电池，电池可更换，一枚电池可正常课堂使用1年以上。</w:t>
            </w:r>
            <w:r>
              <w:rPr>
                <w:rFonts w:hint="eastAsia" w:cs="宋体" w:asciiTheme="minorEastAsia" w:hAnsiTheme="minorEastAsia" w:eastAsiaTheme="minorEastAsia"/>
                <w:sz w:val="20"/>
                <w:szCs w:val="20"/>
                <w:lang w:bidi="ar"/>
              </w:rPr>
              <w:br/>
              <w:t xml:space="preserve">7.测量灵敏、精确，反应快速，包括对微小温度变化的快速采样。</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8.无需校准，即连即用。</w:t>
            </w:r>
            <w:r>
              <w:rPr>
                <w:rFonts w:hint="eastAsia" w:cs="宋体" w:asciiTheme="minorEastAsia" w:hAnsiTheme="minorEastAsia" w:eastAsiaTheme="minorEastAsia"/>
                <w:sz w:val="20"/>
                <w:szCs w:val="20"/>
                <w:lang w:bidi="ar"/>
              </w:rPr>
              <w:br/>
              <w:t xml:space="preserve">9.连接方式：蓝牙无线。</w:t>
            </w:r>
            <w:r>
              <w:rPr>
                <w:rFonts w:hint="eastAsia" w:cs="宋体" w:asciiTheme="minorEastAsia" w:hAnsiTheme="minorEastAsia" w:eastAsiaTheme="minorEastAsia"/>
                <w:sz w:val="20"/>
                <w:szCs w:val="20"/>
                <w:lang w:bidi="ar"/>
              </w:rPr>
              <w:br/>
              <w:t xml:space="preserve">10.节能方式：传感器打开电源，无连接或连接无活动，几分钟后自动关闭电源。</w:t>
            </w:r>
            <w:r>
              <w:rPr>
                <w:rFonts w:hint="eastAsia" w:cs="宋体" w:asciiTheme="minorEastAsia" w:hAnsiTheme="minorEastAsia" w:eastAsiaTheme="minorEastAsia"/>
                <w:sz w:val="20"/>
                <w:szCs w:val="20"/>
                <w:lang w:bidi="ar"/>
              </w:rPr>
              <w:br/>
              <w:t xml:space="preserve">11.支持固件空中升级。</w:t>
            </w:r>
            <w:r>
              <w:rPr>
                <w:rFonts w:hint="eastAsia" w:cs="宋体" w:asciiTheme="minorEastAsia" w:hAnsiTheme="minorEastAsia" w:eastAsiaTheme="minorEastAsia"/>
                <w:sz w:val="20"/>
                <w:szCs w:val="20"/>
                <w:lang w:bidi="ar"/>
              </w:rPr>
              <w:br/>
              <w:t xml:space="preserve">12.可切换单位：℃、℉、K。</w:t>
            </w:r>
            <w:r>
              <w:rPr>
                <w:rFonts w:hint="eastAsia" w:cs="宋体" w:asciiTheme="minorEastAsia" w:hAnsiTheme="minorEastAsia" w:eastAsiaTheme="minorEastAsia"/>
                <w:sz w:val="20"/>
                <w:szCs w:val="20"/>
                <w:lang w:bidi="ar"/>
              </w:rPr>
              <w:br/>
              <w:t xml:space="preserve">13.支持平台：Windows、Android、iOS/iPadOS、MacOS、 Linux、Harmony OS、统信UOS等。 </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1.量程：-40℃~125℃</w:t>
            </w:r>
            <w:r>
              <w:rPr>
                <w:rFonts w:hint="eastAsia" w:cs="宋体" w:asciiTheme="minorEastAsia" w:hAnsiTheme="minorEastAsia" w:eastAsiaTheme="minorEastAsia"/>
                <w:sz w:val="20"/>
                <w:szCs w:val="20"/>
                <w:lang w:bidi="ar"/>
              </w:rPr>
              <w:br/>
              <w:t xml:space="preserve">2.分辨率：0.01℃</w:t>
            </w:r>
            <w:r>
              <w:rPr>
                <w:rFonts w:hint="eastAsia" w:cs="宋体" w:asciiTheme="minorEastAsia" w:hAnsiTheme="minorEastAsia" w:eastAsiaTheme="minorEastAsia"/>
                <w:sz w:val="20"/>
                <w:szCs w:val="20"/>
                <w:lang w:bidi="ar"/>
              </w:rPr>
              <w:br/>
              <w:t xml:space="preserve">3.精度：±0.5℃</w:t>
            </w:r>
            <w:r>
              <w:rPr>
                <w:rFonts w:hint="eastAsia" w:cs="宋体" w:asciiTheme="minorEastAsia" w:hAnsiTheme="minorEastAsia" w:eastAsiaTheme="minorEastAsia"/>
                <w:sz w:val="20"/>
                <w:szCs w:val="20"/>
                <w:lang w:bidi="ar"/>
              </w:rPr>
              <w:br/>
              <w:t xml:space="preserve">4.采样速率：10次/秒</w:t>
            </w:r>
            <w:r>
              <w:rPr>
                <w:rFonts w:hint="eastAsia" w:cs="宋体" w:asciiTheme="minorEastAsia" w:hAnsiTheme="minorEastAsia" w:eastAsiaTheme="minorEastAsia"/>
                <w:sz w:val="20"/>
                <w:szCs w:val="20"/>
                <w:lang w:bidi="ar"/>
              </w:rPr>
              <w:br/>
              <w:t xml:space="preserve">5.连续使用时间：≥120小时</w:t>
            </w:r>
            <w:r>
              <w:rPr>
                <w:rFonts w:hint="eastAsia" w:cs="宋体" w:asciiTheme="minorEastAsia" w:hAnsiTheme="minorEastAsia" w:eastAsiaTheme="minorEastAsia"/>
                <w:sz w:val="20"/>
                <w:szCs w:val="20"/>
                <w:lang w:bidi="ar"/>
              </w:rPr>
              <w:br/>
              <w:t xml:space="preserve">6.防水等级：IP67</w:t>
            </w:r>
            <w:r>
              <w:rPr>
                <w:rFonts w:hint="eastAsia" w:cs="宋体" w:asciiTheme="minorEastAsia" w:hAnsiTheme="minorEastAsia" w:eastAsiaTheme="minorEastAsia"/>
                <w:sz w:val="20"/>
                <w:szCs w:val="20"/>
                <w:lang w:bidi="ar"/>
              </w:rPr>
              <w:br/>
              <w:t xml:space="preserve">7.通讯距离：≥30m（空旷无遮挡）</w:t>
            </w:r>
            <w:r>
              <w:rPr>
                <w:rFonts w:hint="eastAsia" w:cs="宋体" w:asciiTheme="minorEastAsia" w:hAnsiTheme="minorEastAsia" w:eastAsiaTheme="minorEastAsia"/>
                <w:sz w:val="20"/>
                <w:szCs w:val="20"/>
                <w:lang w:bidi="ar"/>
              </w:rPr>
              <w:br/>
              <w:t xml:space="preserve">8.电池型号：CR2032</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08064" behindDoc="0" locked="0" layoutInCell="1" allowOverlap="1">
                      <wp:simplePos x="0" y="0"/>
                      <wp:positionH relativeFrom="column">
                        <wp:posOffset>494665</wp:posOffset>
                      </wp:positionH>
                      <wp:positionV relativeFrom="paragraph">
                        <wp:posOffset>2056765</wp:posOffset>
                      </wp:positionV>
                      <wp:extent cx="829310" cy="2009140"/>
                      <wp:effectExtent l="0" t="0" r="8890" b="10160"/>
                      <wp:wrapNone/>
                      <wp:docPr id="4" name="ID_B16F097A048147238C8109C40A3CC24C"/>
                      <wp:cNvGraphicFramePr/>
                      <a:graphic xmlns:a="http://schemas.openxmlformats.org/drawingml/2006/main">
                        <a:graphicData uri="http://schemas.openxmlformats.org/drawingml/2006/picture">
                          <pic:pic xmlns:pic="http://schemas.openxmlformats.org/drawingml/2006/picture">
                            <pic:nvPicPr>
                              <pic:cNvPr id="35" name="ID_B16F097A048147238C8109C40A3CC24C"/>
                              <pic:cNvPicPr/>
                              <pic:nvPr/>
                            </pic:nvPicPr>
                            <pic:blipFill>
                              <a:blip r:embed="rId16"/>
                              <a:stretch/>
                            </pic:blipFill>
                            <pic:spPr bwMode="auto">
                              <a:xfrm>
                                <a:off x="0" y="0"/>
                                <a:ext cx="829310" cy="2009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08064;o:allowoverlap:true;o:allowincell:true;mso-position-horizontal-relative:text;margin-left:38.9pt;mso-position-horizontal:absolute;mso-position-vertical-relative:text;margin-top:161.9pt;mso-position-vertical:absolute;width:65.3pt;height:158.2pt;mso-wrap-distance-left:9.0pt;mso-wrap-distance-top:0.0pt;mso-wrap-distance-right:9.0pt;mso-wrap-distance-bottom:0.0pt;" stroked="f">
                      <v:path textboxrect="0,0,0,0"/>
                      <v:imagedata r:id="rId16" o:title=""/>
                    </v:shape>
                  </w:pict>
                </mc:Fallback>
              </mc:AlternateContent>
            </w:r>
            <w:r/>
          </w:p>
        </w:tc>
      </w:tr>
      <w:tr>
        <w:trPr>
          <w:trHeight w:val="1906"/>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无线智能绝对压强传感器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绝对压强传感器无需连接数据采集器，探头与传感器一体设计，通过蓝牙或USB直连电脑、手机或平板等终端可直接进行数据采集，在终端上实时显示并记录绝对压强的变化，绘制绝对压强-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由传感器主体正面有电源按钮、电源和蓝牙指示灯、传感器名称；背面有蓝牙编号；底部有Type-C接口，前端是鲁尔公接头，可连接软管等多种附件接入环境中进行测量。</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1.用于测量大气环境下或密闭空间内的气体的压强。</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w:t>
            </w:r>
            <w:r>
              <w:rPr>
                <w:rFonts w:hint="eastAsia" w:cs="宋体" w:asciiTheme="minorEastAsia" w:hAnsiTheme="minorEastAsia" w:eastAsiaTheme="minorEastAsia"/>
                <w:sz w:val="20"/>
                <w:szCs w:val="20"/>
                <w:lang w:bidi="ar"/>
              </w:rPr>
              <w:t xml:space="preserve">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6.可实现校准功能。</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1.量程：0~400kPa</w:t>
            </w:r>
            <w:r>
              <w:rPr>
                <w:rFonts w:hint="eastAsia" w:cs="宋体" w:asciiTheme="minorEastAsia" w:hAnsiTheme="minorEastAsia" w:eastAsiaTheme="minorEastAsia"/>
                <w:sz w:val="20"/>
                <w:szCs w:val="20"/>
                <w:lang w:bidi="ar"/>
              </w:rPr>
              <w:br/>
              <w:t xml:space="preserve">2.分辨率：0.1kPa</w:t>
            </w:r>
            <w:r>
              <w:rPr>
                <w:rFonts w:hint="eastAsia" w:cs="宋体" w:asciiTheme="minorEastAsia" w:hAnsiTheme="minorEastAsia" w:eastAsiaTheme="minorEastAsia"/>
                <w:sz w:val="20"/>
                <w:szCs w:val="20"/>
                <w:lang w:bidi="ar"/>
              </w:rPr>
              <w:br/>
              <w:t xml:space="preserve">3.精度：±2%</w:t>
            </w:r>
            <w:r>
              <w:rPr>
                <w:rFonts w:hint="eastAsia" w:cs="宋体" w:asciiTheme="minorEastAsia" w:hAnsiTheme="minorEastAsia" w:eastAsiaTheme="minorEastAsia"/>
                <w:sz w:val="20"/>
                <w:szCs w:val="20"/>
                <w:lang w:bidi="ar"/>
              </w:rPr>
              <w:br/>
              <w:t xml:space="preserve">4.采样速率：500次/秒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764"/>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无线智能位移传感器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位移传感器利用发射和接收到被反射回来的超声波脉冲来测量与物体的距离，进一步可以计算出物体运动的速度和加速度，无需连接数据采集器，通过蓝牙或USB直连电脑、手机或平板等终端可直接进行数据采集，在终端上实时显示并记录物体的运动变化，绘制相应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由传感器主体正面有电源按钮、电源和蓝牙指示灯、传感器名称；背面有蓝牙编号；底部有Type-C接口，前端是超声波收发装置。</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1.用于测量物体运动的位移。</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6.无需校准，即连即用。</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1.量程：20cm~200cm</w:t>
            </w:r>
            <w:r>
              <w:rPr>
                <w:rFonts w:hint="eastAsia" w:cs="宋体" w:asciiTheme="minorEastAsia" w:hAnsiTheme="minorEastAsia" w:eastAsiaTheme="minorEastAsia"/>
                <w:sz w:val="20"/>
                <w:szCs w:val="20"/>
                <w:lang w:bidi="ar"/>
              </w:rPr>
              <w:br/>
              <w:t xml:space="preserve">2.分辨率：0.1cm</w:t>
            </w:r>
            <w:r>
              <w:rPr>
                <w:rFonts w:hint="eastAsia" w:cs="宋体" w:asciiTheme="minorEastAsia" w:hAnsiTheme="minorEastAsia" w:eastAsiaTheme="minorEastAsia"/>
                <w:sz w:val="20"/>
                <w:szCs w:val="20"/>
                <w:lang w:bidi="ar"/>
              </w:rPr>
              <w:br/>
              <w:t xml:space="preserve">3.精度：±1cm或读数的±2%</w:t>
            </w:r>
            <w:r>
              <w:rPr>
                <w:rFonts w:hint="eastAsia" w:cs="宋体" w:asciiTheme="minorEastAsia" w:hAnsiTheme="minorEastAsia" w:eastAsiaTheme="minorEastAsia"/>
                <w:sz w:val="20"/>
                <w:szCs w:val="20"/>
                <w:lang w:bidi="ar"/>
              </w:rPr>
              <w:br/>
              <w:t xml:space="preserve">4.采样速率：50次/秒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匀变速直线运动位移与时间的关系、胡克定律实验等实验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48"/>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无线智能光电门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无线智能光电门传感器无需连接数据采集器，通过蓝牙直连电脑、手机或平板等终端可直接进行数据采集，在终端上实时显示并记录物体运动时间，计算出物体的运动速度、加速度等。</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有A、B两个光电门，整体为门式结构，A光电门正面有A门标识、电源和蓝牙指示灯，两侧有电源开关、USB接口、AB光电门连接口；B光电门正面有B门标识、电源和工作状态指示灯，侧面有AB门连接口。两个光电门顶部，两侧和门内侧设有六个用于固定的螺丝孔。</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1.用于测量物体通过光电门的挡光时间以及速度、加速度、动量、动能等物理量。</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w:t>
            </w:r>
            <w:r>
              <w:rPr>
                <w:rFonts w:hint="eastAsia" w:cs="宋体" w:asciiTheme="minorEastAsia" w:hAnsiTheme="minorEastAsia" w:eastAsiaTheme="minorEastAsia"/>
                <w:sz w:val="20"/>
                <w:szCs w:val="20"/>
                <w:lang w:bidi="ar"/>
              </w:rPr>
              <w:br/>
              <w:t xml:space="preserve">3.传感器与数据采集终端（电脑、平板或手机）直接通过蓝牙无线连接，</w:t>
            </w:r>
            <w:r>
              <w:rPr>
                <w:rFonts w:hint="eastAsia" w:cs="宋体" w:asciiTheme="minorEastAsia" w:hAnsiTheme="minorEastAsia" w:eastAsiaTheme="minorEastAsia"/>
                <w:sz w:val="20"/>
                <w:szCs w:val="20"/>
                <w:lang w:bidi="ar"/>
              </w:rPr>
              <w:t xml:space="preserve">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4.传感器具有唯一蓝牙编号，便于数据终端选择性连接。</w:t>
            </w:r>
            <w:r>
              <w:rPr>
                <w:rFonts w:hint="eastAsia" w:cs="宋体" w:asciiTheme="minorEastAsia" w:hAnsiTheme="minorEastAsia" w:eastAsiaTheme="minorEastAsia"/>
                <w:sz w:val="20"/>
                <w:szCs w:val="20"/>
                <w:lang w:bidi="ar"/>
              </w:rPr>
              <w:br/>
              <w:t xml:space="preserve">5.光电门机身上具有多个开孔，方便固定于测量轨道上，也可在光电门内安装滑轮。</w:t>
            </w:r>
            <w:r>
              <w:rPr>
                <w:rFonts w:hint="eastAsia" w:cs="宋体" w:asciiTheme="minorEastAsia" w:hAnsiTheme="minorEastAsia" w:eastAsiaTheme="minorEastAsia"/>
                <w:sz w:val="20"/>
                <w:szCs w:val="20"/>
                <w:lang w:bidi="ar"/>
              </w:rPr>
              <w:br/>
              <w:t xml:space="preserve">6.无需校准，即连即用。</w:t>
            </w:r>
            <w:r>
              <w:rPr>
                <w:rFonts w:hint="eastAsia" w:cs="宋体" w:asciiTheme="minorEastAsia" w:hAnsiTheme="minorEastAsia" w:eastAsiaTheme="minorEastAsia"/>
                <w:sz w:val="20"/>
                <w:szCs w:val="20"/>
                <w:lang w:bidi="ar"/>
              </w:rPr>
              <w:br/>
              <w:t xml:space="preserve">7.连接方式：蓝牙无线。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1.量程：0~∞s</w:t>
            </w:r>
            <w:r>
              <w:rPr>
                <w:rFonts w:hint="eastAsia" w:cs="宋体" w:asciiTheme="minorEastAsia" w:hAnsiTheme="minorEastAsia" w:eastAsiaTheme="minorEastAsia"/>
                <w:sz w:val="20"/>
                <w:szCs w:val="20"/>
                <w:lang w:bidi="ar"/>
              </w:rPr>
              <w:br/>
              <w:t xml:space="preserve">2.分辨率：0.01ms</w:t>
            </w:r>
            <w:r>
              <w:rPr>
                <w:rFonts w:hint="eastAsia" w:cs="宋体" w:asciiTheme="minorEastAsia" w:hAnsiTheme="minorEastAsia" w:eastAsiaTheme="minorEastAsia"/>
                <w:sz w:val="20"/>
                <w:szCs w:val="20"/>
                <w:lang w:bidi="ar"/>
              </w:rPr>
              <w:br/>
              <w:t xml:space="preserve">3.精度：±0.01ms</w:t>
            </w:r>
            <w:r>
              <w:rPr>
                <w:rFonts w:hint="eastAsia" w:cs="宋体" w:asciiTheme="minorEastAsia" w:hAnsiTheme="minorEastAsia" w:eastAsiaTheme="minorEastAsia"/>
                <w:sz w:val="20"/>
                <w:szCs w:val="20"/>
                <w:lang w:bidi="ar"/>
              </w:rPr>
              <w:br/>
              <w:t xml:space="preserve">4.采样速率：1000次/秒</w:t>
            </w:r>
            <w:r>
              <w:rPr>
                <w:rFonts w:hint="eastAsia" w:cs="宋体" w:asciiTheme="minorEastAsia" w:hAnsiTheme="minorEastAsia" w:eastAsiaTheme="minorEastAsia"/>
                <w:sz w:val="20"/>
                <w:szCs w:val="20"/>
                <w:lang w:bidi="ar"/>
              </w:rPr>
              <w:br/>
              <w:t xml:space="preserve">5.连续使用时间：≥100小时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1000mAh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比较物体运动快慢、测量平均速度、阻力对运动的影响、探究物体的动能跟哪些因素有关、观察摆球动能和重力势能的转化、借助传感器与计算机测速度、探究小车速度与时间变化关系、探究加速度与力和质量的关系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2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无线智能声音传感器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声音传感器内置声强、声波两种传感器模块，无需连接数据采集器，通过蓝牙或USB直连电脑、手机或平板等终端可直接进行数据采集，在终端上实时显示并记录声强、声波的变化，绘制相应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由传感器主体和麦克风探头构成。主体正面有电源按钮、电源和蓝牙指示灯、传感器名称；背面有蓝牙编号；底部有Type-C接口；主体前端设有标准3.5mm音频接口，可与麦克风探头连接进行测量。</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1.使用驻极体话筒采集声音信号，用于测量声音的强度或声音的波形。</w:t>
            </w:r>
            <w:r>
              <w:rPr>
                <w:rFonts w:hint="eastAsia" w:cs="宋体" w:asciiTheme="minorEastAsia" w:hAnsiTheme="minorEastAsia" w:eastAsiaTheme="minorEastAsia"/>
                <w:sz w:val="20"/>
                <w:szCs w:val="20"/>
                <w:lang w:bidi="ar"/>
              </w:rPr>
              <w:br/>
              <w:t xml:space="preserve">2.传感器内置蓝牙无线模块：使用蓝牙5.0技术，该技术拥有极低的运行</w:t>
            </w:r>
            <w:r>
              <w:rPr>
                <w:rFonts w:hint="eastAsia" w:cs="宋体" w:asciiTheme="minorEastAsia" w:hAnsiTheme="minorEastAsia" w:eastAsiaTheme="minorEastAsia"/>
                <w:sz w:val="20"/>
                <w:szCs w:val="20"/>
                <w:lang w:bidi="ar"/>
              </w:rPr>
              <w:t xml:space="preserve">和待机功耗。</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3.传感器与数据采集终端（电脑、平板或手机）直接通过蓝牙无线连接，便于运动情况下的数据测量及各种实验环境中的数据采集，无需数据采集器；传感器两种测量二合一，可测量声强、声波。</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6.无需校准，即连即用。</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w:t>
            </w:r>
            <w:r>
              <w:rPr>
                <w:rFonts w:hint="eastAsia" w:cs="宋体" w:asciiTheme="minorEastAsia" w:hAnsiTheme="minorEastAsia" w:eastAsiaTheme="minorEastAsia"/>
                <w:sz w:val="20"/>
                <w:szCs w:val="20"/>
                <w:lang w:bidi="ar"/>
              </w:rPr>
              <w:br/>
              <w:t xml:space="preserve">声强：55dB~110dB；声波：最大频率10000Hz、最大声强110dB（麦克风频率范围100Hz~15000Hz）</w:t>
            </w:r>
            <w:r>
              <w:rPr>
                <w:rFonts w:hint="eastAsia" w:cs="宋体" w:asciiTheme="minorEastAsia" w:hAnsiTheme="minorEastAsia" w:eastAsiaTheme="minorEastAsia"/>
                <w:sz w:val="20"/>
                <w:szCs w:val="20"/>
                <w:lang w:bidi="ar"/>
              </w:rPr>
              <w:br/>
              <w:t xml:space="preserve">2.分辨率：</w:t>
            </w:r>
            <w:r>
              <w:rPr>
                <w:rFonts w:hint="eastAsia" w:cs="宋体" w:asciiTheme="minorEastAsia" w:hAnsiTheme="minorEastAsia" w:eastAsiaTheme="minorEastAsia"/>
                <w:sz w:val="20"/>
                <w:szCs w:val="20"/>
                <w:lang w:bidi="ar"/>
              </w:rPr>
              <w:br/>
              <w:t xml:space="preserve">声强：0.1dB</w:t>
            </w:r>
            <w:r>
              <w:rPr>
                <w:rFonts w:hint="eastAsia" w:cs="宋体" w:asciiTheme="minorEastAsia" w:hAnsiTheme="minorEastAsia" w:eastAsiaTheme="minorEastAsia"/>
                <w:sz w:val="20"/>
                <w:szCs w:val="20"/>
                <w:lang w:bidi="ar"/>
              </w:rPr>
              <w:br/>
              <w:t xml:space="preserve">3.精度：</w:t>
            </w:r>
            <w:r>
              <w:rPr>
                <w:rFonts w:hint="eastAsia" w:cs="宋体" w:asciiTheme="minorEastAsia" w:hAnsiTheme="minorEastAsia" w:eastAsiaTheme="minorEastAsia"/>
                <w:sz w:val="20"/>
                <w:szCs w:val="20"/>
                <w:lang w:bidi="ar"/>
              </w:rPr>
              <w:br/>
              <w:t xml:space="preserve">声强：±3dB</w:t>
            </w:r>
            <w:r>
              <w:rPr>
                <w:rFonts w:hint="eastAsia" w:cs="宋体" w:asciiTheme="minorEastAsia" w:hAnsiTheme="minorEastAsia" w:eastAsiaTheme="minorEastAsia"/>
                <w:sz w:val="20"/>
                <w:szCs w:val="20"/>
                <w:lang w:bidi="ar"/>
              </w:rPr>
              <w:br/>
              <w:t xml:space="preserve">4.采样速率：  </w:t>
            </w:r>
            <w:r>
              <w:rPr>
                <w:rFonts w:hint="eastAsia" w:cs="宋体" w:asciiTheme="minorEastAsia" w:hAnsiTheme="minorEastAsia" w:eastAsiaTheme="minorEastAsia"/>
                <w:sz w:val="20"/>
                <w:szCs w:val="20"/>
                <w:lang w:bidi="ar"/>
              </w:rPr>
              <w:br/>
              <w:t xml:space="preserve">声波：有线32kHz、无线8kHz</w:t>
            </w:r>
            <w:r>
              <w:rPr>
                <w:rFonts w:hint="eastAsia" w:cs="宋体" w:asciiTheme="minorEastAsia" w:hAnsiTheme="minorEastAsia" w:eastAsiaTheme="minorEastAsia"/>
                <w:sz w:val="20"/>
                <w:szCs w:val="20"/>
                <w:lang w:bidi="ar"/>
              </w:rPr>
              <w:br/>
              <w:t xml:space="preserve">声强：1000次/秒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声音的传播形式、声音波形（音调与频率）、探究影响声音响度的因素、响度与振幅、音色与波形等实验。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6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光强分布传感器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光强分布传感器通过USB接口直接与电脑终端连接进行数据采集，在终端上实时显示并记录入射光光强弱的分布及变化，并绘制图像。</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传感器正面为传感器名称、型号、量程范围、矩形测试窗口，后端为USB接口。</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1.用于测量光强度在一段直线区间上的分布，测量灵敏、精确，反应快速。</w:t>
            </w:r>
            <w:r>
              <w:rPr>
                <w:rFonts w:hint="eastAsia" w:cs="宋体" w:asciiTheme="minorEastAsia" w:hAnsiTheme="minorEastAsia" w:eastAsiaTheme="minorEastAsia"/>
                <w:sz w:val="20"/>
                <w:szCs w:val="20"/>
                <w:lang w:bidi="ar"/>
              </w:rPr>
              <w:br/>
              <w:t xml:space="preserve">2.通过USB接口直连计算机采集数据，无需外接数据采集器。</w:t>
            </w:r>
            <w:r>
              <w:rPr>
                <w:rFonts w:hint="eastAsia" w:cs="宋体" w:asciiTheme="minorEastAsia" w:hAnsiTheme="minorEastAsia" w:eastAsiaTheme="minorEastAsia"/>
                <w:sz w:val="20"/>
                <w:szCs w:val="20"/>
                <w:lang w:bidi="ar"/>
              </w:rPr>
              <w:br/>
              <w:t xml:space="preserve">3.支持USB2.0、USB3.0通讯协议。</w:t>
            </w:r>
            <w:r>
              <w:rPr>
                <w:rFonts w:hint="eastAsia" w:cs="宋体" w:asciiTheme="minorEastAsia" w:hAnsiTheme="minorEastAsia" w:eastAsiaTheme="minorEastAsia"/>
                <w:sz w:val="20"/>
                <w:szCs w:val="20"/>
                <w:lang w:bidi="ar"/>
              </w:rPr>
              <w:br/>
              <w:t xml:space="preserve">4.传感器含有与实验器材搭建的M6国标接口，适配性好。</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1.量程：125点/mm，总长29.1mm</w:t>
            </w:r>
            <w:r>
              <w:rPr>
                <w:rFonts w:hint="eastAsia" w:cs="宋体" w:asciiTheme="minorEastAsia" w:hAnsiTheme="minorEastAsia" w:eastAsiaTheme="minorEastAsia"/>
                <w:sz w:val="20"/>
                <w:szCs w:val="20"/>
                <w:lang w:bidi="ar"/>
              </w:rPr>
              <w:br/>
              <w:t xml:space="preserve">2.精度：8μm</w:t>
            </w:r>
            <w:r>
              <w:rPr>
                <w:rFonts w:hint="eastAsia" w:cs="宋体" w:asciiTheme="minorEastAsia" w:hAnsiTheme="minorEastAsia" w:eastAsiaTheme="minorEastAsia"/>
                <w:sz w:val="20"/>
                <w:szCs w:val="20"/>
                <w:lang w:bidi="ar"/>
              </w:rPr>
              <w:br/>
              <w:t xml:space="preserve">3.分辨率：8μm</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杨氏双缝实验实验、光的偏振等实验。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无线智能电荷传感器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荷传感器无需连接数据采集器，通过蓝牙直连电脑、手机或平板等终端可直接进行数据采集，在终端上显示被测物的电荷量，绘制电荷-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主体正面有电荷调零按钮、电源按钮、电源和蓝牙指示灯、传感器名称；前端为导线插孔底部有Type-C接口；</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1.用于测量带电体的电量。</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w:t>
            </w:r>
            <w:r>
              <w:rPr>
                <w:rFonts w:hint="eastAsia" w:cs="宋体" w:asciiTheme="minorEastAsia" w:hAnsiTheme="minorEastAsia" w:eastAsiaTheme="minorEastAsia"/>
                <w:sz w:val="20"/>
                <w:szCs w:val="20"/>
                <w:lang w:bidi="ar"/>
              </w:rPr>
              <w:t xml:space="preserve">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6.具有硬件调零按钮。</w:t>
            </w:r>
            <w:r>
              <w:rPr>
                <w:rFonts w:hint="eastAsia" w:cs="宋体" w:asciiTheme="minorEastAsia" w:hAnsiTheme="minorEastAsia" w:eastAsiaTheme="minorEastAsia"/>
                <w:sz w:val="20"/>
                <w:szCs w:val="20"/>
                <w:lang w:bidi="ar"/>
              </w:rPr>
              <w:br/>
              <w:t xml:space="preserve">7.连接方式：蓝牙无线。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1.量程：-220nC~220nC</w:t>
            </w:r>
            <w:r>
              <w:rPr>
                <w:rFonts w:hint="eastAsia" w:cs="宋体" w:asciiTheme="minorEastAsia" w:hAnsiTheme="minorEastAsia" w:eastAsiaTheme="minorEastAsia"/>
                <w:sz w:val="20"/>
                <w:szCs w:val="20"/>
                <w:lang w:bidi="ar"/>
              </w:rPr>
              <w:br/>
              <w:t xml:space="preserve">2.精度：4.4nC</w:t>
            </w:r>
            <w:r>
              <w:rPr>
                <w:rFonts w:hint="eastAsia" w:cs="宋体" w:asciiTheme="minorEastAsia" w:hAnsiTheme="minorEastAsia" w:eastAsiaTheme="minorEastAsia"/>
                <w:sz w:val="20"/>
                <w:szCs w:val="20"/>
                <w:lang w:bidi="ar"/>
              </w:rPr>
              <w:br/>
              <w:t xml:space="preserve">3.分辨率：0.1nC</w:t>
            </w:r>
            <w:r>
              <w:rPr>
                <w:rFonts w:hint="eastAsia" w:cs="宋体" w:asciiTheme="minorEastAsia" w:hAnsiTheme="minorEastAsia" w:eastAsiaTheme="minorEastAsia"/>
                <w:sz w:val="20"/>
                <w:szCs w:val="20"/>
                <w:lang w:bidi="ar"/>
              </w:rPr>
              <w:br/>
              <w:t xml:space="preserve">4.连续使用时间：≥30h</w:t>
            </w:r>
            <w:r>
              <w:rPr>
                <w:rFonts w:hint="eastAsia" w:cs="宋体" w:asciiTheme="minorEastAsia" w:hAnsiTheme="minorEastAsia" w:eastAsiaTheme="minorEastAsia"/>
                <w:sz w:val="20"/>
                <w:szCs w:val="20"/>
                <w:lang w:bidi="ar"/>
              </w:rPr>
              <w:br/>
              <w:t xml:space="preserve">5.通讯距离：≥30m（空旷无遮挡）</w:t>
            </w:r>
            <w:r>
              <w:rPr>
                <w:rFonts w:hint="eastAsia" w:cs="宋体" w:asciiTheme="minorEastAsia" w:hAnsiTheme="minorEastAsia" w:eastAsiaTheme="minorEastAsia"/>
                <w:sz w:val="20"/>
                <w:szCs w:val="20"/>
                <w:lang w:bidi="ar"/>
              </w:rPr>
              <w:br/>
              <w:t xml:space="preserve">6.可充电锂电池，电池型号：3.7V，250mAh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静电感应、静电屏蔽、带电物体的电荷性质等。</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无线智能毫电流传感器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毫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主体正面有电源按钮、电源和蓝牙指示灯、传感器名称；背面有蓝牙编号；底部有Type-C接口；上端为导线插孔，附件红黑导线可一端接入传感器，另一端接入电路进行测量。</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1.用于测量电路中毫安数量级的电流。</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6.可实现校零功能。</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1.量程：-20mA~20mA</w:t>
            </w:r>
            <w:r>
              <w:rPr>
                <w:rFonts w:hint="eastAsia" w:cs="宋体" w:asciiTheme="minorEastAsia" w:hAnsiTheme="minorEastAsia" w:eastAsiaTheme="minorEastAsia"/>
                <w:sz w:val="20"/>
                <w:szCs w:val="20"/>
                <w:lang w:bidi="ar"/>
              </w:rPr>
              <w:br/>
              <w:t xml:space="preserve">2.分辨率：0.02mA</w:t>
            </w:r>
            <w:r>
              <w:rPr>
                <w:rFonts w:hint="eastAsia" w:cs="宋体" w:asciiTheme="minorEastAsia" w:hAnsiTheme="minorEastAsia" w:eastAsiaTheme="minorEastAsia"/>
                <w:sz w:val="20"/>
                <w:szCs w:val="20"/>
                <w:lang w:bidi="ar"/>
              </w:rPr>
              <w:br/>
              <w:t xml:space="preserve">3.精度：±5%F.S</w:t>
            </w:r>
            <w:r>
              <w:rPr>
                <w:rFonts w:hint="eastAsia" w:cs="宋体" w:asciiTheme="minorEastAsia" w:hAnsiTheme="minorEastAsia" w:eastAsiaTheme="minorEastAsia"/>
                <w:sz w:val="20"/>
                <w:szCs w:val="20"/>
                <w:lang w:bidi="ar"/>
              </w:rPr>
              <w:br/>
              <w:t xml:space="preserve">4.采样速率：蓝牙：1000次/秒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水果电池；用传感器观察电容器的充放电；LC振荡电路；等实验。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无线智能快速温度传感器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快速温度传感器无需连接数据采集器，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由传感器主体和快速温度传感器探头组成。主体正面有电源按钮、电源和蓝牙指示灯、传感器名称；背面有蓝牙编号；底部有Type-C接口。</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1.用于快速测量物体表面的温度、无腐蚀性气体、液体的温度，测量灵敏、精确，反应快速。</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6.无需校准，即连即用。</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1.量程:-25℃~125℃</w:t>
            </w:r>
            <w:r>
              <w:rPr>
                <w:rFonts w:hint="eastAsia" w:cs="宋体" w:asciiTheme="minorEastAsia" w:hAnsiTheme="minorEastAsia" w:eastAsiaTheme="minorEastAsia"/>
                <w:sz w:val="20"/>
                <w:szCs w:val="20"/>
                <w:lang w:bidi="ar"/>
              </w:rPr>
              <w:br/>
              <w:t xml:space="preserve">2.分辨率:0.1℃</w:t>
            </w:r>
            <w:r>
              <w:rPr>
                <w:rFonts w:hint="eastAsia" w:cs="宋体" w:asciiTheme="minorEastAsia" w:hAnsiTheme="minorEastAsia" w:eastAsiaTheme="minorEastAsia"/>
                <w:sz w:val="20"/>
                <w:szCs w:val="20"/>
                <w:lang w:bidi="ar"/>
              </w:rPr>
              <w:br/>
              <w:t xml:space="preserve">3.精度:±0.5℃</w:t>
            </w:r>
            <w:r>
              <w:rPr>
                <w:rFonts w:hint="eastAsia" w:cs="宋体" w:asciiTheme="minorEastAsia" w:hAnsiTheme="minorEastAsia" w:eastAsiaTheme="minorEastAsia"/>
                <w:sz w:val="20"/>
                <w:szCs w:val="20"/>
                <w:lang w:bidi="ar"/>
              </w:rPr>
              <w:br/>
              <w:t xml:space="preserve">4.采样速率:10次/秒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压缩气体做功、查理定律等实验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951"/>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无线力倾角传感器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力倾角传感器可同时测量力的大小与传感器的偏转角度，当对传感器钩子施加拉力或推力时，传感器可显示力的正值或负值，当传感器钩子保持在竖直方向时，测到的倾角为零，传感器偏转后，可测得相应的角度值。</w:t>
            </w:r>
            <w:r>
              <w:rPr>
                <w:rFonts w:hint="eastAsia" w:cs="宋体" w:asciiTheme="minorEastAsia" w:hAnsiTheme="minorEastAsia" w:eastAsiaTheme="minorEastAsia"/>
                <w:sz w:val="20"/>
                <w:szCs w:val="20"/>
                <w:lang w:bidi="ar"/>
              </w:rPr>
              <w:br/>
              <w:t xml:space="preserve">在实际应用中，一般可与矢量力盘配合使用，能完成力的合成与分解实验。</w:t>
            </w:r>
            <w:r>
              <w:rPr>
                <w:rFonts w:hint="eastAsia" w:cs="宋体" w:asciiTheme="minorEastAsia" w:hAnsiTheme="minorEastAsia" w:eastAsiaTheme="minorEastAsia"/>
                <w:sz w:val="20"/>
                <w:szCs w:val="20"/>
                <w:lang w:bidi="ar"/>
              </w:rPr>
              <w:br/>
              <w:t xml:space="preserve">一、规格：</w:t>
            </w:r>
            <w:r>
              <w:rPr>
                <w:rFonts w:hint="eastAsia" w:cs="宋体" w:asciiTheme="minorEastAsia" w:hAnsiTheme="minorEastAsia" w:eastAsiaTheme="minorEastAsia"/>
                <w:sz w:val="20"/>
                <w:szCs w:val="20"/>
                <w:lang w:bidi="ar"/>
              </w:rPr>
              <w:br/>
              <w:t xml:space="preserve">量程：-20N～20N/-180°～180°（绝对值显示）</w:t>
            </w:r>
            <w:r>
              <w:rPr>
                <w:rFonts w:hint="eastAsia" w:cs="宋体" w:asciiTheme="minorEastAsia" w:hAnsiTheme="minorEastAsia" w:eastAsiaTheme="minorEastAsia"/>
                <w:sz w:val="20"/>
                <w:szCs w:val="20"/>
                <w:lang w:bidi="ar"/>
              </w:rPr>
              <w:br/>
              <w:t xml:space="preserve">分度：0.01N/0.03°</w:t>
            </w:r>
            <w:r>
              <w:rPr>
                <w:rFonts w:hint="eastAsia" w:cs="宋体" w:asciiTheme="minorEastAsia" w:hAnsiTheme="minorEastAsia" w:eastAsiaTheme="minorEastAsia"/>
                <w:sz w:val="20"/>
                <w:szCs w:val="20"/>
                <w:lang w:bidi="ar"/>
              </w:rPr>
              <w:br/>
              <w:t xml:space="preserve">二、典型实验：</w:t>
            </w:r>
            <w:r>
              <w:rPr>
                <w:rFonts w:hint="eastAsia" w:cs="宋体" w:asciiTheme="minorEastAsia" w:hAnsiTheme="minorEastAsia" w:eastAsiaTheme="minorEastAsia"/>
                <w:sz w:val="20"/>
                <w:szCs w:val="20"/>
                <w:lang w:bidi="ar"/>
              </w:rPr>
              <w:br/>
              <w:t xml:space="preserve">1. 力的合成和分解 。</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08"/>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物理无线智能传感器配件盒</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包含：磁吸多管夹（1个）、无线智能产品软胶固定件（1个）、miniUSB线（2根）。</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50"/>
        </w:trPr>
        <w:tc>
          <w:tcPr>
            <w:gridSpan w:val="2"/>
            <w:shd w:val="clear" w:color="auto" w:fill="b8cce4"/>
            <w:tcBorders>
              <w:top w:val="single" w:color="000000" w:sz="4" w:space="0"/>
              <w:left w:val="single" w:color="000000" w:sz="4" w:space="0"/>
              <w:bottom w:val="single" w:color="000000" w:sz="4" w:space="0"/>
              <w:right w:val="none" w:color="000000" w:sz="4" w:space="0"/>
            </w:tcBorders>
            <w:tcW w:w="110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放射性实验箱</w:t>
            </w:r>
            <w:r/>
          </w:p>
        </w:tc>
        <w:tc>
          <w:tcPr>
            <w:shd w:val="clear" w:color="auto" w:fill="b8cce4"/>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vMerge w:val="restart"/>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探头管夹安装座</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113*59*55mm，金属，可以夹住盖革计数器的探头。底座带磁铁，可以吸附在放射性底板上。</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玻璃结晶皿（Φ35mm）</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Φ35mm，透明高硼硅玻璃</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固定座</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50*34*30mm</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磁铁固定座</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50*34*30mm，上附磁铁</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固定架</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支架部分：140*79*15mm，底座带磁铁，可以吸附在放射性底板上。</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塑料瓶（100mL）</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100ml，透明pp</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放射性底板</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300*215*20mm</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药匙（L：150mm）</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不锈钢，L=150mm，一头铲一头勺</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type-c数据线（L：1m）</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支持传输数据，1米，白色</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天然矿石</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扩香石，直径2-4cm。塑料盒包装。</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亚克力板</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长*宽=100mm*48mm</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铝板</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长*宽=100mm*48mm</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铅板</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长*宽=100mm*48mm</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铁板</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长*宽=100mm*48mm</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电源适配器（DC5V/2A）</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国标，USB座，白色</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gridSpan w:val="2"/>
            <w:shd w:val="clear" w:color="auto" w:fill="b8cce4"/>
            <w:tcBorders>
              <w:top w:val="single" w:color="000000" w:sz="4" w:space="0"/>
              <w:left w:val="single" w:color="000000" w:sz="4" w:space="0"/>
              <w:bottom w:val="single" w:color="000000" w:sz="4" w:space="0"/>
              <w:right w:val="none" w:color="000000" w:sz="4" w:space="0"/>
            </w:tcBorders>
            <w:tcW w:w="110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电场实验</w:t>
            </w:r>
            <w:r/>
          </w:p>
        </w:tc>
        <w:tc>
          <w:tcPr>
            <w:shd w:val="clear" w:color="auto" w:fill="b8cce4"/>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797" w:type="pct"/>
            <w:vAlign w:val="center"/>
            <w:vMerge w:val="restart"/>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金属安装板</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钢铁/钣金加工/电镀，250*255*13mm</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聚碳酸酯板透明塑料板（136mm×112mm×1mm）</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聚碳酸酯材料，136mm×112mm×1mm，绝缘</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金属探针</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不锈钢，总长20cm，直径2.0mm</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等电位碳纸</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导电碳纸，26cm*18.5cm</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通用支架块</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电极固定夹，带刻度</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鳄鱼夹（φ：4mm，L：51mm）</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内径4mm，L=51mm，可接φ4香蕉插头</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shd w:val="clear" w:color="auto" w:fill="ffffff"/>
            <w:tcBorders>
              <w:top w:val="single" w:color="000000" w:sz="4" w:space="0"/>
              <w:left w:val="single" w:color="000000" w:sz="4" w:space="0"/>
              <w:bottom w:val="single" w:color="000000" w:sz="4" w:space="0"/>
              <w:right w:val="non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带支架的电极组组成 </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包含以下物件：条状电极、侧边带凹槽条状电极、针状电极、圆柱状电极、环形电极。</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797"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gridSpan w:val="3"/>
            <w:shd w:val="clear" w:color="auto" w:fill="b8cce4"/>
            <w:tcBorders>
              <w:top w:val="single" w:color="000000" w:sz="4" w:space="0"/>
              <w:left w:val="single" w:color="000000" w:sz="4" w:space="0"/>
              <w:bottom w:val="single" w:color="000000" w:sz="4" w:space="0"/>
              <w:right w:val="none" w:color="000000" w:sz="4" w:space="0"/>
            </w:tcBorders>
            <w:tcW w:w="346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教师端实验器</w:t>
            </w:r>
            <w:r/>
          </w:p>
        </w:tc>
        <w:tc>
          <w:tcPr>
            <w:shd w:val="clear" w:color="auto" w:fill="b8cce4"/>
            <w:tcBorders>
              <w:top w:val="single" w:color="000000" w:sz="4" w:space="0"/>
              <w:left w:val="none" w:color="000000" w:sz="4" w:space="0"/>
              <w:bottom w:val="single" w:color="000000" w:sz="4" w:space="0"/>
              <w:right w:val="none" w:color="000000" w:sz="4" w:space="0"/>
            </w:tcBorders>
            <w:tcW w:w="391" w:type="pct"/>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none" w:color="000000" w:sz="4" w:space="0"/>
              <w:bottom w:val="single" w:color="000000" w:sz="4" w:space="0"/>
              <w:right w:val="none" w:color="000000" w:sz="4" w:space="0"/>
            </w:tcBorders>
            <w:tcW w:w="345" w:type="pct"/>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none" w:color="000000" w:sz="4" w:space="0"/>
              <w:bottom w:val="single" w:color="000000" w:sz="4" w:space="0"/>
              <w:right w:val="single" w:color="000000" w:sz="4" w:space="0"/>
            </w:tcBorders>
            <w:tcW w:w="797" w:type="pct"/>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3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小车导轨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微型L型支架1个、多功能导轨1个（1.2m）、动力学小车1个、L型支架2个、宽L型支</w:t>
            </w:r>
            <w:r>
              <w:rPr>
                <w:rFonts w:hint="eastAsia" w:cs="宋体" w:asciiTheme="minorEastAsia" w:hAnsiTheme="minorEastAsia" w:eastAsiaTheme="minorEastAsia"/>
                <w:sz w:val="20"/>
                <w:szCs w:val="20"/>
                <w:lang w:bidi="ar"/>
              </w:rPr>
              <w:t xml:space="preserve">架、L型滑轮组、砝码5个（2g）、钩码1个（10g）、钩码1个（20g）、砝码3个（50g）、小龙虾扣2个、细绳1卷、U型挡光片1个、小桶1个、缓冲器组件1个、U型滑轮组件1个、紧固件1宗、梅花螺丝2个（M6*15mm）、六角螺丝1个（M6*35mm）、六角螺丝5个（M6*20mm）、手紧螺丝1个（M4*16mm）、手紧螺丝2个（M6*12mm）、螺杆螺母1套（M4*45mm）、蝶形螺母6个（M6），备用小车轮2个、燕尾螺丝1个（M5*15mm）、手紧螺丝1个（M6*8mm）、蝶形螺丝1个（M4*35mm）</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1.用于动力学为核心的包含位移、时间、速度、加速度等物理量等实验。</w:t>
            </w:r>
            <w:r>
              <w:rPr>
                <w:rFonts w:hint="eastAsia" w:cs="宋体" w:asciiTheme="minorEastAsia" w:hAnsiTheme="minorEastAsia" w:eastAsiaTheme="minorEastAsia"/>
                <w:sz w:val="20"/>
                <w:szCs w:val="20"/>
                <w:lang w:bidi="ar"/>
              </w:rPr>
              <w:br/>
              <w:t xml:space="preserve">2.小车导轨是一套能轻松完成初高中动力学实验的实验平台，实验器功能多样，配件齐全，轨道预留多种传感器固定孔及光电门固定支架，可搭配位移传感器、分体式位移传感器、光电门传感器等不同组合进行实验，测得小车各类运动数据，并在Windows、安卓、iOS系统终端上实时呈现数据，支持各类动力学DIY设计实验。</w:t>
            </w:r>
            <w:r>
              <w:rPr>
                <w:rFonts w:hint="eastAsia" w:cs="宋体" w:asciiTheme="minorEastAsia" w:hAnsiTheme="minorEastAsia" w:eastAsiaTheme="minorEastAsia"/>
                <w:sz w:val="20"/>
                <w:szCs w:val="20"/>
                <w:lang w:bidi="ar"/>
              </w:rPr>
              <w:br/>
              <w:t xml:space="preserve">3.专用动力学小车，车轮刀片式设计，与轨道摩擦小，具有弹簧减震结构，有效保证小车在同一平面直线运动。</w:t>
            </w:r>
            <w:r>
              <w:rPr>
                <w:rFonts w:hint="eastAsia" w:cs="宋体" w:asciiTheme="minorEastAsia" w:hAnsiTheme="minorEastAsia" w:eastAsiaTheme="minorEastAsia"/>
                <w:sz w:val="20"/>
                <w:szCs w:val="20"/>
                <w:lang w:bidi="ar"/>
              </w:rPr>
              <w:br/>
              <w:t xml:space="preserve">4.动力学小车预留力钩柱、紧固件螺口、挡光片的专用手拧螺丝接口，可快速安装对应的拉力组件、砝码、挡光片等配件。</w:t>
            </w:r>
            <w:r>
              <w:rPr>
                <w:rFonts w:hint="eastAsia" w:cs="宋体" w:asciiTheme="minorEastAsia" w:hAnsiTheme="minorEastAsia" w:eastAsiaTheme="minorEastAsia"/>
                <w:sz w:val="20"/>
                <w:szCs w:val="20"/>
                <w:lang w:bidi="ar"/>
              </w:rPr>
              <w:br/>
              <w:t xml:space="preserve">5.滑轮及车轮轮轴摩擦力极小，能有效减小轮轴摩擦对实验的影响。</w:t>
            </w:r>
            <w:r>
              <w:rPr>
                <w:rFonts w:hint="eastAsia" w:cs="宋体" w:asciiTheme="minorEastAsia" w:hAnsiTheme="minorEastAsia" w:eastAsiaTheme="minorEastAsia"/>
                <w:sz w:val="20"/>
                <w:szCs w:val="20"/>
                <w:lang w:bidi="ar"/>
              </w:rPr>
              <w:br/>
              <w:t xml:space="preserve">6.导轨采用铝型材，坚固耐用，导轨两侧标有清晰的刻度，可直接读取小车运动距离，导轨面具有小车运动槽，保证小车不脱轨。</w:t>
            </w:r>
            <w:r>
              <w:rPr>
                <w:rFonts w:hint="eastAsia" w:cs="宋体" w:asciiTheme="minorEastAsia" w:hAnsiTheme="minorEastAsia" w:eastAsiaTheme="minorEastAsia"/>
                <w:sz w:val="20"/>
                <w:szCs w:val="20"/>
                <w:lang w:bidi="ar"/>
              </w:rPr>
              <w:br/>
              <w:t xml:space="preserve">7.配套专用实验软件，预设模板，以表格和曲线等形式自动记录数据变化情况，实验结果更直观明显。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匀变速直线运动的位移与时间的关系、借助传感器用计算机测速度、匀速直线运动的位移、匀变速直线运动的速度与时间的关系、探究加速度与拉力的关系、 探究加速度与质量的关系、用两个光电门测加速度等实验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465"/>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胡克定律实验器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实验器主体（含面板、铁架台、传感器固定座）、弹簧组件（内置拉力限量和弹力系数不同的5个弹簧）</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1.用于探究弹簧的伸长特性、弹簧伸长量与弹力的关系等实验。</w:t>
            </w:r>
            <w:r>
              <w:rPr>
                <w:rFonts w:hint="eastAsia" w:cs="宋体" w:asciiTheme="minorEastAsia" w:hAnsiTheme="minorEastAsia" w:eastAsiaTheme="minorEastAsia"/>
                <w:sz w:val="20"/>
                <w:szCs w:val="20"/>
                <w:lang w:bidi="ar"/>
              </w:rPr>
              <w:br/>
              <w:t xml:space="preserve">2.配合力传感器和位移传感器使用可得到更加准确的数据，并在Windows、安卓、iOS系统终端上实时呈现数据，实验结果明显。</w:t>
            </w:r>
            <w:r>
              <w:rPr>
                <w:rFonts w:hint="eastAsia" w:cs="宋体" w:asciiTheme="minorEastAsia" w:hAnsiTheme="minorEastAsia" w:eastAsiaTheme="minorEastAsia"/>
                <w:sz w:val="20"/>
                <w:szCs w:val="20"/>
                <w:lang w:bidi="ar"/>
              </w:rPr>
              <w:br/>
              <w:t xml:space="preserve">3.面板标有刻度，清晰耐用，学生使用过程中可根据刻度计算，加深学生对实验的理解。</w:t>
            </w:r>
            <w:r>
              <w:rPr>
                <w:rFonts w:hint="eastAsia" w:cs="宋体" w:asciiTheme="minorEastAsia" w:hAnsiTheme="minorEastAsia" w:eastAsiaTheme="minorEastAsia"/>
                <w:sz w:val="20"/>
                <w:szCs w:val="20"/>
                <w:lang w:bidi="ar"/>
              </w:rPr>
              <w:br/>
              <w:t xml:space="preserve">4.实验器具有传感器固定座，与传感器适配性高，搭建简单，减轻器材准备负担，轻松满足演示及分组实验，让课堂教学更高效。</w:t>
            </w:r>
            <w:r>
              <w:rPr>
                <w:rFonts w:hint="eastAsia" w:cs="宋体" w:asciiTheme="minorEastAsia" w:hAnsiTheme="minorEastAsia" w:eastAsiaTheme="minorEastAsia"/>
                <w:sz w:val="20"/>
                <w:szCs w:val="20"/>
                <w:lang w:bidi="ar"/>
              </w:rPr>
              <w:br/>
              <w:t xml:space="preserve">5.提供5个弹力系数不同的弹簧，可探究弹性系数对弹力的影响。</w:t>
            </w:r>
            <w:r>
              <w:rPr>
                <w:rFonts w:hint="eastAsia" w:cs="宋体" w:asciiTheme="minorEastAsia" w:hAnsiTheme="minorEastAsia" w:eastAsiaTheme="minorEastAsia"/>
                <w:sz w:val="20"/>
                <w:szCs w:val="20"/>
                <w:lang w:bidi="ar"/>
              </w:rPr>
              <w:br/>
              <w:t xml:space="preserve">6.通过移动终端扫描仪器上的二维码可浏览该仪器配套的实验指导和使用说明。</w:t>
            </w:r>
            <w:r>
              <w:rPr>
                <w:rFonts w:hint="eastAsia" w:cs="宋体" w:asciiTheme="minorEastAsia" w:hAnsiTheme="minorEastAsia" w:eastAsiaTheme="minorEastAsia"/>
                <w:sz w:val="20"/>
                <w:szCs w:val="20"/>
                <w:lang w:bidi="ar"/>
              </w:rPr>
              <w:br/>
              <w:t xml:space="preserve">7.配套专用实验软件，预设模板，以表格和曲线等形式自动记录数据变化情况，实验结果更直观明显。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弹簧的伸长特性、研究弹簧伸长量与弹力的关系等实验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08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螺线管</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环形线圈、接线柱、透明亚克力支架板</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1.用于测量通电螺线管内部的匀强磁场，探究电流大小和线圈匝数与螺线管内部磁场强度的关系。</w:t>
            </w:r>
            <w:r>
              <w:rPr>
                <w:rFonts w:hint="eastAsia" w:cs="宋体" w:asciiTheme="minorEastAsia" w:hAnsiTheme="minorEastAsia" w:eastAsiaTheme="minorEastAsia"/>
                <w:sz w:val="20"/>
                <w:szCs w:val="20"/>
                <w:lang w:bidi="ar"/>
              </w:rPr>
              <w:br/>
              <w:t xml:space="preserve">2.亚克力支架板方便放置小磁针，探究通电螺线管磁感线及磁场方向，并在Windows、安卓、iOS系统终端上实时呈现数据。</w:t>
            </w:r>
            <w:r>
              <w:rPr>
                <w:rFonts w:hint="eastAsia" w:cs="宋体" w:asciiTheme="minorEastAsia" w:hAnsiTheme="minorEastAsia" w:eastAsiaTheme="minorEastAsia"/>
                <w:sz w:val="20"/>
                <w:szCs w:val="20"/>
                <w:lang w:bidi="ar"/>
              </w:rPr>
              <w:br/>
              <w:t xml:space="preserve">3.环形线圈内部预留较大空间方便探究螺线管内部磁场特性。</w:t>
            </w:r>
            <w:r>
              <w:rPr>
                <w:rFonts w:hint="eastAsia" w:cs="宋体" w:asciiTheme="minorEastAsia" w:hAnsiTheme="minorEastAsia" w:eastAsiaTheme="minorEastAsia"/>
                <w:sz w:val="20"/>
                <w:szCs w:val="20"/>
                <w:lang w:bidi="ar"/>
              </w:rPr>
              <w:br/>
              <w:t xml:space="preserve">4.线圈绕制在圆环上，匝数均匀，磁场稳定。</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测量通电螺线管内部的匀强磁场、探究通电螺线管磁感线方向等实验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481"/>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电学实验板 (17块)</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17种实验电路板（含RC/RL移相、半波整流与滤波、全波整流与滤波、电容器充放电与串并联、LC振荡、欧姆定律、导体的伏安特性、补偿法测量电池电动势、限流法测灯泡的伏安特性、分压法测灯泡的伏安特性、自感现象、电池电动势与内阻的测量、电阻的串并联、电源输出与负载的关系、伏安法测电阻、电磁感应现象、传感器简单应用）、隔离柱、香蕉头导线*12、鳄鱼夹*6、9V电池、小灯泡若干</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1.用于电学类实验，如电容器充放电与串并联、LC振荡、欧姆定律、导体的伏安特性、补偿法测量电池电动势等。</w:t>
            </w:r>
            <w:r>
              <w:rPr>
                <w:rFonts w:hint="eastAsia" w:cs="宋体" w:asciiTheme="minorEastAsia" w:hAnsiTheme="minorEastAsia" w:eastAsiaTheme="minorEastAsia"/>
                <w:sz w:val="20"/>
                <w:szCs w:val="20"/>
                <w:lang w:bidi="ar"/>
              </w:rPr>
              <w:br/>
              <w:t xml:space="preserve">2.集成电路，实验方便快捷。</w:t>
            </w:r>
            <w:r>
              <w:rPr>
                <w:rFonts w:hint="eastAsia" w:cs="宋体" w:asciiTheme="minorEastAsia" w:hAnsiTheme="minorEastAsia" w:eastAsiaTheme="minorEastAsia"/>
                <w:sz w:val="20"/>
                <w:szCs w:val="20"/>
                <w:lang w:bidi="ar"/>
              </w:rPr>
              <w:br/>
              <w:t xml:space="preserve">3.插拔式接线口，接线简便牢靠，实验稳定。</w:t>
            </w:r>
            <w:r>
              <w:rPr>
                <w:rFonts w:hint="eastAsia" w:cs="宋体" w:asciiTheme="minorEastAsia" w:hAnsiTheme="minorEastAsia" w:eastAsiaTheme="minorEastAsia"/>
                <w:sz w:val="20"/>
                <w:szCs w:val="20"/>
                <w:lang w:bidi="ar"/>
              </w:rPr>
              <w:br/>
              <w:t xml:space="preserve">4.适配电学类传感器测量数值并在Windows、安卓、iOS系统终端上实时呈现，也可接入指针式电表，满足数字化和传统不同形式实验教学要求，实验设计灵活。</w:t>
            </w:r>
            <w:r>
              <w:rPr>
                <w:rFonts w:hint="eastAsia" w:cs="宋体" w:asciiTheme="minorEastAsia" w:hAnsiTheme="minorEastAsia" w:eastAsiaTheme="minorEastAsia"/>
                <w:sz w:val="20"/>
                <w:szCs w:val="20"/>
                <w:lang w:bidi="ar"/>
              </w:rPr>
              <w:br/>
              <w:t xml:space="preserve">5.实验丰富，基本涵盖电学类初高中分组及演示实验。</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RC/RL移相实验、整流与滤波（半波、全波）实验、电容器充放电实验、LC振荡电路探究实验、欧姆定律、导体的伏安特性实验、测量电池电动势实验、限流法测灯泡的伏安特性（限流、分压）实验、自感现象探究实</w:t>
            </w:r>
            <w:r>
              <w:rPr>
                <w:rFonts w:hint="eastAsia" w:cs="宋体" w:asciiTheme="minorEastAsia" w:hAnsiTheme="minorEastAsia" w:eastAsiaTheme="minorEastAsia"/>
                <w:sz w:val="20"/>
                <w:szCs w:val="20"/>
                <w:lang w:bidi="ar"/>
              </w:rPr>
              <w:t xml:space="preserve">验、测量电源的电动势和内阻实验、电阻的串并联实验、电源输出与负载的关系实验、伏安法测电阻实验、电磁感应现象探究等实验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815"/>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数字化机械能守恒实验器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主板、挡光柱、收纳装置、光电门传感器部件（0～∞s）、人字形底座、一字胶木螺丝、蝶形螺栓*2、数据线、蓝牙适配器</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1.用于探究机械能守恒定律。</w:t>
            </w:r>
            <w:r>
              <w:rPr>
                <w:rFonts w:hint="eastAsia" w:cs="宋体" w:asciiTheme="minorEastAsia" w:hAnsiTheme="minorEastAsia" w:eastAsiaTheme="minorEastAsia"/>
                <w:sz w:val="20"/>
                <w:szCs w:val="20"/>
                <w:lang w:bidi="ar"/>
              </w:rPr>
              <w:br/>
              <w:t xml:space="preserve">2.实验方法贴合教材，摆锤内置光电门传感器，当下落经过挡光柱时，可直接测得瞬时速度，并计算出动能、势能、机械能的数值，在Windows、安卓、iOS系统终端上实时呈现数据。安装简单，无需外接传感器与采集器。</w:t>
            </w:r>
            <w:r>
              <w:rPr>
                <w:rFonts w:hint="eastAsia" w:cs="宋体" w:asciiTheme="minorEastAsia" w:hAnsiTheme="minorEastAsia" w:eastAsiaTheme="minorEastAsia"/>
                <w:sz w:val="20"/>
                <w:szCs w:val="20"/>
                <w:lang w:bidi="ar"/>
              </w:rPr>
              <w:br/>
              <w:t xml:space="preserve">3.实验操作便捷，下落一次可得到10个点处的动能、势能、机械能，配有专有软件模板，实现智能采集、自动停止、自动记录实验数据并以数值、图像等多种形式呈现，有效提升课堂效率。</w:t>
            </w:r>
            <w:r>
              <w:rPr>
                <w:rFonts w:hint="eastAsia" w:cs="宋体" w:asciiTheme="minorEastAsia" w:hAnsiTheme="minorEastAsia" w:eastAsiaTheme="minorEastAsia"/>
                <w:sz w:val="20"/>
                <w:szCs w:val="20"/>
                <w:lang w:bidi="ar"/>
              </w:rPr>
              <w:br/>
              <w:t xml:space="preserve">4.挡光柱无需拆卸，获得多组不同的高度组合，进行多组实验验证。</w:t>
            </w:r>
            <w:r>
              <w:rPr>
                <w:rFonts w:hint="eastAsia" w:cs="宋体" w:asciiTheme="minorEastAsia" w:hAnsiTheme="minorEastAsia" w:eastAsiaTheme="minorEastAsia"/>
                <w:sz w:val="20"/>
                <w:szCs w:val="20"/>
                <w:lang w:bidi="ar"/>
              </w:rPr>
              <w:br/>
              <w:t xml:space="preserve">5.收纳装置，有效防止摆锤下落至底部后回摆造成的实验误差。</w:t>
            </w:r>
            <w:r>
              <w:rPr>
                <w:rFonts w:hint="eastAsia" w:cs="宋体" w:asciiTheme="minorEastAsia" w:hAnsiTheme="minorEastAsia" w:eastAsiaTheme="minorEastAsia"/>
                <w:sz w:val="20"/>
                <w:szCs w:val="20"/>
                <w:lang w:bidi="ar"/>
              </w:rPr>
              <w:br/>
              <w:t xml:space="preserve">6.采用人字形底座，配有调平螺丝，方便调整仪器保持水平。</w:t>
            </w:r>
            <w:r>
              <w:rPr>
                <w:rFonts w:hint="eastAsia" w:cs="宋体" w:asciiTheme="minorEastAsia" w:hAnsiTheme="minorEastAsia" w:eastAsiaTheme="minorEastAsia"/>
                <w:sz w:val="20"/>
                <w:szCs w:val="20"/>
                <w:lang w:bidi="ar"/>
              </w:rPr>
              <w:br/>
              <w:t xml:space="preserve">7.可支持有线、无线两种工作方式。</w:t>
            </w:r>
            <w:r>
              <w:rPr>
                <w:rFonts w:hint="eastAsia" w:cs="宋体" w:asciiTheme="minorEastAsia" w:hAnsiTheme="minorEastAsia" w:eastAsiaTheme="minorEastAsia"/>
                <w:sz w:val="20"/>
                <w:szCs w:val="20"/>
                <w:lang w:bidi="ar"/>
              </w:rPr>
              <w:br/>
              <w:t xml:space="preserve">8.配套专用实验软件，预设模板，以表格和曲线等形式自动记录数据变化情况，实验结果更直观明显。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验证机械能守恒定律等实验。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82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智能力盘实验器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人字形底座、铝合金固定杆、刻度盘、支撑杆、滑轮、连接线组件、钩码、梅花螺丝、手紧螺丝、数据线2根</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1.用于力的合成、力的分解实验，探究力合成的平行四边形定则。</w:t>
            </w:r>
            <w:r>
              <w:rPr>
                <w:rFonts w:hint="eastAsia" w:cs="宋体" w:asciiTheme="minorEastAsia" w:hAnsiTheme="minorEastAsia" w:eastAsiaTheme="minorEastAsia"/>
                <w:sz w:val="20"/>
                <w:szCs w:val="20"/>
                <w:lang w:bidi="ar"/>
              </w:rPr>
              <w:br/>
              <w:t xml:space="preserve">2.刻度盘设有两个支撑杆，可轻松改变分力的角度，直接测量力和角度的大小，在Windows、安卓、iOS系统终端上实时呈现数据，探究力的合成与分解实验。</w:t>
            </w:r>
            <w:r>
              <w:rPr>
                <w:rFonts w:hint="eastAsia" w:cs="宋体" w:asciiTheme="minorEastAsia" w:hAnsiTheme="minorEastAsia" w:eastAsiaTheme="minorEastAsia"/>
                <w:sz w:val="20"/>
                <w:szCs w:val="20"/>
                <w:lang w:bidi="ar"/>
              </w:rPr>
              <w:br/>
              <w:t xml:space="preserve">3.单个支撑杆可围绕刻度盘在0°～180°内进行转动，改变力的角度。</w:t>
            </w:r>
            <w:r>
              <w:rPr>
                <w:rFonts w:hint="eastAsia" w:cs="宋体" w:asciiTheme="minorEastAsia" w:hAnsiTheme="minorEastAsia" w:eastAsiaTheme="minorEastAsia"/>
                <w:sz w:val="20"/>
                <w:szCs w:val="20"/>
                <w:lang w:bidi="ar"/>
              </w:rPr>
              <w:br/>
              <w:t xml:space="preserve">4.连接线组件可保证两个力传感器在转动时，交点始终处于刻度盘的圆心</w:t>
            </w:r>
            <w:r>
              <w:rPr>
                <w:rFonts w:hint="eastAsia" w:cs="宋体" w:asciiTheme="minorEastAsia" w:hAnsiTheme="minorEastAsia" w:eastAsiaTheme="minorEastAsia"/>
                <w:sz w:val="20"/>
                <w:szCs w:val="20"/>
                <w:lang w:bidi="ar"/>
              </w:rPr>
              <w:t xml:space="preserve">位置，设计科学合理。</w:t>
            </w:r>
            <w:r>
              <w:rPr>
                <w:rFonts w:hint="eastAsia" w:cs="宋体" w:asciiTheme="minorEastAsia" w:hAnsiTheme="minorEastAsia" w:eastAsiaTheme="minorEastAsia"/>
                <w:sz w:val="20"/>
                <w:szCs w:val="20"/>
                <w:lang w:bidi="ar"/>
              </w:rPr>
              <w:br/>
              <w:t xml:space="preserve">5.固定杆设有滑轮，可拓展探究合力竖直向上的情况。</w:t>
            </w:r>
            <w:r>
              <w:rPr>
                <w:rFonts w:hint="eastAsia" w:cs="宋体" w:asciiTheme="minorEastAsia" w:hAnsiTheme="minorEastAsia" w:eastAsiaTheme="minorEastAsia"/>
                <w:sz w:val="20"/>
                <w:szCs w:val="20"/>
                <w:lang w:bidi="ar"/>
              </w:rPr>
              <w:br/>
              <w:t xml:space="preserve">6.采用人字形底座，配有调平螺丝，方便调整仪器保持水平。</w:t>
            </w:r>
            <w:r>
              <w:rPr>
                <w:rFonts w:hint="eastAsia" w:cs="宋体" w:asciiTheme="minorEastAsia" w:hAnsiTheme="minorEastAsia" w:eastAsiaTheme="minorEastAsia"/>
                <w:sz w:val="20"/>
                <w:szCs w:val="20"/>
                <w:lang w:bidi="ar"/>
              </w:rPr>
              <w:br/>
              <w:t xml:space="preserve">7.配套专用实验软件，可在坐标系中自动绘制出合力与分力的矢量图，进行“力的合成”与“力的分解”实验。</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探究力合成的平行四边形定则、探究力分解的三角形定则等实验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08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数字法拉第电磁感应定律实验器（动生）</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底座、磁铁、可调匝数的线圈、支架、电压传感器（-4V～4V）、光电门传感器（0～∞s）、数据线</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1.用于法拉第电磁感应实验，探究影响感应电动势大小的因素。</w:t>
            </w:r>
            <w:r>
              <w:rPr>
                <w:rFonts w:hint="eastAsia" w:cs="宋体" w:asciiTheme="minorEastAsia" w:hAnsiTheme="minorEastAsia" w:eastAsiaTheme="minorEastAsia"/>
                <w:sz w:val="20"/>
                <w:szCs w:val="20"/>
                <w:lang w:bidi="ar"/>
              </w:rPr>
              <w:br/>
              <w:t xml:space="preserve">2.器材一体化设计，底座上固定有两块磁铁用于提供磁场，内置光电门传感器、电压传感器，可准确测量线圈下落速度及感应电动势大小，无需采集器，可直接与终端连接实时呈现数据。</w:t>
            </w:r>
            <w:r>
              <w:rPr>
                <w:rFonts w:hint="eastAsia" w:cs="宋体" w:asciiTheme="minorEastAsia" w:hAnsiTheme="minorEastAsia" w:eastAsiaTheme="minorEastAsia"/>
                <w:sz w:val="20"/>
                <w:szCs w:val="20"/>
                <w:lang w:bidi="ar"/>
              </w:rPr>
              <w:br/>
              <w:t xml:space="preserve">3.具有可调节匝数的线圈，无需更换线圈，只需通过调整探针接入位置，即可更换100匝、200匝、300匝三种匝数，来探究线圈匝数对感应电动势大小的影响，操作简便。</w:t>
            </w:r>
            <w:r>
              <w:rPr>
                <w:rFonts w:hint="eastAsia" w:cs="宋体" w:asciiTheme="minorEastAsia" w:hAnsiTheme="minorEastAsia" w:eastAsiaTheme="minorEastAsia"/>
                <w:sz w:val="20"/>
                <w:szCs w:val="20"/>
                <w:lang w:bidi="ar"/>
              </w:rPr>
              <w:br/>
              <w:t xml:space="preserve">4.支架两侧标有清晰的刻度，可控制线圈从不同高度下落，得到不同的切割速度，通过光电门传感器可以精准获得线圈下落的速度，探究线圈切割磁感线快慢对感应电动势大小的影响。</w:t>
            </w:r>
            <w:r>
              <w:rPr>
                <w:rFonts w:hint="eastAsia" w:cs="宋体" w:asciiTheme="minorEastAsia" w:hAnsiTheme="minorEastAsia" w:eastAsiaTheme="minorEastAsia"/>
                <w:sz w:val="20"/>
                <w:szCs w:val="20"/>
                <w:lang w:bidi="ar"/>
              </w:rPr>
              <w:br/>
              <w:t xml:space="preserve">5.配套专用实验软件，预设模板，以表格和曲线等形式自动记录数据变化情况，实验结果更直观明显。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探究线圈切割磁感线快慢、线圈匝数对于感应电动势的影响等实验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3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查理定律实验器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探头支架、试管、盖子、快速温度探头、宝塔接头、烧杯（150mL）</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1.用于探究一定质量的气体在体积不变的情况下，压强与温度的关系。</w:t>
            </w:r>
            <w:r>
              <w:rPr>
                <w:rFonts w:hint="eastAsia" w:cs="宋体" w:asciiTheme="minorEastAsia" w:hAnsiTheme="minorEastAsia" w:eastAsiaTheme="minorEastAsia"/>
                <w:sz w:val="20"/>
                <w:szCs w:val="20"/>
                <w:lang w:bidi="ar"/>
              </w:rPr>
              <w:br/>
              <w:t xml:space="preserve">2.实验器营造等体积实验环境，具有良好的密封性，通过试管内的快速温度探头连接快速温度传感器、宝塔接头连接绝对压强传感器，测得一定质量的气体在体积不变时压强与温度的变化关系，并在Windows、安卓、iOS系统终端上实时呈现数据。减轻准备器材的负担，轻松满足演示及分组实验，让课堂教学更高效。</w:t>
            </w:r>
            <w:r>
              <w:rPr>
                <w:rFonts w:hint="eastAsia" w:cs="宋体" w:asciiTheme="minorEastAsia" w:hAnsiTheme="minorEastAsia" w:eastAsiaTheme="minorEastAsia"/>
                <w:sz w:val="20"/>
                <w:szCs w:val="20"/>
                <w:lang w:bidi="ar"/>
              </w:rPr>
              <w:br/>
              <w:t xml:space="preserve">3.探头支架底座平稳，采用夹子设计，角度可调，可轻松取下或固定试管。</w:t>
            </w:r>
            <w:r>
              <w:rPr>
                <w:rFonts w:hint="eastAsia" w:cs="宋体" w:asciiTheme="minorEastAsia" w:hAnsiTheme="minorEastAsia" w:eastAsiaTheme="minorEastAsia"/>
                <w:sz w:val="20"/>
                <w:szCs w:val="20"/>
                <w:lang w:bidi="ar"/>
              </w:rPr>
              <w:br/>
              <w:t xml:space="preserve">4.配套专用实验软件，可描绘压强与温度的变化曲线，得出压强与温度成正比关系的实验结论。</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查理定律等实验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08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电磁波传播实验器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发射模块（载波频率200Hz，调制波频率2Hz～20Hz）、接收模块、伸缩式天线*2、5号电池*4</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1.用于电磁波传播实验的探究。</w:t>
            </w:r>
            <w:r>
              <w:rPr>
                <w:rFonts w:hint="eastAsia" w:cs="宋体" w:asciiTheme="minorEastAsia" w:hAnsiTheme="minorEastAsia" w:eastAsiaTheme="minorEastAsia"/>
                <w:sz w:val="20"/>
                <w:szCs w:val="20"/>
                <w:lang w:bidi="ar"/>
              </w:rPr>
              <w:br/>
              <w:t xml:space="preserve">2.接收模块配合电压传感器测得发射模块发射出的波形，并在Windows、安卓、iOS系统终端上实时呈现数据，探究电磁波传播实验。</w:t>
            </w:r>
            <w:r>
              <w:rPr>
                <w:rFonts w:hint="eastAsia" w:cs="宋体" w:asciiTheme="minorEastAsia" w:hAnsiTheme="minorEastAsia" w:eastAsiaTheme="minorEastAsia"/>
                <w:sz w:val="20"/>
                <w:szCs w:val="20"/>
                <w:lang w:bidi="ar"/>
              </w:rPr>
              <w:br/>
              <w:t xml:space="preserve">3.发射模块具有正弦波、三角波、方波三种波形选择，频率、幅度可调。</w:t>
            </w:r>
            <w:r>
              <w:rPr>
                <w:rFonts w:hint="eastAsia" w:cs="宋体" w:asciiTheme="minorEastAsia" w:hAnsiTheme="minorEastAsia" w:eastAsiaTheme="minorEastAsia"/>
                <w:sz w:val="20"/>
                <w:szCs w:val="20"/>
                <w:lang w:bidi="ar"/>
              </w:rPr>
              <w:br/>
              <w:t xml:space="preserve">4.器材无需装配，操作简单，方便开展分组实验。</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电磁波传播等实验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315"/>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无线向心力实验器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人字形底座、支撑杆、码盘、角速度传感器（0～35rad/s）、力传感器（-10N～10N）、水平仪、紧固件、刻度条、不锈钢拉杆、铜锤*5（20g*2、30g*2、50g*1）、蓝牙适配器、锂电池、电源适配器</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1.用于向心力研究实验，探究向心力与角速度、半径、质量及时间的关系。</w:t>
            </w:r>
            <w:r>
              <w:rPr>
                <w:rFonts w:hint="eastAsia" w:cs="宋体" w:asciiTheme="minorEastAsia" w:hAnsiTheme="minorEastAsia" w:eastAsiaTheme="minorEastAsia"/>
                <w:sz w:val="20"/>
                <w:szCs w:val="20"/>
                <w:lang w:bidi="ar"/>
              </w:rPr>
              <w:br/>
              <w:t xml:space="preserve">2.器材集成度高，内置力传感器和码盘，旋转一周可测量多点向心力和转动角速度，采集频率可调节，并在Windows、安卓、iOS系统终端上实时呈现数据，解决了传统实验中数据测量误差较大的问题。</w:t>
            </w:r>
            <w:r>
              <w:rPr>
                <w:rFonts w:hint="eastAsia" w:cs="宋体" w:asciiTheme="minorEastAsia" w:hAnsiTheme="minorEastAsia" w:eastAsiaTheme="minorEastAsia"/>
                <w:sz w:val="20"/>
                <w:szCs w:val="20"/>
                <w:lang w:bidi="ar"/>
              </w:rPr>
              <w:br/>
              <w:t xml:space="preserve">3.采集过程中无需保持匀速转动且一次数据采集即可探究向心力与角速度的关系，组装式安装，操作便捷。</w:t>
            </w:r>
            <w:r>
              <w:rPr>
                <w:rFonts w:hint="eastAsia" w:cs="宋体" w:asciiTheme="minorEastAsia" w:hAnsiTheme="minorEastAsia" w:eastAsiaTheme="minorEastAsia"/>
                <w:sz w:val="20"/>
                <w:szCs w:val="20"/>
                <w:lang w:bidi="ar"/>
              </w:rPr>
              <w:br/>
              <w:t xml:space="preserve">4.配置3种不同规格铜锤，可组成5组及以上不同质量的组合，保持铜锤重心的位置不变，探究向心力与物体质量的关系。</w:t>
            </w:r>
            <w:r>
              <w:rPr>
                <w:rFonts w:hint="eastAsia" w:cs="宋体" w:asciiTheme="minorEastAsia" w:hAnsiTheme="minorEastAsia" w:eastAsiaTheme="minorEastAsia"/>
                <w:sz w:val="20"/>
                <w:szCs w:val="20"/>
                <w:lang w:bidi="ar"/>
              </w:rPr>
              <w:br/>
              <w:t xml:space="preserve">5.实验器设有刻度条，并且铜锤中心位置有凹槽标记，可改变5组及以上不同转动半径，探究向心力与转动半径的关系。</w:t>
            </w:r>
            <w:r>
              <w:rPr>
                <w:rFonts w:hint="eastAsia" w:cs="宋体" w:asciiTheme="minorEastAsia" w:hAnsiTheme="minorEastAsia" w:eastAsiaTheme="minorEastAsia"/>
                <w:sz w:val="20"/>
                <w:szCs w:val="20"/>
                <w:lang w:bidi="ar"/>
              </w:rPr>
              <w:br/>
              <w:t xml:space="preserve">6.内置水平和垂直两个方向上的水平仪，支持探究水平方向和竖直方向的圆周运动，满足更多实验需求。</w:t>
            </w:r>
            <w:r>
              <w:rPr>
                <w:rFonts w:hint="eastAsia" w:cs="宋体" w:asciiTheme="minorEastAsia" w:hAnsiTheme="minorEastAsia" w:eastAsiaTheme="minorEastAsia"/>
                <w:sz w:val="20"/>
                <w:szCs w:val="20"/>
                <w:lang w:bidi="ar"/>
              </w:rPr>
              <w:br/>
              <w:t xml:space="preserve">7.旋转臂可在0°～90°内自由调节，支持拓展探究向心力与时间成周期性的关系。</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8.铜锤卡槽式固定，可轻松移动及更换；中心处有凹槽标记，便于确定铜锤重心位置。</w:t>
            </w:r>
            <w:r>
              <w:rPr>
                <w:rFonts w:hint="eastAsia" w:cs="宋体" w:asciiTheme="minorEastAsia" w:hAnsiTheme="minorEastAsia" w:eastAsiaTheme="minorEastAsia"/>
                <w:sz w:val="20"/>
                <w:szCs w:val="20"/>
                <w:lang w:bidi="ar"/>
              </w:rPr>
              <w:br/>
              <w:t xml:space="preserve">9.内置锂电池和蓝牙，支持有线、无线连接。</w:t>
            </w:r>
            <w:r>
              <w:rPr>
                <w:rFonts w:hint="eastAsia" w:cs="宋体" w:asciiTheme="minorEastAsia" w:hAnsiTheme="minorEastAsia" w:eastAsiaTheme="minorEastAsia"/>
                <w:sz w:val="20"/>
                <w:szCs w:val="20"/>
                <w:lang w:bidi="ar"/>
              </w:rPr>
              <w:br/>
              <w:t xml:space="preserve">10.采用人字形底座，双水平泡设计，配有调平螺丝，方便调整仪器保持水平。</w:t>
            </w:r>
            <w:r>
              <w:rPr>
                <w:rFonts w:hint="eastAsia" w:cs="宋体" w:asciiTheme="minorEastAsia" w:hAnsiTheme="minorEastAsia" w:eastAsiaTheme="minorEastAsia"/>
                <w:sz w:val="20"/>
                <w:szCs w:val="20"/>
                <w:lang w:bidi="ar"/>
              </w:rPr>
              <w:br/>
              <w:t xml:space="preserve">11.配套专用实验软件，预设模板，以表格和曲线等形式自动记录数据变化情况，实验结果更直观明显。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探究水平面内的圆周运动规律、探究向心力与转动角速度的关系、探究向心力与物体质量的关系、探究向心力与转动半径的关系、探究竖直平面内的圆周运动规律等实验。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605"/>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数字化安培力实验器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底座、显示屏、电位器（电流可调电源）、调节按钮、强磁铁1对、电流传感器（0～1A）、磁感应强度传感器（-64mT～64mT）、微力传感器（-1N～1N）、角度盘、线圈*3（37.5mm/100匝、50mm/100匝、25mm/100匝/200匝）、电源适配器、数据线</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1.用于安培力的研究，探究公式F=nBILsinθ中F和各个量之间的关系，也可以验证公式本身。</w:t>
            </w:r>
            <w:r>
              <w:rPr>
                <w:rFonts w:hint="eastAsia" w:cs="宋体" w:asciiTheme="minorEastAsia" w:hAnsiTheme="minorEastAsia" w:eastAsiaTheme="minorEastAsia"/>
                <w:sz w:val="20"/>
                <w:szCs w:val="20"/>
                <w:lang w:bidi="ar"/>
              </w:rPr>
              <w:br/>
              <w:t xml:space="preserve">2.实验器搭建简便，无需外接传感器和采集器，通过内置的微力传感器和磁感应强度传感器，测量通电导线在磁场中所受到的安培力大小及方向，并在Windows、安卓、iOS系统终端上实时呈现数据。</w:t>
            </w:r>
            <w:r>
              <w:rPr>
                <w:rFonts w:hint="eastAsia" w:cs="宋体" w:asciiTheme="minorEastAsia" w:hAnsiTheme="minorEastAsia" w:eastAsiaTheme="minorEastAsia"/>
                <w:sz w:val="20"/>
                <w:szCs w:val="20"/>
                <w:lang w:bidi="ar"/>
              </w:rPr>
              <w:br/>
              <w:t xml:space="preserve">3.设有电流调节按钮，可从零开始无极调节通过线圈的电流大小，从而探究通电导线中电流大小I对安培力的影响。</w:t>
            </w:r>
            <w:r>
              <w:rPr>
                <w:rFonts w:hint="eastAsia" w:cs="宋体" w:asciiTheme="minorEastAsia" w:hAnsiTheme="minorEastAsia" w:eastAsiaTheme="minorEastAsia"/>
                <w:sz w:val="20"/>
                <w:szCs w:val="20"/>
                <w:lang w:bidi="ar"/>
              </w:rPr>
              <w:br/>
              <w:t xml:space="preserve">4.具有供3种不同的线圈，可控制线圈匝数不变，选择不同的有效长度，探究磁场中通电导线的有效长度L对安培力的影响；也可控制线圈有效长度不变，改变线圈匝数，探究线圈匝数n对安培力的影响。</w:t>
            </w:r>
            <w:r>
              <w:rPr>
                <w:rFonts w:hint="eastAsia" w:cs="宋体" w:asciiTheme="minorEastAsia" w:hAnsiTheme="minorEastAsia" w:eastAsiaTheme="minorEastAsia"/>
                <w:sz w:val="20"/>
                <w:szCs w:val="20"/>
                <w:lang w:bidi="ar"/>
              </w:rPr>
              <w:br/>
              <w:t xml:space="preserve">5.强磁铁通过角度盘可0°～360°自由转动来改变磁场与线圈的夹角，角度盘标有清晰的刻度可轻松读出夹角大小，从而探究通电导线电流方向与磁场方向的夹角对安培力的影响。</w:t>
            </w:r>
            <w:r>
              <w:rPr>
                <w:rFonts w:hint="eastAsia" w:cs="宋体" w:asciiTheme="minorEastAsia" w:hAnsiTheme="minorEastAsia" w:eastAsiaTheme="minorEastAsia"/>
                <w:sz w:val="20"/>
                <w:szCs w:val="20"/>
                <w:lang w:bidi="ar"/>
              </w:rPr>
              <w:br/>
              <w:t xml:space="preserve">6.线圈匝数更换简便，轻松拨动按钮即可进行100匝和200匝的转换。</w:t>
            </w:r>
            <w:r>
              <w:rPr>
                <w:rFonts w:hint="eastAsia" w:cs="宋体" w:asciiTheme="minorEastAsia" w:hAnsiTheme="minorEastAsia" w:eastAsiaTheme="minorEastAsia"/>
                <w:sz w:val="20"/>
                <w:szCs w:val="20"/>
                <w:lang w:bidi="ar"/>
              </w:rPr>
              <w:br/>
              <w:t xml:space="preserve">7.实验器设有数字显示屏，可以实时显示电流、磁感应强度、安培力大小。</w:t>
            </w:r>
            <w:r>
              <w:rPr>
                <w:rFonts w:hint="eastAsia" w:cs="宋体" w:asciiTheme="minorEastAsia" w:hAnsiTheme="minorEastAsia" w:eastAsiaTheme="minorEastAsia"/>
                <w:sz w:val="20"/>
                <w:szCs w:val="20"/>
                <w:lang w:bidi="ar"/>
              </w:rPr>
              <w:br/>
              <w:t xml:space="preserve">8.设有校零按钮，可通过硬件校零按钮对传感器一键校零，也可使用软件进行校零。</w:t>
            </w:r>
            <w:r>
              <w:rPr>
                <w:rFonts w:hint="eastAsia" w:cs="宋体" w:asciiTheme="minorEastAsia" w:hAnsiTheme="minorEastAsia" w:eastAsiaTheme="minorEastAsia"/>
                <w:sz w:val="20"/>
                <w:szCs w:val="20"/>
                <w:lang w:bidi="ar"/>
              </w:rPr>
              <w:br/>
              <w:t xml:space="preserve">9.通过移动终端扫描仪器上的二维码可浏览该仪器配套的实验指导和使用</w:t>
            </w:r>
            <w:r>
              <w:rPr>
                <w:rFonts w:hint="eastAsia" w:cs="宋体" w:asciiTheme="minorEastAsia" w:hAnsiTheme="minorEastAsia" w:eastAsiaTheme="minorEastAsia"/>
                <w:sz w:val="20"/>
                <w:szCs w:val="20"/>
                <w:lang w:bidi="ar"/>
              </w:rPr>
              <w:t xml:space="preserve">说明。</w:t>
            </w:r>
            <w:r>
              <w:rPr>
                <w:rFonts w:hint="eastAsia" w:cs="宋体" w:asciiTheme="minorEastAsia" w:hAnsiTheme="minorEastAsia" w:eastAsiaTheme="minorEastAsia"/>
                <w:sz w:val="20"/>
                <w:szCs w:val="20"/>
                <w:lang w:bidi="ar"/>
              </w:rPr>
              <w:br/>
              <w:t xml:space="preserve">10.可支持有线、无线两种工作方式。</w:t>
            </w:r>
            <w:r>
              <w:rPr>
                <w:rFonts w:hint="eastAsia" w:cs="宋体" w:asciiTheme="minorEastAsia" w:hAnsiTheme="minorEastAsia" w:eastAsiaTheme="minorEastAsia"/>
                <w:sz w:val="20"/>
                <w:szCs w:val="20"/>
                <w:lang w:bidi="ar"/>
              </w:rPr>
              <w:br/>
              <w:t xml:space="preserve">11.配套专用实验软件，预设模板，以表格和曲线等形式自动记录数据变化情况，实验结果更直观明显。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用于探究磁场中的通电导线的匝数、长度、电流大小、电流方向与磁场方向的夹角等因素对安培力的影响等实验。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465"/>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光的干涉衍射实验器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光屏、激光器、光学元件（含干涉片、衍射片1、衍射片2）、7号干电池、偏振片*2、皮尺</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1.用于探究光在透过单缝和双缝时，发生衍射和干涉的现象。</w:t>
            </w:r>
            <w:r>
              <w:rPr>
                <w:rFonts w:hint="eastAsia" w:cs="宋体" w:asciiTheme="minorEastAsia" w:hAnsiTheme="minorEastAsia" w:eastAsiaTheme="minorEastAsia"/>
                <w:sz w:val="20"/>
                <w:szCs w:val="20"/>
                <w:lang w:bidi="ar"/>
              </w:rPr>
              <w:br/>
              <w:t xml:space="preserve">2.激光器能发射满足相关条件的激光，通过机身前端的光学元件，产生干涉或衍射现象，可在光屏上观察干涉或衍射图像，配合光强分布传感器可测量并计算出光波波长，并在终端上实时呈现数据。</w:t>
            </w:r>
            <w:r>
              <w:rPr>
                <w:rFonts w:hint="eastAsia" w:cs="宋体" w:asciiTheme="minorEastAsia" w:hAnsiTheme="minorEastAsia" w:eastAsiaTheme="minorEastAsia"/>
                <w:sz w:val="20"/>
                <w:szCs w:val="20"/>
                <w:lang w:bidi="ar"/>
              </w:rPr>
              <w:br/>
              <w:t xml:space="preserve">3.激光器前端具有可左右移动的卡槽，方便光学元件的插入及滑动。</w:t>
            </w:r>
            <w:r>
              <w:rPr>
                <w:rFonts w:hint="eastAsia" w:cs="宋体" w:asciiTheme="minorEastAsia" w:hAnsiTheme="minorEastAsia" w:eastAsiaTheme="minorEastAsia"/>
                <w:sz w:val="20"/>
                <w:szCs w:val="20"/>
                <w:lang w:bidi="ar"/>
              </w:rPr>
              <w:br/>
              <w:t xml:space="preserve">4.干涉片具有不同缝宽的双缝、三缝、四缝，可进行杨氏双缝干涉实验，同时能拓展进行三缝、四缝干涉实验。</w:t>
            </w:r>
            <w:r>
              <w:rPr>
                <w:rFonts w:hint="eastAsia" w:cs="宋体" w:asciiTheme="minorEastAsia" w:hAnsiTheme="minorEastAsia" w:eastAsiaTheme="minorEastAsia"/>
                <w:sz w:val="20"/>
                <w:szCs w:val="20"/>
                <w:lang w:bidi="ar"/>
              </w:rPr>
              <w:br/>
              <w:t xml:space="preserve">5.衍射片具有狭缝、圆孔、矩形孔、方形孔、三角孔、单丝、圆屏、刀口等图形，可观察到明显的光的衍射现象。</w:t>
            </w:r>
            <w:r>
              <w:rPr>
                <w:rFonts w:hint="eastAsia" w:cs="宋体" w:asciiTheme="minorEastAsia" w:hAnsiTheme="minorEastAsia" w:eastAsiaTheme="minorEastAsia"/>
                <w:sz w:val="20"/>
                <w:szCs w:val="20"/>
                <w:lang w:bidi="ar"/>
              </w:rPr>
              <w:br/>
              <w:t xml:space="preserve">6.配有软性150cm长皮尺，方便测量激光器到光强分布传感器的距离，用于计算光波波长。</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杨氏双缝干涉、单缝衍射、用光强分布传感器做双缝干涉等实验。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8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平抛运动实验器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平抛轨道组件（含平抛轨道、轨道固定块、光电门托板、螺丝、三角螺栓）、落点接球盒组件（含板夹、复写纸、白纸、接球盒）、定位螺栓、蝶形螺母、钢球组、软尺、铁架台。</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1.用于探究平抛运动的规律。</w:t>
            </w:r>
            <w:r>
              <w:rPr>
                <w:rFonts w:hint="eastAsia" w:cs="宋体" w:asciiTheme="minorEastAsia" w:hAnsiTheme="minorEastAsia" w:eastAsiaTheme="minorEastAsia"/>
                <w:sz w:val="20"/>
                <w:szCs w:val="20"/>
                <w:lang w:bidi="ar"/>
              </w:rPr>
              <w:br/>
              <w:t xml:space="preserve">2.通过光电门传感器珂直接测量小球水平初速度，利用软尺测量高度和水平位移并输入在软件变量列中，在Windows、安卓、iOS系统终端上实时呈现数据，探究平抛运动的规律。</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3.落球盒组件可清晰记录落点位置，得出小球准确的水平位移，有效减少实验误差。</w:t>
            </w:r>
            <w:r>
              <w:rPr>
                <w:rFonts w:hint="eastAsia" w:cs="宋体" w:asciiTheme="minorEastAsia" w:hAnsiTheme="minorEastAsia" w:eastAsiaTheme="minorEastAsia"/>
                <w:sz w:val="20"/>
                <w:szCs w:val="20"/>
                <w:lang w:bidi="ar"/>
              </w:rPr>
              <w:br/>
              <w:t xml:space="preserve">4.平抛轨道设有定位螺栓，可保证在同一高度重复多次实验时小球位置不变。</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平抛运动的规律等实验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18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数字化光电效应实验器</w:t>
            </w:r>
            <w:r/>
          </w:p>
        </w:tc>
        <w:tc>
          <w:tcPr>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光电效应实验器主体（含分压式电路（电压调节范围（-12V～12V））、电压传感器（-20V～20V）、微电流传感器（-200μA～200μA）、电压数字显示屏、微电流数字显示屏、电位器、电源方向调节器、调光器）、光电管罩、光电管、USB灯条、滤光片（红、黄、蓝各1块）、数据线、电源适配器</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1.用于光的粒子性实验，探究光电效应现象。</w:t>
            </w:r>
            <w:r>
              <w:rPr>
                <w:rFonts w:hint="eastAsia" w:cs="宋体" w:asciiTheme="minorEastAsia" w:hAnsiTheme="minorEastAsia" w:eastAsiaTheme="minorEastAsia"/>
                <w:sz w:val="20"/>
                <w:szCs w:val="20"/>
                <w:lang w:bidi="ar"/>
              </w:rPr>
              <w:br/>
              <w:t xml:space="preserve">2.实验器面板印有实验电路图，便于学生理解实验。内置电压、微电流传感器，无需采集器，可直接与终端连接，在专有软件模板上，可实现数据连续记录并以数值、图像等多种形式并在Windows、安卓、iOS系统终端上实时呈现，解决了传统实验中光电流难以测量的问题，方便演示，大大提升了课堂效率。</w:t>
            </w:r>
            <w:r>
              <w:rPr>
                <w:rFonts w:hint="eastAsia" w:cs="宋体" w:asciiTheme="minorEastAsia" w:hAnsiTheme="minorEastAsia" w:eastAsiaTheme="minorEastAsia"/>
                <w:sz w:val="20"/>
                <w:szCs w:val="20"/>
                <w:lang w:bidi="ar"/>
              </w:rPr>
              <w:br/>
              <w:t xml:space="preserve">3.内置分压式电路，通过旋钮可调节电压大小，探究光电流随电压增加而增加，达到饱和电流的现象。</w:t>
            </w:r>
            <w:r>
              <w:rPr>
                <w:rFonts w:hint="eastAsia" w:cs="宋体" w:asciiTheme="minorEastAsia" w:hAnsiTheme="minorEastAsia" w:eastAsiaTheme="minorEastAsia"/>
                <w:sz w:val="20"/>
                <w:szCs w:val="20"/>
                <w:lang w:bidi="ar"/>
              </w:rPr>
              <w:br/>
              <w:t xml:space="preserve">4.内置调光器，通过旋钮可调节光强大小，探究光强越大，饱和电流越大的现象。</w:t>
            </w:r>
            <w:r>
              <w:rPr>
                <w:rFonts w:hint="eastAsia" w:cs="宋体" w:asciiTheme="minorEastAsia" w:hAnsiTheme="minorEastAsia" w:eastAsiaTheme="minorEastAsia"/>
                <w:sz w:val="20"/>
                <w:szCs w:val="20"/>
                <w:lang w:bidi="ar"/>
              </w:rPr>
              <w:br/>
              <w:t xml:space="preserve">5.配备3种颜色滤光片，定位卡槽设计，安装方便，可以探究不同频率的光照射下的光电流与电压的关系。</w:t>
            </w:r>
            <w:r>
              <w:rPr>
                <w:rFonts w:hint="eastAsia" w:cs="宋体" w:asciiTheme="minorEastAsia" w:hAnsiTheme="minorEastAsia" w:eastAsiaTheme="minorEastAsia"/>
                <w:sz w:val="20"/>
                <w:szCs w:val="20"/>
                <w:lang w:bidi="ar"/>
              </w:rPr>
              <w:br/>
              <w:t xml:space="preserve">6.内置电源方向调节装置，可根据实验调节电压的正反方向，探究遏止电压。</w:t>
            </w:r>
            <w:r>
              <w:rPr>
                <w:rFonts w:hint="eastAsia" w:cs="宋体" w:asciiTheme="minorEastAsia" w:hAnsiTheme="minorEastAsia" w:eastAsiaTheme="minorEastAsia"/>
                <w:sz w:val="20"/>
                <w:szCs w:val="20"/>
                <w:lang w:bidi="ar"/>
              </w:rPr>
              <w:br/>
              <w:t xml:space="preserve">7.面板自带电压、微电流数字显示模块，即可独立使用，也可结合计算机使用完成实验。</w:t>
            </w:r>
            <w:r>
              <w:rPr>
                <w:rFonts w:hint="eastAsia" w:cs="宋体" w:asciiTheme="minorEastAsia" w:hAnsiTheme="minorEastAsia" w:eastAsiaTheme="minorEastAsia"/>
                <w:sz w:val="20"/>
                <w:szCs w:val="20"/>
                <w:lang w:bidi="ar"/>
              </w:rPr>
              <w:br/>
              <w:t xml:space="preserve">8.铝合金光电管罩设计，有效避免其他杂光影响，实验误差小。</w:t>
            </w:r>
            <w:r>
              <w:rPr>
                <w:rFonts w:hint="eastAsia" w:cs="宋体" w:asciiTheme="minorEastAsia" w:hAnsiTheme="minorEastAsia" w:eastAsiaTheme="minorEastAsia"/>
                <w:sz w:val="20"/>
                <w:szCs w:val="20"/>
                <w:lang w:bidi="ar"/>
              </w:rPr>
              <w:br/>
              <w:t xml:space="preserve">9.配套专用实验软件，预设模板，以曲线形式自动记录数据变化情况，实验结果更直观明显。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用于探究光电效应、验证饱和光电流、遏止电压等实验。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440"/>
        </w:trPr>
        <w:tc>
          <w:tcPr>
            <w:tcBorders>
              <w:top w:val="single" w:color="000000" w:sz="4" w:space="0"/>
              <w:left w:val="single" w:color="000000" w:sz="4" w:space="0"/>
              <w:bottom w:val="single" w:color="000000" w:sz="4" w:space="0"/>
              <w:right w:val="single" w:color="000000" w:sz="4" w:space="0"/>
            </w:tcBorders>
            <w:tcW w:w="1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栅栏板</w:t>
            </w:r>
            <w:r/>
          </w:p>
        </w:tc>
        <w:tc>
          <w:tcPr>
            <w:shd w:val="clear" w:color="auto" w:fill="ffffff"/>
            <w:tcBorders>
              <w:top w:val="single" w:color="000000" w:sz="4" w:space="0"/>
              <w:left w:val="single" w:color="000000" w:sz="4" w:space="0"/>
              <w:bottom w:val="single" w:color="000000" w:sz="4" w:space="0"/>
              <w:right w:val="single" w:color="000000" w:sz="4" w:space="0"/>
            </w:tcBorders>
            <w:tcW w:w="236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亚克力板（390×60×3mm、黑条纹宽度25mm、间隔25mm）</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配合光电门传感器做自由落体实验。</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bl>
    <w:p>
      <w:pPr>
        <w:rPr>
          <w:rFonts w:hint="eastAsia" w:cs="宋体" w:asciiTheme="minorEastAsia" w:hAnsiTheme="minorEastAsia" w:eastAsiaTheme="minorEastAsia"/>
        </w:rPr>
        <w:sectPr>
          <w:footnotePr/>
          <w:endnotePr/>
          <w:type w:val="nextPage"/>
          <w:pgSz w:w="16838" w:h="11906" w:orient="landscape"/>
          <w:pgMar w:top="720" w:right="720" w:bottom="720" w:left="720" w:header="851" w:footer="992" w:gutter="0"/>
          <w:cols w:num="1" w:sep="0" w:space="720" w:equalWidth="1"/>
          <w:docGrid w:linePitch="360"/>
        </w:sect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b/>
          <w:bCs/>
          <w:sz w:val="32"/>
          <w:szCs w:val="32"/>
          <w:lang w:bidi="ar"/>
        </w:rPr>
        <w:t xml:space="preserve">高中生物数码观察仪器</w:t>
      </w:r>
      <w:r/>
    </w:p>
    <w:tbl>
      <w:tblPr>
        <w:tblW w:w="4675" w:type="pct"/>
        <w:tblLook w:val="04A0" w:firstRow="1" w:lastRow="0" w:firstColumn="1" w:lastColumn="0" w:noHBand="0" w:noVBand="1"/>
      </w:tblPr>
      <w:tblGrid>
        <w:gridCol w:w="628"/>
        <w:gridCol w:w="1094"/>
        <w:gridCol w:w="6373"/>
        <w:gridCol w:w="627"/>
        <w:gridCol w:w="627"/>
        <w:gridCol w:w="639"/>
      </w:tblGrid>
      <w:tr>
        <w:trPr>
          <w:trHeight w:val="450"/>
          <w:tblHeader/>
        </w:trPr>
        <w:tc>
          <w:tcPr>
            <w:shd w:val="clear" w:color="auto" w:fill="dce6f1"/>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序号</w:t>
            </w:r>
            <w:r/>
          </w:p>
        </w:tc>
        <w:tc>
          <w:tcPr>
            <w:shd w:val="clear" w:color="auto" w:fill="dce6f1"/>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产品名称</w:t>
            </w:r>
            <w:r/>
          </w:p>
        </w:tc>
        <w:tc>
          <w:tcPr>
            <w:shd w:val="clear" w:color="auto" w:fill="dce6f1"/>
            <w:tcBorders>
              <w:top w:val="single" w:color="000000" w:sz="4" w:space="0"/>
              <w:left w:val="single" w:color="000000" w:sz="4" w:space="0"/>
              <w:bottom w:val="single" w:color="000000" w:sz="4" w:space="0"/>
              <w:right w:val="single" w:color="000000" w:sz="4" w:space="0"/>
            </w:tcBorders>
            <w:tcW w:w="3189"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技术参数</w:t>
            </w:r>
            <w:r/>
          </w:p>
        </w:tc>
        <w:tc>
          <w:tcPr>
            <w:shd w:val="clear" w:color="auto" w:fill="dce6f1"/>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单位</w:t>
            </w:r>
            <w:r/>
          </w:p>
        </w:tc>
        <w:tc>
          <w:tcPr>
            <w:shd w:val="clear" w:color="auto" w:fill="dce6f1"/>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c>
          <w:tcPr>
            <w:shd w:val="clear" w:color="auto" w:fill="dce6f1"/>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教师用显微镜</w:t>
            </w:r>
            <w:r/>
          </w:p>
        </w:tc>
        <w:tc>
          <w:tcPr>
            <w:tcBorders>
              <w:top w:val="single" w:color="000000" w:sz="4" w:space="0"/>
              <w:left w:val="single" w:color="000000" w:sz="4" w:space="0"/>
              <w:bottom w:val="single" w:color="000000" w:sz="4" w:space="0"/>
              <w:right w:val="single" w:color="000000" w:sz="4" w:space="0"/>
            </w:tcBorders>
            <w:tcW w:w="318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1、放大倍数：40X-1000X。</w:t>
            </w:r>
            <w:r>
              <w:rPr>
                <w:rFonts w:hint="eastAsia" w:cs="宋体" w:asciiTheme="minorEastAsia" w:hAnsiTheme="minorEastAsia" w:eastAsiaTheme="minorEastAsia"/>
                <w:sz w:val="20"/>
                <w:szCs w:val="20"/>
                <w:lang w:bidi="ar"/>
              </w:rPr>
              <w:br/>
              <w:t xml:space="preserve">2、光学系统：无限远色差校正光学系统。</w:t>
            </w:r>
            <w:r>
              <w:rPr>
                <w:rFonts w:hint="eastAsia" w:cs="宋体" w:asciiTheme="minorEastAsia" w:hAnsiTheme="minorEastAsia" w:eastAsiaTheme="minorEastAsia"/>
                <w:sz w:val="20"/>
                <w:szCs w:val="20"/>
                <w:lang w:bidi="ar"/>
              </w:rPr>
              <w:br/>
              <w:t xml:space="preserve">3、目镜：高眼点平场目镜PL10X/22mm，带视度调节。</w:t>
            </w:r>
            <w:r>
              <w:rPr>
                <w:rFonts w:hint="eastAsia" w:cs="宋体" w:asciiTheme="minorEastAsia" w:hAnsiTheme="minorEastAsia" w:eastAsiaTheme="minorEastAsia"/>
                <w:sz w:val="20"/>
                <w:szCs w:val="20"/>
                <w:lang w:bidi="ar"/>
              </w:rPr>
              <w:br/>
              <w:t xml:space="preserve">4、观察筒：铰链式观察筒，30°倾斜；瞳距调节范围48-76mm。具有铰链组360°旋转功能，便于调节眼点高度，眼点高度调节范围375-428mm。</w:t>
            </w:r>
            <w:r>
              <w:rPr>
                <w:rFonts w:hint="eastAsia" w:cs="宋体" w:asciiTheme="minorEastAsia" w:hAnsiTheme="minorEastAsia" w:eastAsiaTheme="minorEastAsia"/>
                <w:sz w:val="20"/>
                <w:szCs w:val="20"/>
                <w:lang w:bidi="ar"/>
              </w:rPr>
              <w:br/>
              <w:t xml:space="preserve">5、物镜转换器：内倾式5孔物镜编码转换、能够记忆每个物镜的照明亮度、自动切换，物镜切换时，亮度自动调整。</w:t>
            </w:r>
            <w:r>
              <w:rPr>
                <w:rFonts w:hint="eastAsia" w:cs="宋体" w:asciiTheme="minorEastAsia" w:hAnsiTheme="minorEastAsia" w:eastAsiaTheme="minorEastAsia"/>
                <w:sz w:val="20"/>
                <w:szCs w:val="20"/>
                <w:lang w:bidi="ar"/>
              </w:rPr>
              <w:br/>
              <w:t xml:space="preserve">6、聚光镜：阿贝式聚光镜，数值孔径N.A.1.25，齿轮齿条垂直升降，带可变孔径光栏，带暗场、相差附件插口。</w:t>
            </w:r>
            <w:r>
              <w:rPr>
                <w:rFonts w:hint="eastAsia" w:cs="宋体" w:asciiTheme="minorEastAsia" w:hAnsiTheme="minorEastAsia" w:eastAsiaTheme="minorEastAsia"/>
                <w:sz w:val="20"/>
                <w:szCs w:val="20"/>
                <w:lang w:bidi="ar"/>
              </w:rPr>
              <w:br/>
              <w:t xml:space="preserve">7、载物台：双层机械移动平台，采用陶瓷工艺、强度强、耐腐蚀。低手位X、Y方向同轴调节，X方向采用线轨传动，无齿条伸出。载物台面积≥210mmX170mm，片夹可同时夹持两块切片，方便对比观察。平台行程≥78mmX50mm，精度≤0.1mm。</w:t>
            </w:r>
            <w:r>
              <w:rPr>
                <w:rFonts w:hint="eastAsia" w:cs="宋体" w:asciiTheme="minorEastAsia" w:hAnsiTheme="minorEastAsia" w:eastAsiaTheme="minorEastAsia"/>
                <w:sz w:val="20"/>
                <w:szCs w:val="20"/>
                <w:lang w:bidi="ar"/>
              </w:rPr>
              <w:br/>
              <w:t xml:space="preserve">8、调焦机构：粗微调同轴，粗调行程≥25mm，微调精度2um，全金属齿轮齿条调焦机构，带可调式平台上限位装置。</w:t>
            </w:r>
            <w:r>
              <w:rPr>
                <w:rFonts w:hint="eastAsia" w:cs="宋体" w:asciiTheme="minorEastAsia" w:hAnsiTheme="minorEastAsia" w:eastAsiaTheme="minorEastAsia"/>
                <w:sz w:val="20"/>
                <w:szCs w:val="20"/>
                <w:lang w:bidi="ar"/>
              </w:rPr>
              <w:br/>
              <w:t xml:space="preserve">9、物镜： 无限远平场消色差物镜:4X/NA≥0.1/WD≥15mm， 10X/NA≥0.25/WD≥10.8mm，20X/NA≥0.4/WD≥1.5mm，40X/NA≥0.65/WD≥0.8mm，100X/NA≥1.25/WD≥0.21mm。</w:t>
            </w:r>
            <w:r>
              <w:rPr>
                <w:rFonts w:hint="eastAsia" w:cs="宋体" w:asciiTheme="minorEastAsia" w:hAnsiTheme="minorEastAsia" w:eastAsiaTheme="minorEastAsia"/>
                <w:sz w:val="20"/>
                <w:szCs w:val="20"/>
                <w:lang w:bidi="ar"/>
              </w:rPr>
              <w:br/>
              <w:t xml:space="preserve">10、照明系统：宽电压输入；大功率高亮度3W LED，带液晶显示窗口、色温可调，色温可调节范围不小于3000K-7000K，适合不同标本需要；带亮度记忆功能；带ECO节能功能；带电源指示灯，防止人未关灯，避免安全隐患。</w:t>
            </w:r>
            <w:r>
              <w:rPr>
                <w:rFonts w:hint="eastAsia" w:cs="宋体" w:asciiTheme="minorEastAsia" w:hAnsiTheme="minorEastAsia" w:eastAsiaTheme="minorEastAsia"/>
                <w:sz w:val="20"/>
                <w:szCs w:val="20"/>
                <w:lang w:bidi="ar"/>
              </w:rPr>
              <w:br/>
              <w:t xml:space="preserve">11、超强续航功能；机身自带type-c接口，支持充电宝给显微镜供电。机身自带标准USB接口，可以通过显微镜向手机或者平板充电。</w:t>
            </w:r>
            <w:r>
              <w:rPr>
                <w:rFonts w:hint="eastAsia" w:cs="宋体" w:asciiTheme="minorEastAsia" w:hAnsiTheme="minorEastAsia" w:eastAsiaTheme="minorEastAsia"/>
                <w:sz w:val="20"/>
                <w:szCs w:val="20"/>
                <w:lang w:bidi="ar"/>
              </w:rPr>
              <w:br/>
              <w:t xml:space="preserve">12、机身带搬运手柄，方便便于搬运；机身带收纳仓，便于收纳电源线、充电装置、工具、镜油等物品，以免丢失同时保持桌面整洁。</w:t>
            </w:r>
            <w:r>
              <w:rPr>
                <w:rFonts w:hint="eastAsia" w:cs="宋体" w:asciiTheme="minorEastAsia" w:hAnsiTheme="minorEastAsia" w:eastAsiaTheme="minorEastAsia"/>
                <w:sz w:val="20"/>
                <w:szCs w:val="20"/>
                <w:lang w:bidi="ar"/>
              </w:rPr>
              <w:br/>
              <w:t xml:space="preserve">13、数码成像系统：数码观察头内置2000万像素无线数码芯片，支持5G Wi-Fi，RJ45网口，预览分辨率1080P，超低延迟（200MS），1080P实时预览最大帧率25FPS，支持远程全分辨率拍照，支持单机/互动模式切换，支持多人共揽</w:t>
            </w:r>
            <w:r>
              <w:rPr>
                <w:rFonts w:hint="eastAsia" w:cs="宋体" w:asciiTheme="minorEastAsia" w:hAnsiTheme="minorEastAsia" w:eastAsiaTheme="minorEastAsia"/>
                <w:sz w:val="20"/>
                <w:szCs w:val="20"/>
                <w:lang w:bidi="ar"/>
              </w:rPr>
              <w:br/>
              <w:t xml:space="preserve">▲重要技术指标14～26条需提供由第三方检测机构出具的检测报告扫描件（检测报告上须含有“CMA”或“CNAS”或其他经国家认证委认证的检测机构标志）</w:t>
            </w:r>
            <w:r>
              <w:rPr>
                <w:rFonts w:hint="eastAsia" w:cs="宋体" w:asciiTheme="minorEastAsia" w:hAnsiTheme="minorEastAsia" w:eastAsiaTheme="minorEastAsia"/>
                <w:sz w:val="20"/>
                <w:szCs w:val="20"/>
                <w:lang w:bidi="ar"/>
              </w:rPr>
              <w:br/>
              <w:t xml:space="preserve">▲14、4X物镜成像清晰圆圆直径≥18.5mm、10X物镜成像清晰圆直径≥18.5mm、20X物镜成像清晰圆直径≥18.5mm，40X物镜成像清晰圆直径≥18.8mm、100X物镜成像清晰圆直径≥18.8mm；</w:t>
            </w:r>
            <w:r>
              <w:rPr>
                <w:rFonts w:hint="eastAsia" w:cs="宋体" w:asciiTheme="minorEastAsia" w:hAnsiTheme="minorEastAsia" w:eastAsiaTheme="minorEastAsia"/>
                <w:sz w:val="20"/>
                <w:szCs w:val="20"/>
                <w:lang w:bidi="ar"/>
              </w:rPr>
              <w:br/>
              <w:t xml:space="preserve">▲15、齐焦：10→4倍不超过±0.010mm、10→20倍不超过±0.007mm、10→40倍不超过±0.005mm、40→100倍不超过±0.006mm；</w:t>
            </w:r>
            <w:r>
              <w:rPr>
                <w:rFonts w:hint="eastAsia" w:cs="宋体" w:asciiTheme="minorEastAsia" w:hAnsiTheme="minorEastAsia" w:eastAsiaTheme="minorEastAsia"/>
                <w:sz w:val="20"/>
                <w:szCs w:val="20"/>
                <w:lang w:bidi="ar"/>
              </w:rPr>
              <w:br/>
              <w:t xml:space="preserve">▲16、转换器稳定性≤0.003mm；</w:t>
            </w:r>
            <w:r>
              <w:rPr>
                <w:rFonts w:hint="eastAsia" w:cs="宋体" w:asciiTheme="minorEastAsia" w:hAnsiTheme="minorEastAsia" w:eastAsiaTheme="minorEastAsia"/>
                <w:sz w:val="20"/>
                <w:szCs w:val="20"/>
                <w:lang w:bidi="ar"/>
              </w:rPr>
              <w:br/>
              <w:t xml:space="preserve">▲17、载物台侧向受5N水平方向用力最大位移≤0.010mm、不重复性≤0.002mm；</w:t>
            </w:r>
            <w:r>
              <w:rPr>
                <w:rFonts w:hint="eastAsia" w:cs="宋体" w:asciiTheme="minorEastAsia" w:hAnsiTheme="minorEastAsia" w:eastAsiaTheme="minorEastAsia"/>
                <w:sz w:val="20"/>
                <w:szCs w:val="20"/>
                <w:lang w:bidi="ar"/>
              </w:rPr>
              <w:br/>
              <w:t xml:space="preserve">▲18、用机械使标本再5mm*5mm范围内移动时的离焦量≤0.004mm；</w:t>
            </w:r>
            <w:r>
              <w:rPr>
                <w:rFonts w:hint="eastAsia" w:cs="宋体" w:asciiTheme="minorEastAsia" w:hAnsiTheme="minorEastAsia" w:eastAsiaTheme="minorEastAsia"/>
                <w:sz w:val="20"/>
                <w:szCs w:val="20"/>
                <w:lang w:bidi="ar"/>
              </w:rPr>
              <w:br/>
              <w:t xml:space="preserve">▲19、微调机构空回≤0.003mm；</w:t>
            </w:r>
            <w:r>
              <w:rPr>
                <w:rFonts w:hint="eastAsia" w:cs="宋体" w:asciiTheme="minorEastAsia" w:hAnsiTheme="minorEastAsia" w:eastAsiaTheme="minorEastAsia"/>
                <w:sz w:val="20"/>
                <w:szCs w:val="20"/>
                <w:lang w:bidi="ar"/>
              </w:rPr>
              <w:br/>
              <w:t xml:space="preserve">▲20、显微镜物镜放大率准确度不超过±0.65%；</w:t>
            </w:r>
            <w:r>
              <w:rPr>
                <w:rFonts w:hint="eastAsia" w:cs="宋体" w:asciiTheme="minorEastAsia" w:hAnsiTheme="minorEastAsia" w:eastAsiaTheme="minorEastAsia"/>
                <w:sz w:val="20"/>
                <w:szCs w:val="20"/>
                <w:lang w:bidi="ar"/>
              </w:rPr>
              <w:br/>
              <w:t xml:space="preserve">▲21、倾斜式目镜筒作360°旋转时目镜焦平面上像中心的位移（mm)≤0.10mm；</w:t>
            </w:r>
            <w:r>
              <w:rPr>
                <w:rFonts w:hint="eastAsia" w:cs="宋体" w:asciiTheme="minorEastAsia" w:hAnsiTheme="minorEastAsia" w:eastAsiaTheme="minorEastAsia"/>
                <w:sz w:val="20"/>
                <w:szCs w:val="20"/>
                <w:lang w:bidi="ar"/>
              </w:rPr>
              <w:br/>
              <w:t xml:space="preserve">▲22、零视度时，左右系统的目镜端面位置差（mm)≤0.06mm；</w:t>
            </w:r>
            <w:r>
              <w:rPr>
                <w:rFonts w:hint="eastAsia" w:cs="宋体" w:asciiTheme="minorEastAsia" w:hAnsiTheme="minorEastAsia" w:eastAsiaTheme="minorEastAsia"/>
                <w:sz w:val="20"/>
                <w:szCs w:val="20"/>
                <w:lang w:bidi="ar"/>
              </w:rPr>
              <w:br/>
              <w:t xml:space="preserve">▲23、续航功能：双向充电功能，支持充电宝向显微镜供电，支持显微镜向手机或平板供电；</w:t>
            </w:r>
            <w:r>
              <w:rPr>
                <w:rFonts w:hint="eastAsia" w:cs="宋体" w:asciiTheme="minorEastAsia" w:hAnsiTheme="minorEastAsia" w:eastAsiaTheme="minorEastAsia"/>
                <w:sz w:val="20"/>
                <w:szCs w:val="20"/>
                <w:lang w:bidi="ar"/>
              </w:rPr>
              <w:br/>
              <w:t xml:space="preserve">▲24、色温调节范围3000K-7000K；</w:t>
            </w:r>
            <w:r>
              <w:rPr>
                <w:rFonts w:hint="eastAsia" w:cs="宋体" w:asciiTheme="minorEastAsia" w:hAnsiTheme="minorEastAsia" w:eastAsiaTheme="minorEastAsia"/>
                <w:sz w:val="20"/>
                <w:szCs w:val="20"/>
                <w:lang w:bidi="ar"/>
              </w:rPr>
              <w:br/>
              <w:t xml:space="preserve">▲25、智能照明管理系统：配备液晶显示屏、指示当前倍率、色温及亮度，带ECO节能功能和电源指示灯；</w:t>
            </w:r>
            <w:r>
              <w:rPr>
                <w:rFonts w:hint="eastAsia" w:cs="宋体" w:asciiTheme="minorEastAsia" w:hAnsiTheme="minorEastAsia" w:eastAsiaTheme="minorEastAsia"/>
                <w:sz w:val="20"/>
                <w:szCs w:val="20"/>
                <w:lang w:bidi="ar"/>
              </w:rPr>
              <w:br/>
              <w:t xml:space="preserve">▲26、摄影摄像视场清晰范围不小于90%；</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27、配图像分析软件，包含对显微图像进行拍照、录像与存储；可与学生终端进行互动，具有微观观察、宏观观察、即时通讯、实验记录、广播教学、课堂练习等功能模块。</w:t>
            </w:r>
            <w:r>
              <w:rPr>
                <w:rFonts w:hint="eastAsia" w:cs="宋体" w:asciiTheme="minorEastAsia" w:hAnsiTheme="minorEastAsia" w:eastAsiaTheme="minorEastAsia"/>
                <w:sz w:val="20"/>
                <w:szCs w:val="20"/>
                <w:lang w:bidi="ar"/>
              </w:rPr>
              <w:br/>
              <w:t xml:space="preserve">超强续航功能：机身自带type-c接口，支持充电宝给显微镜供电。机身自带标准USB接口，可以通过显微镜向手机或者平板充电。</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学生用显微镜</w:t>
            </w:r>
            <w:r/>
          </w:p>
        </w:tc>
        <w:tc>
          <w:tcPr>
            <w:tcBorders>
              <w:top w:val="single" w:color="000000" w:sz="4" w:space="0"/>
              <w:left w:val="single" w:color="000000" w:sz="4" w:space="0"/>
              <w:bottom w:val="single" w:color="000000" w:sz="4" w:space="0"/>
              <w:right w:val="single" w:color="000000" w:sz="4" w:space="0"/>
            </w:tcBorders>
            <w:tcW w:w="318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1、铰链式三目观察筒，瞳距调节范围50-75mm。▲零视度时，左右系统的目镜端面位置差≤0.15mm</w:t>
            </w:r>
            <w:r>
              <w:rPr>
                <w:rFonts w:hint="eastAsia" w:cs="宋体" w:asciiTheme="minorEastAsia" w:hAnsiTheme="minorEastAsia" w:eastAsiaTheme="minorEastAsia"/>
                <w:sz w:val="20"/>
                <w:szCs w:val="20"/>
                <w:lang w:bidi="ar"/>
              </w:rPr>
              <w:br/>
              <w:t xml:space="preserve">2、目镜：带视度补偿，大视场高眼点目镜PL10X，视场18mm，放大率准确度≤±1.17%，▲双目系统左右视场中心偏差：上下≤0.05mm，左右外侧≤0.05mm，双目系统左右光轴平行度：水平发散≤8，垂直交叉≤6; 零视度时，左右系统的目镜端面位置差≤0.15mm。</w:t>
            </w:r>
            <w:r>
              <w:rPr>
                <w:rFonts w:hint="eastAsia" w:cs="宋体" w:asciiTheme="minorEastAsia" w:hAnsiTheme="minorEastAsia" w:eastAsiaTheme="minorEastAsia"/>
                <w:sz w:val="20"/>
                <w:szCs w:val="20"/>
                <w:lang w:bidi="ar"/>
              </w:rPr>
              <w:br/>
              <w:t xml:space="preserve">3、物镜：4X，10X、40X、100X；▲4倍物镜成像清晰圆直径≥17.4mm,；10倍成像清晰圆直径≥17.3mm，景深范围内像面的偏摆≤0.04mm ；40倍 成像清晰圆直径≥17.0mm；100倍 成像清晰圆直径≥17.1mm物镜放大率准确度≤±1.17%；齐焦：10→4倍≤±0.013mm、10→40倍≤±0.008mm、40→100倍≤±0.006mm。</w:t>
            </w:r>
            <w:r>
              <w:rPr>
                <w:rFonts w:hint="eastAsia" w:cs="宋体" w:asciiTheme="minorEastAsia" w:hAnsiTheme="minorEastAsia" w:eastAsiaTheme="minorEastAsia"/>
                <w:sz w:val="20"/>
                <w:szCs w:val="20"/>
                <w:lang w:bidi="ar"/>
              </w:rPr>
              <w:br/>
              <w:t xml:space="preserve">4、转换器：四孔以上物镜转换器，▲转换器稳定性≤0.003mm</w:t>
            </w:r>
            <w:r>
              <w:rPr>
                <w:rFonts w:hint="eastAsia" w:cs="宋体" w:asciiTheme="minorEastAsia" w:hAnsiTheme="minorEastAsia" w:eastAsiaTheme="minorEastAsia"/>
                <w:sz w:val="20"/>
                <w:szCs w:val="20"/>
                <w:lang w:bidi="ar"/>
              </w:rPr>
              <w:br/>
              <w:t xml:space="preserve">5、移动平台：复合式机械移动载物台，低手位同轴调节。带限位装置，具有切片保护功能，载物台侧向受5N水平方向作用力最大位移≤0.015，不重复性≤0.002.用机械使标本在5mmX5mm范围内移动时离焦量≤0.005mm.</w:t>
            </w:r>
            <w:r>
              <w:rPr>
                <w:rFonts w:hint="eastAsia" w:cs="宋体" w:asciiTheme="minorEastAsia" w:hAnsiTheme="minorEastAsia" w:eastAsiaTheme="minorEastAsia"/>
                <w:sz w:val="20"/>
                <w:szCs w:val="20"/>
                <w:lang w:bidi="ar"/>
              </w:rPr>
              <w:br/>
              <w:t xml:space="preserve">6、聚光镜：阿贝式聚光镜N.A1.25（带光栏），粗微调同轴调节，具有松紧调节装置；微调最小读数值0.002mm，微调空回≤0.005mm</w:t>
            </w:r>
            <w:r>
              <w:rPr>
                <w:rFonts w:hint="eastAsia" w:cs="宋体" w:asciiTheme="minorEastAsia" w:hAnsiTheme="minorEastAsia" w:eastAsiaTheme="minorEastAsia"/>
                <w:sz w:val="20"/>
                <w:szCs w:val="20"/>
                <w:lang w:bidi="ar"/>
              </w:rPr>
              <w:br/>
              <w:t xml:space="preserve">7、电源：LED 照明（色温 5700-6500K），亮度连续可调；可选内置可充电模块 ；外置式宽电压变压器，输入 100V-240V ，输出 5V 1A。</w:t>
            </w:r>
            <w:r>
              <w:rPr>
                <w:rFonts w:hint="eastAsia" w:cs="宋体" w:asciiTheme="minorEastAsia" w:hAnsiTheme="minorEastAsia" w:eastAsiaTheme="minorEastAsia"/>
                <w:sz w:val="20"/>
                <w:szCs w:val="20"/>
                <w:lang w:bidi="ar"/>
              </w:rPr>
              <w:br/>
              <w:t xml:space="preserve">8、10寸以上液晶显示屏（非触摸）1280*800分辨率，1300万以上像素，可拍照、录像。支持HDMI、USB输出</w:t>
            </w:r>
            <w:r>
              <w:rPr>
                <w:rFonts w:hint="eastAsia" w:cs="宋体" w:asciiTheme="minorEastAsia" w:hAnsiTheme="minorEastAsia" w:eastAsiaTheme="minorEastAsia"/>
                <w:sz w:val="20"/>
                <w:szCs w:val="20"/>
                <w:lang w:bidi="ar"/>
              </w:rPr>
              <w:br/>
              <w:t xml:space="preserve">显微镜▲部份为重要性参数，需提供国家光学仪器质量监督检验中心机构出具的检测报告扫描件。</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36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网络互动软件</w:t>
            </w:r>
            <w:r/>
          </w:p>
        </w:tc>
        <w:tc>
          <w:tcPr>
            <w:tcBorders>
              <w:top w:val="single" w:color="000000" w:sz="4" w:space="0"/>
              <w:left w:val="single" w:color="000000" w:sz="4" w:space="0"/>
              <w:bottom w:val="single" w:color="000000" w:sz="4" w:space="0"/>
              <w:right w:val="single" w:color="000000" w:sz="4" w:space="0"/>
            </w:tcBorders>
            <w:tcW w:w="318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规格要求：</w:t>
            </w:r>
            <w:r>
              <w:rPr>
                <w:rFonts w:hint="eastAsia" w:cs="宋体" w:asciiTheme="minorEastAsia" w:hAnsiTheme="minorEastAsia" w:eastAsiaTheme="minorEastAsia"/>
                <w:sz w:val="20"/>
                <w:szCs w:val="20"/>
                <w:lang w:bidi="ar"/>
              </w:rPr>
              <w:br/>
              <w:t xml:space="preserve">必须支持无线传输，软件与显微镜同品牌，获得计算机著作权证书；</w:t>
            </w:r>
            <w:r>
              <w:rPr>
                <w:rFonts w:hint="eastAsia" w:cs="宋体" w:asciiTheme="minorEastAsia" w:hAnsiTheme="minorEastAsia" w:eastAsiaTheme="minorEastAsia"/>
                <w:sz w:val="20"/>
                <w:szCs w:val="20"/>
                <w:lang w:bidi="ar"/>
              </w:rPr>
              <w:br/>
              <w:t xml:space="preserve">1、网络教学系统</w:t>
            </w:r>
            <w:r>
              <w:rPr>
                <w:rFonts w:hint="eastAsia" w:cs="宋体" w:asciiTheme="minorEastAsia" w:hAnsiTheme="minorEastAsia" w:eastAsiaTheme="minorEastAsia"/>
                <w:sz w:val="20"/>
                <w:szCs w:val="20"/>
                <w:lang w:bidi="ar"/>
              </w:rPr>
              <w:br/>
              <w:t xml:space="preserve">显微网络教学系统包课堂管理系统是应用于日常课堂教学的重要组成部分，满足各学科的教学需求，采用网络传输数据，教师与学生进行灵活高效地课堂教学，轻松展示多媒体化的教学内容，提供多种师生互动方式，及时深入地了解学生学习情况，实现个性化教学。</w:t>
            </w:r>
            <w:r>
              <w:rPr>
                <w:rFonts w:hint="eastAsia" w:cs="宋体" w:asciiTheme="minorEastAsia" w:hAnsiTheme="minorEastAsia" w:eastAsiaTheme="minorEastAsia"/>
                <w:sz w:val="20"/>
                <w:szCs w:val="20"/>
                <w:lang w:bidi="ar"/>
              </w:rPr>
              <w:br/>
              <w:t xml:space="preserve">2、教师备课功能</w:t>
            </w:r>
            <w:r>
              <w:rPr>
                <w:rFonts w:hint="eastAsia" w:cs="宋体" w:asciiTheme="minorEastAsia" w:hAnsiTheme="minorEastAsia" w:eastAsiaTheme="minorEastAsia"/>
                <w:sz w:val="20"/>
                <w:szCs w:val="20"/>
                <w:lang w:bidi="ar"/>
              </w:rPr>
              <w:br/>
              <w:t xml:space="preserve">教师安装显微网络教学系统的教师端软件后，即可在家中或办公室备课、编辑试卷，为学生准备各类教学资源。所制作的试卷或录制的视频资料只需拷贝到学校网络教室的教师主机上，即可直接使用。</w:t>
            </w:r>
            <w:r>
              <w:rPr>
                <w:rFonts w:hint="eastAsia" w:cs="宋体" w:asciiTheme="minorEastAsia" w:hAnsiTheme="minorEastAsia" w:eastAsiaTheme="minorEastAsia"/>
                <w:sz w:val="20"/>
                <w:szCs w:val="20"/>
                <w:lang w:bidi="ar"/>
              </w:rPr>
              <w:br/>
              <w:t xml:space="preserve">录制屏幕操作：利用显微网络教学系统的“屏幕录制”功能可以将重要的教学操作过程或展示内容以ASF等常用视频格式录制下来，既能在课堂上广播给学生，又可上传到相关网站，供学生点播自学。</w:t>
            </w:r>
            <w:r>
              <w:rPr>
                <w:rFonts w:hint="eastAsia" w:cs="宋体" w:asciiTheme="minorEastAsia" w:hAnsiTheme="minorEastAsia" w:eastAsiaTheme="minorEastAsia"/>
                <w:sz w:val="20"/>
                <w:szCs w:val="20"/>
                <w:lang w:bidi="ar"/>
              </w:rPr>
              <w:br/>
              <w:t xml:space="preserve">创建标准化试卷：通过显微网络教学系统的“试卷编辑”功能，可预先创建、编辑试题，便于随堂测验或阶段考试；试卷内容支持单选、多选、判断、论述等多种题型。</w:t>
            </w:r>
            <w:r>
              <w:rPr>
                <w:rFonts w:hint="eastAsia" w:cs="宋体" w:asciiTheme="minorEastAsia" w:hAnsiTheme="minorEastAsia" w:eastAsiaTheme="minorEastAsia"/>
                <w:sz w:val="20"/>
                <w:szCs w:val="20"/>
                <w:lang w:bidi="ar"/>
              </w:rPr>
              <w:br/>
              <w:t xml:space="preserve">3、教学内容展示功能</w:t>
            </w:r>
            <w:r>
              <w:rPr>
                <w:rFonts w:hint="eastAsia" w:cs="宋体" w:asciiTheme="minorEastAsia" w:hAnsiTheme="minorEastAsia" w:eastAsiaTheme="minorEastAsia"/>
                <w:sz w:val="20"/>
                <w:szCs w:val="20"/>
                <w:lang w:bidi="ar"/>
              </w:rPr>
              <w:br/>
              <w:t xml:space="preserve">显微网络教学系统课堂管理系统拥有屏幕广播、网络影院、视频直播等广播功能，同时具有学生演示功能，便于教师快速广播指定学生的演示操作，极大方便了各种媒体形式教学内容的展示。</w:t>
            </w:r>
            <w:r>
              <w:rPr>
                <w:rFonts w:hint="eastAsia" w:cs="宋体" w:asciiTheme="minorEastAsia" w:hAnsiTheme="minorEastAsia" w:eastAsiaTheme="minorEastAsia"/>
                <w:sz w:val="20"/>
                <w:szCs w:val="20"/>
                <w:lang w:bidi="ar"/>
              </w:rPr>
              <w:br/>
              <w:t xml:space="preserve">共享白板：教师通过导入图片、文档或桌面创建白板，将白板内容共享给学生，学生和教师可以共享在白板上完成学习任务或绘画作品，提高学生团队合作的兴趣。</w:t>
            </w:r>
            <w:r>
              <w:rPr>
                <w:rFonts w:hint="eastAsia" w:cs="宋体" w:asciiTheme="minorEastAsia" w:hAnsiTheme="minorEastAsia" w:eastAsiaTheme="minorEastAsia"/>
                <w:sz w:val="20"/>
                <w:szCs w:val="20"/>
                <w:lang w:bidi="ar"/>
              </w:rPr>
              <w:br/>
              <w:t xml:space="preserve">教师也可以允许学生自己独立完成学习任务，教师可以在教师机上监</w:t>
            </w:r>
            <w:r>
              <w:rPr>
                <w:rFonts w:hint="eastAsia" w:cs="宋体" w:asciiTheme="minorEastAsia" w:hAnsiTheme="minorEastAsia" w:eastAsiaTheme="minorEastAsia"/>
                <w:sz w:val="20"/>
                <w:szCs w:val="20"/>
                <w:lang w:bidi="ar"/>
              </w:rPr>
              <w:t xml:space="preserve">看学生的完成情况。</w:t>
            </w:r>
            <w:r>
              <w:rPr>
                <w:rFonts w:hint="eastAsia" w:cs="宋体" w:asciiTheme="minorEastAsia" w:hAnsiTheme="minorEastAsia" w:eastAsiaTheme="minorEastAsia"/>
                <w:sz w:val="20"/>
                <w:szCs w:val="20"/>
                <w:lang w:bidi="ar"/>
              </w:rPr>
              <w:br/>
              <w:t xml:space="preserve">屏幕广播：教师通过“屏幕广播”，可将演示文稿、word等各种形式的教学内容广播给学生，并能够流畅无延时地广播Direct3D 、DirectDraw、OpenGL、游戏、全屏电影等；讲授过程中，教师可调用屏幕笔，让学生清晰完整地看到整个解题过程。</w:t>
            </w:r>
            <w:r>
              <w:rPr>
                <w:rFonts w:hint="eastAsia" w:cs="宋体" w:asciiTheme="minorEastAsia" w:hAnsiTheme="minorEastAsia" w:eastAsiaTheme="minorEastAsia"/>
                <w:sz w:val="20"/>
                <w:szCs w:val="20"/>
                <w:lang w:bidi="ar"/>
              </w:rPr>
              <w:br/>
              <w:t xml:space="preserve">网络影院：教师通过网络影院，可将WMV、ASF等主流格式视频以流媒体方式无延迟地播放给学生，并自动记忆播放位置，便于下次继续播放，提高了音视频资源在教学中的应用质量。</w:t>
            </w:r>
            <w:r>
              <w:rPr>
                <w:rFonts w:hint="eastAsia" w:cs="宋体" w:asciiTheme="minorEastAsia" w:hAnsiTheme="minorEastAsia" w:eastAsiaTheme="minorEastAsia"/>
                <w:sz w:val="20"/>
                <w:szCs w:val="20"/>
                <w:lang w:bidi="ar"/>
              </w:rPr>
              <w:br/>
              <w:t xml:space="preserve">视频直播：教师通过“视频直播”，可将外接VCD、DVD、录像机、摄像机的音视频信号广播给学生，拓展了教师可利用的教学资源，最大程度地丰富课堂教学内容。</w:t>
            </w:r>
            <w:r>
              <w:rPr>
                <w:rFonts w:hint="eastAsia" w:cs="宋体" w:asciiTheme="minorEastAsia" w:hAnsiTheme="minorEastAsia" w:eastAsiaTheme="minorEastAsia"/>
                <w:sz w:val="20"/>
                <w:szCs w:val="20"/>
                <w:lang w:bidi="ar"/>
              </w:rPr>
              <w:br/>
              <w:t xml:space="preserve">学生演示：教师通过“学生演示”功能可调用任何一个学生机屏幕，并广播到其他学生机上，方便教师及时发现学生中的典型个案、开展示范教学，促进学生间智慧共享，激发学习动力，提升教学效果。</w:t>
            </w:r>
            <w:r>
              <w:rPr>
                <w:rFonts w:hint="eastAsia" w:cs="宋体" w:asciiTheme="minorEastAsia" w:hAnsiTheme="minorEastAsia" w:eastAsiaTheme="minorEastAsia"/>
                <w:sz w:val="20"/>
                <w:szCs w:val="20"/>
                <w:lang w:bidi="ar"/>
              </w:rPr>
              <w:br/>
              <w:t xml:space="preserve">4、教学组织与师生互动功能</w:t>
            </w:r>
            <w:r>
              <w:rPr>
                <w:rFonts w:hint="eastAsia" w:cs="宋体" w:asciiTheme="minorEastAsia" w:hAnsiTheme="minorEastAsia" w:eastAsiaTheme="minorEastAsia"/>
                <w:sz w:val="20"/>
                <w:szCs w:val="20"/>
                <w:lang w:bidi="ar"/>
              </w:rPr>
              <w:br/>
              <w:t xml:space="preserve">  显微网络教学系统课堂管理系统为网络教学提供了多样化的师生交互动能。</w:t>
            </w:r>
            <w:r>
              <w:rPr>
                <w:rFonts w:hint="eastAsia" w:cs="宋体" w:asciiTheme="minorEastAsia" w:hAnsiTheme="minorEastAsia" w:eastAsiaTheme="minorEastAsia"/>
                <w:sz w:val="20"/>
                <w:szCs w:val="20"/>
                <w:lang w:bidi="ar"/>
              </w:rPr>
              <w:br/>
              <w:t xml:space="preserve">一对一交互：学生机通过“举手”功能可以向教师求助；教师也可以通过“屏幕监控”发现学生的学习困难，并可用语音、文字、演示操作等方式进行个性化指导。</w:t>
            </w:r>
            <w:r>
              <w:rPr>
                <w:rFonts w:hint="eastAsia" w:cs="宋体" w:asciiTheme="minorEastAsia" w:hAnsiTheme="minorEastAsia" w:eastAsiaTheme="minorEastAsia"/>
                <w:sz w:val="20"/>
                <w:szCs w:val="20"/>
                <w:lang w:bidi="ar"/>
              </w:rPr>
              <w:br/>
              <w:t xml:space="preserve">抢答和竞赛：教师可快速发布抢答任务，学生通过抢答按钮回答，通过答对升级的策略激励学生主动参与。教师可设置抢答时间。</w:t>
            </w:r>
            <w:r>
              <w:rPr>
                <w:rFonts w:hint="eastAsia" w:cs="宋体" w:asciiTheme="minorEastAsia" w:hAnsiTheme="minorEastAsia" w:eastAsiaTheme="minorEastAsia"/>
                <w:sz w:val="20"/>
                <w:szCs w:val="20"/>
                <w:lang w:bidi="ar"/>
              </w:rPr>
              <w:br/>
              <w:t xml:space="preserve">学生通过分组抢答形成竞赛模式，竞赛支持组内排名，大队的题目越多获得的奖励越高。</w:t>
            </w:r>
            <w:r>
              <w:rPr>
                <w:rFonts w:hint="eastAsia" w:cs="宋体" w:asciiTheme="minorEastAsia" w:hAnsiTheme="minorEastAsia" w:eastAsiaTheme="minorEastAsia"/>
                <w:sz w:val="20"/>
                <w:szCs w:val="20"/>
                <w:lang w:bidi="ar"/>
              </w:rPr>
              <w:br/>
              <w:t xml:space="preserve">分组教学：教师通过“分组功能”可创建多个小组，并指定组长。各小组内部、小组之间可进行团队学习。小组讨论可通过分组形式或不同主题形式进行分类讨论，组内可通过语音、文字、图片、手写输入等方式进行自由研讨。</w:t>
            </w:r>
            <w:r>
              <w:rPr>
                <w:rFonts w:hint="eastAsia" w:cs="宋体" w:asciiTheme="minorEastAsia" w:hAnsiTheme="minorEastAsia" w:eastAsiaTheme="minorEastAsia"/>
                <w:sz w:val="20"/>
                <w:szCs w:val="20"/>
                <w:lang w:bidi="ar"/>
              </w:rPr>
              <w:br/>
              <w:t xml:space="preserve">收作业：教师点击“文件收集”，即可从部分或全体学生机上强制收取各种格式作业，并可以方便地通过文件收集的日志查看收集到的作业情况，无需每个学生单独提交作业。</w:t>
            </w:r>
            <w:r>
              <w:rPr>
                <w:rFonts w:hint="eastAsia" w:cs="宋体" w:asciiTheme="minorEastAsia" w:hAnsiTheme="minorEastAsia" w:eastAsiaTheme="minorEastAsia"/>
                <w:sz w:val="20"/>
                <w:szCs w:val="20"/>
                <w:lang w:bidi="ar"/>
              </w:rPr>
              <w:br/>
              <w:t xml:space="preserve">分发文件：教师点击“文件分发”，以更人性化的“拖拽”方式将教师机相关文件分发给学生，并可以分发不同目录下的文件或分发目录。“文件分发”便于教师快速发放作业、资料等，节省课堂时间，进一步提高课堂效率。</w:t>
            </w:r>
            <w:r>
              <w:rPr>
                <w:rFonts w:hint="eastAsia" w:cs="宋体" w:asciiTheme="minorEastAsia" w:hAnsiTheme="minorEastAsia" w:eastAsiaTheme="minorEastAsia"/>
                <w:sz w:val="20"/>
                <w:szCs w:val="20"/>
                <w:lang w:bidi="ar"/>
              </w:rPr>
              <w:br/>
              <w:t xml:space="preserve">交作业：学生通过“作业提交”功能，可主动将作业提交到教师机中的指定文件夹下，便于作业管理，节省收取作业的时间。</w:t>
            </w:r>
            <w:r>
              <w:rPr>
                <w:rFonts w:hint="eastAsia" w:cs="宋体" w:asciiTheme="minorEastAsia" w:hAnsiTheme="minorEastAsia" w:eastAsiaTheme="minorEastAsia"/>
                <w:sz w:val="20"/>
                <w:szCs w:val="20"/>
                <w:lang w:bidi="ar"/>
              </w:rPr>
              <w:br/>
              <w:t xml:space="preserve">5、教学管理功能</w:t>
            </w:r>
            <w:r>
              <w:rPr>
                <w:rFonts w:hint="eastAsia" w:cs="宋体" w:asciiTheme="minorEastAsia" w:hAnsiTheme="minorEastAsia" w:eastAsiaTheme="minorEastAsia"/>
                <w:sz w:val="20"/>
                <w:szCs w:val="20"/>
                <w:lang w:bidi="ar"/>
              </w:rPr>
              <w:br/>
              <w:t xml:space="preserve">（1）班级管理与分组管理</w:t>
            </w:r>
            <w:r>
              <w:rPr>
                <w:rFonts w:hint="eastAsia" w:cs="宋体" w:asciiTheme="minorEastAsia" w:hAnsiTheme="minorEastAsia" w:eastAsiaTheme="minorEastAsia"/>
                <w:sz w:val="20"/>
                <w:szCs w:val="20"/>
                <w:lang w:bidi="ar"/>
              </w:rPr>
              <w:br/>
              <w:t xml:space="preserve">班级模型：可在同一个网络教室系统中对不同上课班级进行管理，提供缩图示、图标、详细排列三种方式显示所管理的班级，方便教师操作。</w:t>
            </w:r>
            <w:r>
              <w:rPr>
                <w:rFonts w:hint="eastAsia" w:cs="宋体" w:asciiTheme="minorEastAsia" w:hAnsiTheme="minorEastAsia" w:eastAsiaTheme="minorEastAsia"/>
                <w:sz w:val="20"/>
                <w:szCs w:val="20"/>
                <w:lang w:bidi="ar"/>
              </w:rPr>
              <w:br/>
              <w:t xml:space="preserve">分组管理：教师可在同一个班级中新建、删除、保存、重命名不同小组，添加、删除小组成员，并可将分组信息与班级模型匹配并永久保存，下次上课可直接调用。</w:t>
            </w:r>
            <w:r>
              <w:rPr>
                <w:rFonts w:hint="eastAsia" w:cs="宋体" w:asciiTheme="minorEastAsia" w:hAnsiTheme="minorEastAsia" w:eastAsiaTheme="minorEastAsia"/>
                <w:sz w:val="20"/>
                <w:szCs w:val="20"/>
                <w:lang w:bidi="ar"/>
              </w:rPr>
              <w:br/>
              <w:t xml:space="preserve">（2）学生机的远程管理</w:t>
            </w:r>
            <w:r>
              <w:rPr>
                <w:rFonts w:hint="eastAsia" w:cs="宋体" w:asciiTheme="minorEastAsia" w:hAnsiTheme="minorEastAsia" w:eastAsiaTheme="minorEastAsia"/>
                <w:sz w:val="20"/>
                <w:szCs w:val="20"/>
                <w:lang w:bidi="ar"/>
              </w:rPr>
              <w:br/>
              <w:t xml:space="preserve">显微网络教学系统提供了远程控制、远程命令等多种强大的学生机远程管理功能，方便教师对网络课堂教学进行高效、有序控制。</w:t>
            </w:r>
            <w:r>
              <w:rPr>
                <w:rFonts w:hint="eastAsia" w:cs="宋体" w:asciiTheme="minorEastAsia" w:hAnsiTheme="minorEastAsia" w:eastAsiaTheme="minorEastAsia"/>
                <w:sz w:val="20"/>
                <w:szCs w:val="20"/>
                <w:lang w:bidi="ar"/>
              </w:rPr>
              <w:br/>
              <w:t xml:space="preserve">远程监控：通过“监控转播”功能，在不影响学生操作的情况下，即可远程监看学生机屏幕。教师可设定显示的学生屏幕数、切换时间及是否显示警告信息等，并可保存学生机屏幕画面截图。</w:t>
            </w:r>
            <w:r>
              <w:rPr>
                <w:rFonts w:hint="eastAsia" w:cs="宋体" w:asciiTheme="minorEastAsia" w:hAnsiTheme="minorEastAsia" w:eastAsiaTheme="minorEastAsia"/>
                <w:sz w:val="20"/>
                <w:szCs w:val="20"/>
                <w:lang w:bidi="ar"/>
              </w:rPr>
              <w:br/>
              <w:t xml:space="preserve">远程命令：教师通过一系列远程命令，可远程控制学生机的开机、关机、重启及应用程序的启动与关闭等。</w:t>
            </w:r>
            <w:r>
              <w:rPr>
                <w:rFonts w:hint="eastAsia" w:cs="宋体" w:asciiTheme="minorEastAsia" w:hAnsiTheme="minorEastAsia" w:eastAsiaTheme="minorEastAsia"/>
                <w:sz w:val="20"/>
                <w:szCs w:val="20"/>
                <w:lang w:bidi="ar"/>
              </w:rPr>
              <w:br/>
              <w:t xml:space="preserve">远程设置：通过“远程设置”功能，教师可对学生机的桌面主题、背景、屏保、音量、卸载密码、进程保护、断线锁屏、热键退出等进行</w:t>
            </w:r>
            <w:r>
              <w:rPr>
                <w:rFonts w:hint="eastAsia" w:cs="宋体" w:asciiTheme="minorEastAsia" w:hAnsiTheme="minorEastAsia" w:eastAsiaTheme="minorEastAsia"/>
                <w:sz w:val="20"/>
                <w:szCs w:val="20"/>
                <w:lang w:bidi="ar"/>
              </w:rPr>
              <w:t xml:space="preserve">统一设置。</w:t>
            </w:r>
            <w:r>
              <w:rPr>
                <w:rFonts w:hint="eastAsia" w:cs="宋体" w:asciiTheme="minorEastAsia" w:hAnsiTheme="minorEastAsia" w:eastAsiaTheme="minorEastAsia"/>
                <w:sz w:val="20"/>
                <w:szCs w:val="20"/>
                <w:lang w:bidi="ar"/>
              </w:rPr>
              <w:br/>
              <w:t xml:space="preserve">学生限制：通过“学生限制”的系列设定，教师可对学生机的U盘使用、网页浏览、程序运行、打印、发言等进行限制设定。其中网页浏览限制支持多浏览器，IE、谷歌、360、火狐等浏览器网页都可被限制。</w:t>
            </w:r>
            <w:r>
              <w:rPr>
                <w:rFonts w:hint="eastAsia" w:cs="宋体" w:asciiTheme="minorEastAsia" w:hAnsiTheme="minorEastAsia" w:eastAsiaTheme="minorEastAsia"/>
                <w:sz w:val="20"/>
                <w:szCs w:val="20"/>
                <w:lang w:bidi="ar"/>
              </w:rPr>
              <w:br/>
              <w:t xml:space="preserve">黑屏警告：当学生上课开小差或扰乱课堂秩序时，可通过“黑屏”功能将学生机变成黑屏，提醒其集中注意力。</w:t>
            </w:r>
            <w:r>
              <w:rPr>
                <w:rFonts w:hint="eastAsia" w:cs="宋体" w:asciiTheme="minorEastAsia" w:hAnsiTheme="minorEastAsia" w:eastAsiaTheme="minorEastAsia"/>
                <w:sz w:val="20"/>
                <w:szCs w:val="20"/>
                <w:lang w:bidi="ar"/>
              </w:rPr>
              <w:br/>
              <w:t xml:space="preserve">断线锁屏：上课时，如果学生试图断开网络连接、逃避教师监控，系统会自动锁定学生机键盘、鼠标和屏幕。</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75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无线智能AP</w:t>
            </w:r>
            <w:r/>
          </w:p>
        </w:tc>
        <w:tc>
          <w:tcPr>
            <w:tcBorders>
              <w:top w:val="single" w:color="000000" w:sz="4" w:space="0"/>
              <w:left w:val="single" w:color="000000" w:sz="4" w:space="0"/>
              <w:bottom w:val="single" w:color="000000" w:sz="4" w:space="0"/>
              <w:right w:val="single" w:color="000000" w:sz="4" w:space="0"/>
            </w:tcBorders>
            <w:tcW w:w="318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1.工作频段：支持2.4G和5G。（2.4G、3G和5G）。</w:t>
            </w:r>
            <w:r>
              <w:rPr>
                <w:rFonts w:hint="eastAsia" w:cs="宋体" w:asciiTheme="minorEastAsia" w:hAnsiTheme="minorEastAsia" w:eastAsiaTheme="minorEastAsia"/>
                <w:sz w:val="20"/>
                <w:szCs w:val="20"/>
                <w:lang w:bidi="ar"/>
              </w:rPr>
              <w:br/>
              <w:t xml:space="preserve">2.支持协议：必须支持 802.11 a/b/g/n/ac多种协议模式。</w:t>
            </w:r>
            <w:r>
              <w:rPr>
                <w:rFonts w:hint="eastAsia" w:cs="宋体" w:asciiTheme="minorEastAsia" w:hAnsiTheme="minorEastAsia" w:eastAsiaTheme="minorEastAsia"/>
                <w:sz w:val="20"/>
                <w:szCs w:val="20"/>
                <w:lang w:bidi="ar"/>
              </w:rPr>
              <w:br/>
              <w:t xml:space="preserve">3.无线射频链：射频空间流不低于MIMO 4*4。</w:t>
            </w:r>
            <w:r>
              <w:rPr>
                <w:rFonts w:hint="eastAsia" w:cs="宋体" w:asciiTheme="minorEastAsia" w:hAnsiTheme="minorEastAsia" w:eastAsiaTheme="minorEastAsia"/>
                <w:sz w:val="20"/>
                <w:szCs w:val="20"/>
                <w:lang w:bidi="ar"/>
              </w:rPr>
              <w:br/>
              <w:t xml:space="preserve">4.最大工作速率：工作在11ac 80Mhz频宽时，传输速率最高可达到1300Mbps。</w:t>
            </w:r>
            <w:r>
              <w:rPr>
                <w:rFonts w:hint="eastAsia" w:cs="宋体" w:asciiTheme="minorEastAsia" w:hAnsiTheme="minorEastAsia" w:eastAsiaTheme="minorEastAsia"/>
                <w:sz w:val="20"/>
                <w:szCs w:val="20"/>
                <w:lang w:bidi="ar"/>
              </w:rPr>
              <w:br/>
              <w:t xml:space="preserve">5.功率要求：整机功率低于15W，发射功率，在2.4GHz模式下，最大可达20dBm，5GHz模式下，最大可达23dBm；发射功能可根据环境进行调整，调整粒度为1dBm。</w:t>
            </w:r>
            <w:r>
              <w:rPr>
                <w:rFonts w:hint="eastAsia" w:cs="宋体" w:asciiTheme="minorEastAsia" w:hAnsiTheme="minorEastAsia" w:eastAsiaTheme="minorEastAsia"/>
                <w:sz w:val="20"/>
                <w:szCs w:val="20"/>
                <w:lang w:bidi="ar"/>
              </w:rPr>
              <w:br/>
              <w:t xml:space="preserve">6.承载用户数：单AP最大可同时承载63个用户并发访问。</w:t>
            </w:r>
            <w:r>
              <w:rPr>
                <w:rFonts w:hint="eastAsia" w:cs="宋体" w:asciiTheme="minorEastAsia" w:hAnsiTheme="minorEastAsia" w:eastAsiaTheme="minorEastAsia"/>
                <w:sz w:val="20"/>
                <w:szCs w:val="20"/>
                <w:lang w:bidi="ar"/>
              </w:rPr>
              <w:br/>
              <w:t xml:space="preserve">7.AP工作模式：能够支持胖AP模式，且在胖AP模式下，支持DHCP Server功能，能够给连线的终端自动分配IP地址。</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bl>
    <w:p>
      <w:pPr>
        <w:ind w:firstLine="482"/>
        <w:spacing w:line="56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注：以上表中某一参数为固定值，均指该项参数的最低要求，投标人可选择优于或等于最低要求的产品进行响应。其中★代表实质性指标（含政府采购强制采购的节能产品,需提供经国家确定的认证机构出具的处于有效期内的节能产品认证证书），未提供证书或不满足该指标项将导致投标无效。▲代表重要性指标，未提供相应检测报告或证明材料的，将扣减分数。如提供了相关点位图和平面布置图，仅供投标人参考。具体以投标人实地考察后，依据现场实际情况自行合理设计。</w:t>
      </w:r>
      <w:r/>
    </w:p>
    <w:p>
      <w:pPr>
        <w:ind w:firstLine="482"/>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
          <w:bCs/>
          <w:sz w:val="24"/>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bCs/>
          <w:sz w:val="24"/>
        </w:rPr>
        <w:t xml:space="preserve">其内容包含</w:t>
      </w:r>
      <w:r>
        <w:rPr>
          <w:rFonts w:cs="宋体" w:asciiTheme="minorEastAsia" w:hAnsiTheme="minorEastAsia" w:eastAsiaTheme="minorEastAsia"/>
          <w:bCs/>
          <w:sz w:val="24"/>
        </w:rPr>
        <w:t xml:space="preserve">但不限于</w:t>
      </w:r>
      <w:r>
        <w:rPr>
          <w:rFonts w:hint="eastAsia" w:cs="宋体" w:asciiTheme="minorEastAsia" w:hAnsiTheme="minorEastAsia" w:eastAsiaTheme="minorEastAsia"/>
          <w:bCs/>
          <w:sz w:val="24"/>
        </w:rPr>
        <w:t xml:space="preserve">以下</w:t>
      </w:r>
      <w:r>
        <w:rPr>
          <w:rFonts w:cs="宋体" w:asciiTheme="minorEastAsia" w:hAnsiTheme="minorEastAsia" w:eastAsiaTheme="minorEastAsia"/>
          <w:bCs/>
          <w:sz w:val="24"/>
        </w:rPr>
        <w:t xml:space="preserve">内容：</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1.采购标的需实现的功能或者目标，以及为落实政府采购政策需满足的要求：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1.目标定位：设施设备要满足日常教学、课程拓展等要求。实验室硬件、软件搭配要完美、准确实现教、学等相关功能。</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2.相关要求：投标人应从规格、材质、数量、技术要求、设计和制造标准等角度综合考量，提供技术先进、质量优质的全新合格产品。各设备要确保安全可靠，软件运行时要流畅、准确；数据</w:t>
      </w:r>
      <w:r>
        <w:rPr>
          <w:rFonts w:hint="eastAsia" w:cs="宋体" w:asciiTheme="minorEastAsia" w:hAnsiTheme="minorEastAsia" w:eastAsiaTheme="minorEastAsia"/>
          <w:sz w:val="24"/>
        </w:rPr>
        <w:t xml:space="preserve">存储、调用安全可靠；确保软硬件配套实施功能的一致性。</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2.采购标的需执行的国家相关标准、行业标准、地方标准或者其他标准、规范：</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1.投标产品的技术标准按相关国家标准执行，无国家标准的，按行业标准等执行；在文件中有特别要求的，按文件中规定的要求执行，并且符合相关法律、法规规定的要求。 </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2.项目提供的技术要求(规格)只是对产品的一些原则性要求，并不是最详尽的描述和要求，投标人有责任依据相关设计技术规范和有关行业国家标准执行。 </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3.投标人应保证提供的产品不侵犯任何第三人的知识产权等权利。否则，应负全部责任，并承担由此引起的一切后果。</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3.采购标的需满足的质量、安全、技术规格、物理特性及各实验室功能等要求：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3.1江苏省镇江中学各室功能描述：</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（1）化学上通风实验室</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为完成高中化学学科实验教学、课标实验操作、探究学习、培养科学素养等提供场所。</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实验室可容纳56名学生，分为28组进行实验；顶部通过吊装提供通风到桌；给排水、电（含网络接口）管线接至到桌；具备多媒体教学功能、录播功能；采用健康照明、无感扩声。</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教室前端为教学核心区域，给排水、电（含网络接口）到桌；通过吊装提供通风到桌；具备可便捷操作一体机、视频展台、录播、灯光等设备；可集中分组控制学生端电源、通风的通断。</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实验废水汇至废水处理设备，经处理后排放；通风设备将实验废气抽至活性炭废气处理装置，经处理后排放。</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（2）化学准备室</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提供仪器存储与教学用具展示的空间、普通药品分类存储空间；提供实验器材与药品的准备、器材维护保养所需的空间；给排水、电（含网络接口）接至准备台；满足实验室、操作柜通风要求。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（3）化学仪器室</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提供仪器存储与教学用具展示的空间。</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（4）化学药品室（危化品室）</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提供危化品的分类存储、普通药品分类存储与教学用具展示的空间；通风系统到柜；各项设备符合中小学实验室危化品管理相关存储要求。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废水处理设备将化学实验室、准备室的实验废水集中处理后排放。</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（5）物理力学实验室</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为完成高中物理学科实验教学、课标实验操作、探究学习、培养科学素养等提供场所。</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实验室可容纳56名学生，分为28组进行实验；顶部通过吊装提供学生端供电（含网络接口）到桌；具备多媒体教学功能、录播功能；采用健康照明、无感扩声。</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教室前端为教学核心区域，给排水、电（含网络接口）管线连接到桌；具备可便捷操作一体机、视频展台、录播、灯光等设备；可集中分组控制学生端电源通断、电压值。</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（6）物理电学实验室</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为完成高中物理学科实验教学、课标实验操作、探究学习、培养科学素养等提供场所。</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实验室可容纳56名学生，分为28组进行实验；电（含网络接口）连接到桌；具备多媒体教学功能、录播功能；采用健康照明、无感扩声。</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教室前端为教学核心区域，给排水、电（含网络接口）管线连接到桌；具备可便捷操作一体机、视频展台、录播、灯光等设备；可集中分组控制学生端电源通断、电压值。</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（7）物理探究实验室（部分利旧）</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为完成高中物理学科实验教学、课标实验操作、探究学习、培养科学素养等提供场所。</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实验室可容纳56名学生，分为28组进行实验；具备多媒体教学功能。</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教室前端为教学核心区域，给排水、电（含网络接口）管线连接到桌；具备可便捷操作一体机、视频展台等设备。</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（8）物理准备室</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提供仪器存储与展示的空间；提供实验器材与药品的准备、器材维护保养所需的空间，给排水、电（含网络接口）管线连接到准备台。</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（9）物理仪器室</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提供仪器存储与教学用具展示的空间。</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（10）生物创新实验室</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为完成高中生物学科实验教学、课标实验操作、探究学习、培养科学素养等提供场所。。</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实验室可容纳56名学生，分为28组进行实验；给排水、电（含网络接口）、辅助光源管线连</w:t>
      </w:r>
      <w:r>
        <w:rPr>
          <w:rFonts w:hint="eastAsia" w:cs="宋体" w:asciiTheme="minorEastAsia" w:hAnsiTheme="minorEastAsia" w:eastAsiaTheme="minorEastAsia"/>
          <w:sz w:val="24"/>
        </w:rPr>
        <w:t xml:space="preserve">接到桌；具备多媒体教学功能、录播功能；采用健康照明、无感扩声。</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教室前端为教学核心区域，给排水、电（含网络接口）管线连接到桌；具备可便捷操作一体机、视频展台、录播、灯光等设备；可集中分组控制学生端电源通断。</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（11）生物准备室</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提供仪器、普通药品存储与教学用具展示的空间；提供实验器材与药品的准备、器材维护保养所需的空间，给排水、电（含网络接口）管线连接到准备台。</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（12）生物仪器室</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提供仪器存储与教学用具展示的空间。</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4.采购标的的数量、采购项目交付或者实施的时间和地点： </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1.采购标的的数量：详见货物清单。</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2.交付时间：自合同签订之日起</w:t>
      </w:r>
      <w:r>
        <w:rPr>
          <w:rFonts w:hint="eastAsia" w:cs="宋体" w:asciiTheme="minorEastAsia" w:hAnsiTheme="minorEastAsia" w:eastAsiaTheme="minorEastAsia"/>
          <w:sz w:val="24"/>
          <w:u w:val="single"/>
        </w:rPr>
        <w:t xml:space="preserve">  45 </w:t>
      </w:r>
      <w:r>
        <w:rPr>
          <w:rFonts w:hint="eastAsia" w:cs="宋体" w:asciiTheme="minorEastAsia" w:hAnsiTheme="minorEastAsia" w:eastAsiaTheme="minorEastAsia"/>
          <w:sz w:val="24"/>
        </w:rPr>
        <w:t xml:space="preserve">日内。</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3.交付地点：江苏省镇江中学。</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5.采购标的需满足的服务标准、期限、效率等要求： </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1.时限要求：自合同签订之日起</w:t>
      </w:r>
      <w:r>
        <w:rPr>
          <w:rFonts w:hint="eastAsia" w:cs="宋体" w:asciiTheme="minorEastAsia" w:hAnsiTheme="minorEastAsia" w:eastAsiaTheme="minorEastAsia"/>
          <w:bCs/>
          <w:sz w:val="24"/>
          <w:u w:val="single"/>
        </w:rPr>
        <w:t xml:space="preserve">  45  </w:t>
      </w:r>
      <w:r>
        <w:rPr>
          <w:rFonts w:hint="eastAsia" w:cs="宋体" w:asciiTheme="minorEastAsia" w:hAnsiTheme="minorEastAsia" w:eastAsiaTheme="minorEastAsia"/>
          <w:bCs/>
          <w:sz w:val="24"/>
        </w:rPr>
        <w:t xml:space="preserve">日内，完成本项目实施。每逾期1天，扣除合同总额的1‰。因招标人原因造成的逾期除外。</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2.质保要求：本项目整体免费质保3年（自交货并总验收合格之日起计），3年内软件免费升级且保持版本最新，硬件免费更换或维修。签订合同后，必须提供产品原生产厂商针对本项目的三年原厂质保函原件，加盖生产厂商公章。</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3.售后要求：在免费质保期内，招标人或设备使用学校，发出故障通知后，应当在1小时以内响应，24小时内解决，不能在24小时内解决的，应提供备件支持。在质保期内，同一商品、同一质量问题连续两次维修仍无法正常使用，必须无条件给予全套更新。质保期外，应提供免费维护和技术支持，维修只收材料成本费。签订合同后，提供针对本项目的售后服务承诺函原件。</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4.确认要求：</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4.1本项目实验室设施设备布局、可选设施设备颜色、环境提升效果等在供货、施工前须与使用学校确认，同意后方可供货、施工。</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4.2供应商应保证设备的整体安装效果，保证整套设备系统安装、调试、集成完成后的良好运</w:t>
      </w:r>
      <w:r>
        <w:rPr>
          <w:rFonts w:hint="eastAsia" w:cs="宋体" w:asciiTheme="minorEastAsia" w:hAnsiTheme="minorEastAsia" w:eastAsiaTheme="minorEastAsia"/>
          <w:bCs/>
          <w:sz w:val="24"/>
        </w:rPr>
        <w:t xml:space="preserve">行状态。</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5.施工部分实施要求：</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5.1主要包含旧实验室原有墙地面、吊顶部分拆除、出新；新增轻钢龙骨石膏板隔墙；地上和地下的水、电、网络等管线的布置；灯具的安装；垃圾清运等内容。</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5.2施工要求：要及时做好施工围挡、材料搬运、施工过程中垃圾清理与卫生清洁、零星修补、成品保护、建筑垃圾外运、精保洁等。施工过程中要不影响学校师生正常工作学习。</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bCs/>
          <w:sz w:val="24"/>
        </w:rPr>
        <w:t xml:space="preserve">5.3安装要求：项目整体安装要符合规范、安全可靠。由学校提供的利旧设施设备，安装时所需耗材及调试安装费用由中标人承担。</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6.采购标的的其他技术、服务等要求：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6.1安装要求：安装工作必须由专业人员进行施工，安装施工须符合规范。</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6.2安全责任要求：要采取安全措施，加强施工安全管理，严格执行操作规程。项目在运输、安装、调试、运维等过程中一切安全责任由中标人承担。施工人员必须有意外伤害险，以保证项目施工的平安、顺畅，按期完工。因项目施工产生的施工人员和学校师生人身安全问题由中标人承担全部责任。由于施工现场为学校，施工期间不得影响学校师生日常工作与学习。签订合同后，提供针对本项目的安全责任承诺书，施工前，需与相关学校签订安全责任书。</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6.3培训要求：要提供免费培训服务，包含但不限于设备软件使用服务、课程培训服务等。在项目验收前，使用服务应面向学校相关人员至少提供1次现场培训，同时提供主要设备、软件的操作视频。</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6.4勘察要求：本项目施工场所为旧实验室或旧功能室，项目实施包含实验室内外环境改造，采购人将组织统一现场勘察，投标人中标后不得以不了解现场为由提出增加费用的要求。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6.6报价要求：投标人投标报价应包括本项目涉及的所有货物、辅材及运输、装卸、安装（含利旧安装）、调试、人工、质保、培训，环境改造、垃圾清运等全部费用。无论本招标文件是否以文字形式规定，投标人应具备足够的专业知识和能力判定本项目所需的一切费用（含为复刻所投效果图及各种未预见费用），中标人不得提出任何增加费用的要求，不得降低产品及安装施工质量。各投标人在报价时请充分考虑各种因素。</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6.7包装要求： </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6.7.1商品包装环保要求：应当按《关于印发〈商品包装政府采购需求标准（试行）〉、〈快递包装政府采购需求标准（试行）〉的通知》（财办库〔2020〕123号）文件执行。</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（1）商品包装层数不得超过 3 层，空隙率不大于 40%；</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（2）商品包装尽可能使用单一材质的包装材料，如因功能需求必需使用不同材质，不同材质间应便于分离；</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（3）商品包装中铅、汞、镉、六价铬的总含量应不大于100mg/kg；</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（4）商品包装印刷使用的油墨中挥发性有机化合物(VOCs)含量应不大于 5%（以重量计）；</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（5）塑料材质商品包装上呈现的印刷颜色不得超过6色；</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（6）纸质商品包装应使用75%以上的可再生纤维原料生产；</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（7）木质商品包装的原料应来源于可持续性森林。</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6.7.2快递包装环保要求：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（1）快递包装中重金属（铅、汞、镉、六价铬）总量应不大于 100mg/kg；</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（2）快递包装印刷使用的油墨中不应添加邻苯二甲酸酯，其挥发性有机化合物(VOCs)含量应不大于5%（以重量计）；</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（3）快递包装中使用纸基材的包装材料，纸基材中的有机氯的含量应不大于 150 mg/kg；</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（5）快递中使用的塑料包装袋不得使用聚氯乙烯作为原料，且原料应为单一材质制成，生物分解率大于60%；</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（6）快递中使用的充气类填充物不得使用聚氯乙烯作为 原料，且原料为单一材质制成，生物分解率大于60%；</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（7）快递中使用的集装袋应为单一材质制成，其重复使用次数应不小于 80 次；</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（8）快递中应使用幅宽不大于45mm 的生物降解胶带；</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（9）快递包装中不得使用溶剂型胶粘剂；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（11）快递应使用电子面单；</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（12）直接使用商品包装作为快递包装的商品，其商品包装满足《商品包装政府采购需求标准（试行）》即可；</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（13）快递包装产品质量和封装方式应符合相关国家或行业标准技术指标要求。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6.8绿色数据中心</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6.9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6.10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6.11绿色低碳管理目标和服务要求：在物业、合同能源管理等服务类采购项目需求中，要强化绿色低碳管理目标和服务要求，促进绿色产品和服务推广应用。</w:t>
      </w:r>
      <w:r/>
    </w:p>
    <w:p>
      <w:pPr>
        <w:ind w:firstLine="482"/>
        <w:spacing w:line="560" w:lineRule="exact"/>
        <w:rPr>
          <w:rFonts w:hint="eastAsia" w:cs="宋体" w:asciiTheme="minorEastAsia" w:hAnsiTheme="minorEastAsia" w:eastAsiaTheme="minorEastAsia"/>
          <w:b/>
          <w:sz w:val="24"/>
          <w:u w:val="single"/>
        </w:rPr>
      </w:pPr>
      <w:r>
        <w:rPr>
          <w:rFonts w:hint="eastAsia" w:cs="宋体" w:asciiTheme="minorEastAsia" w:hAnsiTheme="minorEastAsia" w:eastAsiaTheme="minorEastAsia"/>
          <w:b/>
          <w:sz w:val="24"/>
        </w:rPr>
        <w:t xml:space="preserve">7.非单一产品采购项目，采购标的中的核心产品：</w:t>
      </w:r>
      <w:r>
        <w:rPr>
          <w:rFonts w:hint="eastAsia" w:cs="宋体" w:asciiTheme="minorEastAsia" w:hAnsiTheme="minorEastAsia" w:eastAsiaTheme="minorEastAsia"/>
          <w:b/>
          <w:sz w:val="24"/>
          <w:u w:val="single"/>
        </w:rPr>
        <w:t xml:space="preserve">详见前附表</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8.</w:t>
      </w:r>
      <w:r>
        <w:rPr>
          <w:rFonts w:hint="eastAsia" w:cs="宋体" w:asciiTheme="minorEastAsia" w:hAnsiTheme="minorEastAsia" w:eastAsiaTheme="minorEastAsia"/>
          <w:b/>
          <w:sz w:val="24"/>
          <w:u w:val="single"/>
        </w:rPr>
        <w:t xml:space="preserve">采购需求中必须满足的实质性要求</w:t>
      </w:r>
      <w:r>
        <w:rPr>
          <w:rFonts w:hint="eastAsia" w:cs="宋体" w:asciiTheme="minorEastAsia" w:hAnsiTheme="minorEastAsia" w:eastAsiaTheme="minorEastAsia"/>
          <w:b/>
          <w:sz w:val="24"/>
        </w:rPr>
        <w:t xml:space="preserve">：</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★1。诚信承诺：投标人必须保证投标文件中方案及货物的真实性，</w:t>
      </w:r>
      <w:r>
        <w:rPr>
          <w:rFonts w:hint="eastAsia" w:cs="宋体" w:asciiTheme="minorEastAsia" w:hAnsiTheme="minorEastAsia" w:eastAsiaTheme="minorEastAsia"/>
          <w:b/>
          <w:bCs/>
          <w:sz w:val="24"/>
        </w:rPr>
        <w:t xml:space="preserve">投标时，须提供包含上述内容的承诺函（加盖投标人公章）。</w:t>
      </w:r>
      <w:r/>
    </w:p>
    <w:p>
      <w:pPr>
        <w:ind w:firstLine="480"/>
        <w:spacing w:line="56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sz w:val="24"/>
        </w:rPr>
        <w:t xml:space="preserve">★2其他支持：质保期内，按招标人实际需要，提供软件功能补充、更新，以适配本地区教育主管部门最新考试要求。</w:t>
      </w:r>
      <w:r>
        <w:rPr>
          <w:rFonts w:hint="eastAsia" w:cs="宋体" w:asciiTheme="minorEastAsia" w:hAnsiTheme="minorEastAsia" w:eastAsiaTheme="minorEastAsia"/>
          <w:b/>
          <w:bCs/>
          <w:sz w:val="24"/>
        </w:rPr>
        <w:t xml:space="preserve">投标时，须提供包含上述支持的承诺函（加盖投标人公章）。</w:t>
      </w:r>
      <w:r/>
    </w:p>
    <w:p>
      <w:pPr>
        <w:ind w:firstLine="482"/>
        <w:spacing w:line="56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★3.投标供应商须提供每种实验仪器的分类代码（符合《JY/T 0595-2019  基础教育装备分类与代码》要求），并承诺协助学校完成实验仪器分类入库入柜和在“ 中小学实验室及实验教学管理平台”中的登记入库入柜。（格式自拟）</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9.付款方式：详见合同</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10.履约保证金：</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10.1本项目免收履约保证金。</w:t>
      </w:r>
      <w:r/>
    </w:p>
    <w:p>
      <w:pPr>
        <w:jc w:val="left"/>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pStyle w:val="2476"/>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二、标段二：镇江市实验高级中学实验室改造及设备购置</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项目属性:货物类项目。</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采购需求包括拟采购的标的及其需要满足的技术、商务要求。</w:t>
      </w:r>
      <w:r/>
    </w:p>
    <w:p>
      <w:pPr>
        <w:ind w:firstLine="482"/>
        <w:spacing w:line="56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（一）技术要求是指对采购标的功能和质量要求，包括性能、材料、结构、外观、安全，或者服务内容和标准等。</w:t>
      </w:r>
      <w:r/>
    </w:p>
    <w:p>
      <w:pPr>
        <w:ind w:firstLine="482"/>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
          <w:bCs/>
          <w:sz w:val="24"/>
        </w:rPr>
        <w:t xml:space="preserve">项目概况：镇江市实验高级中学：2间物理实验室、1间物理仪器准备室、3间化学实验室、1间化学准备室、1间化学药品（危化品）室、1间生物实验室、1间生物实验准备室改造升级及仪器设备采购</w:t>
      </w:r>
      <w:r>
        <w:rPr>
          <w:rFonts w:hint="eastAsia" w:cs="宋体" w:asciiTheme="minorEastAsia" w:hAnsiTheme="minorEastAsia" w:eastAsiaTheme="minorEastAsia"/>
          <w:bCs/>
          <w:sz w:val="24"/>
        </w:rPr>
        <w:t xml:space="preserve">。具体内容包含但不限于以下</w:t>
      </w:r>
      <w:r>
        <w:rPr>
          <w:rFonts w:cs="宋体" w:asciiTheme="minorEastAsia" w:hAnsiTheme="minorEastAsia" w:eastAsiaTheme="minorEastAsia"/>
          <w:bCs/>
          <w:sz w:val="24"/>
        </w:rPr>
        <w:t xml:space="preserve">内容</w:t>
      </w:r>
      <w:r>
        <w:rPr>
          <w:rFonts w:hint="eastAsia" w:cs="宋体" w:asciiTheme="minorEastAsia" w:hAnsiTheme="minorEastAsia" w:eastAsiaTheme="minorEastAsia"/>
          <w:bCs/>
          <w:sz w:val="24"/>
        </w:rPr>
        <w:t xml:space="preserve">：对原有实验室、准备室仪器室等教室的现有地面、墙面、吊顶等内容进行出新改造；拆除垃圾清运；新增通风系统、智能吊装系统；对教室的所有电、网络布线系统、给排水系统进行铺设；各种实验仪器、集成设备的安装、调试及培训等。</w:t>
      </w:r>
      <w:r/>
    </w:p>
    <w:p>
      <w:pPr>
        <w:pStyle w:val="1133"/>
        <w:jc w:val="both"/>
        <w:rPr>
          <w:rFonts w:hint="eastAsia" w:cs="宋体" w:asciiTheme="minorEastAsia" w:hAnsiTheme="minorEastAsia"/>
          <w:sz w:val="24"/>
          <w:szCs w:val="24"/>
        </w:rPr>
      </w:pPr>
      <w:r>
        <w:rPr>
          <w:rFonts w:hint="eastAsia" w:cs="宋体" w:asciiTheme="minorEastAsia" w:hAnsiTheme="minorEastAsia"/>
          <w:sz w:val="24"/>
          <w:szCs w:val="24"/>
          <w:lang w:bidi="ar"/>
        </w:rPr>
        <w:t xml:space="preserve">（二）采购清单：</w:t>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学生电源，数量：28</w:t>
      </w:r>
      <w:r/>
    </w:p>
    <w:tbl>
      <w:tblPr>
        <w:tblW w:w="4961" w:type="pct"/>
        <w:tblLook w:val="0000" w:firstRow="0" w:lastRow="0" w:firstColumn="0" w:lastColumn="0" w:noHBand="0" w:noVBand="0"/>
      </w:tblPr>
      <w:tblGrid>
        <w:gridCol w:w="678"/>
        <w:gridCol w:w="1556"/>
        <w:gridCol w:w="8365"/>
      </w:tblGrid>
      <w:tr>
        <w:trPr>
          <w:trHeight w:val="436"/>
          <w:tblHeader/>
        </w:trPr>
        <w:tc>
          <w:tcPr>
            <w:gridSpan w:val="2"/>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参数要求</w:t>
            </w:r>
            <w:r/>
          </w:p>
        </w:tc>
      </w:tr>
      <w:tr>
        <w:trPr>
          <w:trHeight w:val="438"/>
        </w:trPr>
        <w:tc>
          <w:tcPr>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w:t>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接收信号</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具有接受教师演示设备的信号控制电源功能。</w:t>
            </w:r>
            <w:r/>
          </w:p>
        </w:tc>
      </w:tr>
      <w:tr>
        <w:trPr>
          <w:trHeight w:val="690"/>
        </w:trPr>
        <w:tc>
          <w:tcPr>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w:t>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直流稳压电源</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2.2-30V/1.5A/3A/4A</w:t>
            </w:r>
            <w:r/>
          </w:p>
        </w:tc>
      </w:tr>
      <w:tr>
        <w:trPr>
          <w:trHeight w:val="690"/>
        </w:trPr>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交流低压电源</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1-30V/，电压调整步进1V。</w:t>
            </w:r>
            <w:r/>
          </w:p>
        </w:tc>
      </w:tr>
      <w:tr>
        <w:trPr>
          <w:trHeight w:val="690"/>
        </w:trPr>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显示</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所需电压值，三位数码显示</w:t>
            </w:r>
            <w:r/>
          </w:p>
        </w:tc>
      </w:tr>
      <w:tr>
        <w:trPr>
          <w:trHeight w:val="690"/>
        </w:trPr>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交流输出</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220V</w:t>
            </w:r>
            <w:r/>
          </w:p>
        </w:tc>
      </w:tr>
      <w:tr>
        <w:trPr>
          <w:trHeight w:val="690"/>
        </w:trPr>
        <w:tc>
          <w:tcPr>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安装位置范围</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学生实验区内</w:t>
            </w:r>
            <w:r/>
          </w:p>
        </w:tc>
      </w:tr>
      <w:tr>
        <w:trPr>
          <w:trHeight w:val="690"/>
        </w:trPr>
        <w:tc>
          <w:tcPr>
            <w:gridSpan w:val="2"/>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Borders>
              <w:top w:val="single" w:color="000000" w:sz="4" w:space="0"/>
              <w:left w:val="single" w:color="000000" w:sz="4" w:space="0"/>
              <w:bottom w:val="single" w:color="000000" w:sz="4" w:space="0"/>
              <w:right w:val="single" w:color="000000" w:sz="4" w:space="0"/>
            </w:tcBorders>
            <w:tcW w:w="39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1.提供学生实验操作、电，实现对学生端电源集中控制。</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教师电源控制，数量：3</w:t>
      </w:r>
      <w:r/>
    </w:p>
    <w:tbl>
      <w:tblPr>
        <w:tblW w:w="4894" w:type="pct"/>
        <w:tblLook w:val="0000" w:firstRow="0" w:lastRow="0" w:firstColumn="0" w:lastColumn="0" w:noHBand="0" w:noVBand="0"/>
      </w:tblPr>
      <w:tblGrid>
        <w:gridCol w:w="1238"/>
        <w:gridCol w:w="1282"/>
        <w:gridCol w:w="7936"/>
      </w:tblGrid>
      <w:tr>
        <w:trPr>
          <w:trHeight w:val="500"/>
          <w:tblHeader/>
        </w:trPr>
        <w:tc>
          <w:tcPr>
            <w:gridSpan w:val="2"/>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参数名称</w:t>
            </w:r>
            <w:r/>
          </w:p>
        </w:tc>
        <w:tc>
          <w:tcPr>
            <w:tcBorders>
              <w:top w:val="single" w:color="000000" w:sz="4" w:space="0"/>
              <w:left w:val="single" w:color="000000" w:sz="4" w:space="0"/>
              <w:bottom w:val="single" w:color="000000" w:sz="4" w:space="0"/>
              <w:right w:val="single" w:color="auto" w:sz="4" w:space="0"/>
            </w:tcBorders>
            <w:tcW w:w="3795"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参数要求</w:t>
            </w:r>
            <w:r/>
          </w:p>
        </w:tc>
      </w:tr>
      <w:tr>
        <w:trPr>
          <w:trHeight w:val="460"/>
        </w:trPr>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auto"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≥550×265mm</w:t>
            </w:r>
            <w:r/>
          </w:p>
        </w:tc>
      </w:tr>
      <w:tr>
        <w:trPr>
          <w:trHeight w:val="1260"/>
        </w:trPr>
        <w:tc>
          <w:tcPr>
            <w:tcBorders>
              <w:top w:val="single" w:color="000000" w:sz="4" w:space="0"/>
              <w:left w:val="single" w:color="000000" w:sz="4" w:space="0"/>
              <w:bottom w:val="single" w:color="000000" w:sz="4" w:space="0"/>
              <w:right w:val="single" w:color="000000" w:sz="4" w:space="0"/>
            </w:tcBorders>
            <w:tcW w:w="59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电源总控台</w:t>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控制功能</w:t>
            </w:r>
            <w:r/>
          </w:p>
        </w:tc>
        <w:tc>
          <w:tcPr>
            <w:tcBorders>
              <w:top w:val="single" w:color="000000" w:sz="4" w:space="0"/>
              <w:left w:val="single" w:color="000000" w:sz="4" w:space="0"/>
              <w:bottom w:val="single" w:color="000000" w:sz="4" w:space="0"/>
              <w:right w:val="single" w:color="auto"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有电源总开关、漏电保护开关、工作指示表、220V交流输出多用插座等多种操作功能；密码开机：有密码记忆功能、只有相关老师输入正确密码后方可打开设备进行操作；定时关机：需要具有定时功能，从开机时间起，一小时后自动关机；控制学生所有供电输出。</w:t>
            </w:r>
            <w:r/>
          </w:p>
        </w:tc>
      </w:tr>
      <w:tr>
        <w:trPr>
          <w:trHeight w:val="624"/>
        </w:trPr>
        <w:tc>
          <w:tcPr>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时间显示</w:t>
            </w:r>
            <w:r/>
          </w:p>
        </w:tc>
        <w:tc>
          <w:tcPr>
            <w:tcBorders>
              <w:top w:val="single" w:color="000000" w:sz="4" w:space="0"/>
              <w:left w:val="single" w:color="000000" w:sz="4" w:space="0"/>
              <w:bottom w:val="single" w:color="000000" w:sz="4" w:space="0"/>
              <w:right w:val="single" w:color="auto"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具有显示老师工作时间的功能，为教师提供各种实验中的精确时间数据；</w:t>
            </w:r>
            <w:r/>
          </w:p>
        </w:tc>
      </w:tr>
      <w:tr>
        <w:trPr>
          <w:trHeight w:val="1361"/>
        </w:trPr>
        <w:tc>
          <w:tcPr>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低压输出</w:t>
            </w:r>
            <w:r/>
          </w:p>
        </w:tc>
        <w:tc>
          <w:tcPr>
            <w:tcBorders>
              <w:top w:val="single" w:color="000000" w:sz="4" w:space="0"/>
              <w:left w:val="single" w:color="000000" w:sz="4" w:space="0"/>
              <w:bottom w:val="single" w:color="000000" w:sz="4" w:space="0"/>
              <w:right w:val="single" w:color="auto"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-30V交流电压电源，分档输出（具有短路、过载自动保护、自动复位功能）；1.25-30V精密稳压电源，分辨率为0.1V，具有短路、过载自动保护、自动复位功能；低压直流大电流输出：9V/40A；延时8S自动关断，采用软件控制，误差几乎为零；</w:t>
            </w:r>
            <w:r/>
          </w:p>
        </w:tc>
      </w:tr>
      <w:tr>
        <w:trPr>
          <w:trHeight w:val="1057"/>
        </w:trPr>
        <w:tc>
          <w:tcPr>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高压输出</w:t>
            </w:r>
            <w:r/>
          </w:p>
        </w:tc>
        <w:tc>
          <w:tcPr>
            <w:tcBorders>
              <w:top w:val="single" w:color="000000" w:sz="4" w:space="0"/>
              <w:left w:val="single" w:color="000000" w:sz="4" w:space="0"/>
              <w:bottom w:val="single" w:color="000000" w:sz="4" w:space="0"/>
              <w:right w:val="single" w:color="auto"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高压小直流电压：300V/150V、0.1A，有自动保护功能，保护电流为100MA；配套电源控制箱包含总电源开关，分组220V电源开关，具有过载、短路等保护功能。</w:t>
            </w:r>
            <w:r/>
          </w:p>
        </w:tc>
      </w:tr>
      <w:tr>
        <w:trPr>
          <w:trHeight w:val="660"/>
        </w:trPr>
        <w:tc>
          <w:tcPr>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安装位置范围</w:t>
            </w:r>
            <w:r/>
          </w:p>
        </w:tc>
        <w:tc>
          <w:tcPr>
            <w:tcBorders>
              <w:top w:val="single" w:color="000000" w:sz="4" w:space="0"/>
              <w:left w:val="single" w:color="000000" w:sz="4" w:space="0"/>
              <w:bottom w:val="single" w:color="000000" w:sz="4" w:space="0"/>
              <w:right w:val="single" w:color="auto"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教师演示设备内</w:t>
            </w:r>
            <w:r/>
          </w:p>
        </w:tc>
      </w:tr>
      <w:tr>
        <w:trPr>
          <w:trHeight w:val="660"/>
        </w:trPr>
        <w:tc>
          <w:tcPr>
            <w:gridSpan w:val="2"/>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Borders>
              <w:top w:val="single" w:color="000000" w:sz="4" w:space="0"/>
              <w:left w:val="single" w:color="000000" w:sz="4" w:space="0"/>
              <w:bottom w:val="single" w:color="000000" w:sz="4" w:space="0"/>
              <w:right w:val="single" w:color="auto"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1.提供教师实验教学、演示设备域，电，实现对学生端电源集中控制。</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环境换气设备，数量：12</w:t>
      </w:r>
      <w:r/>
    </w:p>
    <w:tbl>
      <w:tblPr>
        <w:tblW w:w="4894" w:type="pct"/>
        <w:tblLook w:val="0000" w:firstRow="0" w:lastRow="0" w:firstColumn="0" w:lastColumn="0" w:noHBand="0" w:noVBand="0"/>
      </w:tblPr>
      <w:tblGrid>
        <w:gridCol w:w="773"/>
        <w:gridCol w:w="1002"/>
        <w:gridCol w:w="8681"/>
      </w:tblGrid>
      <w:tr>
        <w:trPr>
          <w:trHeight w:val="485"/>
          <w:tblHeader/>
        </w:trPr>
        <w:tc>
          <w:tcPr>
            <w:gridSpan w:val="2"/>
            <w:tcBorders>
              <w:top w:val="single" w:color="000000" w:sz="4" w:space="0"/>
              <w:left w:val="single" w:color="000000" w:sz="4" w:space="0"/>
              <w:bottom w:val="single" w:color="000000" w:sz="4" w:space="0"/>
              <w:right w:val="single" w:color="000000" w:sz="4" w:space="0"/>
            </w:tcBorders>
            <w:tcW w:w="849"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4151"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参数要求</w:t>
            </w:r>
            <w:r/>
          </w:p>
        </w:tc>
      </w:tr>
      <w:tr>
        <w:trPr>
          <w:trHeight w:val="270"/>
        </w:trPr>
        <w:tc>
          <w:tcPr>
            <w:tcBorders>
              <w:top w:val="singl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外观</w:t>
            </w:r>
            <w:r/>
          </w:p>
        </w:tc>
        <w:tc>
          <w:tcPr>
            <w:tcBorders>
              <w:top w:val="single" w:color="000000" w:sz="4" w:space="0"/>
              <w:left w:val="none" w:color="000000" w:sz="4" w:space="0"/>
              <w:bottom w:val="single" w:color="000000" w:sz="4" w:space="0"/>
              <w:right w:val="single" w:color="000000" w:sz="4" w:space="0"/>
            </w:tcBorders>
            <w:tcW w:w="47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面板规格</w:t>
            </w:r>
            <w:r/>
          </w:p>
        </w:tc>
        <w:tc>
          <w:tcPr>
            <w:tcBorders>
              <w:top w:val="single" w:color="000000" w:sz="4" w:space="0"/>
              <w:left w:val="single" w:color="000000" w:sz="4" w:space="0"/>
              <w:bottom w:val="single" w:color="000000" w:sz="4" w:space="0"/>
              <w:right w:val="single" w:color="000000" w:sz="4" w:space="0"/>
            </w:tcBorders>
            <w:tcW w:w="415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≥200mm*200mm</w:t>
            </w:r>
            <w:r/>
          </w:p>
        </w:tc>
      </w:tr>
      <w:tr>
        <w:trPr>
          <w:trHeight w:val="270"/>
        </w:trPr>
        <w:tc>
          <w:tcPr>
            <w:tcBorders>
              <w:top w:val="singl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none" w:color="000000" w:sz="4" w:space="0"/>
              <w:bottom w:val="single" w:color="000000" w:sz="4" w:space="0"/>
              <w:right w:val="single" w:color="000000" w:sz="4" w:space="0"/>
            </w:tcBorders>
            <w:tcW w:w="47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风机长度</w:t>
            </w:r>
            <w:r/>
          </w:p>
        </w:tc>
        <w:tc>
          <w:tcPr>
            <w:tcBorders>
              <w:top w:val="single" w:color="000000" w:sz="4" w:space="0"/>
              <w:left w:val="single" w:color="000000" w:sz="4" w:space="0"/>
              <w:bottom w:val="single" w:color="000000" w:sz="4" w:space="0"/>
              <w:right w:val="single" w:color="000000" w:sz="4" w:space="0"/>
            </w:tcBorders>
            <w:tcW w:w="415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200mm</w:t>
            </w:r>
            <w:r/>
          </w:p>
        </w:tc>
      </w:tr>
      <w:tr>
        <w:trPr>
          <w:trHeight w:val="270"/>
        </w:trPr>
        <w:tc>
          <w:tcPr>
            <w:tcBorders>
              <w:top w:val="singl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none" w:color="000000" w:sz="4" w:space="0"/>
              <w:bottom w:val="single" w:color="000000" w:sz="4" w:space="0"/>
              <w:right w:val="single" w:color="000000" w:sz="4" w:space="0"/>
            </w:tcBorders>
            <w:tcW w:w="47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风机口径</w:t>
            </w:r>
            <w:r/>
          </w:p>
        </w:tc>
        <w:tc>
          <w:tcPr>
            <w:tcBorders>
              <w:top w:val="single" w:color="000000" w:sz="4" w:space="0"/>
              <w:left w:val="single" w:color="000000" w:sz="4" w:space="0"/>
              <w:bottom w:val="single" w:color="000000" w:sz="4" w:space="0"/>
              <w:right w:val="single" w:color="000000" w:sz="4" w:space="0"/>
            </w:tcBorders>
            <w:tcW w:w="415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150mm</w:t>
            </w:r>
            <w:r/>
          </w:p>
        </w:tc>
      </w:tr>
      <w:tr>
        <w:trPr>
          <w:trHeight w:val="270"/>
        </w:trPr>
        <w:tc>
          <w:tcPr>
            <w:tcBorders>
              <w:top w:val="single" w:color="000000" w:sz="4" w:space="0"/>
              <w:left w:val="single" w:color="000000" w:sz="4" w:space="0"/>
              <w:bottom w:val="single" w:color="000000" w:sz="4" w:space="0"/>
              <w:right w:val="single" w:color="000000" w:sz="4" w:space="0"/>
            </w:tcBorders>
            <w:tcW w:w="37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w:t>
            </w:r>
            <w:r/>
          </w:p>
        </w:tc>
        <w:tc>
          <w:tcPr>
            <w:tcBorders>
              <w:top w:val="single" w:color="000000" w:sz="4" w:space="0"/>
              <w:left w:val="none" w:color="000000" w:sz="4" w:space="0"/>
              <w:bottom w:val="single" w:color="000000" w:sz="4" w:space="0"/>
              <w:right w:val="single" w:color="000000" w:sz="4" w:space="0"/>
            </w:tcBorders>
            <w:tcW w:w="47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控制模式</w:t>
            </w:r>
            <w:r/>
          </w:p>
        </w:tc>
        <w:tc>
          <w:tcPr>
            <w:tcBorders>
              <w:top w:val="single" w:color="000000" w:sz="4" w:space="0"/>
              <w:left w:val="single" w:color="000000" w:sz="4" w:space="0"/>
              <w:bottom w:val="single" w:color="000000" w:sz="4" w:space="0"/>
              <w:right w:val="single" w:color="000000" w:sz="4" w:space="0"/>
            </w:tcBorders>
            <w:tcW w:w="415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送风、排风、智能循环</w:t>
            </w:r>
            <w:r/>
          </w:p>
        </w:tc>
      </w:tr>
      <w:tr>
        <w:trPr>
          <w:trHeight w:val="270"/>
        </w:trPr>
        <w:tc>
          <w:tcPr>
            <w:tcBorders>
              <w:top w:val="singl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none" w:color="000000" w:sz="4" w:space="0"/>
              <w:bottom w:val="single" w:color="000000" w:sz="4" w:space="0"/>
              <w:right w:val="single" w:color="000000" w:sz="4" w:space="0"/>
            </w:tcBorders>
            <w:tcW w:w="47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频率</w:t>
            </w:r>
            <w:r/>
          </w:p>
        </w:tc>
        <w:tc>
          <w:tcPr>
            <w:tcBorders>
              <w:top w:val="single" w:color="000000" w:sz="4" w:space="0"/>
              <w:left w:val="single" w:color="000000" w:sz="4" w:space="0"/>
              <w:bottom w:val="single" w:color="000000" w:sz="4" w:space="0"/>
              <w:right w:val="single" w:color="000000" w:sz="4" w:space="0"/>
            </w:tcBorders>
            <w:tcW w:w="415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50HZ</w:t>
            </w:r>
            <w:r/>
          </w:p>
        </w:tc>
      </w:tr>
      <w:tr>
        <w:trPr>
          <w:trHeight w:val="420"/>
        </w:trPr>
        <w:tc>
          <w:tcPr>
            <w:tcBorders>
              <w:top w:val="singl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转速</w:t>
            </w:r>
            <w:r/>
          </w:p>
        </w:tc>
        <w:tc>
          <w:tcPr>
            <w:tcBorders>
              <w:top w:val="single" w:color="000000" w:sz="4" w:space="0"/>
              <w:left w:val="single" w:color="000000" w:sz="4" w:space="0"/>
              <w:bottom w:val="single" w:color="000000" w:sz="4" w:space="0"/>
              <w:right w:val="single" w:color="000000" w:sz="4" w:space="0"/>
            </w:tcBorders>
            <w:tcW w:w="415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≥1800r/min</w:t>
            </w:r>
            <w:r/>
          </w:p>
        </w:tc>
      </w:tr>
      <w:tr>
        <w:trPr>
          <w:trHeight w:val="522"/>
        </w:trPr>
        <w:tc>
          <w:tcPr>
            <w:tcBorders>
              <w:top w:val="singl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风量</w:t>
            </w:r>
            <w:r/>
          </w:p>
        </w:tc>
        <w:tc>
          <w:tcPr>
            <w:tcBorders>
              <w:top w:val="single" w:color="000000" w:sz="4" w:space="0"/>
              <w:left w:val="single" w:color="000000" w:sz="4" w:space="0"/>
              <w:bottom w:val="single" w:color="000000" w:sz="4" w:space="0"/>
              <w:right w:val="single" w:color="000000" w:sz="4" w:space="0"/>
            </w:tcBorders>
            <w:tcW w:w="415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送风100m³/h,排风135m³/h</w:t>
            </w:r>
            <w:r/>
          </w:p>
        </w:tc>
      </w:tr>
      <w:tr>
        <w:trPr>
          <w:trHeight w:val="522"/>
        </w:trPr>
        <w:tc>
          <w:tcPr>
            <w:tcBorders>
              <w:top w:val="singl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额定功率</w:t>
            </w:r>
            <w:r/>
          </w:p>
        </w:tc>
        <w:tc>
          <w:tcPr>
            <w:tcBorders>
              <w:top w:val="single" w:color="000000" w:sz="4" w:space="0"/>
              <w:left w:val="single" w:color="000000" w:sz="4" w:space="0"/>
              <w:bottom w:val="single" w:color="000000" w:sz="4" w:space="0"/>
              <w:right w:val="single" w:color="000000" w:sz="4" w:space="0"/>
            </w:tcBorders>
            <w:tcW w:w="415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w:t>
            </w:r>
            <w:r/>
          </w:p>
        </w:tc>
      </w:tr>
      <w:tr>
        <w:trPr>
          <w:trHeight w:val="522"/>
        </w:trPr>
        <w:tc>
          <w:tcPr>
            <w:tcBorders>
              <w:top w:val="singl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额定电压</w:t>
            </w:r>
            <w:r/>
          </w:p>
        </w:tc>
        <w:tc>
          <w:tcPr>
            <w:tcBorders>
              <w:top w:val="single" w:color="000000" w:sz="4" w:space="0"/>
              <w:left w:val="single" w:color="000000" w:sz="4" w:space="0"/>
              <w:bottom w:val="single" w:color="000000" w:sz="4" w:space="0"/>
              <w:right w:val="single" w:color="000000" w:sz="4" w:space="0"/>
            </w:tcBorders>
            <w:tcW w:w="415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220V</w:t>
            </w:r>
            <w:r/>
          </w:p>
        </w:tc>
      </w:tr>
      <w:tr>
        <w:trPr>
          <w:trHeight w:val="522"/>
        </w:trPr>
        <w:tc>
          <w:tcPr>
            <w:tcBorders>
              <w:top w:val="single" w:color="000000" w:sz="4" w:space="0"/>
              <w:left w:val="single" w:color="000000" w:sz="4" w:space="0"/>
              <w:bottom w:val="single" w:color="000000" w:sz="4" w:space="0"/>
              <w:right w:val="single" w:color="000000" w:sz="4" w:space="0"/>
            </w:tcBorders>
            <w:tcW w:w="37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噪音</w:t>
            </w:r>
            <w:r/>
          </w:p>
        </w:tc>
        <w:tc>
          <w:tcPr>
            <w:tcBorders>
              <w:top w:val="single" w:color="000000" w:sz="4" w:space="0"/>
              <w:left w:val="single" w:color="000000" w:sz="4" w:space="0"/>
              <w:bottom w:val="single" w:color="000000" w:sz="4" w:space="0"/>
              <w:right w:val="single" w:color="000000" w:sz="4" w:space="0"/>
            </w:tcBorders>
            <w:tcW w:w="415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20-35db</w:t>
            </w:r>
            <w:r/>
          </w:p>
        </w:tc>
      </w:tr>
      <w:tr>
        <w:trPr>
          <w:trHeight w:val="616"/>
        </w:trPr>
        <w:tc>
          <w:tcPr>
            <w:gridSpan w:val="2"/>
            <w:tcBorders>
              <w:top w:val="single" w:color="000000" w:sz="4" w:space="0"/>
              <w:left w:val="single" w:color="000000" w:sz="4" w:space="0"/>
              <w:bottom w:val="single" w:color="000000" w:sz="4" w:space="0"/>
              <w:right w:val="single" w:color="000000" w:sz="4" w:space="0"/>
            </w:tcBorders>
            <w:tcW w:w="8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Borders>
              <w:top w:val="single" w:color="000000" w:sz="4" w:space="0"/>
              <w:left w:val="single" w:color="000000" w:sz="4" w:space="0"/>
              <w:bottom w:val="single" w:color="000000" w:sz="4" w:space="0"/>
              <w:right w:val="single" w:color="000000" w:sz="4" w:space="0"/>
            </w:tcBorders>
            <w:tcW w:w="415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辅助室内与室外空气流通。</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化学智能吊装系统</w:t>
      </w:r>
      <w:r/>
    </w:p>
    <w:tbl>
      <w:tblPr>
        <w:tblW w:w="496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51"/>
        <w:gridCol w:w="1314"/>
        <w:gridCol w:w="7682"/>
        <w:gridCol w:w="852"/>
      </w:tblGrid>
      <w:tr>
        <w:trPr>
          <w:trHeight w:val="345"/>
          <w:tblHeader/>
        </w:trPr>
        <w:tc>
          <w:tcPr>
            <w:gridSpan w:val="2"/>
            <w:tcW w:w="97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362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W w:w="402"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576"/>
        </w:trPr>
        <w:tc>
          <w:tcPr>
            <w:tcW w:w="35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智能控制电气系统</w:t>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规格：≥680×400×1770mm</w:t>
            </w:r>
            <w:r/>
          </w:p>
        </w:tc>
        <w:tc>
          <w:tcPr>
            <w:tcW w:w="40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840"/>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▲内置控制模块</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总电源开关1个，电源保护器1个，PLC控制器及功能扩展模块1套，PLC专用电源1个，PLC保护模块1个、急停控制系统1个，工作指示灯1个等</w:t>
            </w:r>
            <w:r/>
          </w:p>
        </w:tc>
        <w:tc>
          <w:tcPr>
            <w:tcW w:w="402"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69"/>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电源控制系统</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具有PLC智能化控制系统集中控制、过载、短路等保护功能；</w:t>
            </w:r>
            <w:r/>
          </w:p>
        </w:tc>
        <w:tc>
          <w:tcPr>
            <w:tcW w:w="402"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899"/>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给排水控制系统</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给水系统：设有总给水控制阀门，教师可以方便对全室供水系统进行控制。</w:t>
            </w:r>
            <w:r>
              <w:rPr>
                <w:rFonts w:hint="eastAsia" w:cs="宋体" w:asciiTheme="minorEastAsia" w:hAnsiTheme="minorEastAsia" w:eastAsiaTheme="minorEastAsia"/>
                <w:sz w:val="20"/>
                <w:szCs w:val="20"/>
                <w:lang w:bidi="ar"/>
              </w:rPr>
              <w:br/>
              <w:t xml:space="preserve">自动排水系统：所有排水由智能化控制系统集中控制。</w:t>
            </w:r>
            <w:r/>
          </w:p>
        </w:tc>
        <w:tc>
          <w:tcPr>
            <w:tcW w:w="402"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2542"/>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通风控制系统</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风机矢量控制变频器：应用空间电压矢量控制原理，采用模块化设计、双CPU控制，是集数字技术、计算机技术、现代自控技术于一体的高科技产品，具有精度高、噪音低、转矩大、性能可靠等特点。主要参数指标为：1.频率指示、异常指示、转速指示、状态指示等均由LED显示；2.输入额定电压：三相380V，±15%；3.输入额定频率：50/60HZ；4.控制方式：空间电压矢量控制；5.输出频率：1.00~400.0HZ；6.过载能力：150%额定电流；7.保护功能：输入缺相、输入欠压、直流过压、过载等</w:t>
            </w:r>
            <w:r/>
          </w:p>
        </w:tc>
        <w:tc>
          <w:tcPr>
            <w:tcW w:w="402"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04"/>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摇臂自动控制系统</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系统集中控制教室摇臂功能</w:t>
            </w:r>
            <w:r/>
          </w:p>
        </w:tc>
        <w:tc>
          <w:tcPr>
            <w:tcW w:w="402"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030"/>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相关质量说明文件：</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▲控制系统：采用工程PLC控制系统。</w:t>
            </w:r>
            <w:r>
              <w:rPr>
                <w:rFonts w:hint="eastAsia" w:cs="宋体" w:asciiTheme="minorEastAsia" w:hAnsiTheme="minorEastAsia" w:eastAsiaTheme="minorEastAsia"/>
                <w:sz w:val="20"/>
                <w:szCs w:val="20"/>
                <w:lang w:bidi="ar"/>
              </w:rPr>
              <w:br/>
              <w:t xml:space="preserve">（1）通信及运行状态指示灯；</w:t>
            </w:r>
            <w:r>
              <w:rPr>
                <w:rFonts w:hint="eastAsia" w:cs="宋体" w:asciiTheme="minorEastAsia" w:hAnsiTheme="minorEastAsia" w:eastAsiaTheme="minorEastAsia"/>
                <w:sz w:val="20"/>
                <w:szCs w:val="20"/>
                <w:lang w:bidi="ar"/>
              </w:rPr>
              <w:br/>
              <w:t xml:space="preserve">（2）所有模块的输入输出端子可拆卸；</w:t>
            </w:r>
            <w:r>
              <w:rPr>
                <w:rFonts w:hint="eastAsia" w:cs="宋体" w:asciiTheme="minorEastAsia" w:hAnsiTheme="minorEastAsia" w:eastAsiaTheme="minorEastAsia"/>
                <w:sz w:val="20"/>
                <w:szCs w:val="20"/>
                <w:lang w:bidi="ar"/>
              </w:rPr>
              <w:br/>
              <w:t xml:space="preserve">（3）插针式连接，模块连接紧密；</w:t>
            </w:r>
            <w:r>
              <w:rPr>
                <w:rFonts w:hint="eastAsia" w:cs="宋体" w:asciiTheme="minorEastAsia" w:hAnsiTheme="minorEastAsia" w:eastAsiaTheme="minorEastAsia"/>
                <w:sz w:val="20"/>
                <w:szCs w:val="20"/>
                <w:lang w:bidi="ar"/>
              </w:rPr>
              <w:br/>
              <w:t xml:space="preserve">（4）通用Micro SD卡，支持程序下载和PLC固件更新；</w:t>
            </w:r>
            <w:r>
              <w:rPr>
                <w:rFonts w:hint="eastAsia" w:cs="宋体" w:asciiTheme="minorEastAsia" w:hAnsiTheme="minorEastAsia" w:eastAsiaTheme="minorEastAsia"/>
                <w:sz w:val="20"/>
                <w:szCs w:val="20"/>
                <w:lang w:bidi="ar"/>
              </w:rPr>
              <w:br/>
              <w:t xml:space="preserve">（5）集成PROFINET接口，支持程序下载、设备组网。</w:t>
            </w:r>
            <w:r>
              <w:rPr>
                <w:rFonts w:hint="eastAsia" w:cs="宋体" w:asciiTheme="minorEastAsia" w:hAnsiTheme="minorEastAsia" w:eastAsiaTheme="minorEastAsia"/>
                <w:sz w:val="20"/>
                <w:szCs w:val="20"/>
                <w:lang w:bidi="ar"/>
              </w:rPr>
              <w:br/>
              <w:t xml:space="preserve">提供由经国家认证委认证的第三方检测机构出具的检测报告（检测报告上须含有“CMA”或“CNAS”标志），检测内容：1、保护连接，金属外壳与保护导体端子可靠连接；2、与电网电源的连接和设备零部件之间的连接；3、供电电源的断开，永久连接式设备和多相设备满足需求，应当采用开关或断路器作为断开装置；4、通过永久连接式设备保护连接的阻抗测试5、通过介电强度试验。</w:t>
            </w:r>
            <w:r/>
          </w:p>
        </w:tc>
        <w:tc>
          <w:tcPr>
            <w:tcW w:w="402"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24"/>
        </w:trPr>
        <w:tc>
          <w:tcPr>
            <w:tcW w:w="35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控制面板</w:t>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屏幕尺寸</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≥7寸触摸屏</w:t>
            </w:r>
            <w:r/>
          </w:p>
        </w:tc>
        <w:tc>
          <w:tcPr>
            <w:tcW w:w="40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624"/>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供水控制</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可实现远程集中控制整室给排水</w:t>
            </w:r>
            <w:r/>
          </w:p>
        </w:tc>
        <w:tc>
          <w:tcPr>
            <w:tcW w:w="402"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24"/>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电源控制</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可实现远程分组控制学生高低压电源</w:t>
            </w:r>
            <w:r/>
          </w:p>
        </w:tc>
        <w:tc>
          <w:tcPr>
            <w:tcW w:w="402"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24"/>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摇臂控制</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可实现远程控制摇臂升降机构</w:t>
            </w:r>
            <w:r/>
          </w:p>
        </w:tc>
        <w:tc>
          <w:tcPr>
            <w:tcW w:w="402"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974"/>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通风控制系统</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可实现远程触摸数字无极变频控制，具有频率数字显示功能，可精确控制通风风量。</w:t>
            </w:r>
            <w:r/>
          </w:p>
        </w:tc>
        <w:tc>
          <w:tcPr>
            <w:tcW w:w="402"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850"/>
        </w:trPr>
        <w:tc>
          <w:tcPr>
            <w:tcW w:w="35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网络智能控制系统</w:t>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网络模块</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安装网络数据传输设备，吊实现装系统覆盖网络，接受智能控制。</w:t>
            </w:r>
            <w:r/>
          </w:p>
        </w:tc>
        <w:tc>
          <w:tcPr>
            <w:tcW w:w="40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51"/>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内部线路</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工程级全无氧铜六类双绞线</w:t>
            </w:r>
            <w:r/>
          </w:p>
        </w:tc>
        <w:tc>
          <w:tcPr>
            <w:tcW w:w="402"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7"/>
        </w:trPr>
        <w:tc>
          <w:tcPr>
            <w:tcW w:w="35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低压电源控制系统</w:t>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低压交流电源</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2-30V/3A（2V一档）</w:t>
            </w:r>
            <w:r/>
          </w:p>
        </w:tc>
        <w:tc>
          <w:tcPr>
            <w:tcW w:w="40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57"/>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低压直流电源</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1.25V-30V/3A，具备学生微调功能。</w:t>
            </w:r>
            <w:r/>
          </w:p>
        </w:tc>
        <w:tc>
          <w:tcPr>
            <w:tcW w:w="402"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7"/>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模块内部线路</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采用通用优质铜芯电线进行系统布线。</w:t>
            </w:r>
            <w:r/>
          </w:p>
        </w:tc>
        <w:tc>
          <w:tcPr>
            <w:tcW w:w="402"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80"/>
        </w:trPr>
        <w:tc>
          <w:tcPr>
            <w:tcW w:w="35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万向式吸风罩</w:t>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▲1、万向节采用铝合金材质，表面经电泳、静电环氧树脂粉末喷涂处理。</w:t>
            </w:r>
            <w:r/>
          </w:p>
        </w:tc>
        <w:tc>
          <w:tcPr>
            <w:tcW w:w="40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w:t>
            </w:r>
            <w:r/>
          </w:p>
        </w:tc>
      </w:tr>
      <w:tr>
        <w:trPr>
          <w:trHeight w:val="680"/>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活动关节采用高密度PP材质，旋钮式螺纹压紧；可360度旋转调节方向，易拆卸、重组及清洗；</w:t>
            </w:r>
            <w:r/>
          </w:p>
        </w:tc>
        <w:tc>
          <w:tcPr>
            <w:tcW w:w="402"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80"/>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阀门</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气流调节阀采用手动调节外部阀门旋钮，控制进入之气流量</w:t>
            </w:r>
            <w:r/>
          </w:p>
        </w:tc>
        <w:tc>
          <w:tcPr>
            <w:tcW w:w="402"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80"/>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连接管</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PC塑料成型制作风口柔性伸缩连接管</w:t>
            </w:r>
            <w:r/>
          </w:p>
        </w:tc>
        <w:tc>
          <w:tcPr>
            <w:tcW w:w="402"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7"/>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相关质量说明文件：</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▲提供由经国家认证委认证的第三方检测机构出具的检测报告（检测报告上须含有“CMA”或“CNAS”标志），检测内容：经3OOh中性盐雾试验后，达到外观评级10级相关要求。</w:t>
            </w:r>
            <w:r/>
          </w:p>
        </w:tc>
        <w:tc>
          <w:tcPr>
            <w:tcW w:w="402"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829"/>
        </w:trPr>
        <w:tc>
          <w:tcPr>
            <w:tcW w:w="35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吊装式通风管道</w:t>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定制模块化组成</w:t>
            </w:r>
            <w:r/>
          </w:p>
        </w:tc>
        <w:tc>
          <w:tcPr>
            <w:tcW w:w="40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842"/>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管道</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通风主管道、支管道均采用防腐蚀PVC制作而成，根据现场实际情况选用：Ø250mm、Ø200mm、Ø160mm风道，接口采用专用接口连接。</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10"/>
        </w:trPr>
        <w:tc>
          <w:tcPr>
            <w:tcW w:w="35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吊装通风装置</w:t>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功率</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5.5KW，箱式变频6#带自动调速机</w:t>
            </w:r>
            <w:r/>
          </w:p>
        </w:tc>
        <w:tc>
          <w:tcPr>
            <w:tcW w:w="40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510"/>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≥1100×1100×1100mm</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10"/>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重量</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约210kg</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10"/>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电压</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380V</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10"/>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噪音</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≤70分贝</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10"/>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风流量</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10210-15600M3/h</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10"/>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全压</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946-890Pa</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10"/>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转速</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950r/min</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737"/>
        </w:trPr>
        <w:tc>
          <w:tcPr>
            <w:tcW w:w="35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吊装通风装置辅件</w:t>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控制线管</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Ø25mmPVC线管</w:t>
            </w:r>
            <w:r/>
          </w:p>
        </w:tc>
        <w:tc>
          <w:tcPr>
            <w:tcW w:w="40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37"/>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控制线管</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4平方毫米、2.5平方毫米电线</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24"/>
        </w:trPr>
        <w:tc>
          <w:tcPr>
            <w:tcW w:w="35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摇臂升降机构</w:t>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控制系统</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摇臂升降机构接受智能控制系统信号实现远程遥控功能</w:t>
            </w:r>
            <w:r/>
          </w:p>
        </w:tc>
        <w:tc>
          <w:tcPr>
            <w:tcW w:w="40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624"/>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动力</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24V低压减速电机</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24"/>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保护罩材质</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ABS工程塑料</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560"/>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▲支撑悬臂</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不小于1.2mm厚≥60×50mm椭圆形铝镁合金大型模具制作而成，表面阳极氧化磨砂处理。功能操作模块规格（长×高×厚）：不小于220×190×90mm，功能操作模块由正反面功能操作面板组成，主体均采用≥3.5mm厚ABS阻燃工程塑料一次注塑成型具有防火、防潮、防锈及防漏电功能</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844"/>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功能接口模块</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220V电源五孔插座、USB功能接口、网络接口。所有功能模块均接受智能控制系统控制</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99"/>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零件材质</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紧固零件均采用不锈钢材质</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2824"/>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相关质量说明文件：</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撑悬臂提供由经国家认证委认证的第三方检测机构出具的检测报告（检测报告上须含有“CMA”或“CNAS”标志），检测内容：1、高温试验，在非包装状态下，温度为55℃，保持4h，室温下恢复2h，试验后应无开裂、变形和明显变色，样品功能应正常。2、低温试验，在非包装状态下，温度为-25℃，保持4h，室温下恢复2h，试验后应无开裂、变形和明显变色，样品功能应正常。3、恒定湿热贮存试验，在非包装状态下温度为40℃，相对湿度为93%，保持48h，室温下恢复4h，试验后应无开裂、变形和明显变色，样品功能应正常。</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96"/>
        </w:trPr>
        <w:tc>
          <w:tcPr>
            <w:tcW w:w="35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快速给排水接口</w:t>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侧板规格</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接受智能化控制系统控制，摇臂操作面板上预留快速给排水接口1对、信号控制接口1个。</w:t>
            </w:r>
            <w:r/>
          </w:p>
        </w:tc>
        <w:tc>
          <w:tcPr>
            <w:tcW w:w="40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57"/>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快速给水接口材质/功能</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采用铜质镀镍工艺，自带止流阀和手动阀（止流阀可实现拔出给水管接头时，出水口自动止水）</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86"/>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快速排水接口材质/功能</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采用耐腐蚀、耐热、耐压、不结垢的PPR工程塑料注塑成型</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803"/>
        </w:trPr>
        <w:tc>
          <w:tcPr>
            <w:tcW w:w="35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模块化定制给排水管</w:t>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给水主管模块</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采用Ø20-32mmPP-R给水管，模块化设计，每组模块间采用活接式连接，方便安装、检修。</w:t>
            </w:r>
            <w:r/>
          </w:p>
        </w:tc>
        <w:tc>
          <w:tcPr>
            <w:tcW w:w="40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71"/>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排水管模块</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采用加厚Ø50-75mmPVC-U国标管，模块化设计，每组模块间采用活接式连接，方便安装、检修。</w:t>
            </w:r>
            <w:r/>
          </w:p>
        </w:tc>
        <w:tc>
          <w:tcPr>
            <w:tcW w:w="402"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35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吊顶安装可升降集成系</w:t>
            </w:r>
            <w:r>
              <w:rPr>
                <w:rFonts w:hint="eastAsia" w:cs="宋体" w:asciiTheme="minorEastAsia" w:hAnsiTheme="minorEastAsia" w:eastAsiaTheme="minorEastAsia"/>
                <w:sz w:val="20"/>
                <w:szCs w:val="20"/>
                <w:lang w:bidi="ar"/>
              </w:rPr>
              <w:t xml:space="preserve">统</w:t>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均采用厚度2.6mmABS工程塑料注塑成型</w:t>
            </w:r>
            <w:r/>
          </w:p>
        </w:tc>
        <w:tc>
          <w:tcPr>
            <w:tcW w:w="40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842"/>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底板规格</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不小于200×300mm</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200"/>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侧板规格</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不小于300×240mm</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7"/>
        </w:trPr>
        <w:tc>
          <w:tcPr>
            <w:tcW w:w="35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系统安装辅件</w:t>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固定件</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主要辅件有：矩形钢、三角构件、直角座、龙骨架连接件、吊装挂件、安装连接板等。</w:t>
            </w:r>
            <w:r/>
          </w:p>
        </w:tc>
        <w:tc>
          <w:tcPr>
            <w:tcW w:w="4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08"/>
        </w:trPr>
        <w:tc>
          <w:tcPr>
            <w:tcW w:w="35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活性炭废气处理器</w:t>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处理风量</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处理风量：3000m3/h。</w:t>
            </w:r>
            <w:r/>
          </w:p>
        </w:tc>
        <w:tc>
          <w:tcPr>
            <w:tcW w:w="40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08"/>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安装方式</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吸附单元在设备箱体内分层格栅式安装，要求能够非常方便的检修及更换。</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708"/>
        </w:trPr>
        <w:tc>
          <w:tcPr>
            <w:tcW w:w="35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设备材质</w:t>
            </w:r>
            <w:r/>
          </w:p>
        </w:tc>
        <w:tc>
          <w:tcPr>
            <w:tcW w:w="362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PP板材</w:t>
            </w:r>
            <w:r/>
          </w:p>
        </w:tc>
        <w:tc>
          <w:tcPr>
            <w:tcW w:w="402"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939"/>
        </w:trPr>
        <w:tc>
          <w:tcPr>
            <w:gridSpan w:val="2"/>
            <w:tcW w:w="97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W w:w="402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1.提供满足教材教学实验，提供给排水、通风排气净化、高低压电源、网络，实现对学生端电源集中控制。</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720" w:equalWidth="1"/>
          <w:docGrid w:linePitch="360"/>
        </w:sect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生物智能吊装系统</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34"/>
        <w:gridCol w:w="708"/>
        <w:gridCol w:w="1276"/>
        <w:gridCol w:w="7088"/>
        <w:gridCol w:w="992"/>
      </w:tblGrid>
      <w:tr>
        <w:trPr>
          <w:trHeight w:val="349"/>
          <w:tblHeader/>
        </w:trPr>
        <w:tc>
          <w:tcPr>
            <w:gridSpan w:val="3"/>
            <w:tcW w:w="2518"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7088"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W w:w="992"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436"/>
        </w:trPr>
        <w:tc>
          <w:tcPr>
            <w:tcW w:w="534" w:type="dxa"/>
            <w:vAlign w:val="center"/>
            <w:vMerge w:val="restart"/>
            <w:textDirection w:val="lrTb"/>
            <w:noWrap w:val="false"/>
          </w:tcPr>
          <w:p>
            <w:pPr>
              <w:jc w:val="left"/>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电气控制系统</w:t>
            </w:r>
            <w:r/>
          </w:p>
        </w:tc>
        <w:tc>
          <w:tcPr>
            <w:tcW w:w="708" w:type="dxa"/>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智能控制电气柜</w:t>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规格：≥680×400×1770mm</w:t>
            </w:r>
            <w:r/>
          </w:p>
        </w:tc>
        <w:tc>
          <w:tcPr>
            <w:tcW w:w="992"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090"/>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▲内置控制模块</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总电源开关1个，电源保护器1个，PLC控制器及功能扩展模块1套，PLC专用电源1个，PLC保护模块1个、急停控制系统1个，工作指示灯1个等</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87"/>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电源控制系统</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具有PLC智能化控制系统集中控制，过载、短路等保护功能；</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090"/>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给排水控制系统</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给水系统：设有总给水控制阀门，教师可以方便对全室供水系统进行控制。</w:t>
            </w:r>
            <w:r>
              <w:rPr>
                <w:rFonts w:hint="eastAsia" w:cs="宋体" w:asciiTheme="minorEastAsia" w:hAnsiTheme="minorEastAsia" w:eastAsiaTheme="minorEastAsia"/>
                <w:sz w:val="20"/>
                <w:szCs w:val="20"/>
                <w:lang w:bidi="ar"/>
              </w:rPr>
              <w:br/>
              <w:t xml:space="preserve">自动排水系统：所有排水由智能化控制系统集中控制。</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87"/>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摇臂自动控制系统</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系统集中控制教室摇臂功能</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191"/>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相关质量说明文件：</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▲控制系统：采用工程PLC控制系统。</w:t>
            </w:r>
            <w:r>
              <w:rPr>
                <w:rFonts w:hint="eastAsia" w:cs="宋体" w:asciiTheme="minorEastAsia" w:hAnsiTheme="minorEastAsia" w:eastAsiaTheme="minorEastAsia"/>
                <w:sz w:val="20"/>
                <w:szCs w:val="20"/>
                <w:lang w:bidi="ar"/>
              </w:rPr>
              <w:br/>
              <w:t xml:space="preserve">（1）通信及运行状态指示灯；</w:t>
            </w:r>
            <w:r>
              <w:rPr>
                <w:rFonts w:hint="eastAsia" w:cs="宋体" w:asciiTheme="minorEastAsia" w:hAnsiTheme="minorEastAsia" w:eastAsiaTheme="minorEastAsia"/>
                <w:sz w:val="20"/>
                <w:szCs w:val="20"/>
                <w:lang w:bidi="ar"/>
              </w:rPr>
              <w:br/>
              <w:t xml:space="preserve">（2）所有模块的输入输出端子可拆卸；</w:t>
            </w:r>
            <w:r>
              <w:rPr>
                <w:rFonts w:hint="eastAsia" w:cs="宋体" w:asciiTheme="minorEastAsia" w:hAnsiTheme="minorEastAsia" w:eastAsiaTheme="minorEastAsia"/>
                <w:sz w:val="20"/>
                <w:szCs w:val="20"/>
                <w:lang w:bidi="ar"/>
              </w:rPr>
              <w:br/>
              <w:t xml:space="preserve">（3）插针式连接，模块连接紧密；</w:t>
            </w:r>
            <w:r>
              <w:rPr>
                <w:rFonts w:hint="eastAsia" w:cs="宋体" w:asciiTheme="minorEastAsia" w:hAnsiTheme="minorEastAsia" w:eastAsiaTheme="minorEastAsia"/>
                <w:sz w:val="20"/>
                <w:szCs w:val="20"/>
                <w:lang w:bidi="ar"/>
              </w:rPr>
              <w:br/>
              <w:t xml:space="preserve">（4）通用Micro SD卡，支持程序下载和PLC固件更新；</w:t>
            </w:r>
            <w:r>
              <w:rPr>
                <w:rFonts w:hint="eastAsia" w:cs="宋体" w:asciiTheme="minorEastAsia" w:hAnsiTheme="minorEastAsia" w:eastAsiaTheme="minorEastAsia"/>
                <w:sz w:val="20"/>
                <w:szCs w:val="20"/>
                <w:lang w:bidi="ar"/>
              </w:rPr>
              <w:br/>
              <w:t xml:space="preserve">（5）集成PROFINET接口，支持程序下载、设备组网。</w:t>
            </w:r>
            <w:r>
              <w:rPr>
                <w:rFonts w:hint="eastAsia" w:cs="宋体" w:asciiTheme="minorEastAsia" w:hAnsiTheme="minorEastAsia" w:eastAsiaTheme="minorEastAsia"/>
                <w:sz w:val="20"/>
                <w:szCs w:val="20"/>
                <w:lang w:bidi="ar"/>
              </w:rPr>
              <w:br/>
              <w:t xml:space="preserve">提供由经国家认证委认证的第三方检测机构出具的检测报告（检测报告上须含有“CMA”或“CNAS”标志），检测内容：1、保护连接，金属外壳与保护导体端子可靠连接；2、与电网电源的连接和设备零部件之间的连接；3、供电电源的断开，永久连接式设备和多相设备满足需求，应当采用开关或断路器作为断开装置；4、通过永久连接式设备保护连接的阻抗测试5、通过介电强度试验。</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控制面板</w:t>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屏幕尺寸</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≥7寸触摸屏</w:t>
            </w:r>
            <w:r/>
          </w:p>
        </w:tc>
        <w:tc>
          <w:tcPr>
            <w:tcW w:w="992"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397"/>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供水控制</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可实现远程集中控制整室给排水</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电源控制</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可实现远程分组控制学生高低压电源</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摇臂控制</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可实现远程控制摇臂升降机构</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983"/>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网络智能控制系统</w:t>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网络模块</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安装网络数据传输设备，吊装系统覆盖网络，接受智能控制。</w:t>
            </w:r>
            <w:r/>
          </w:p>
        </w:tc>
        <w:tc>
          <w:tcPr>
            <w:tcW w:w="992"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564"/>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内部线路</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工程级全无氧铜六类双绞线</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67"/>
        </w:trPr>
        <w:tc>
          <w:tcPr>
            <w:tcW w:w="534" w:type="dxa"/>
            <w:vAlign w:val="center"/>
            <w:vMerge w:val="restart"/>
            <w:textDirection w:val="lrTb"/>
            <w:noWrap w:val="false"/>
          </w:tcPr>
          <w:p>
            <w:pPr>
              <w:jc w:val="left"/>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低压系统</w:t>
            </w:r>
            <w:r/>
          </w:p>
        </w:tc>
        <w:tc>
          <w:tcPr>
            <w:tcW w:w="708" w:type="dxa"/>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低压电源控制系统</w:t>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低压交流电源</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2-30V/3A（2V一档）</w:t>
            </w:r>
            <w:r/>
          </w:p>
        </w:tc>
        <w:tc>
          <w:tcPr>
            <w:tcW w:w="992"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65"/>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低压直流电源</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1.25V-30V/3A，学生可进行微调。</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7"/>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模块内部线路</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采用通用优质铜芯电线进行系统布线。</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06"/>
        </w:trPr>
        <w:tc>
          <w:tcPr>
            <w:tcW w:w="534" w:type="dxa"/>
            <w:vAlign w:val="center"/>
            <w:vMerge w:val="restart"/>
            <w:textDirection w:val="lrTb"/>
            <w:noWrap w:val="false"/>
          </w:tcPr>
          <w:p>
            <w:pPr>
              <w:jc w:val="left"/>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摇臂升降机构</w:t>
            </w:r>
            <w:r/>
          </w:p>
        </w:tc>
        <w:tc>
          <w:tcPr>
            <w:tcW w:w="708" w:type="dxa"/>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摇臂升降机构</w:t>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控制系统</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摇臂升降机构接受智能控制系统信号实现远程遥控</w:t>
            </w:r>
            <w:r/>
          </w:p>
        </w:tc>
        <w:tc>
          <w:tcPr>
            <w:tcW w:w="992"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417"/>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动力</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24V低压减速电机</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13"/>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保护罩材质</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ABS工程塑料</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729"/>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▲支撑悬臂</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不小于1.2mm厚≥60×50mm椭圆形铝镁合金大型模具制作而成，表面阳极氧化磨砂处理。功能操作模块规格（长×高×厚）：不小于220×190×90mm，功能操作模块由正反面功能操作面板组成，主体均采用≥3.5mm厚ABS阻燃工程塑料一次注塑成型具有防火、防潮、防锈及防漏电功能</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826"/>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功能接口模块</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220V电源五孔插座、USB功能接口、网络接口。所有功能模块均接受智能控制系统控制</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82"/>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零件材质</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紧固零件均采用不锈钢材质</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2575"/>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相关质量说明文件：</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提供由经国家认证委认证的第三方检测机构出具的检测报告（检测报告上须含有“CMA”或“CNAS”标志），检测内容：1、高温试验，在非包装状态下，温度为55℃，保持4h，室温下恢复2h，试验后应无开裂、变形和明显变色，样品功能应正常。2、低温试验，在非包装状态下，温度为-25℃，保持4h，室温下恢复2h，试验后应无开裂、变形和明显变色，样品功能应正常。3、恒定湿热贮存试验，在非包装状态下温度为40℃，相对湿度为93%，保持48h，室温下恢复4h，试验后应无开裂、变形和明显变色，样品功能应正常。</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76"/>
        </w:trPr>
        <w:tc>
          <w:tcPr>
            <w:tcW w:w="534" w:type="dxa"/>
            <w:vAlign w:val="center"/>
            <w:vMerge w:val="restart"/>
            <w:textDirection w:val="lrTb"/>
            <w:noWrap w:val="false"/>
          </w:tcPr>
          <w:p>
            <w:pPr>
              <w:jc w:val="left"/>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给排水系统</w:t>
            </w:r>
            <w:r/>
          </w:p>
        </w:tc>
        <w:tc>
          <w:tcPr>
            <w:tcW w:w="708" w:type="dxa"/>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快速给排水接口</w:t>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侧板规格</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接受智能化控制系统控制，摇臂操作面板上预留快速给排水接口1对、信号控制接口1个。</w:t>
            </w:r>
            <w:r/>
          </w:p>
        </w:tc>
        <w:tc>
          <w:tcPr>
            <w:tcW w:w="992"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809"/>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快速给水接口材质/功能</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采用铜质镀镍工艺，自带止流阀和手动阀（止流阀可实现拔出给水管接头时，出水口自动止水）</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03"/>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快速排水接口材质/功能</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采用耐腐蚀、耐热、耐压、不结垢的PPR工程塑料注塑成型</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907"/>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模块化定制给排水管</w:t>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给水主管模块</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采用Ø20-32mmPP-R给水管，模块化设计，每组模块间采用活接式连接，方便安装、检修。</w:t>
            </w:r>
            <w:r/>
          </w:p>
        </w:tc>
        <w:tc>
          <w:tcPr>
            <w:tcW w:w="992"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146"/>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排水管模块</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采用加厚Ø50-75mmPVC-U国标管，模块化设计，每组模块间采用活接式连接，方便安装、检修。</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16"/>
        </w:trPr>
        <w:tc>
          <w:tcPr>
            <w:tcW w:w="534" w:type="dxa"/>
            <w:vAlign w:val="center"/>
            <w:vMerge w:val="restart"/>
            <w:textDirection w:val="lrTb"/>
            <w:noWrap w:val="false"/>
          </w:tcPr>
          <w:p>
            <w:pPr>
              <w:jc w:val="left"/>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吊舱系统主体构</w:t>
            </w:r>
            <w:r>
              <w:rPr>
                <w:rFonts w:hint="eastAsia" w:cs="宋体" w:asciiTheme="minorEastAsia" w:hAnsiTheme="minorEastAsia" w:eastAsiaTheme="minorEastAsia"/>
                <w:b/>
                <w:bCs/>
                <w:sz w:val="20"/>
                <w:szCs w:val="20"/>
                <w:lang w:bidi="ar"/>
              </w:rPr>
              <w:t xml:space="preserve">架</w:t>
            </w:r>
            <w:r/>
          </w:p>
        </w:tc>
        <w:tc>
          <w:tcPr>
            <w:tcW w:w="708" w:type="dxa"/>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吊顶安装可升降集成系统</w:t>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均采用厚度2.6mmABS工程塑料注塑成型</w:t>
            </w:r>
            <w:r/>
          </w:p>
        </w:tc>
        <w:tc>
          <w:tcPr>
            <w:tcW w:w="992"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616"/>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底板规格</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不小于200×300mm</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735"/>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侧板规格</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不小于300×240mm</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324"/>
        </w:trPr>
        <w:tc>
          <w:tcPr>
            <w:tcW w:w="534" w:type="dxa"/>
            <w:vAlign w:val="center"/>
            <w:vMerge w:val="continue"/>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7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系统安装辅件</w:t>
            </w:r>
            <w:r/>
          </w:p>
        </w:tc>
        <w:tc>
          <w:tcPr>
            <w:tcW w:w="12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固定件</w:t>
            </w:r>
            <w:r/>
          </w:p>
        </w:tc>
        <w:tc>
          <w:tcPr>
            <w:tcW w:w="708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主要辅件有：矩形钢、三角构件、直角座、龙骨架连接件、吊装挂件、安装连接板等。</w:t>
            </w:r>
            <w:r/>
          </w:p>
        </w:tc>
        <w:tc>
          <w:tcPr>
            <w:tcW w:w="992"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052"/>
        </w:trPr>
        <w:tc>
          <w:tcPr>
            <w:gridSpan w:val="3"/>
            <w:tcW w:w="251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W w:w="808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1.提供满足教材教学实验，提供给排水、高低压电源、网络，实现对学生端电源集中控制。</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物理智能吊装系统</w:t>
      </w:r>
      <w:r/>
    </w:p>
    <w:tbl>
      <w:tblPr>
        <w:tblW w:w="496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74"/>
        <w:gridCol w:w="570"/>
        <w:gridCol w:w="1094"/>
        <w:gridCol w:w="7127"/>
        <w:gridCol w:w="1134"/>
      </w:tblGrid>
      <w:tr>
        <w:trPr>
          <w:trHeight w:val="271"/>
          <w:tblHeader/>
        </w:trPr>
        <w:tc>
          <w:tcPr>
            <w:gridSpan w:val="3"/>
            <w:tcW w:w="1103"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3362"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W w:w="535"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510"/>
        </w:trPr>
        <w:tc>
          <w:tcPr>
            <w:tcW w:w="31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
                <w:bCs/>
                <w:sz w:val="20"/>
                <w:szCs w:val="20"/>
                <w:lang w:bidi="ar"/>
              </w:rPr>
              <w:t xml:space="preserve">电气控制系统</w:t>
            </w:r>
            <w:r/>
          </w:p>
        </w:tc>
        <w:tc>
          <w:tcPr>
            <w:tcW w:w="26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智能控制电气柜</w:t>
            </w:r>
            <w:r/>
          </w:p>
        </w:tc>
        <w:tc>
          <w:tcPr>
            <w:tcW w:w="51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规格：≥680×400×1770mm</w:t>
            </w:r>
            <w:r/>
          </w:p>
        </w:tc>
        <w:tc>
          <w:tcPr>
            <w:tcW w:w="535"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510"/>
        </w:trPr>
        <w:tc>
          <w:tcPr>
            <w:tcW w:w="31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2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1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▲内置控制模块</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总电源开关1个，电源保护器1个，PLC控制器及功能扩展模块1套，PLC专用电源1个，PLC保护模块1个、急停控制系统1个，工作指示灯1个等</w:t>
            </w:r>
            <w:r/>
          </w:p>
        </w:tc>
        <w:tc>
          <w:tcPr>
            <w:tcW w:w="535"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10"/>
        </w:trPr>
        <w:tc>
          <w:tcPr>
            <w:tcW w:w="31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2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1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电源控制系统</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具有PLC智能化控制系统集中控制，过载、短路等保护功能；</w:t>
            </w:r>
            <w:r/>
          </w:p>
        </w:tc>
        <w:tc>
          <w:tcPr>
            <w:tcW w:w="535"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10"/>
        </w:trPr>
        <w:tc>
          <w:tcPr>
            <w:tcW w:w="31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2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1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摇臂自动控制系统</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系统集中控制教室摇臂功能</w:t>
            </w:r>
            <w:r/>
          </w:p>
        </w:tc>
        <w:tc>
          <w:tcPr>
            <w:tcW w:w="535"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3"/>
        </w:trPr>
        <w:tc>
          <w:tcPr>
            <w:tcW w:w="31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2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1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相关质量说明文件：</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▲控制系统：采用工程PLC控制系统。</w:t>
            </w:r>
            <w:r>
              <w:rPr>
                <w:rFonts w:hint="eastAsia" w:cs="宋体" w:asciiTheme="minorEastAsia" w:hAnsiTheme="minorEastAsia" w:eastAsiaTheme="minorEastAsia"/>
                <w:sz w:val="20"/>
                <w:szCs w:val="20"/>
                <w:lang w:bidi="ar"/>
              </w:rPr>
              <w:br/>
              <w:t xml:space="preserve">（1）通信及运行状态指示灯；</w:t>
            </w:r>
            <w:r>
              <w:rPr>
                <w:rFonts w:hint="eastAsia" w:cs="宋体" w:asciiTheme="minorEastAsia" w:hAnsiTheme="minorEastAsia" w:eastAsiaTheme="minorEastAsia"/>
                <w:sz w:val="20"/>
                <w:szCs w:val="20"/>
                <w:lang w:bidi="ar"/>
              </w:rPr>
              <w:br/>
              <w:t xml:space="preserve">（2）所有模块的输入输出端子可拆卸；</w:t>
            </w:r>
            <w:r>
              <w:rPr>
                <w:rFonts w:hint="eastAsia" w:cs="宋体" w:asciiTheme="minorEastAsia" w:hAnsiTheme="minorEastAsia" w:eastAsiaTheme="minorEastAsia"/>
                <w:sz w:val="20"/>
                <w:szCs w:val="20"/>
                <w:lang w:bidi="ar"/>
              </w:rPr>
              <w:br/>
              <w:t xml:space="preserve">（3）插针式连接，模块连接紧密；</w:t>
            </w:r>
            <w:r>
              <w:rPr>
                <w:rFonts w:hint="eastAsia" w:cs="宋体" w:asciiTheme="minorEastAsia" w:hAnsiTheme="minorEastAsia" w:eastAsiaTheme="minorEastAsia"/>
                <w:sz w:val="20"/>
                <w:szCs w:val="20"/>
                <w:lang w:bidi="ar"/>
              </w:rPr>
              <w:br/>
              <w:t xml:space="preserve">（4）通用Micro SD卡，支持程序下载和PLC固件更新；</w:t>
            </w:r>
            <w:r>
              <w:rPr>
                <w:rFonts w:hint="eastAsia" w:cs="宋体" w:asciiTheme="minorEastAsia" w:hAnsiTheme="minorEastAsia" w:eastAsiaTheme="minorEastAsia"/>
                <w:sz w:val="20"/>
                <w:szCs w:val="20"/>
                <w:lang w:bidi="ar"/>
              </w:rPr>
              <w:br/>
              <w:t xml:space="preserve">（5）集成PROFINET接口，支持程序下载、设备组网。                    </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提供由经国家认证委认证的第三方检测机构出具的检测报告（检测报告上须含有“CMA”或“CNAS”标志），检测内容：1、保护连接，金属外壳与保护导体端子可靠连接；2、与电网电源的连接和设备零部件之间的连接；3、供电电源的断开，永久连接式设备和多相设备满足需求，应当采用开关或断路器作为断开装置；4、通过永久连接式设备保护连接的阻抗测试5、通过介电强度试验。</w:t>
            </w:r>
            <w:r/>
          </w:p>
        </w:tc>
        <w:tc>
          <w:tcPr>
            <w:tcW w:w="535"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10"/>
        </w:trPr>
        <w:tc>
          <w:tcPr>
            <w:tcW w:w="31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26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控制面板</w:t>
            </w:r>
            <w:r/>
          </w:p>
        </w:tc>
        <w:tc>
          <w:tcPr>
            <w:tcW w:w="51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屏幕尺寸</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≥7寸触摸屏</w:t>
            </w:r>
            <w:r/>
          </w:p>
        </w:tc>
        <w:tc>
          <w:tcPr>
            <w:tcW w:w="535"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10"/>
        </w:trPr>
        <w:tc>
          <w:tcPr>
            <w:tcW w:w="31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2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1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电源控制</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可实现远程分组控制学生高低压电源</w:t>
            </w:r>
            <w:r/>
          </w:p>
        </w:tc>
        <w:tc>
          <w:tcPr>
            <w:tcW w:w="535"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28"/>
        </w:trPr>
        <w:tc>
          <w:tcPr>
            <w:tcW w:w="31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2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1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摇臂控制</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可实现远程控制摇臂升降机构</w:t>
            </w:r>
            <w:r/>
          </w:p>
        </w:tc>
        <w:tc>
          <w:tcPr>
            <w:tcW w:w="535"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918"/>
        </w:trPr>
        <w:tc>
          <w:tcPr>
            <w:tcW w:w="31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2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1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通风控制系统</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可实现远程触摸数字无极变频控制，具有频率数字显示功能，可精确控制通风风量。</w:t>
            </w:r>
            <w:r/>
          </w:p>
        </w:tc>
        <w:tc>
          <w:tcPr>
            <w:tcW w:w="535"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818"/>
        </w:trPr>
        <w:tc>
          <w:tcPr>
            <w:tcW w:w="31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26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网络智能控制系统</w:t>
            </w:r>
            <w:r/>
          </w:p>
        </w:tc>
        <w:tc>
          <w:tcPr>
            <w:tcW w:w="51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网络模块</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安装网络数据传输设备，吊装系统覆盖网络，接受智能控制。</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462"/>
        </w:trPr>
        <w:tc>
          <w:tcPr>
            <w:tcW w:w="31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2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1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内部线路</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工程级全无氧铜六类双绞线</w:t>
            </w:r>
            <w:r/>
          </w:p>
        </w:tc>
        <w:tc>
          <w:tcPr>
            <w:tcW w:w="535"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80"/>
        </w:trPr>
        <w:tc>
          <w:tcPr>
            <w:tcW w:w="31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
                <w:bCs/>
                <w:sz w:val="20"/>
                <w:szCs w:val="20"/>
                <w:lang w:bidi="ar"/>
              </w:rPr>
              <w:t xml:space="preserve">低压系统</w:t>
            </w:r>
            <w:r/>
          </w:p>
        </w:tc>
        <w:tc>
          <w:tcPr>
            <w:tcW w:w="26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低压电源控制系统</w:t>
            </w:r>
            <w:r/>
          </w:p>
        </w:tc>
        <w:tc>
          <w:tcPr>
            <w:tcW w:w="51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低压交流电源</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2-30V/3A（2V一档）</w:t>
            </w:r>
            <w:r/>
          </w:p>
        </w:tc>
        <w:tc>
          <w:tcPr>
            <w:tcW w:w="535"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680"/>
        </w:trPr>
        <w:tc>
          <w:tcPr>
            <w:tcW w:w="31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2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1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低压直流电源</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1.25V-30V/3A，学生可进行微调。</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80"/>
        </w:trPr>
        <w:tc>
          <w:tcPr>
            <w:tcW w:w="31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26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1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模块内部线路</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采用通用优质铜芯电线进行系统布线。</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24"/>
        </w:trPr>
        <w:tc>
          <w:tcPr>
            <w:gridSpan w:val="2"/>
            <w:tcW w:w="587"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摇臂升降机构</w:t>
            </w:r>
            <w:r/>
          </w:p>
        </w:tc>
        <w:tc>
          <w:tcPr>
            <w:tcW w:w="51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控制系统</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摇臂升降机构接受智能控制系统信号实现远程遥控</w:t>
            </w:r>
            <w:r/>
          </w:p>
        </w:tc>
        <w:tc>
          <w:tcPr>
            <w:tcW w:w="535"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624"/>
        </w:trPr>
        <w:tc>
          <w:tcPr>
            <w:gridSpan w:val="2"/>
            <w:tcW w:w="58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1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动力</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24V低压减速电机</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24"/>
        </w:trPr>
        <w:tc>
          <w:tcPr>
            <w:gridSpan w:val="2"/>
            <w:tcW w:w="58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1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保护罩材质</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ABS工程塑料</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002"/>
        </w:trPr>
        <w:tc>
          <w:tcPr>
            <w:gridSpan w:val="2"/>
            <w:tcW w:w="58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1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▲支撑悬臂</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不小于1.2mm厚≥60×50mm椭圆形铝镁合金大型模具制作而成，表面阳极氧化磨砂处理。功能操作模块规格（长×高×厚）：不小于220×190×90mm，功能操作模块由正反面功能操作面板组成，主体均采用≥3.5mm厚ABS阻燃工程塑料一次注塑成型具有防火、防潮、防锈及防漏电功能</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827"/>
        </w:trPr>
        <w:tc>
          <w:tcPr>
            <w:gridSpan w:val="2"/>
            <w:tcW w:w="58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1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功能接口模块</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220V电源五孔插座、USB功能接口、网络接口。所有功能模块均接受智能控制系统控制</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70"/>
        </w:trPr>
        <w:tc>
          <w:tcPr>
            <w:gridSpan w:val="2"/>
            <w:tcW w:w="58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1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零件材质</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紧固零件均采用不锈钢材质</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782"/>
        </w:trPr>
        <w:tc>
          <w:tcPr>
            <w:gridSpan w:val="2"/>
            <w:tcW w:w="58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1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相关质量说明文件：</w:t>
            </w:r>
            <w:r/>
          </w:p>
        </w:tc>
        <w:tc>
          <w:tcPr>
            <w:tcW w:w="33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提供由经国家认证委认证的第三方检测机构出具的检测报告（检测报告上须含有“CMA”或“CNAS”标志），检测内容：1、高温试验，在非包装状态下，温度为55℃，保持4h，室温下恢复2h，试验后应无开裂、变形和明显变色，样品功能应正常。2、低温试验，在非包装状态下，温度为-25℃，保持4h，室温下恢复2h，试验后应无开裂、变形和明显变色，样品功能应正常。3、恒定湿热贮存试验，在非包装状态下温度为40℃，相对湿度为93%，保持48h，室温下恢复4h，试验后应无开裂、变形和明显变色，样品功能应正常。</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169"/>
        </w:trPr>
        <w:tc>
          <w:tcPr>
            <w:gridSpan w:val="3"/>
            <w:tcW w:w="110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W w:w="389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1.提供满足教材教学实验，提供给高低压电源、网络，实现对学生端电源集中控制。</w:t>
            </w:r>
            <w:r/>
          </w:p>
        </w:tc>
      </w:tr>
    </w:tbl>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教室通风系统（化学上通风实验室）</w:t>
      </w:r>
      <w:r/>
    </w:p>
    <w:tbl>
      <w:tblPr>
        <w:tblW w:w="496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00"/>
        <w:gridCol w:w="1134"/>
        <w:gridCol w:w="7229"/>
        <w:gridCol w:w="1136"/>
      </w:tblGrid>
      <w:tr>
        <w:trPr>
          <w:trHeight w:val="408"/>
          <w:tblHeader/>
        </w:trPr>
        <w:tc>
          <w:tcPr>
            <w:gridSpan w:val="2"/>
            <w:tcW w:w="105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3410"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W w:w="536"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567"/>
        </w:trPr>
        <w:tc>
          <w:tcPr>
            <w:tcW w:w="51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≥2650×750×850mm</w:t>
            </w:r>
            <w:r/>
          </w:p>
        </w:tc>
        <w:tc>
          <w:tcPr>
            <w:tcW w:w="53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67"/>
        </w:trPr>
        <w:tc>
          <w:tcPr>
            <w:tcW w:w="519"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万向式吸风罩</w:t>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▲1、万向节采用铝合金材质，表面经电泳、静电环氧树脂粉末喷涂处理。</w:t>
            </w:r>
            <w:r/>
          </w:p>
        </w:tc>
        <w:tc>
          <w:tcPr>
            <w:tcW w:w="53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w:t>
            </w:r>
            <w:r/>
          </w:p>
        </w:tc>
      </w:tr>
      <w:tr>
        <w:trPr>
          <w:trHeight w:val="567"/>
        </w:trPr>
        <w:tc>
          <w:tcPr>
            <w:tcW w:w="51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活动关节采用高密度PP材质，旋钮式螺纹压紧；可360度旋转调节方向，易拆卸、重组及清洗；</w:t>
            </w:r>
            <w:r/>
          </w:p>
        </w:tc>
        <w:tc>
          <w:tcPr>
            <w:tcW w:w="536"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51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阀门</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气流调节阀采用手动调节外部阀门旋钮，控制进入之气流量；</w:t>
            </w:r>
            <w:r/>
          </w:p>
        </w:tc>
        <w:tc>
          <w:tcPr>
            <w:tcW w:w="536"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96"/>
        </w:trPr>
        <w:tc>
          <w:tcPr>
            <w:tcW w:w="51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连接管</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PC塑料成型制作风口柔性伸缩连接管；</w:t>
            </w:r>
            <w:r/>
          </w:p>
        </w:tc>
        <w:tc>
          <w:tcPr>
            <w:tcW w:w="536"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7"/>
        </w:trPr>
        <w:tc>
          <w:tcPr>
            <w:tcW w:w="51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相关质量说明文件：</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▲提供由经国家认证委认证的第三方检测机构出具的检测报告（检测报告上须含有“CMA”或“CNAS”标志），检测内容：经3OOh中性盐雾试验后，达到外观评级10级相关要求；</w:t>
            </w:r>
            <w:r/>
          </w:p>
        </w:tc>
        <w:tc>
          <w:tcPr>
            <w:tcW w:w="536"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709"/>
        </w:trPr>
        <w:tc>
          <w:tcPr>
            <w:tcW w:w="51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风量分布控制器</w:t>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主体材质</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ABS工程注塑</w:t>
            </w:r>
            <w:r/>
          </w:p>
        </w:tc>
        <w:tc>
          <w:tcPr>
            <w:tcW w:w="53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w:t>
            </w:r>
            <w:r/>
          </w:p>
        </w:tc>
      </w:tr>
      <w:tr>
        <w:trPr>
          <w:trHeight w:val="397"/>
        </w:trPr>
        <w:tc>
          <w:tcPr>
            <w:tcW w:w="519"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实验通风机</w:t>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功率</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5.5KW，箱式变频6#带自动调速机</w:t>
            </w:r>
            <w:r/>
          </w:p>
        </w:tc>
        <w:tc>
          <w:tcPr>
            <w:tcW w:w="53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397"/>
        </w:trPr>
        <w:tc>
          <w:tcPr>
            <w:tcW w:w="51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≥1100×1100×1100mm</w:t>
            </w:r>
            <w:r/>
          </w:p>
        </w:tc>
        <w:tc>
          <w:tcPr>
            <w:tcW w:w="536"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W w:w="51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重量</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约210kg</w:t>
            </w:r>
            <w:r/>
          </w:p>
        </w:tc>
        <w:tc>
          <w:tcPr>
            <w:tcW w:w="536"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W w:w="51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电压</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380V</w:t>
            </w:r>
            <w:r/>
          </w:p>
        </w:tc>
        <w:tc>
          <w:tcPr>
            <w:tcW w:w="536"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W w:w="51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噪音</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≤70分贝</w:t>
            </w:r>
            <w:r/>
          </w:p>
        </w:tc>
        <w:tc>
          <w:tcPr>
            <w:tcW w:w="536"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W w:w="51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风流量</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10210-15600M3/h</w:t>
            </w:r>
            <w:r/>
          </w:p>
        </w:tc>
        <w:tc>
          <w:tcPr>
            <w:tcW w:w="536"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W w:w="51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全压</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946-890Pa</w:t>
            </w:r>
            <w:r/>
          </w:p>
        </w:tc>
        <w:tc>
          <w:tcPr>
            <w:tcW w:w="536"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W w:w="51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转速</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950r/min</w:t>
            </w:r>
            <w:r/>
          </w:p>
        </w:tc>
        <w:tc>
          <w:tcPr>
            <w:tcW w:w="536"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7"/>
        </w:trPr>
        <w:tc>
          <w:tcPr>
            <w:tcW w:w="519"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控制系统</w:t>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开关</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风机开关及变频控制系统：5.5KW变频器，采用高级电子集成电路，无级调速，随意控制风机风速和风量大小。</w:t>
            </w:r>
            <w:r/>
          </w:p>
        </w:tc>
        <w:tc>
          <w:tcPr>
            <w:tcW w:w="53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57"/>
        </w:trPr>
        <w:tc>
          <w:tcPr>
            <w:tcW w:w="51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风机进出口接头</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φ315mm,PVC材质</w:t>
            </w:r>
            <w:r/>
          </w:p>
        </w:tc>
        <w:tc>
          <w:tcPr>
            <w:tcW w:w="536"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763"/>
        </w:trPr>
        <w:tc>
          <w:tcPr>
            <w:tcW w:w="51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通风机弯头</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6#通风机弯头：高级树脂复合材料</w:t>
            </w:r>
            <w:r/>
          </w:p>
        </w:tc>
        <w:tc>
          <w:tcPr>
            <w:tcW w:w="536"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7"/>
        </w:trPr>
        <w:tc>
          <w:tcPr>
            <w:tcW w:w="519"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风机控制线规格</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Ø25mmPVC线管，4平方毫米、2.5平方毫米电线</w:t>
            </w:r>
            <w:r/>
          </w:p>
        </w:tc>
        <w:tc>
          <w:tcPr>
            <w:tcW w:w="536" w:type="pct"/>
            <w:vAlign w:val="center"/>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32"/>
        </w:trPr>
        <w:tc>
          <w:tcPr>
            <w:tcW w:w="51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通风管道</w:t>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室内风管</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规格：室内分别为φ315mm；φ200mm，φ110mm室内主、副管。</w:t>
            </w:r>
            <w:r/>
          </w:p>
        </w:tc>
        <w:tc>
          <w:tcPr>
            <w:tcW w:w="53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56"/>
        </w:trPr>
        <w:tc>
          <w:tcPr>
            <w:tcW w:w="5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室外风管</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选用φ315mm、φ250mm等规格，转接头及室外至楼顶管。</w:t>
            </w:r>
            <w:r/>
          </w:p>
        </w:tc>
        <w:tc>
          <w:tcPr>
            <w:tcW w:w="536"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32"/>
        </w:trPr>
        <w:tc>
          <w:tcPr>
            <w:tcW w:w="51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活性炭废气处理器</w:t>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处理风量</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处理风量：3000m3/h。</w:t>
            </w:r>
            <w:r/>
          </w:p>
        </w:tc>
        <w:tc>
          <w:tcPr>
            <w:tcW w:w="53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632"/>
        </w:trPr>
        <w:tc>
          <w:tcPr>
            <w:tcW w:w="5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安装方式</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吸附单元在设备箱体内分层格栅式安装，要求能够非常方便的检修及更换。</w:t>
            </w:r>
            <w:r/>
          </w:p>
        </w:tc>
        <w:tc>
          <w:tcPr>
            <w:tcW w:w="536"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32"/>
        </w:trPr>
        <w:tc>
          <w:tcPr>
            <w:tcW w:w="5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设备材质</w:t>
            </w:r>
            <w:r/>
          </w:p>
        </w:tc>
        <w:tc>
          <w:tcPr>
            <w:tcW w:w="34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PP板材</w:t>
            </w:r>
            <w:r/>
          </w:p>
        </w:tc>
        <w:tc>
          <w:tcPr>
            <w:tcW w:w="536"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565"/>
        </w:trPr>
        <w:tc>
          <w:tcPr>
            <w:gridSpan w:val="2"/>
            <w:tcW w:w="105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W w:w="394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1.综合实现化学实验室、准备室、药品（危化品）室的通风，实验室桌面吸风，危化品储存设备、药品储存设备、通风操作设备排风，将废气净化后经风管排至楼顶。采用教师主控，变频设计。</w:t>
            </w:r>
            <w:r>
              <w:rPr>
                <w:rFonts w:hint="eastAsia" w:cs="宋体" w:asciiTheme="minorEastAsia" w:hAnsiTheme="minorEastAsia" w:eastAsiaTheme="minorEastAsia"/>
                <w:sz w:val="20"/>
                <w:szCs w:val="20"/>
                <w:lang w:bidi="ar"/>
              </w:rPr>
              <w:br/>
              <w:t xml:space="preserve">2.为成套设备：变频风机、万向抽气罩、室内外通风管道（含止逆阀）、废气净化处理器、控制器、辅材等。</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准备室通风系统（化学），数量：2</w:t>
      </w:r>
      <w:r/>
    </w:p>
    <w:tbl>
      <w:tblPr>
        <w:tblW w:w="482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521"/>
        <w:gridCol w:w="1283"/>
        <w:gridCol w:w="7511"/>
      </w:tblGrid>
      <w:tr>
        <w:trPr>
          <w:trHeight w:val="435"/>
          <w:tblHeader/>
        </w:trPr>
        <w:tc>
          <w:tcPr>
            <w:gridSpan w:val="2"/>
            <w:tcW w:w="1359"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参数名称</w:t>
            </w:r>
            <w:r/>
          </w:p>
        </w:tc>
        <w:tc>
          <w:tcPr>
            <w:tcW w:w="3641"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参数要求</w:t>
            </w:r>
            <w:r/>
          </w:p>
        </w:tc>
      </w:tr>
      <w:tr>
        <w:trPr>
          <w:trHeight w:val="454"/>
        </w:trPr>
        <w:tc>
          <w:tcPr>
            <w:tcW w:w="737"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风机</w:t>
            </w:r>
            <w:r/>
          </w:p>
        </w:tc>
        <w:tc>
          <w:tcPr>
            <w:tcW w:w="622" w:type="pct"/>
            <w:vAlign w:val="center"/>
            <w:textDirection w:val="lrTb"/>
            <w:noWrap w:val="false"/>
          </w:tcPr>
          <w:p>
            <w:pPr>
              <w:jc w:val="left"/>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lang w:bidi="ar"/>
              </w:rPr>
              <w:t xml:space="preserve">规格</w:t>
            </w:r>
            <w:r/>
          </w:p>
        </w:tc>
        <w:tc>
          <w:tcPr>
            <w:tcW w:w="3641" w:type="pct"/>
            <w:vAlign w:val="center"/>
            <w:textDirection w:val="lrTb"/>
            <w:noWrap w:val="false"/>
          </w:tcPr>
          <w:p>
            <w:pPr>
              <w:jc w:val="left"/>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lang w:bidi="ar"/>
              </w:rPr>
              <w:t xml:space="preserve">≧850×950×950</w:t>
            </w:r>
            <w:r/>
          </w:p>
        </w:tc>
      </w:tr>
      <w:tr>
        <w:trPr>
          <w:trHeight w:val="454"/>
        </w:trPr>
        <w:tc>
          <w:tcPr>
            <w:tcW w:w="73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功率</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2.2KW</w:t>
            </w:r>
            <w:r/>
          </w:p>
        </w:tc>
      </w:tr>
      <w:tr>
        <w:trPr>
          <w:trHeight w:val="454"/>
        </w:trPr>
        <w:tc>
          <w:tcPr>
            <w:tcW w:w="73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电压</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380V</w:t>
            </w:r>
            <w:r/>
          </w:p>
        </w:tc>
      </w:tr>
      <w:tr>
        <w:trPr>
          <w:trHeight w:val="454"/>
        </w:trPr>
        <w:tc>
          <w:tcPr>
            <w:tcW w:w="73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噪音</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≤50分贝</w:t>
            </w:r>
            <w:r/>
          </w:p>
        </w:tc>
      </w:tr>
      <w:tr>
        <w:trPr>
          <w:trHeight w:val="454"/>
        </w:trPr>
        <w:tc>
          <w:tcPr>
            <w:tcW w:w="73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风流量</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4700-6350m³/h</w:t>
            </w:r>
            <w:r/>
          </w:p>
        </w:tc>
      </w:tr>
      <w:tr>
        <w:trPr>
          <w:trHeight w:val="454"/>
        </w:trPr>
        <w:tc>
          <w:tcPr>
            <w:tcW w:w="73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全压</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446-435Pa</w:t>
            </w:r>
            <w:r/>
          </w:p>
        </w:tc>
      </w:tr>
      <w:tr>
        <w:trPr>
          <w:trHeight w:val="454"/>
        </w:trPr>
        <w:tc>
          <w:tcPr>
            <w:tcW w:w="73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转速</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950r/min</w:t>
            </w:r>
            <w:r/>
          </w:p>
        </w:tc>
      </w:tr>
      <w:tr>
        <w:trPr>
          <w:trHeight w:val="454"/>
        </w:trPr>
        <w:tc>
          <w:tcPr>
            <w:tcW w:w="73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换气次数</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每小时教室换气次数20次以上</w:t>
            </w:r>
            <w:r/>
          </w:p>
        </w:tc>
      </w:tr>
      <w:tr>
        <w:trPr>
          <w:trHeight w:val="454"/>
        </w:trPr>
        <w:tc>
          <w:tcPr>
            <w:tcW w:w="737"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漏电保护装置</w:t>
            </w:r>
            <w:r/>
          </w:p>
        </w:tc>
        <w:tc>
          <w:tcPr>
            <w:tcW w:w="62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主体采用PC阻燃热固性外壳</w:t>
            </w:r>
            <w:r/>
          </w:p>
        </w:tc>
      </w:tr>
      <w:tr>
        <w:trPr>
          <w:trHeight w:val="454"/>
        </w:trPr>
        <w:tc>
          <w:tcPr>
            <w:tcW w:w="73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响应时间</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0.06s急速断电</w:t>
            </w:r>
            <w:r/>
          </w:p>
        </w:tc>
      </w:tr>
      <w:tr>
        <w:trPr>
          <w:trHeight w:val="454"/>
        </w:trPr>
        <w:tc>
          <w:tcPr>
            <w:tcW w:w="737"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风管</w:t>
            </w:r>
            <w:r/>
          </w:p>
        </w:tc>
        <w:tc>
          <w:tcPr>
            <w:tcW w:w="62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风机进出口接头</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φ250,PVC材质</w:t>
            </w:r>
            <w:r/>
          </w:p>
        </w:tc>
      </w:tr>
      <w:tr>
        <w:trPr>
          <w:trHeight w:val="454"/>
        </w:trPr>
        <w:tc>
          <w:tcPr>
            <w:tcW w:w="73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风机弯头</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高级树脂复合材料</w:t>
            </w:r>
            <w:r/>
          </w:p>
        </w:tc>
      </w:tr>
      <w:tr>
        <w:trPr>
          <w:trHeight w:val="454"/>
        </w:trPr>
        <w:tc>
          <w:tcPr>
            <w:tcW w:w="73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管道及安装</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规格：采用φ200，φ110室内主、副管，转接头及室外管。</w:t>
            </w:r>
            <w:r/>
          </w:p>
        </w:tc>
      </w:tr>
      <w:tr>
        <w:trPr>
          <w:trHeight w:val="454"/>
        </w:trPr>
        <w:tc>
          <w:tcPr>
            <w:tcW w:w="73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风机控制线</w:t>
            </w:r>
            <w:r/>
          </w:p>
        </w:tc>
        <w:tc>
          <w:tcPr>
            <w:tcW w:w="62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φ25电气布线：铜芯24芯，优质UPVC(国标)管，耐压500V。</w:t>
            </w:r>
            <w:r/>
          </w:p>
        </w:tc>
      </w:tr>
      <w:tr>
        <w:trPr>
          <w:trHeight w:val="454"/>
        </w:trPr>
        <w:tc>
          <w:tcPr>
            <w:tcW w:w="737"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活性炭废气处理器</w:t>
            </w:r>
            <w:r/>
          </w:p>
        </w:tc>
        <w:tc>
          <w:tcPr>
            <w:tcW w:w="62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处理风量</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处理风量：3000m3/h。</w:t>
            </w:r>
            <w:r/>
          </w:p>
        </w:tc>
      </w:tr>
      <w:tr>
        <w:trPr>
          <w:trHeight w:val="454"/>
        </w:trPr>
        <w:tc>
          <w:tcPr>
            <w:tcW w:w="737" w:type="pct"/>
            <w:vAlign w:val="center"/>
            <w:vMerge w:val="continue"/>
            <w:textDirection w:val="lrTb"/>
            <w:noWrap w:val="false"/>
          </w:tcPr>
          <w:p>
            <w:pPr>
              <w:jc w:val="center"/>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2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安装方式</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吸附单元在设备箱体内分层格栅式安装，要求能够非常方便的检修及更换。</w:t>
            </w:r>
            <w:r/>
          </w:p>
        </w:tc>
      </w:tr>
      <w:tr>
        <w:trPr>
          <w:trHeight w:val="454"/>
        </w:trPr>
        <w:tc>
          <w:tcPr>
            <w:tcW w:w="737" w:type="pct"/>
            <w:vAlign w:val="center"/>
            <w:vMerge w:val="continue"/>
            <w:textDirection w:val="lrTb"/>
            <w:noWrap w:val="false"/>
          </w:tcPr>
          <w:p>
            <w:pPr>
              <w:jc w:val="center"/>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W w:w="62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设备材质</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PP板材</w:t>
            </w:r>
            <w:r/>
          </w:p>
        </w:tc>
      </w:tr>
      <w:tr>
        <w:trPr>
          <w:trHeight w:val="1601"/>
        </w:trPr>
        <w:tc>
          <w:tcPr>
            <w:gridSpan w:val="2"/>
            <w:tcW w:w="135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W w:w="364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1.综合实现准备室、药品（危化品）室的通风，危化品储存设备（含新购、原有）、药品储存设备、通风操作设备排风，将废气净化后经风管排至楼顶。采用变频设计。</w:t>
            </w:r>
            <w:r>
              <w:rPr>
                <w:rFonts w:hint="eastAsia" w:cs="宋体" w:asciiTheme="minorEastAsia" w:hAnsiTheme="minorEastAsia" w:eastAsiaTheme="minorEastAsia"/>
                <w:sz w:val="20"/>
                <w:szCs w:val="20"/>
                <w:lang w:bidi="ar"/>
              </w:rPr>
              <w:br/>
              <w:t xml:space="preserve">2.为成套设备：变频风机、室内外通风管道（含止逆阀）、废气净化处理器、控制器、辅材等。</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实验室综合废水处理系统（化学）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01"/>
        <w:gridCol w:w="1417"/>
        <w:gridCol w:w="6804"/>
        <w:gridCol w:w="1360"/>
      </w:tblGrid>
      <w:tr>
        <w:trPr>
          <w:trHeight w:val="597"/>
          <w:tblHeader/>
        </w:trPr>
        <w:tc>
          <w:tcPr>
            <w:gridSpan w:val="2"/>
            <w:tcW w:w="2518"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6804"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W w:w="1360"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624"/>
        </w:trPr>
        <w:tc>
          <w:tcPr>
            <w:tcW w:w="1101"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W w:w="1417"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≧1500*750*1600hmm </w:t>
            </w:r>
            <w:r/>
          </w:p>
        </w:tc>
        <w:tc>
          <w:tcPr>
            <w:tcW w:w="1360"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1套</w:t>
            </w:r>
            <w:r/>
          </w:p>
        </w:tc>
      </w:tr>
      <w:tr>
        <w:trPr>
          <w:trHeight w:val="624"/>
        </w:trPr>
        <w:tc>
          <w:tcPr>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417"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主体材质</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PE内衬+外部静电电泳碳钢喷塑</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24"/>
        </w:trPr>
        <w:tc>
          <w:tcPr>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417"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处理量</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1000kg/天</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24"/>
        </w:trPr>
        <w:tc>
          <w:tcPr>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417"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上水管要求</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预留Φ20（DN15）内丝接口距离地面高度1米；</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24"/>
        </w:trPr>
        <w:tc>
          <w:tcPr>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417"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污水来源管道要求</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Φ50（DN40）靠近墙角处高度距离地面20CM</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24"/>
        </w:trPr>
        <w:tc>
          <w:tcPr>
            <w:tcW w:w="1101"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占地面积</w:t>
            </w:r>
            <w:r/>
          </w:p>
        </w:tc>
        <w:tc>
          <w:tcPr>
            <w:tcW w:w="1417"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设备总占地面积10平米左右</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24"/>
        </w:trPr>
        <w:tc>
          <w:tcPr>
            <w:tcW w:w="1101"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w:t>
            </w:r>
            <w:r/>
          </w:p>
        </w:tc>
        <w:tc>
          <w:tcPr>
            <w:tcW w:w="1417"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电源输入</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AC220V</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24"/>
        </w:trPr>
        <w:tc>
          <w:tcPr>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417"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运行功率</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总功率不大于2kw</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1101"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自动搅拌混凝气浮装置</w:t>
            </w:r>
            <w:r/>
          </w:p>
        </w:tc>
        <w:tc>
          <w:tcPr>
            <w:tcW w:w="1417"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复合材质、包含风机和曝气装置</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1101"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自动絮凝助凝沉淀装置</w:t>
            </w:r>
            <w:r/>
          </w:p>
        </w:tc>
        <w:tc>
          <w:tcPr>
            <w:tcW w:w="1417"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PP材质、耐腐蚀</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417"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药箱</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PE材质、 耐腐蚀一体成型</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417"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计量泵</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12升、耐腐蚀</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1101"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电催化氧化系统</w:t>
            </w:r>
            <w:r/>
          </w:p>
        </w:tc>
        <w:tc>
          <w:tcPr>
            <w:tcW w:w="1417"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复合材质、包含催化装置和曝气装置</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1101"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重金属去除系统</w:t>
            </w:r>
            <w:r/>
          </w:p>
        </w:tc>
        <w:tc>
          <w:tcPr>
            <w:tcW w:w="1417"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复合材质、包含加药装置</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54"/>
        </w:trPr>
        <w:tc>
          <w:tcPr>
            <w:tcW w:w="1101"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141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无机物类废水处理</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重金属离子、酸碱PH值、卤素离子及其他非金属离子等；a、重金属离子：汞、镉、铬、铅、锰、银 、镍、锌、铜、铝、砷等金属阳离子以及处于络合状态的重金属离子团(Cr2O7)2-、(CuCN) -、(AuCN)- 、(Ptcl6)2-等；b、酸碱PH值:硝酸、盐酸、硫酸、双氧水、氯化钾、氯化钙等；</w:t>
            </w:r>
            <w:r/>
          </w:p>
        </w:tc>
        <w:tc>
          <w:tcPr>
            <w:tcW w:w="1360" w:type="dxa"/>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54"/>
        </w:trPr>
        <w:tc>
          <w:tcPr>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41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有机物类废水处理</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有机物类废水：有机溶剂、蛋白质、多环芳烃、卤代烃、甲苯，苯酚，烷烃、烯烃、酮、醚、酚、醛、有机磷等；</w:t>
            </w:r>
            <w:r/>
          </w:p>
        </w:tc>
        <w:tc>
          <w:tcPr>
            <w:tcW w:w="1360" w:type="dxa"/>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54"/>
        </w:trPr>
        <w:tc>
          <w:tcPr>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41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生物类废水处理</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生物类污染物主要含细菌、病毒等病原微生物等；</w:t>
            </w:r>
            <w:r/>
          </w:p>
        </w:tc>
        <w:tc>
          <w:tcPr>
            <w:tcW w:w="1360" w:type="dxa"/>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979"/>
        </w:trPr>
        <w:tc>
          <w:tcPr>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41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重金属离子处理</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汞、镉、铬、铅、锰、银  、镍、锌、铜、铝、砷等金属阳离子以及处于络合状态的重金属离子团(Cr2O7)2-、(CuCN)  -、(AuCN)-  、(Ptcl6)2-等；</w:t>
            </w:r>
            <w:r/>
          </w:p>
        </w:tc>
        <w:tc>
          <w:tcPr>
            <w:tcW w:w="1360" w:type="dxa"/>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2594"/>
        </w:trPr>
        <w:tc>
          <w:tcPr>
            <w:tcW w:w="1101"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操作系统</w:t>
            </w:r>
            <w:r/>
          </w:p>
        </w:tc>
        <w:tc>
          <w:tcPr>
            <w:tcW w:w="1417"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配置要求</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1.实验室综合废水收集及预沉淀装置； 2.酸碱PH自动调节装置；3.定量加药全自动气浮装置；4.絮凝助凝沉淀反应处理装置； 5.过滤沉淀分离装置；  6.重金属捕捉系统；7.光催化氧化反应处理系统；8.两级有机生物活性处理系统； 9.复合式消毒处理装置；10.全自动控制，无需专人维护；11.采用高低液位、延时、定时控制方式；12.收集池为一体成型，确保无渗漏；13.设备自带污泥干化分离装置；14.气浮装置采用定量延时曝气功能。</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26"/>
        </w:trPr>
        <w:tc>
          <w:tcPr>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417"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设备通讯线路</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支持485通信</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56"/>
        </w:trPr>
        <w:tc>
          <w:tcPr>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417"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模块有应急功能</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有应急溢流装置</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2271"/>
        </w:trPr>
        <w:tc>
          <w:tcPr>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417"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系统应超标报警功能、设备运行出错报警功能，硬件部分</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有数字显示、蜂鸣器报警</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979"/>
        </w:trPr>
        <w:tc>
          <w:tcPr>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417"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设备控制系统及性能</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采用PLC自动控制，并具备通讯、打印、数据传输功能；屏幕可显示液位高度及状态；LED全中文操作页面，能够实时显示仪器的运行状态信息。</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625"/>
        </w:trPr>
        <w:tc>
          <w:tcPr>
            <w:gridSpan w:val="2"/>
            <w:tcW w:w="251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▲其他要求</w:t>
            </w:r>
            <w:r/>
          </w:p>
        </w:tc>
        <w:tc>
          <w:tcPr>
            <w:tcW w:w="6804" w:type="dxa"/>
            <w:vAlign w:val="center"/>
            <w:textDirection w:val="lrTb"/>
            <w:noWrap w:val="false"/>
          </w:tcPr>
          <w:p>
            <w:pPr>
              <w:ind w:firstLine="200"/>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经设备处理后废水符合国家医疗机构污水排放标准GB18466-2005标准要求及CJ343-2010污水排入城市下水道水质标准要求。企业具有消毒产品生产企业许可证、具备消毒产品网上备案截图。具有实验室废水处理设备管理系统软件著作权证书、废水处理设备控制系统软件著作权证书。</w:t>
            </w:r>
            <w:r/>
          </w:p>
        </w:tc>
        <w:tc>
          <w:tcPr>
            <w:tcW w:w="1360" w:type="dxa"/>
            <w:vMerge w:val="continue"/>
            <w:textDirection w:val="lrTb"/>
            <w:noWrap w:val="false"/>
          </w:tcPr>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302"/>
        </w:trPr>
        <w:tc>
          <w:tcPr>
            <w:gridSpan w:val="2"/>
            <w:tcW w:w="251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W w:w="6804"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1.设备日处理量1000L/D；</w:t>
            </w:r>
            <w:r>
              <w:rPr>
                <w:rFonts w:hint="eastAsia" w:cs="宋体" w:asciiTheme="minorEastAsia" w:hAnsiTheme="minorEastAsia" w:eastAsiaTheme="minorEastAsia"/>
                <w:sz w:val="20"/>
                <w:szCs w:val="20"/>
                <w:lang w:bidi="ar"/>
              </w:rPr>
              <w:br/>
              <w:t xml:space="preserve">2.需实现：所有化学实验室、化学准备室的排水，经设备处理后废水符合国家医疗机构污水排放标准GB18466-2005标准要求及CJ343-2010污水排入城市下水道水质标准要求。                                            </w:t>
            </w:r>
            <w:r/>
          </w:p>
        </w:tc>
        <w:tc>
          <w:tcPr>
            <w:tcW w:w="1360" w:type="dxa"/>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bl>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实验室照明系统</w:t>
      </w:r>
      <w:r/>
    </w:p>
    <w:tbl>
      <w:tblPr>
        <w:tblW w:w="496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25"/>
        <w:gridCol w:w="1043"/>
        <w:gridCol w:w="1416"/>
        <w:gridCol w:w="6523"/>
        <w:gridCol w:w="992"/>
      </w:tblGrid>
      <w:tr>
        <w:trPr>
          <w:trHeight w:val="408"/>
          <w:tblHeader/>
        </w:trPr>
        <w:tc>
          <w:tcPr>
            <w:gridSpan w:val="3"/>
            <w:tcW w:w="1455"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参数名称</w:t>
            </w:r>
            <w:r/>
          </w:p>
        </w:tc>
        <w:tc>
          <w:tcPr>
            <w:tcW w:w="3077"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参数要求</w:t>
            </w:r>
            <w:r/>
          </w:p>
        </w:tc>
        <w:tc>
          <w:tcPr>
            <w:tcW w:w="468"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数量</w:t>
            </w:r>
            <w:r/>
          </w:p>
        </w:tc>
      </w:tr>
      <w:tr>
        <w:trPr>
          <w:trHeight w:val="567"/>
        </w:trPr>
        <w:tc>
          <w:tcPr>
            <w:tcW w:w="295"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
                <w:bCs/>
                <w:sz w:val="22"/>
                <w:szCs w:val="22"/>
                <w:lang w:bidi="ar"/>
              </w:rPr>
              <w:t xml:space="preserve">LED教室灯长灯</w:t>
            </w:r>
            <w:r/>
          </w:p>
        </w:tc>
        <w:tc>
          <w:tcPr>
            <w:gridSpan w:val="2"/>
            <w:tcW w:w="1160" w:type="pct"/>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长度≥1000mm，为一体式微晶防眩面板灯。</w:t>
            </w:r>
            <w:r/>
          </w:p>
        </w:tc>
        <w:tc>
          <w:tcPr>
            <w:tcW w:w="468"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54</w:t>
            </w:r>
            <w:r/>
          </w:p>
        </w:tc>
      </w:tr>
      <w:tr>
        <w:trPr>
          <w:trHeight w:val="567"/>
        </w:trPr>
        <w:tc>
          <w:tcPr>
            <w:tcW w:w="295"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49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66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额定功率</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≤40W</w:t>
            </w:r>
            <w:r/>
          </w:p>
        </w:tc>
        <w:tc>
          <w:tcPr>
            <w:tcW w:w="468"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295"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9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6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色温</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3300-5300K</w:t>
            </w:r>
            <w:r/>
          </w:p>
        </w:tc>
        <w:tc>
          <w:tcPr>
            <w:tcW w:w="468"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295"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9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6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显色指数</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Ra≥90 R9≥50</w:t>
            </w:r>
            <w:r/>
          </w:p>
        </w:tc>
        <w:tc>
          <w:tcPr>
            <w:tcW w:w="468"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295"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9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6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色容差</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 SDCM</w:t>
            </w:r>
            <w:r/>
          </w:p>
        </w:tc>
        <w:tc>
          <w:tcPr>
            <w:tcW w:w="468"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295"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9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6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电磁辐射测试</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w:t>
            </w:r>
            <w:r/>
          </w:p>
        </w:tc>
        <w:tc>
          <w:tcPr>
            <w:tcW w:w="468"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295"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9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6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频闪认证</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通过频闪无危害或无频闪危害或无显著影响认证</w:t>
            </w:r>
            <w:r/>
          </w:p>
        </w:tc>
        <w:tc>
          <w:tcPr>
            <w:tcW w:w="468"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295"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9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6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蓝光危害等级</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RG0（或0类危险）</w:t>
            </w:r>
            <w:r/>
          </w:p>
        </w:tc>
        <w:tc>
          <w:tcPr>
            <w:tcW w:w="468"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295"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
                <w:bCs/>
                <w:sz w:val="22"/>
                <w:szCs w:val="22"/>
                <w:lang w:bidi="ar"/>
              </w:rPr>
              <w:t xml:space="preserve">LED黑板灯</w:t>
            </w:r>
            <w:r/>
          </w:p>
        </w:tc>
        <w:tc>
          <w:tcPr>
            <w:tcW w:w="49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668" w:type="pct"/>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长度≥900mm，为一体式防眩灯具。</w:t>
            </w:r>
            <w:r/>
          </w:p>
        </w:tc>
        <w:tc>
          <w:tcPr>
            <w:tcW w:w="468"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r>
      <w:tr>
        <w:trPr>
          <w:trHeight w:val="567"/>
        </w:trPr>
        <w:tc>
          <w:tcPr>
            <w:tcW w:w="295"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49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66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额定功率</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≤40W</w:t>
            </w:r>
            <w:r/>
          </w:p>
        </w:tc>
        <w:tc>
          <w:tcPr>
            <w:tcW w:w="468"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295"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9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6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色温</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3300-5300K</w:t>
            </w:r>
            <w:r/>
          </w:p>
        </w:tc>
        <w:tc>
          <w:tcPr>
            <w:tcW w:w="468"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295"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9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6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显色指数</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Ra≥90 R9≥50</w:t>
            </w:r>
            <w:r/>
          </w:p>
        </w:tc>
        <w:tc>
          <w:tcPr>
            <w:tcW w:w="468"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295"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9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6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色容差</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 SDCM</w:t>
            </w:r>
            <w:r/>
          </w:p>
        </w:tc>
        <w:tc>
          <w:tcPr>
            <w:tcW w:w="468"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295"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9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6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电磁辐射测试</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w:t>
            </w:r>
            <w:r/>
          </w:p>
        </w:tc>
        <w:tc>
          <w:tcPr>
            <w:tcW w:w="468"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295"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9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6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频闪认证</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通过频闪无危害或无频闪危害或无显著影响认证</w:t>
            </w:r>
            <w:r/>
          </w:p>
        </w:tc>
        <w:tc>
          <w:tcPr>
            <w:tcW w:w="468"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67"/>
        </w:trPr>
        <w:tc>
          <w:tcPr>
            <w:tcW w:w="295"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9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6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蓝光危害等级</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RG0（或0类危险）</w:t>
            </w:r>
            <w:r/>
          </w:p>
        </w:tc>
        <w:tc>
          <w:tcPr>
            <w:tcW w:w="468"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048"/>
        </w:trPr>
        <w:tc>
          <w:tcPr>
            <w:gridSpan w:val="3"/>
            <w:tcW w:w="145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施工要求</w:t>
            </w:r>
            <w:r/>
          </w:p>
        </w:tc>
        <w:tc>
          <w:tcPr>
            <w:gridSpan w:val="2"/>
            <w:tcW w:w="354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灯具距演示台面的最低悬挂高度1.7m，非嵌入式灯具应使用刚性吊杆安装，吊杆应与灯面垂直，不得倾斜，两杆间距偏差±5 mm；灯具排列采用长轴垂直于板书区域布置；灯具对称安装，其横（纵）向中心轴线宜在同一直线上，偏斜不应大于20mm。吊杆安装的灯具应采用不小于Φ6mm膨胀螺栓固定，预埋件承重能不低于灯具重量的10倍。灯具及其附件应安装齐全，并无损伤、变形、涂层剥落和</w:t>
            </w:r>
            <w:r>
              <w:rPr>
                <w:rFonts w:hint="eastAsia" w:cs="宋体" w:asciiTheme="minorEastAsia" w:hAnsiTheme="minorEastAsia" w:eastAsiaTheme="minorEastAsia"/>
                <w:sz w:val="20"/>
                <w:szCs w:val="20"/>
                <w:lang w:bidi="ar"/>
              </w:rPr>
              <w:t xml:space="preserve">灯罩破裂等缺陷；灯具接线牢固、接触良好；开关面板及接线盒盒体安装完整、无破损变形，零件齐全；墙面明线安装中导管管径大小和接线盒孔径相匹配，导管和接线盒连接紧密。对施工中造成的墙面破损应修复。按教室照明设置情况和天然采光状况，每个照明开关所控制灯具数不应多于3个；板书区域灯具应单独控制，开关安装在板书区域同侧；灯具安装时，要注意避免对其他设备（如：监控摄像机、投影机、顶装空调）的遮挡；如果光线受到建筑构件遮挡，应注意在限值内调整灯具的水平安装位置或降低灯具的安装高度；安装风扇的教室中，出光口面应低于风扇叶面。</w:t>
            </w:r>
            <w:r/>
          </w:p>
        </w:tc>
      </w:tr>
      <w:tr>
        <w:trPr>
          <w:trHeight w:val="6524"/>
        </w:trPr>
        <w:tc>
          <w:tcPr>
            <w:gridSpan w:val="3"/>
            <w:tcW w:w="145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其他要求</w:t>
            </w:r>
            <w:r/>
          </w:p>
        </w:tc>
        <w:tc>
          <w:tcPr>
            <w:gridSpan w:val="2"/>
            <w:tcW w:w="3545" w:type="pct"/>
            <w:vAlign w:val="center"/>
            <w:textDirection w:val="lrTb"/>
            <w:noWrap w:val="false"/>
          </w:tcPr>
          <w:p>
            <w:pPr>
              <w:numPr>
                <w:ilvl w:val="0"/>
                <w:numId w:val="6"/>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其他要求：教室灯▲1、教室灯依据《GB40070》标准并符合《CQC16-465145-2021》认证规则通过近视防控认证。具有国家认可的第三方认证机构出具的认证证书及全国认证认可信息公共服务平台证书状态为“有效”查询证明同时具有第三方检测机构出具的封面带有CMA及CNAS标志的检测报告及检测报告编号在全国认证认可信息公共服务平台的查询证明复印件，同时具有提供报告所引用检测标准依据在中国合格评定国家认可委员会官网查询的能力范围证明。</w:t>
            </w:r>
            <w:r>
              <w:rPr>
                <w:rFonts w:hint="eastAsia" w:cs="宋体" w:asciiTheme="minorEastAsia" w:hAnsiTheme="minorEastAsia" w:eastAsiaTheme="minorEastAsia"/>
                <w:sz w:val="20"/>
                <w:szCs w:val="20"/>
                <w:lang w:bidi="ar"/>
              </w:rPr>
              <w:br/>
              <w:t xml:space="preserve">  ▲2、出具具有第三方认证机构出具的认证证书及全国认证认可信息公共服务平台证书状态为“有效”查询证明（证书与查询证明文件上均须同时体现产品型号及认证标准；若有要求实地自然环境条件的，证书上须体现“实地验证”），同时出具具有第三方检测机构出具的封面带有CMA及CNAS标志的检测报告及检测报告编号在全国认证认可信息公共服务平台的查询证明复印件，同时具有提供报告所引用检测标准依据在中国合格评定国家认可委员会官网查询的能力范围证明。</w:t>
            </w:r>
            <w:r>
              <w:rPr>
                <w:rFonts w:hint="eastAsia" w:cs="宋体" w:asciiTheme="minorEastAsia" w:hAnsiTheme="minorEastAsia" w:eastAsiaTheme="minorEastAsia"/>
                <w:sz w:val="20"/>
                <w:szCs w:val="20"/>
                <w:lang w:bidi="ar"/>
              </w:rPr>
              <w:br/>
              <w:t xml:space="preserve">▲（2）黑板灯：出具具有第三方认证机构出具的认证证书及全国认证认可信息公共服务平台证书状态为“有效”查询证明（证书与查询证明文件上均须同时体现产品型号及认证标准；若有要求实地自然环境条件的，证书上须体现“实地验证”），同时出具具有第三方检测机构出具的封面带有CMA及CNAS标志的检测报告及检测报告编号在全国认证认可信息公共服务平台的查询证明复印件，同时具有提供报告所引用检测标准依据在中国合格评定国家认可委员会官网查询的能力范围证明。</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★（3）LED灯必须通过CCC认证。    </w:t>
            </w:r>
            <w:r/>
          </w:p>
        </w:tc>
      </w:tr>
      <w:tr>
        <w:trPr>
          <w:trHeight w:val="959"/>
        </w:trPr>
        <w:tc>
          <w:tcPr>
            <w:gridSpan w:val="3"/>
            <w:tcW w:w="145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W w:w="354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1.满足实验室教学活动的照明需求，同时利于学生的视力保护。</w:t>
            </w:r>
            <w:r>
              <w:rPr>
                <w:rFonts w:hint="eastAsia" w:cs="宋体" w:asciiTheme="minorEastAsia" w:hAnsiTheme="minorEastAsia" w:eastAsiaTheme="minorEastAsia"/>
                <w:sz w:val="20"/>
                <w:szCs w:val="20"/>
                <w:lang w:bidi="ar"/>
              </w:rPr>
              <w:br/>
              <w:t xml:space="preserve">2.实验室照明系统为成套设备：黑板灯、顶灯、控制系统，辅材等。</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板书教学设备，数量：6</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75"/>
        <w:gridCol w:w="1276"/>
        <w:gridCol w:w="8505"/>
      </w:tblGrid>
      <w:tr>
        <w:trPr>
          <w:trHeight w:val="361"/>
          <w:tblHeader/>
        </w:trPr>
        <w:tc>
          <w:tcPr>
            <w:gridSpan w:val="2"/>
            <w:tcW w:w="1951" w:type="dxa"/>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参数名称</w:t>
            </w:r>
            <w:r/>
          </w:p>
        </w:tc>
        <w:tc>
          <w:tcPr>
            <w:tcW w:w="8505" w:type="dxa"/>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参数要求</w:t>
            </w:r>
            <w:r/>
          </w:p>
        </w:tc>
      </w:tr>
      <w:tr>
        <w:trPr>
          <w:trHeight w:val="20"/>
        </w:trPr>
        <w:tc>
          <w:tcPr>
            <w:tcW w:w="67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硬件</w:t>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摄像头</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采用≥800万像素摄像头，A4大小拍摄幅面，1080P动态视频预览达到30帧/秒。</w:t>
            </w:r>
            <w:r/>
          </w:p>
        </w:tc>
      </w:tr>
      <w:tr>
        <w:trPr>
          <w:trHeight w:val="20"/>
        </w:trPr>
        <w:tc>
          <w:tcPr>
            <w:tcW w:w="67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整机采用圆弧式设计，无锐角；同时托板采用磁吸吸附式机构，防止托板打落，方便打开及固定，避免机械式锁具故障率高的问题。</w:t>
            </w:r>
            <w:r/>
          </w:p>
        </w:tc>
      </w:tr>
      <w:tr>
        <w:trPr>
          <w:trHeight w:val="20"/>
        </w:trPr>
        <w:tc>
          <w:tcPr>
            <w:tcW w:w="67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灯光</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展示托板正上方具备LED补光灯，保证展示区域的亮度及展示效果，补光灯开关采用触摸按键设计，同时可通过交互智能平板中的软件直接控制开关；</w:t>
            </w:r>
            <w:r/>
          </w:p>
        </w:tc>
      </w:tr>
      <w:tr>
        <w:trPr>
          <w:trHeight w:val="20"/>
        </w:trPr>
        <w:tc>
          <w:tcPr>
            <w:tcW w:w="67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软件</w:t>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功能介绍</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1.支持展台成像画面实时批注，预设多种笔划粗细及颜色供选择，且支持对展台成像画面联同批注内容进行同步缩放、移动。</w:t>
            </w:r>
            <w:r>
              <w:rPr>
                <w:rFonts w:hint="eastAsia" w:cs="宋体" w:asciiTheme="minorEastAsia" w:hAnsiTheme="minorEastAsia" w:eastAsiaTheme="minorEastAsia"/>
                <w:sz w:val="20"/>
                <w:szCs w:val="20"/>
                <w:lang w:bidi="ar"/>
              </w:rPr>
              <w:br/>
              <w:t xml:space="preserve">2.支持展台画面拍照截图并进行多图预览，可对任一图片进行全屏显示。</w:t>
            </w:r>
            <w:r>
              <w:rPr>
                <w:rFonts w:hint="eastAsia" w:cs="宋体" w:asciiTheme="minorEastAsia" w:hAnsiTheme="minorEastAsia" w:eastAsiaTheme="minorEastAsia"/>
                <w:sz w:val="20"/>
                <w:szCs w:val="20"/>
                <w:lang w:bidi="ar"/>
              </w:rPr>
              <w:br/>
              <w:t xml:space="preserve">3.老师可在一体机或电脑上选择延时拍照功能，支持5秒或10秒延时模式，预留充足时间以便调整拍摄内容。</w:t>
            </w:r>
            <w:r>
              <w:rPr>
                <w:rFonts w:hint="eastAsia" w:cs="宋体" w:asciiTheme="minorEastAsia" w:hAnsiTheme="minorEastAsia" w:eastAsiaTheme="minorEastAsia"/>
                <w:sz w:val="20"/>
                <w:szCs w:val="20"/>
                <w:lang w:bidi="ar"/>
              </w:rPr>
              <w:br/>
              <w:t xml:space="preserve">4.可选择图像、文本或动态三种情景模式，适应不同展示内容</w:t>
            </w:r>
            <w:r>
              <w:rPr>
                <w:rFonts w:hint="eastAsia" w:cs="宋体" w:asciiTheme="minorEastAsia" w:hAnsiTheme="minorEastAsia" w:eastAsiaTheme="minorEastAsia"/>
                <w:sz w:val="20"/>
                <w:szCs w:val="20"/>
                <w:lang w:bidi="ar"/>
              </w:rPr>
              <w:br/>
              <w:t xml:space="preserve">5.具备图像增强功能，可自动裁剪背景并增强文字显示，使文档画面更清晰</w:t>
            </w:r>
            <w:r>
              <w:rPr>
                <w:rFonts w:hint="eastAsia" w:cs="宋体" w:asciiTheme="minorEastAsia" w:hAnsiTheme="minorEastAsia" w:eastAsiaTheme="minorEastAsia"/>
                <w:sz w:val="20"/>
                <w:szCs w:val="20"/>
                <w:lang w:bidi="ar"/>
              </w:rPr>
              <w:br/>
              <w:t xml:space="preserve">6.具有故障自动检测功能：在调用展台却无法出现镜头采集画面信号时，可自动出现检测链接，并给出导致性原因（如硬件连接、摄像头占用、配套软件版本等问题）。</w:t>
            </w:r>
            <w:r>
              <w:rPr>
                <w:rFonts w:hint="eastAsia" w:cs="宋体" w:asciiTheme="minorEastAsia" w:hAnsiTheme="minorEastAsia" w:eastAsiaTheme="minorEastAsia"/>
                <w:sz w:val="20"/>
                <w:szCs w:val="20"/>
                <w:lang w:bidi="ar"/>
              </w:rPr>
              <w:br/>
              <w:t xml:space="preserve">7.支持二维码扫码功能：打开扫一扫功能后，将书本上的二维码放入扫描框内即可自动扫描，并进入系统浏览器获取二维码的链接内容，帮助老师快速获取电子教学资源。</w:t>
            </w:r>
            <w:r/>
          </w:p>
        </w:tc>
      </w:tr>
      <w:tr>
        <w:trPr>
          <w:trHeight w:val="20"/>
        </w:trPr>
        <w:tc>
          <w:tcPr>
            <w:tcW w:w="67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绿板结构</w:t>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≧4200mm×1280mm</w:t>
            </w:r>
            <w:r/>
          </w:p>
        </w:tc>
      </w:tr>
      <w:tr>
        <w:trPr>
          <w:trHeight w:val="20"/>
        </w:trPr>
        <w:tc>
          <w:tcPr>
            <w:tcW w:w="67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内外双层结构，内层为两块固定书写板与一体机正面平齐，外层为两块滑动书写板。</w:t>
            </w:r>
            <w:r/>
          </w:p>
        </w:tc>
      </w:tr>
      <w:tr>
        <w:trPr>
          <w:trHeight w:val="20"/>
        </w:trPr>
        <w:tc>
          <w:tcPr>
            <w:tcW w:w="67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边框</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材质，壁厚1.0mm，模具挤压一次成型，横竖（外）框规格50mm×90mm，看面尺寸50mm立面尺寸90mm。边框经氧化、涂层处理，无明显眩光；横（立）框采用双层加强结构，厚10㎜。内框规格37mm*20mm，内框立面尺寸20mm，看面尺寸37mm。</w:t>
            </w:r>
            <w:r/>
          </w:p>
        </w:tc>
      </w:tr>
      <w:tr>
        <w:trPr>
          <w:trHeight w:val="20"/>
        </w:trPr>
        <w:tc>
          <w:tcPr>
            <w:tcW w:w="67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轨道与滑轮</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上框平行对称双凹槽轨道，支持活动板垂直T型吊装，每块活动板滑轮数目4组8个，上轮采用减震消音双滑道吊轮，配置高强度轴承带减震胶套，保证滑动流畅、经久耐用，噪音36dB；每块移动黑板下框两侧各安装优质一体化定向滑轮组，定向轮采用聚酰胺材质骨架2轮组合滑轮组，为高强减震特种橡胶滑轮；书写时定位精确不晃动、滑动板前后晃动小于0.5mm，经久耐用。上下均匀安装，推拉顺畅自如，无卡挤现象和尖锐的摩擦声，稳定性好。</w:t>
            </w:r>
            <w:r/>
          </w:p>
        </w:tc>
      </w:tr>
      <w:tr>
        <w:trPr>
          <w:trHeight w:val="20"/>
        </w:trPr>
        <w:tc>
          <w:tcPr>
            <w:tcW w:w="67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粉尘槽</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外下框两侧各开一个直径25mm的圆孔，配置100×70mm的抽拉式粉尘盒，防止粉尘垂直落地；粉尘槽≥34与下边框一体化设计，清扫时无粉尘死角； </w:t>
            </w:r>
            <w:r/>
          </w:p>
        </w:tc>
      </w:tr>
      <w:tr>
        <w:trPr>
          <w:trHeight w:val="20"/>
        </w:trPr>
        <w:tc>
          <w:tcPr>
            <w:tcW w:w="67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限位档</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黑板边框内部两侧安装滑动板限位档，防止活动黑板开启时撞击立框</w:t>
            </w:r>
            <w:r/>
          </w:p>
        </w:tc>
      </w:tr>
      <w:tr>
        <w:trPr>
          <w:trHeight w:val="20"/>
        </w:trPr>
        <w:tc>
          <w:tcPr>
            <w:tcW w:w="67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书写板面</w:t>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采用优质烤漆镀锌板，厚度0.23mm</w:t>
            </w:r>
            <w:r/>
          </w:p>
        </w:tc>
      </w:tr>
      <w:tr>
        <w:trPr>
          <w:trHeight w:val="20"/>
        </w:trPr>
        <w:tc>
          <w:tcPr>
            <w:tcW w:w="67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光泽度</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6光泽单位</w:t>
            </w:r>
            <w:r/>
          </w:p>
        </w:tc>
      </w:tr>
      <w:tr>
        <w:trPr>
          <w:trHeight w:val="20"/>
        </w:trPr>
        <w:tc>
          <w:tcPr>
            <w:tcW w:w="67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粗糙度</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Ra1.6-3.2um</w:t>
            </w:r>
            <w:r/>
          </w:p>
        </w:tc>
      </w:tr>
      <w:tr>
        <w:trPr>
          <w:trHeight w:val="20"/>
        </w:trPr>
        <w:tc>
          <w:tcPr>
            <w:tcW w:w="67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内芯材料</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防潮、吸音、高强度泡沫板，</w:t>
            </w:r>
            <w:r/>
          </w:p>
        </w:tc>
      </w:tr>
      <w:tr>
        <w:trPr>
          <w:trHeight w:val="20"/>
        </w:trPr>
        <w:tc>
          <w:tcPr>
            <w:tcW w:w="67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背板</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优质镀锌板</w:t>
            </w:r>
            <w:r/>
          </w:p>
        </w:tc>
      </w:tr>
      <w:tr>
        <w:trPr>
          <w:trHeight w:val="20"/>
        </w:trPr>
        <w:tc>
          <w:tcPr>
            <w:tcW w:w="67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0.16mm</w:t>
            </w:r>
            <w:r/>
          </w:p>
        </w:tc>
      </w:tr>
      <w:tr>
        <w:trPr>
          <w:trHeight w:val="20"/>
        </w:trPr>
        <w:tc>
          <w:tcPr>
            <w:tcW w:w="67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2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甲醛释放量</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0.2mg/L</w:t>
            </w:r>
            <w:r/>
          </w:p>
        </w:tc>
      </w:tr>
      <w:tr>
        <w:trPr>
          <w:trHeight w:val="909"/>
        </w:trPr>
        <w:tc>
          <w:tcPr>
            <w:gridSpan w:val="2"/>
            <w:tcW w:w="1951"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W w:w="8505"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1.满足常规板书教学需求。</w:t>
            </w:r>
            <w:r>
              <w:rPr>
                <w:rFonts w:hint="eastAsia" w:cs="宋体" w:asciiTheme="minorEastAsia" w:hAnsiTheme="minorEastAsia" w:eastAsiaTheme="minorEastAsia"/>
                <w:sz w:val="20"/>
                <w:szCs w:val="20"/>
                <w:lang w:bidi="ar"/>
              </w:rPr>
              <w:br/>
              <w:t xml:space="preserve">2.成套设备：推拉黑板、视频展台、辅材等。</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互动实验设备</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17"/>
        <w:gridCol w:w="516"/>
        <w:gridCol w:w="168"/>
        <w:gridCol w:w="708"/>
        <w:gridCol w:w="7797"/>
        <w:gridCol w:w="992"/>
      </w:tblGrid>
      <w:tr>
        <w:trPr>
          <w:trHeight w:val="388"/>
          <w:tblHeader/>
        </w:trPr>
        <w:tc>
          <w:tcPr>
            <w:gridSpan w:val="4"/>
            <w:tcW w:w="1809"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W w:w="7797"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W w:w="992"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510"/>
        </w:trPr>
        <w:tc>
          <w:tcPr>
            <w:tcW w:w="417" w:type="dxa"/>
            <w:vAlign w:val="center"/>
            <w:vMerge w:val="restart"/>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教师数码显微镜</w:t>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≦47*32*69CM</w:t>
            </w:r>
            <w:r/>
          </w:p>
        </w:tc>
        <w:tc>
          <w:tcPr>
            <w:tcW w:w="992"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3452"/>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数字内置一体化显微镜</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传感器</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 数字内置一体化显微镜：1/2”逐行扫描数字图像传感器,400万纯物理像素,高分辨率实时显示,保证输出图象色彩不能失真，最大传输速率可达12帧/秒；拍照可达1600像素。自带二维码，手机或者平板扫描该二维码即无线可点对点连接显微镜。内置RJ45网络接口，可以直接连接交换机组建网络；也可以通过RJ45口连接计算机采集图像。</w:t>
            </w:r>
            <w:r>
              <w:rPr>
                <w:rFonts w:hint="eastAsia" w:cs="宋体" w:asciiTheme="minorEastAsia" w:hAnsiTheme="minorEastAsia" w:eastAsiaTheme="minorEastAsia"/>
                <w:sz w:val="20"/>
                <w:szCs w:val="20"/>
                <w:lang w:bidi="ar"/>
              </w:rPr>
              <w:br/>
              <w:t xml:space="preserve">2. 多功能的LED灯环指示器，在内置智能处理器控制下，能够指示显微镜的各种工作状态，如：工作或是休眠、光源亮度等信息，从而带给用户更好的操作体验。</w:t>
            </w:r>
            <w:r>
              <w:rPr>
                <w:rFonts w:hint="eastAsia" w:cs="宋体" w:asciiTheme="minorEastAsia" w:hAnsiTheme="minorEastAsia" w:eastAsiaTheme="minorEastAsia"/>
                <w:sz w:val="20"/>
                <w:szCs w:val="20"/>
                <w:lang w:bidi="ar"/>
              </w:rPr>
              <w:br/>
              <w:t xml:space="preserve">3.物镜照明记忆功能：各物镜定义的光线强度会被自动记忆并在下次使用该物镜时自动调出，免除再次手动调整的繁琐。</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54"/>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像素</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≧400万纯物理像素</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88"/>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传输速率</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≧12帧/秒</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88"/>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拍照像素</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≧1600像素</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88"/>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网络接口</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内置RJ45网络接口</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54"/>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指示器</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类别</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LED灯环指示器</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064"/>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在内置智能处理器控制下，能够指示显微镜的各种工作状态，如：工作或是休眠、光源亮度等信息，从而带给用户更好的操作体验。</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064"/>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物镜</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物镜照明记忆功能：各物镜定义的光线强度会被自动记忆并在下次使用该物镜时自动调出，免除再次手动调整的繁琐。</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03"/>
        </w:trPr>
        <w:tc>
          <w:tcPr>
            <w:tcW w:w="417" w:type="dxa"/>
            <w:vAlign w:val="center"/>
            <w:vMerge w:val="restart"/>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学生数码显微镜</w:t>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≦46*29*48CM</w:t>
            </w:r>
            <w:r/>
          </w:p>
        </w:tc>
        <w:tc>
          <w:tcPr>
            <w:tcW w:w="992"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726"/>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载物台</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“U型”双层载物台；以检测报告对应检测内容作为佐证。</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064"/>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移动行程</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≥75X50mm；X、Y向低位同轴调节手轮；X、Y轴同轴调节，载物台受5N水平方向作用力最大位移≤0.010mm；不重复性≤0.002mm。</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064"/>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其他组成部件</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调焦机构</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粗微调同轴，并有调焦限位装置，微调机构空回≤0.005mm，微调刻值0.002mm；聚光镜：阿贝式聚光镜N.A.1.25(带可变光栏)。</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54"/>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光源</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LED光源</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54"/>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接口</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RJ45接口</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740"/>
        </w:trPr>
        <w:tc>
          <w:tcPr>
            <w:tcW w:w="417" w:type="dxa"/>
            <w:vAlign w:val="center"/>
            <w:vMerge w:val="restart"/>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数码显微互动系统</w:t>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全无线系统架构</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整个系统采用全无线架构，简洁、高速、稳定； 学生智能终端通过无线传输的方式获取显微图像及宏观实验图像，学生智能终端通过无线传输方式与教师端进行信息交互。系统可实现微观图像、宏观实验、实验报告等多维信息的互动。</w:t>
            </w:r>
            <w:r/>
          </w:p>
        </w:tc>
        <w:tc>
          <w:tcPr>
            <w:tcW w:w="992"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87"/>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跨平台解决方案</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同时支持IOS、Android、Windows等操作系统，通过手机、平板电脑等智能终端即可实现实验教学；学生智能终端不受品牌、操作系统、机型的限制。</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926"/>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监控</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师端实现对学生端显微镜的镜下图像的监控。教师端可将教师显微镜下的微观图像或PPT课件“示范教学”到每一个学生的Pad或智能手机上，进行现场教学讲解；实时观测每个学生的上课状态及效果；教师可下发作业或实验报告，学生当堂完成后，当堂提交。</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064"/>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单独放大缩小任一学生图像，多屏2*2，3*3或者单屏及全部显示学生端镜下图像和屏幕图像，需要一键完成，一键恢复。</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850"/>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记录功能</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智能手机或Pad随时拍照记录实验过程。根据设定的实验步骤提交实验报告。</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850"/>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语言版本</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可以中英文一键切换。双语教学。</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850"/>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彩信功能</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学生与教师之间可以互发彩信，彩信内容可以图片，文字，标注。</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850"/>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重力感应</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横屏显示实时图像，竖屏显示双画面，可加载静态图片与实时图像进行对比 。     </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850"/>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录访功能</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一键扫码:可一键扫描显微镜机身上的二维码，快速登录访问显微图像，省去一系列操作（连接WiFi，输入登录名和设备ID）。</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907"/>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激光笔</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可以在屏幕上随时标记，方便教学指导 。</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907"/>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批改功能</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对学生提交的作业和实验报告批改评分，导出EXCEL格式的学生评测成绩。</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2474"/>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教学系统化平台</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配套数字切片教学系统化平台：教材教学使用，数字切片均为高倍物镜下全片扫描而成，非局部拍摄再进行多图拼接。支持多点触摸对切片进行放大，缩小，用word，excel可列出新课标下初、高中不同模块下的种类名称。每张切片都有初、高中生物教学的标注和注解，提供初、高中教学常用数字切片，所能下载切片数量不少于100张；数字切片支持在互联网状态下Windows、iOS及Android系统访问数字切片资料库，可浏览、下载，方便师生预习复习。提供在线浏览使用地址。</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191"/>
        </w:trPr>
        <w:tc>
          <w:tcPr>
            <w:tcW w:w="417" w:type="dxa"/>
            <w:vAlign w:val="center"/>
            <w:vMerge w:val="restart"/>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教师端专业图像分析软件</w:t>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图像采集</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可对实时图像进行捕捉、间隔捕捉、录像。</w:t>
            </w:r>
            <w:r/>
          </w:p>
        </w:tc>
        <w:tc>
          <w:tcPr>
            <w:tcW w:w="992"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191"/>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图像管理</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对图像文件进行新建、打开、编辑、保存、打印报告及相册管理(含图像合并)等。</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191"/>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图像处理</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调整、镜像、反转、白平衡、改变图像尺寸、三维化显示、放大镜、平滑、低通滤波、高通滤波、灰度形态学、其它过滤器、直方图均衡、发现边缘、自定义滤波器。</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191"/>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校准与测量</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校准尺度后对图像进行直线、矩形、圆、圆(3点)、椭圆、多边形、不规则多边形、角度、折线等的测量。</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191"/>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图像分割处理</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对图像进行分割和分割设置及对分割结果进行   自动计算、选取目标、目标腐蚀、目标扩展、填充孔洞、去除噪声、目标内轮廓、目标外轮廓、目标梯度和八种颜色分割等。</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191"/>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专业自动拼图模块</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支持多种图像输入格式，可支持20×20张图像的拼接，拼接速度快，准确。</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191"/>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去模糊多层聚焦模块</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去模糊多焦面合成:将不同焦面的图像合成得到清晰完整的整幅图像，增加高倍物镜的景深；支持多种图像输入格式。</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2241"/>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3"/>
            <w:tcW w:w="1392"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▲相关质量说明文件：</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提供由制造商盖章的计算机软件“著作权登记证书”复印件和省级以上软件评测机构出具的软件测试报告。软件测试报告中需要详细列明：安装与卸载；功能测试；用户界面；中文符合性；用户文档；软件产品类别；功能项目描述等检测结果。没有以上检测项目的无效。</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587"/>
        </w:trPr>
        <w:tc>
          <w:tcPr>
            <w:tcW w:w="417" w:type="dxa"/>
            <w:vAlign w:val="center"/>
            <w:vMerge w:val="restart"/>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学生端图像分析软件</w:t>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APP下载</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学生端用户可通过APP下载、安装软件应用程序，并实时进行最新软件程序更新。</w:t>
            </w:r>
            <w:r/>
          </w:p>
        </w:tc>
        <w:tc>
          <w:tcPr>
            <w:tcW w:w="992"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1587"/>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功能模块</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软件系统具备：微观实验、宏观实验、教学示范、师生交流等功能模块。用户可通过系统进行微观实验和宏观实验，并进行实时交流。</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121"/>
        </w:trPr>
        <w:tc>
          <w:tcPr>
            <w:tcW w:w="417"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生物学图像识别系统</w:t>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扫描管理软件</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1、可同时打开单个或多个图像进行扫描、浏览和分析。</w:t>
            </w:r>
            <w:r>
              <w:rPr>
                <w:rFonts w:hint="eastAsia" w:cs="宋体" w:asciiTheme="minorEastAsia" w:hAnsiTheme="minorEastAsia" w:eastAsiaTheme="minorEastAsia"/>
                <w:sz w:val="20"/>
                <w:szCs w:val="20"/>
                <w:lang w:bidi="ar"/>
              </w:rPr>
              <w:br/>
              <w:t xml:space="preserve">2、打开多个图像浏览时可同步移动多个图片进行浏览分析。</w:t>
            </w:r>
            <w:r>
              <w:rPr>
                <w:rFonts w:hint="eastAsia" w:cs="宋体" w:asciiTheme="minorEastAsia" w:hAnsiTheme="minorEastAsia" w:eastAsiaTheme="minorEastAsia"/>
                <w:sz w:val="20"/>
                <w:szCs w:val="20"/>
                <w:lang w:bidi="ar"/>
              </w:rPr>
              <w:br/>
              <w:t xml:space="preserve">3、可以在图像上添加注释；可以在图像上进行长度测量、面积测量。</w:t>
            </w:r>
            <w:r>
              <w:rPr>
                <w:rFonts w:hint="eastAsia" w:cs="宋体" w:asciiTheme="minorEastAsia" w:hAnsiTheme="minorEastAsia" w:eastAsiaTheme="minorEastAsia"/>
                <w:sz w:val="20"/>
                <w:szCs w:val="20"/>
                <w:lang w:bidi="ar"/>
              </w:rPr>
              <w:br/>
              <w:t xml:space="preserve">4、可以对图像的指定区域范围进行输出，格式保持不变。</w:t>
            </w:r>
            <w:r>
              <w:rPr>
                <w:rFonts w:hint="eastAsia" w:cs="宋体" w:asciiTheme="minorEastAsia" w:hAnsiTheme="minorEastAsia" w:eastAsiaTheme="minorEastAsia"/>
                <w:sz w:val="20"/>
                <w:szCs w:val="20"/>
                <w:lang w:bidi="ar"/>
              </w:rPr>
              <w:br/>
              <w:t xml:space="preserve">5、可以删除/修改图像的指定区域。</w:t>
            </w:r>
            <w:r>
              <w:rPr>
                <w:rFonts w:hint="eastAsia" w:cs="宋体" w:asciiTheme="minorEastAsia" w:hAnsiTheme="minorEastAsia" w:eastAsiaTheme="minorEastAsia"/>
                <w:sz w:val="20"/>
                <w:szCs w:val="20"/>
                <w:lang w:bidi="ar"/>
              </w:rPr>
              <w:br/>
              <w:t xml:space="preserve">6、浏览过程中，可在扫描倍数下以任意倍数显示（如以20倍镜头扫描，可以在02.120倍之间以任意倍数浏览），并且显示标尺、放大倍数。</w:t>
            </w:r>
            <w:r>
              <w:rPr>
                <w:rFonts w:hint="eastAsia" w:cs="宋体" w:asciiTheme="minorEastAsia" w:hAnsiTheme="minorEastAsia" w:eastAsiaTheme="minorEastAsia"/>
                <w:sz w:val="20"/>
                <w:szCs w:val="20"/>
                <w:lang w:bidi="ar"/>
              </w:rPr>
              <w:br/>
              <w:t xml:space="preserve">7、可以360°旋转图片进行浏览。</w:t>
            </w:r>
            <w:r>
              <w:rPr>
                <w:rFonts w:hint="eastAsia" w:cs="宋体" w:asciiTheme="minorEastAsia" w:hAnsiTheme="minorEastAsia" w:eastAsiaTheme="minorEastAsia"/>
                <w:sz w:val="20"/>
                <w:szCs w:val="20"/>
                <w:lang w:bidi="ar"/>
              </w:rPr>
              <w:br/>
              <w:t xml:space="preserve">8、需支持浏览多种文件格式，包括：SVS 文件、JPEG 文件、TIFF文件、TIF文件、CWS 文件、NDPI文件、VMS文件、VMU文件、MRXS文件、SlideDat.ini文件、sis 文件和SCN文件。</w:t>
            </w:r>
            <w:r>
              <w:rPr>
                <w:rFonts w:hint="eastAsia" w:cs="宋体" w:asciiTheme="minorEastAsia" w:hAnsiTheme="minorEastAsia" w:eastAsiaTheme="minorEastAsia"/>
                <w:sz w:val="20"/>
                <w:szCs w:val="20"/>
                <w:lang w:bidi="ar"/>
              </w:rPr>
              <w:br/>
              <w:t xml:space="preserve">9、本地浏览软件无安装数量限制，本地支持浏览多种文件格式，包括：SVS</w:t>
            </w:r>
            <w:r>
              <w:rPr>
                <w:rFonts w:hint="eastAsia" w:cs="宋体" w:asciiTheme="minorEastAsia" w:hAnsiTheme="minorEastAsia" w:eastAsiaTheme="minorEastAsia"/>
                <w:sz w:val="20"/>
                <w:szCs w:val="20"/>
                <w:lang w:bidi="ar"/>
              </w:rPr>
              <w:br/>
              <w:t xml:space="preserve">文件、JPEG 文件、TIFF文件、TIF文件、CWS 文件、NDPI文件、VMS文件、VMU文件、MRXS文件、SlideDat.ini文件、sis 文件和SCN文件。</w:t>
            </w:r>
            <w:r/>
          </w:p>
        </w:tc>
        <w:tc>
          <w:tcPr>
            <w:tcW w:w="992"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100"/>
        </w:trPr>
        <w:tc>
          <w:tcPr>
            <w:tcW w:w="417" w:type="dxa"/>
            <w:vAlign w:val="center"/>
            <w:vMerge w:val="restart"/>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数字切片浏览系统</w:t>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教学要求</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依据人民教育出版社普通高中生物学教材的教学要求，收集并整理的典型切片35张。（必修一:分子与细胞共18张，分别为：迎春叶片横切、鱼的红细胞、草履虫装片、颤藻、酵母菌、水绵、菜豆种子纵切示脂肪颗粒、胞间连丝、细胞骨架、口腔上皮示线粒体、黑藻叶片临时装片示叶缘体</w:t>
            </w:r>
            <w:r>
              <w:rPr>
                <w:rFonts w:hint="eastAsia" w:cs="宋体" w:asciiTheme="minorEastAsia" w:hAnsiTheme="minorEastAsia" w:eastAsiaTheme="minorEastAsia"/>
                <w:sz w:val="20"/>
                <w:szCs w:val="20"/>
                <w:lang w:bidi="ar"/>
              </w:rPr>
              <w:t xml:space="preserve">、质壁分离（放糖）、马蛔虫受精卵有丝分裂、植物有丝分裂、肾血管注射切片示肾小体、心肌细胞、人血、鳞状细胞癌。必修二:遗传与进化共14张，分别为：百合花药减数分裂1-前期、百合花药减数分裂1-后期、植物减数（1前2后）、植物减数（2中期侧）、植物减数（1中侧1）、植物减数（1中侧2）、植物减数（1中侧3）、植物减数（1末2核）、植物减数（2末4核）、植物减数（形成8核）、植物减数（1后2末4核）、蝗虫精母细胞减数分裂、果蝇染色体、正常红细胞.镰刀红细胞。必修三:稳态与环境共3张，分别为：神经细胞、突触、胰岛）</w:t>
            </w:r>
            <w:r/>
          </w:p>
        </w:tc>
        <w:tc>
          <w:tcPr>
            <w:tcW w:w="992"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538"/>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数字切片平台</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配套数字切片平台：数字切片均为高倍物镜下全片扫描而成，非局部拍摄再进行多图拼接。</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418"/>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2"/>
            <w:tcW w:w="684"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资源下载</w:t>
            </w:r>
            <w:r/>
          </w:p>
        </w:tc>
        <w:tc>
          <w:tcPr>
            <w:tcW w:w="708"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字切片支持在局域网、互联网两种状态下Windows、iOS及Android系统访问数字切片资料库，可浏览、下载、上传教学资源，方便师生预习复习。</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2125"/>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gridSpan w:val="3"/>
            <w:tcW w:w="1392"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相关质量说明文件：</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切片平台必须是用于中学生物教学（投标文件中须提供中学生物教科书书目型目录的截屏图）。每张切片都有生物教学的标注和注解。提供制造商关于数字切片教学系统产品的样本彩页和制造商盖章的“教育部教学仪器研究成果鉴定证书(A类)”证书。提供由制造商盖章的计算机软件“著作权登记证书”</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794"/>
        </w:trPr>
        <w:tc>
          <w:tcPr>
            <w:tcW w:w="417" w:type="dxa"/>
            <w:vAlign w:val="center"/>
            <w:vMerge w:val="restart"/>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无线传输设备器</w:t>
            </w:r>
            <w:r/>
          </w:p>
        </w:tc>
        <w:tc>
          <w:tcPr>
            <w:tcW w:w="516"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速率</w:t>
            </w:r>
            <w:r/>
          </w:p>
        </w:tc>
        <w:tc>
          <w:tcPr>
            <w:gridSpan w:val="2"/>
            <w:tcW w:w="8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2.4G速率</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600Mbps</w:t>
            </w:r>
            <w:r/>
          </w:p>
        </w:tc>
        <w:tc>
          <w:tcPr>
            <w:tcW w:w="992"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94"/>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5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5G速率</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1734Mbps</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794"/>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516" w:type="dxa"/>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W w:w="8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Wi-Fi接入数</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256个</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88"/>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516"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天线</w:t>
            </w:r>
            <w:r/>
          </w:p>
        </w:tc>
        <w:tc>
          <w:tcPr>
            <w:gridSpan w:val="2"/>
            <w:tcW w:w="876"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材质</w:t>
            </w:r>
            <w:r/>
          </w:p>
        </w:tc>
        <w:tc>
          <w:tcPr>
            <w:tcW w:w="7797"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超材料天线</w:t>
            </w:r>
            <w:r/>
          </w:p>
        </w:tc>
        <w:tc>
          <w:tcPr>
            <w:tcW w:w="992" w:type="dxa"/>
            <w:vAlign w:val="center"/>
            <w:vMerge w:val="continue"/>
            <w:textDirection w:val="lrTb"/>
            <w:noWrap w:val="false"/>
          </w:tcPr>
          <w:p>
            <w:pPr>
              <w:jc w:val="center"/>
              <w:widowControl/>
              <w:rPr>
                <w:rFonts w:hint="eastAsia" w:cs="宋体" w:asciiTheme="minorEastAsia" w:hAnsiTheme="minorEastAsia" w:eastAsiaTheme="minorEastAsia"/>
                <w:b/>
                <w:bCs/>
                <w:sz w:val="20"/>
                <w:szCs w:val="20"/>
                <w:lang w:bidi="ar"/>
              </w:rPr>
            </w:pPr>
            <w:r>
              <w:rPr>
                <w:rFonts w:hint="eastAsia" w:cs="宋体" w:asciiTheme="minorEastAsia" w:hAnsiTheme="minorEastAsia" w:eastAsiaTheme="minorEastAsia"/>
                <w:b/>
                <w:bCs/>
                <w:sz w:val="20"/>
                <w:szCs w:val="20"/>
                <w:lang w:bidi="ar"/>
              </w:rPr>
            </w:r>
            <w:r/>
          </w:p>
        </w:tc>
      </w:tr>
      <w:tr>
        <w:trPr>
          <w:trHeight w:val="388"/>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51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供电</w:t>
            </w:r>
            <w:r/>
          </w:p>
        </w:tc>
        <w:tc>
          <w:tcPr>
            <w:gridSpan w:val="2"/>
            <w:tcW w:w="8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PoE模式</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802.3at PoE+&amp;12V DC</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88"/>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51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端口</w:t>
            </w:r>
            <w:r/>
          </w:p>
        </w:tc>
        <w:tc>
          <w:tcPr>
            <w:gridSpan w:val="2"/>
            <w:tcW w:w="8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(1)千兆PoE+(1)千兆LAN</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726"/>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51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网络标准</w:t>
            </w:r>
            <w:r/>
          </w:p>
        </w:tc>
        <w:tc>
          <w:tcPr>
            <w:gridSpan w:val="2"/>
            <w:tcW w:w="8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IEEE 802.11 a/b/g/n/ac，IEEE802.3、IEEE802.3u；</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064"/>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51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工作频段</w:t>
            </w:r>
            <w:r/>
          </w:p>
        </w:tc>
        <w:tc>
          <w:tcPr>
            <w:gridSpan w:val="2"/>
            <w:tcW w:w="8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802.11b/g/n:2.412GHz~2.483Hz(中国)</w:t>
            </w:r>
            <w:r>
              <w:rPr>
                <w:rFonts w:hint="eastAsia" w:cs="宋体" w:asciiTheme="minorEastAsia" w:hAnsiTheme="minorEastAsia" w:eastAsiaTheme="minorEastAsia"/>
                <w:sz w:val="20"/>
                <w:szCs w:val="20"/>
                <w:lang w:bidi="ar"/>
              </w:rPr>
              <w:br/>
              <w:t xml:space="preserve">802.11a/n/ac:5.15GHz~5.35GHz,5.725GHz~5.85GHz(中国）；</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2415"/>
        </w:trPr>
        <w:tc>
          <w:tcPr>
            <w:tcW w:w="417" w:type="dxa"/>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无线传输设备器</w:t>
            </w:r>
            <w:r/>
          </w:p>
        </w:tc>
        <w:tc>
          <w:tcPr>
            <w:tcW w:w="51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调试方法</w:t>
            </w:r>
            <w:r/>
          </w:p>
        </w:tc>
        <w:tc>
          <w:tcPr>
            <w:gridSpan w:val="2"/>
            <w:tcW w:w="8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OFDM:BPSK@6/9Mbps,QPSK@12/18Mbps,16QAM@24Mbps,</w:t>
            </w:r>
            <w:r>
              <w:rPr>
                <w:rFonts w:hint="eastAsia" w:cs="宋体" w:asciiTheme="minorEastAsia" w:hAnsiTheme="minorEastAsia" w:eastAsiaTheme="minorEastAsia"/>
                <w:sz w:val="20"/>
                <w:szCs w:val="20"/>
                <w:lang w:bidi="ar"/>
              </w:rPr>
              <w:br/>
              <w:t xml:space="preserve">64QAM@48/54Mbps</w:t>
            </w:r>
            <w:r>
              <w:rPr>
                <w:rFonts w:hint="eastAsia" w:cs="宋体" w:asciiTheme="minorEastAsia" w:hAnsiTheme="minorEastAsia" w:eastAsiaTheme="minorEastAsia"/>
                <w:sz w:val="20"/>
                <w:szCs w:val="20"/>
                <w:lang w:bidi="ar"/>
              </w:rPr>
              <w:br/>
              <w:t xml:space="preserve">DSSS:DBPSK@1Mbps,DQPSK@2Mbps,CCK@5.5/11Mbps</w:t>
            </w:r>
            <w:r>
              <w:rPr>
                <w:rFonts w:hint="eastAsia" w:cs="宋体" w:asciiTheme="minorEastAsia" w:hAnsiTheme="minorEastAsia" w:eastAsiaTheme="minorEastAsia"/>
                <w:sz w:val="20"/>
                <w:szCs w:val="20"/>
                <w:lang w:bidi="ar"/>
              </w:rPr>
              <w:br/>
              <w:t xml:space="preserve">MIMO-OFDM(11n):MCS 0~15</w:t>
            </w:r>
            <w:r>
              <w:rPr>
                <w:rFonts w:hint="eastAsia" w:cs="宋体" w:asciiTheme="minorEastAsia" w:hAnsiTheme="minorEastAsia" w:eastAsiaTheme="minorEastAsia"/>
                <w:sz w:val="20"/>
                <w:szCs w:val="20"/>
                <w:lang w:bidi="ar"/>
              </w:rPr>
              <w:br/>
              <w:t xml:space="preserve">MIMO-OFDM(11ac):MCS 0~9</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726"/>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51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无线安全</w:t>
            </w:r>
            <w:r/>
          </w:p>
        </w:tc>
        <w:tc>
          <w:tcPr>
            <w:gridSpan w:val="2"/>
            <w:tcW w:w="8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MAC地址过滤，安全开关，支持WPA-PSK/WPA2-PSK安全机制</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88"/>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51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工作温湿度</w:t>
            </w:r>
            <w:r/>
          </w:p>
        </w:tc>
        <w:tc>
          <w:tcPr>
            <w:gridSpan w:val="2"/>
            <w:tcW w:w="87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’-10~45°C 10%~90%RH(不凝结)</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88"/>
        </w:trPr>
        <w:tc>
          <w:tcPr>
            <w:tcW w:w="417" w:type="dxa"/>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tcW w:w="51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存储温湿度</w:t>
            </w:r>
            <w:r/>
          </w:p>
        </w:tc>
        <w:tc>
          <w:tcPr>
            <w:gridSpan w:val="2"/>
            <w:tcW w:w="876" w:type="dxa"/>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79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‘-40~70°C  5%~90%RH (不凝结)</w:t>
            </w:r>
            <w:r/>
          </w:p>
        </w:tc>
        <w:tc>
          <w:tcPr>
            <w:tcW w:w="992" w:type="dxa"/>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1926"/>
        </w:trPr>
        <w:tc>
          <w:tcPr>
            <w:gridSpan w:val="4"/>
            <w:tcW w:w="1809" w:type="dxa"/>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整体概述</w:t>
            </w:r>
            <w:r/>
          </w:p>
        </w:tc>
        <w:tc>
          <w:tcPr>
            <w:gridSpan w:val="2"/>
            <w:tcW w:w="87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验室配互动显微镜，包含一台教师数码显微镜、一台教师数码体视机、30台学生数码显微镜、1套数码显微互动系统、1套教师端专业图像分析软件、30套学生端图像分析软件、1套生物学图像识别系统、1套数字切片浏览系统、1台无线传输设备器。</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项目配套设施施工（准备室/仪器室）</w:t>
      </w:r>
      <w:r/>
    </w:p>
    <w:tbl>
      <w:tblPr>
        <w:tblW w:w="0" w:type="auto"/>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15"/>
        <w:gridCol w:w="1174"/>
        <w:gridCol w:w="1624"/>
        <w:gridCol w:w="6289"/>
        <w:gridCol w:w="992"/>
      </w:tblGrid>
      <w:tr>
        <w:trPr>
          <w:trHeight w:val="357"/>
          <w:tblHeader/>
        </w:trPr>
        <w:tc>
          <w:tcPr>
            <w:gridSpan w:val="3"/>
            <w:tcW w:w="3513"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6289" w:type="dxa"/>
            <w:vAlign w:val="center"/>
            <w:textDirection w:val="lrTb"/>
            <w:noWrap/>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W w:w="992" w:type="dxa"/>
            <w:vAlign w:val="center"/>
            <w:textDirection w:val="lrTb"/>
            <w:noWrap/>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454"/>
        </w:trPr>
        <w:tc>
          <w:tcPr>
            <w:tcW w:w="71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教室墙面出新</w:t>
            </w:r>
            <w:r/>
          </w:p>
        </w:tc>
        <w:tc>
          <w:tcPr>
            <w:tcW w:w="117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腻子（2遍）</w:t>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安全等级</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通过儿童安全级产品认证以及绿色建材三星认证</w:t>
            </w:r>
            <w:r/>
          </w:p>
        </w:tc>
        <w:tc>
          <w:tcPr>
            <w:tcW w:w="992" w:type="dxa"/>
            <w:vAlign w:val="center"/>
            <w:vMerge w:val="restart"/>
            <w:textDirection w:val="lrTb"/>
            <w:noWrap/>
          </w:tcPr>
          <w:p>
            <w:pPr>
              <w:jc w:val="center"/>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lang w:bidi="ar"/>
              </w:rPr>
              <w:t xml:space="preserve">135㎡</w:t>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粘结度</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≥0.3Mpa</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耐水性</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通过浸泡实验的检测</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干燥时间</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表干时间2-4h，实干时间：24h-48h，符合GB/T 1728-2020《漆膜、腻子膜干燥时间测定法》</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初期干燥抗裂性3h</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无裂纹</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有害物质限量</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苯、甲苯、乙苯、二甲苯等苯系检测物总和≤100mg/kg，挥发性有机化合物（VOC）＜10,其中甲醛含量＜100mg/kg</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打磨性标准</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符合手工可打磨标准</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放射性物质</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镭-226、钍 - 232、钾 - 40的含量不超过国家标准</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有害物质限量标准</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满足GB 18582-2020《建筑用墙面涂料中有害物质限量》</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施工工艺</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满足GB/T 1770-2008《涂膜、腻子膜打磨性测定法》</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68"/>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乳胶漆</w:t>
            </w:r>
            <w:r/>
          </w:p>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（2遍）</w:t>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干燥时间（表干）</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≤2h</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8"/>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对比率（白色和浅色）</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≥0.90</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耐碱性</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24小时内无异常</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8"/>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耐洗衣刷次数</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863"/>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有害物质限量</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挥发性有机化合物（VOC）≤120g/L,苯、甲苯、乙苯、二甲苯等苯系检测物总和≤300mg/kg,其中甲醛含量＜100mg/kg</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8"/>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可溶性金属含量</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铅Pb≤90mg/kg、镉（Cd）≤75mg/kg、铬（Cr）≤60mg/kg、汞（Hg）≤60mg/kg</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符合标准</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GB/T9756-2001、GB18582-2008</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85"/>
        </w:trPr>
        <w:tc>
          <w:tcPr>
            <w:tcW w:w="71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地胶垫施工</w:t>
            </w:r>
            <w:r/>
          </w:p>
        </w:tc>
        <w:tc>
          <w:tcPr>
            <w:tcW w:w="117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2.0mm水泥基自流平砂浆</w:t>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初始流动度</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≥130mm</w:t>
            </w:r>
            <w:r/>
          </w:p>
        </w:tc>
        <w:tc>
          <w:tcPr>
            <w:tcW w:w="992" w:type="dxa"/>
            <w:vAlign w:val="center"/>
            <w:vMerge w:val="restart"/>
            <w:textDirection w:val="lrTb"/>
            <w:noWrap/>
          </w:tcPr>
          <w:p>
            <w:pPr>
              <w:jc w:val="center"/>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lang w:bidi="ar"/>
              </w:rPr>
              <w:t xml:space="preserve">38㎡</w:t>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凝结时间</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初凝时间：2-5h，终凝时间：6-12h</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8"/>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抗压强度</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24h抗压强度≥6.0MPa.垫层产品28d抗压强度能满足最低C16，面层产品28d抗压强度能满足最低28MPa</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8"/>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拉伸粘结强度</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面层≥1.5MPa，垫层≥1.0MPa</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8"/>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抗折强度</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满足《地面用水泥基自流平砂浆》JC/T985-2005要求，水泥基自流平24小时抗折强度≥2.0MPa</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8"/>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尺寸变化率</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垫层在-0.15%~+0.15%之间，面层满足在-0.10%~+0.10%之间</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耐磨性</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面层≤400mm³ ，垫层≤800mm³</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PH值</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170"/>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施工工艺</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《地面用水泥基自流平砂浆》JC/T985-2005、《自流平地面工程技术标准》JGJ／T 175-2018、《建筑地面工程施工质量验收规范》GB 50209</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397"/>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PVC卷材</w:t>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2.0mm*20m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397"/>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摩擦起电电压</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50V</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397"/>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加热质量损失率</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0.14%</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397"/>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加热尺寸变化率</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0.10%</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397"/>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残余凹陷度</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0.08</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397"/>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燃烧长度</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397"/>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撕裂强度</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350-500MPa,直角撕裂强度≥50N/mm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397"/>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有害物质含量</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铅Pb：3.4mg/kg、镉（Cd）≤2mg/kg、铬（Cr）≤2mg/kg、汞（Hg）≤2mg/kg，多溴联苯及其醚等有害物质每一项分别≤5mg/kg，甲醛释放量0.1mg/l</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397"/>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耐磨性</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0.002</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397"/>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燃烧性能</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B1级</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397"/>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摩擦系数</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0.56</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397"/>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阻燃性</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一级</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布线系统-地下</w:t>
            </w:r>
            <w:r/>
          </w:p>
        </w:tc>
        <w:tc>
          <w:tcPr>
            <w:tcW w:w="117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阻燃BV电线</w:t>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2.5平方、4平方、6平方</w:t>
            </w:r>
            <w:r/>
          </w:p>
        </w:tc>
        <w:tc>
          <w:tcPr>
            <w:tcW w:w="992" w:type="dxa"/>
            <w:vAlign w:val="center"/>
            <w:vMerge w:val="restart"/>
            <w:textDirection w:val="lrTb"/>
            <w:noWrap/>
          </w:tcPr>
          <w:p>
            <w:pPr>
              <w:jc w:val="center"/>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lang w:bidi="ar"/>
              </w:rPr>
              <w:t xml:space="preserve">38㎡</w:t>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印刷标志标准</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印有制造商、产品型号（连续标记，最大间隔275mm）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20℃导体电阻</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7.24Ω/km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70℃绝缘电阻</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≥0.01MΩ/km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成品电压试验</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交流2500V持续5min不击穿</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绝缘厚度</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0.9mm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绝缘最薄处厚度</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0.82mm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绝缘老化前抗张强度</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15.1N/mm2</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ZB</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PVC线管</w:t>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De20及De25</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1.5mm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耐电压性能</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承受的电压范围2000-5000V,保持5min</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绝缘电阻</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≥100MΩ·m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燃烧性能</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B1级</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六类非屏蔽网线</w:t>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导体直流电阻</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0.5mm线芯≤9.5Ω/100m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8"/>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绝缘介电强度</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导屏间2.5kV、屏屏间1.0kV</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近端串音值</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≥74.3－15×lg(f)</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耐温性</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-20℃至+75℃</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特性阻抗</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100±15Ω</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85"/>
        </w:trPr>
        <w:tc>
          <w:tcPr>
            <w:tcW w:w="71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给排</w:t>
            </w:r>
            <w:r>
              <w:rPr>
                <w:rFonts w:hint="eastAsia" w:cs="宋体" w:asciiTheme="minorEastAsia" w:hAnsiTheme="minorEastAsia" w:eastAsiaTheme="minorEastAsia"/>
                <w:sz w:val="20"/>
                <w:szCs w:val="20"/>
                <w:lang w:bidi="ar"/>
              </w:rPr>
              <w:t xml:space="preserve">水系统-地下</w:t>
            </w:r>
            <w:r/>
          </w:p>
        </w:tc>
        <w:tc>
          <w:tcPr>
            <w:tcW w:w="117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优质</w:t>
            </w:r>
            <w:r>
              <w:rPr>
                <w:rFonts w:hint="eastAsia" w:cs="宋体" w:asciiTheme="minorEastAsia" w:hAnsiTheme="minorEastAsia" w:eastAsiaTheme="minorEastAsia"/>
                <w:sz w:val="20"/>
                <w:szCs w:val="20"/>
                <w:lang w:bidi="ar"/>
              </w:rPr>
              <w:t xml:space="preserve">PPR(给水)管</w:t>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φ25㎜</w:t>
            </w:r>
            <w:r/>
          </w:p>
        </w:tc>
        <w:tc>
          <w:tcPr>
            <w:tcW w:w="992" w:type="dxa"/>
            <w:vAlign w:val="center"/>
            <w:vMerge w:val="restart"/>
            <w:textDirection w:val="lrTb"/>
            <w:noWrap/>
          </w:tcPr>
          <w:p>
            <w:pPr>
              <w:jc w:val="center"/>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lang w:bidi="ar"/>
              </w:rPr>
              <w:t xml:space="preserve">1</w:t>
            </w:r>
            <w:r>
              <w:rPr>
                <w:rFonts w:hint="eastAsia" w:cs="宋体" w:asciiTheme="minorEastAsia" w:hAnsiTheme="minorEastAsia" w:eastAsiaTheme="minorEastAsia"/>
                <w:sz w:val="22"/>
                <w:szCs w:val="22"/>
                <w:lang w:bidi="ar"/>
              </w:rPr>
              <w:t xml:space="preserve">项</w:t>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标志</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每件有标签，标签有厂家型号</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8"/>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静液压强度（20℃/1h）</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在实验压力6.40Mpa下无破裂，无渗漏</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8"/>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氧化诱导时间</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在210℃，≥20min</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透光率</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863"/>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0℃落锤冲击试验</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在环境温度23±5℃，湿度50±5%，调节时间48h，将样品放入0℃±1℃冷冻箱后4h取出，15秒内管件经8kg·m落锤冲击试验，无破损。</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PVC(排水)管</w:t>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φ50㎜</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8"/>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管材平均壁厚</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2.3mm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8"/>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维卡软化温度</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83.3VST/℃</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1.80%</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8"/>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落锤冲击试验</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≤10，分布于A区</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8"/>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需要符合的行业标准</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GB/T5836.1-2006</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铝方通板吊顶</w:t>
            </w:r>
            <w:r/>
          </w:p>
        </w:tc>
        <w:tc>
          <w:tcPr>
            <w:tcW w:w="117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铝方通</w:t>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厚度≧1.0mm</w:t>
            </w:r>
            <w:r/>
          </w:p>
        </w:tc>
        <w:tc>
          <w:tcPr>
            <w:tcW w:w="992" w:type="dxa"/>
            <w:vAlign w:val="center"/>
            <w:vMerge w:val="restart"/>
            <w:textDirection w:val="lrTb"/>
            <w:noWrap/>
          </w:tcPr>
          <w:p>
            <w:pPr>
              <w:jc w:val="center"/>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lang w:bidi="ar"/>
              </w:rPr>
              <w:t xml:space="preserve">38㎡</w:t>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40*80mm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材质级别</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铝合金（6063-T5）</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表面处理</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氧化、喷涂、电泳</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安装间距</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60mm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轻钢龙骨</w:t>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主龙骨规格</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C38,高度38mm，宽度12mm，主龙骨间距900mm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次龙骨规格</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T型龙骨24*38mm，龙骨间距600mm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578"/>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横撑龙骨间距</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600mm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边龙骨</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20*20*3000mm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628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A级</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bottom"/>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吊杆</w:t>
            </w:r>
            <w:r/>
          </w:p>
        </w:tc>
        <w:tc>
          <w:tcPr>
            <w:tcW w:w="1624" w:type="dxa"/>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289"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直径8mm钢筋，吊杆间距900mm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bottom"/>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螺母</w:t>
            </w:r>
            <w:r/>
          </w:p>
        </w:tc>
        <w:tc>
          <w:tcPr>
            <w:tcW w:w="1624" w:type="dxa"/>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289"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M8</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29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bottom"/>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挂件</w:t>
            </w:r>
            <w:r/>
          </w:p>
        </w:tc>
        <w:tc>
          <w:tcPr>
            <w:tcW w:w="1624" w:type="dxa"/>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289"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铁镀锌材质，厚度0.6mm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铝合金踢脚线</w:t>
            </w:r>
            <w:r/>
          </w:p>
        </w:tc>
        <w:tc>
          <w:tcPr>
            <w:tcW w:w="1174"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铝合金踢脚线</w:t>
            </w:r>
            <w:r/>
          </w:p>
        </w:tc>
        <w:tc>
          <w:tcPr>
            <w:tcW w:w="1624" w:type="dxa"/>
            <w:vAlign w:val="bottom"/>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高度</w:t>
            </w:r>
            <w:r/>
          </w:p>
        </w:tc>
        <w:tc>
          <w:tcPr>
            <w:tcW w:w="6289" w:type="dxa"/>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80mm</w:t>
            </w:r>
            <w:r/>
          </w:p>
        </w:tc>
        <w:tc>
          <w:tcPr>
            <w:tcW w:w="992" w:type="dxa"/>
            <w:vAlign w:val="center"/>
            <w:vMerge w:val="restart"/>
            <w:textDirection w:val="lrTb"/>
            <w:noWrap/>
          </w:tcPr>
          <w:p>
            <w:pPr>
              <w:jc w:val="center"/>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lang w:bidi="ar"/>
              </w:rPr>
              <w:t xml:space="preserve">25m</w:t>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bottom"/>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W w:w="6289" w:type="dxa"/>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1.0mm厚</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bottom"/>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长度</w:t>
            </w:r>
            <w:r/>
          </w:p>
        </w:tc>
        <w:tc>
          <w:tcPr>
            <w:tcW w:w="6289" w:type="dxa"/>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3.0m（阴角阳角为90°）</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bottom"/>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表面处理</w:t>
            </w:r>
            <w:r/>
          </w:p>
        </w:tc>
        <w:tc>
          <w:tcPr>
            <w:tcW w:w="6289" w:type="dxa"/>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阳极氧化处理，氧化膜厚度20微米</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bottom"/>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安装方式</w:t>
            </w:r>
            <w:r/>
          </w:p>
        </w:tc>
        <w:tc>
          <w:tcPr>
            <w:tcW w:w="6289" w:type="dxa"/>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卡扣式，卡槽宽度12mm</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bottom"/>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维氏硬度测试</w:t>
            </w:r>
            <w:r/>
          </w:p>
        </w:tc>
        <w:tc>
          <w:tcPr>
            <w:tcW w:w="6289" w:type="dxa"/>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15HW</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bottom"/>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耐腐蚀性</w:t>
            </w:r>
            <w:r/>
          </w:p>
        </w:tc>
        <w:tc>
          <w:tcPr>
            <w:tcW w:w="6289" w:type="dxa"/>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至少48-72小时的盐雾腐蚀</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454"/>
        </w:trPr>
        <w:tc>
          <w:tcPr>
            <w:tcW w:w="71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74"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24" w:type="dxa"/>
            <w:vAlign w:val="bottom"/>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6289" w:type="dxa"/>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A级不燃</w:t>
            </w:r>
            <w:r/>
          </w:p>
        </w:tc>
        <w:tc>
          <w:tcPr>
            <w:tcW w:w="992" w:type="dxa"/>
            <w:vAlign w:val="center"/>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863"/>
        </w:trPr>
        <w:tc>
          <w:tcPr>
            <w:gridSpan w:val="2"/>
            <w:tcW w:w="1889" w:type="dxa"/>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水电安装调试</w:t>
            </w:r>
            <w:r/>
          </w:p>
        </w:tc>
        <w:tc>
          <w:tcPr>
            <w:tcW w:w="1624" w:type="dxa"/>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水电安装调试</w:t>
            </w:r>
            <w:r/>
          </w:p>
        </w:tc>
        <w:tc>
          <w:tcPr>
            <w:tcW w:w="6289"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实验室水电安装调试</w:t>
            </w:r>
            <w:r>
              <w:rPr>
                <w:rFonts w:hint="eastAsia" w:cs="宋体" w:asciiTheme="minorEastAsia" w:hAnsiTheme="minorEastAsia" w:eastAsiaTheme="minorEastAsia"/>
                <w:sz w:val="22"/>
                <w:szCs w:val="22"/>
                <w:lang w:bidi="ar"/>
              </w:rPr>
              <w:br/>
            </w:r>
            <w:r/>
          </w:p>
        </w:tc>
        <w:tc>
          <w:tcPr>
            <w:tcW w:w="992" w:type="dxa"/>
            <w:vAlign w:val="center"/>
            <w:textDirection w:val="lrTb"/>
            <w:noWrap/>
          </w:tcPr>
          <w:p>
            <w:pPr>
              <w:jc w:val="center"/>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0"/>
                <w:szCs w:val="20"/>
                <w:lang w:bidi="ar"/>
              </w:rPr>
              <w:t xml:space="preserve">1</w:t>
            </w:r>
            <w:r>
              <w:rPr>
                <w:rFonts w:hint="eastAsia" w:cs="宋体" w:asciiTheme="minorEastAsia" w:hAnsiTheme="minorEastAsia" w:eastAsiaTheme="minorEastAsia"/>
                <w:sz w:val="20"/>
                <w:szCs w:val="20"/>
                <w:lang w:bidi="ar"/>
              </w:rPr>
              <w:t xml:space="preserve">项</w:t>
            </w:r>
            <w:r/>
          </w:p>
        </w:tc>
      </w:tr>
      <w:tr>
        <w:trPr>
          <w:trHeight w:val="753"/>
        </w:trPr>
        <w:tc>
          <w:tcPr>
            <w:gridSpan w:val="3"/>
            <w:tcW w:w="351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W w:w="7281"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改造内容包括：墙、顶、地面、强弱电及给排水改造。</w:t>
            </w:r>
            <w:r/>
          </w:p>
        </w:tc>
      </w:tr>
    </w:tbl>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项目配套设施施工（实验教室）</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96"/>
        <w:gridCol w:w="1150"/>
        <w:gridCol w:w="1610"/>
        <w:gridCol w:w="6008"/>
        <w:gridCol w:w="992"/>
      </w:tblGrid>
      <w:tr>
        <w:trPr>
          <w:trHeight w:val="371"/>
          <w:tblHeader/>
        </w:trPr>
        <w:tc>
          <w:tcPr>
            <w:gridSpan w:val="3"/>
            <w:tcW w:w="3456"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6008" w:type="dxa"/>
            <w:vAlign w:val="center"/>
            <w:textDirection w:val="lrTb"/>
            <w:noWrap/>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W w:w="992" w:type="dxa"/>
            <w:vAlign w:val="center"/>
            <w:textDirection w:val="lrTb"/>
            <w:noWrap/>
          </w:tcPr>
          <w:p>
            <w:pPr>
              <w:jc w:val="center"/>
              <w:widowControl/>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数量</w:t>
            </w:r>
            <w:r/>
          </w:p>
        </w:tc>
      </w:tr>
      <w:tr>
        <w:trPr>
          <w:trHeight w:val="270"/>
        </w:trPr>
        <w:tc>
          <w:tcPr>
            <w:tcW w:w="696"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教室墙面出新</w:t>
            </w:r>
            <w:r/>
          </w:p>
        </w:tc>
        <w:tc>
          <w:tcPr>
            <w:tcW w:w="1150"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腻子（2遍）</w:t>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安全等级</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通过儿童安全级产品认证以及绿色建材三星认证</w:t>
            </w:r>
            <w:r/>
          </w:p>
        </w:tc>
        <w:tc>
          <w:tcPr>
            <w:tcW w:w="992" w:type="dxa"/>
            <w:vAlign w:val="center"/>
            <w:vMerge w:val="restart"/>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205㎡</w:t>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粘结度</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≥0.3Mpa</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耐水性</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通过浸泡实验的检测</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42"/>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干燥时间</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表干时间2-4h，实干时间：24h-48h，符合GB/T 1728-2020《漆膜、腻子膜干燥时间测定法》</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初期干燥抗裂性3h</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无裂纹</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8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有害物质限量</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苯、甲苯、乙苯、二甲苯等苯系检测物总和≤100mg/kg，挥发性有机化合物（VOC）＜10,其中甲醛含量＜100mg/kg</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打磨性标准</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符合手工可打磨标准</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放射性物质</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镭-226、钍 - 232、钾 - 40的含量不超过国家标准</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有害物质限量标准</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满足GB 18582-2020《建筑用墙面涂料中有害物质限量》</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施工工艺</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满足GB/T 1770-2008《涂膜、腻子膜打磨性测定法》</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乳胶漆</w:t>
            </w:r>
            <w:r/>
          </w:p>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（2遍）</w:t>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干燥时间（表干）</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≤2h</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8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对比率（白色和浅色）</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≥0.90</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耐碱性</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24小时内无异常</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耐洗衣刷次数</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有害物质限量</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挥发性有机化合物（VOC）≤120g/L,苯、甲苯、乙苯、二甲苯等苯系检测物总和≤300mg/kg,其中甲醛含量＜100mg/kg</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8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可溶性金属含量</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铅Pb≤90mg/kg、镉（Cd）≤75mg/kg、铬（Cr）≤60mg/kg、汞（Hg）≤60mg/kg</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符合标准</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GB/T9756-2001、GB18582-2008</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696"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地胶垫施工</w:t>
            </w:r>
            <w:r/>
          </w:p>
        </w:tc>
        <w:tc>
          <w:tcPr>
            <w:tcW w:w="1150"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2.0mm水泥基自流平砂浆</w:t>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初始流动度</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≥130mm</w:t>
            </w:r>
            <w:r/>
          </w:p>
        </w:tc>
        <w:tc>
          <w:tcPr>
            <w:tcW w:w="992" w:type="dxa"/>
            <w:vAlign w:val="center"/>
            <w:vMerge w:val="restart"/>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90㎡</w:t>
            </w:r>
            <w:r/>
          </w:p>
        </w:tc>
      </w:tr>
      <w:tr>
        <w:trPr>
          <w:trHeight w:val="51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凝结时间</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初凝时间：2-5h，终凝时间：6-12h</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抗压强度</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24h抗压强度≥6.0MPa.垫层产品28d抗压强度能满足最低C16，面层产品28d抗压强度能满足最低28MPa</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拉伸粘结强度</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面层≥1.5MPa，垫层≥1.0MPa</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抗折强度</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满足《地面用水泥基自流平砂浆》JC/T985-2005要求，水泥基自流平24小时抗折强度≥2.0MPa</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尺寸变化率</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垫层在-0.15%~+0.15%之间，面层满足在-0.10%~+0.10%之间</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696" w:type="dxa"/>
            <w:vAlign w:val="center"/>
            <w:vMerge w:val="continue"/>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耐磨性</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面层≤400mm³ ，垫层≤800mm³</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PH值</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施工工艺</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《地面用水泥基自流平砂浆》JC/T985-2005、《自流平地面工程技术标准》JGJ／T 175-2018、《建筑地面工程施工质量验收规范》GB 50209</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PVC卷材</w:t>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2.0mm*20m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摩擦起电电压</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50V</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加热质量损失率</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0.14%</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加热尺寸变化率</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0.10%</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残余凹陷度</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0.08</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12"/>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燃烧长度</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85"/>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撕裂强度</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350-500MPa,直角撕裂强度≥50N/mm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2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有害物质含量</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铅Pb：3.4mg/kg、镉（Cd）≤2mg/kg、铬（Cr）≤2mg/kg、汞（Hg）≤2mg/kg，多溴联苯及其醚等有害物质每一项分别≤5mg/kg，甲醛释放量0.1mg/l</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3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耐磨性</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0.002</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3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燃烧性能</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B1级</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摩擦系数</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0.56</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6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阻燃性</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一级</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54"/>
        </w:trPr>
        <w:tc>
          <w:tcPr>
            <w:tcW w:w="696"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布线系统-地下</w:t>
            </w:r>
            <w:r/>
          </w:p>
        </w:tc>
        <w:tc>
          <w:tcPr>
            <w:tcW w:w="1150"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阻燃BV电线</w:t>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2.5平方、4平方、6平方</w:t>
            </w:r>
            <w:r/>
          </w:p>
        </w:tc>
        <w:tc>
          <w:tcPr>
            <w:tcW w:w="992" w:type="dxa"/>
            <w:vAlign w:val="center"/>
            <w:vMerge w:val="restart"/>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90㎡</w:t>
            </w:r>
            <w:r/>
          </w:p>
        </w:tc>
      </w:tr>
      <w:tr>
        <w:trPr>
          <w:trHeight w:val="454"/>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印刷标志标准</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印有制造商、产品型号（连续标记，最大间隔275mm）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54"/>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20℃导体电阻</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7.24Ω/km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54"/>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70℃绝缘电阻</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≥0.01MΩ/km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54"/>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成品电压试验</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交流2500V持续5min不击穿</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48"/>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绝缘厚度</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0.9mm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绝缘最薄处厚度</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0.82mm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8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绝缘老化前抗张强度</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15.1N/mm2</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03"/>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ZB</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PVC线管</w:t>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De20及De25</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1.5mm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耐电压性能</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承受的电压范围2000-5000V,保持5min</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绝缘电阻</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≥100MΩ·m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燃烧性能</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B1级</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六类非屏蔽网线</w:t>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导体直流电阻</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0.5mm线芯≤9.5Ω/100m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绝缘介电强度</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导屏间2.5kV、屏屏间1.0kV</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近端串音值</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≥74.3－15×lg(f)</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耐温性</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-20℃至+75℃</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特性阻抗</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100±15Ω</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给排水系统-地下</w:t>
            </w:r>
            <w:r/>
          </w:p>
        </w:tc>
        <w:tc>
          <w:tcPr>
            <w:tcW w:w="1150"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优质PPR(给水)管</w:t>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φ25㎜</w:t>
            </w:r>
            <w:r/>
          </w:p>
        </w:tc>
        <w:tc>
          <w:tcPr>
            <w:tcW w:w="992" w:type="dxa"/>
            <w:vAlign w:val="center"/>
            <w:vMerge w:val="restart"/>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rPr>
                <w:rFonts w:hint="eastAsia" w:cs="宋体" w:asciiTheme="minorEastAsia" w:hAnsiTheme="minorEastAsia" w:eastAsiaTheme="minorEastAsia"/>
                <w:sz w:val="20"/>
                <w:szCs w:val="20"/>
                <w:lang w:bidi="ar"/>
              </w:rPr>
              <w:t xml:space="preserve">项</w:t>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标志</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每件有标签，标签有厂家型号</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静液压强度（20℃/1h）</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在实验压力6.40Mpa下无破裂，无渗漏</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氧化诱导时间</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在210℃，≥20min</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透光率</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23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0℃落锤冲击试验</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在环境温度23±5℃，湿度50±5%，调节时间48h，将样品放入0℃±1℃冷冻箱后4h取出，15秒内管件经8kg·m落锤冲击试验，无破损。</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58"/>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PVC(排水)管</w:t>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φ50㎜</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管材平均壁厚</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2.3mm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维卡软化温度</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83.3VST/℃</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1.80%</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落锤冲击试验</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≤10，分布于A区</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80"/>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需要符合的行业标准</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GB/T5836.1-2006</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铝方通板吊顶</w:t>
            </w:r>
            <w:r/>
          </w:p>
        </w:tc>
        <w:tc>
          <w:tcPr>
            <w:tcW w:w="1150"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铝方通</w:t>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厚度≧1.0mm</w:t>
            </w:r>
            <w:r/>
          </w:p>
        </w:tc>
        <w:tc>
          <w:tcPr>
            <w:tcW w:w="992" w:type="dxa"/>
            <w:vAlign w:val="center"/>
            <w:vMerge w:val="restart"/>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90㎡</w:t>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40*80mm </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材质级别</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铝合金（6063-T5）</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表面处理</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氧化、喷涂、电泳</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安装间距</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60mm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轻钢龙骨</w:t>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主龙骨规格</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C38,高度38mm，宽度12mm，主龙骨间距900mm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次龙骨规格</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T型龙骨24*38mm，龙骨间距600mm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横撑龙骨间距</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600mm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边龙骨</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20*20*3000mm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600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A级</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bottom"/>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吊杆</w:t>
            </w:r>
            <w:r/>
          </w:p>
        </w:tc>
        <w:tc>
          <w:tcPr>
            <w:tcW w:w="161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008"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直径8mm钢筋，吊杆间距900mm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bottom"/>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螺母</w:t>
            </w:r>
            <w:r/>
          </w:p>
        </w:tc>
        <w:tc>
          <w:tcPr>
            <w:tcW w:w="161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008"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M8</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bottom"/>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挂件</w:t>
            </w:r>
            <w:r/>
          </w:p>
        </w:tc>
        <w:tc>
          <w:tcPr>
            <w:tcW w:w="161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008"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铁镀锌材质，厚度0.6mm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铝合金踢脚线</w:t>
            </w:r>
            <w:r/>
          </w:p>
        </w:tc>
        <w:tc>
          <w:tcPr>
            <w:tcW w:w="1150"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铝合金踢脚线</w:t>
            </w:r>
            <w:r/>
          </w:p>
        </w:tc>
        <w:tc>
          <w:tcPr>
            <w:tcW w:w="161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高度</w:t>
            </w:r>
            <w:r/>
          </w:p>
        </w:tc>
        <w:tc>
          <w:tcPr>
            <w:tcW w:w="6008"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80mm</w:t>
            </w:r>
            <w:r/>
          </w:p>
        </w:tc>
        <w:tc>
          <w:tcPr>
            <w:tcW w:w="992" w:type="dxa"/>
            <w:vAlign w:val="center"/>
            <w:vMerge w:val="restart"/>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38m</w:t>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W w:w="6008"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1.0mm厚</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长度</w:t>
            </w:r>
            <w:r/>
          </w:p>
        </w:tc>
        <w:tc>
          <w:tcPr>
            <w:tcW w:w="6008"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3.0m（阴角阳角为90°）</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表面处理</w:t>
            </w:r>
            <w:r/>
          </w:p>
        </w:tc>
        <w:tc>
          <w:tcPr>
            <w:tcW w:w="6008"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阳极氧化处理，氧化膜厚度20微米</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安装方式</w:t>
            </w:r>
            <w:r/>
          </w:p>
        </w:tc>
        <w:tc>
          <w:tcPr>
            <w:tcW w:w="6008"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卡扣式，卡槽宽度12mm</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维氏硬度测试</w:t>
            </w:r>
            <w:r/>
          </w:p>
        </w:tc>
        <w:tc>
          <w:tcPr>
            <w:tcW w:w="6008"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15HW</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耐腐蚀性</w:t>
            </w:r>
            <w:r/>
          </w:p>
        </w:tc>
        <w:tc>
          <w:tcPr>
            <w:tcW w:w="6008"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至少48-72小时的盐雾腐蚀</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69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150"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61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6008"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A级不燃</w:t>
            </w:r>
            <w:r/>
          </w:p>
        </w:tc>
        <w:tc>
          <w:tcPr>
            <w:tcW w:w="992" w:type="dxa"/>
            <w:vAlign w:val="center"/>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gridSpan w:val="3"/>
            <w:tcW w:w="345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水电安装调试</w:t>
            </w:r>
            <w:r/>
          </w:p>
        </w:tc>
        <w:tc>
          <w:tcPr>
            <w:tcW w:w="6008"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实验室水电安装调试</w:t>
            </w:r>
            <w:r>
              <w:rPr>
                <w:rFonts w:hint="eastAsia" w:cs="宋体" w:asciiTheme="minorEastAsia" w:hAnsiTheme="minorEastAsia" w:eastAsiaTheme="minorEastAsia"/>
                <w:sz w:val="20"/>
                <w:szCs w:val="20"/>
                <w:lang w:bidi="ar"/>
              </w:rPr>
              <w:br/>
            </w:r>
            <w:r/>
          </w:p>
        </w:tc>
        <w:tc>
          <w:tcPr>
            <w:tcW w:w="992"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rPr>
                <w:rFonts w:hint="eastAsia" w:cs="宋体" w:asciiTheme="minorEastAsia" w:hAnsiTheme="minorEastAsia" w:eastAsiaTheme="minorEastAsia"/>
                <w:sz w:val="20"/>
                <w:szCs w:val="20"/>
                <w:lang w:bidi="ar"/>
              </w:rPr>
              <w:t xml:space="preserve">项</w:t>
            </w:r>
            <w:r/>
          </w:p>
        </w:tc>
      </w:tr>
      <w:tr>
        <w:trPr>
          <w:trHeight w:val="796"/>
        </w:trPr>
        <w:tc>
          <w:tcPr>
            <w:gridSpan w:val="3"/>
            <w:tcW w:w="345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W w:w="700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改造内容包括：墙、顶、地面、强弱电及给排水改造。</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翻页式挂图，数量：12</w:t>
      </w:r>
      <w:r/>
    </w:p>
    <w:tbl>
      <w:tblPr>
        <w:tblW w:w="4894" w:type="pct"/>
        <w:tblLook w:val="0000" w:firstRow="0" w:lastRow="0" w:firstColumn="0" w:lastColumn="0" w:noHBand="0" w:noVBand="0"/>
      </w:tblPr>
      <w:tblGrid>
        <w:gridCol w:w="1102"/>
        <w:gridCol w:w="849"/>
        <w:gridCol w:w="8505"/>
      </w:tblGrid>
      <w:tr>
        <w:trPr>
          <w:trHeight w:val="501"/>
          <w:tblHeader/>
        </w:trPr>
        <w:tc>
          <w:tcPr>
            <w:gridSpan w:val="2"/>
            <w:tcBorders>
              <w:top w:val="single" w:color="auto" w:sz="4" w:space="0"/>
              <w:left w:val="single" w:color="auto" w:sz="4" w:space="0"/>
              <w:bottom w:val="single" w:color="auto" w:sz="4" w:space="0"/>
              <w:right w:val="single" w:color="auto" w:sz="4" w:space="0"/>
            </w:tcBorders>
            <w:tcW w:w="933"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参数名称</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参数要求</w:t>
            </w:r>
            <w:r/>
          </w:p>
        </w:tc>
      </w:tr>
      <w:tr>
        <w:trPr>
          <w:trHeight w:val="705"/>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≥450×600×70mm</w:t>
            </w:r>
            <w:r/>
          </w:p>
        </w:tc>
      </w:tr>
      <w:tr>
        <w:trPr>
          <w:trHeight w:val="980"/>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≥2mm厚PVC板采用UV精工磨印画面技术，边框选用≥16×10mm铝合金制作成型加强包边，转角采用PC＋ABS工程塑料合金连插件连接</w:t>
            </w:r>
            <w:r/>
          </w:p>
        </w:tc>
      </w:tr>
      <w:tr>
        <w:trPr>
          <w:trHeight w:val="1302"/>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立轴</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30mm实心圆型铝镁合金，表面经电泳、静电环氧树脂粉末喷涂处理，具有耐腐蚀、防火、防潮等功能，美观实用。转动轴采用PC＋ABS工程塑料合金成型。固定面板采用≥6mm铝镁合金，配备不锈钢内六角膨胀螺栓固定墙面。</w:t>
            </w:r>
            <w:r/>
          </w:p>
        </w:tc>
      </w:tr>
      <w:tr>
        <w:trPr>
          <w:trHeight w:val="1004"/>
        </w:trPr>
        <w:tc>
          <w:tcPr>
            <w:gridSpan w:val="2"/>
            <w:tcBorders>
              <w:top w:val="single" w:color="auto" w:sz="4" w:space="0"/>
              <w:left w:val="single" w:color="auto" w:sz="4" w:space="0"/>
              <w:bottom w:val="single" w:color="auto" w:sz="4" w:space="0"/>
              <w:right w:val="single" w:color="auto" w:sz="4" w:space="0"/>
            </w:tcBorders>
            <w:tcW w:w="93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Borders>
              <w:top w:val="single" w:color="auto" w:sz="4" w:space="0"/>
              <w:left w:val="single" w:color="auto" w:sz="4" w:space="0"/>
              <w:bottom w:val="single" w:color="auto" w:sz="4" w:space="0"/>
              <w:right w:val="single" w:color="auto" w:sz="4" w:space="0"/>
            </w:tcBorders>
            <w:tcW w:w="406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普及与展示教学内容常规知识。</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紧急喷淋装置，数量：2</w:t>
      </w:r>
      <w:r/>
    </w:p>
    <w:tbl>
      <w:tblPr>
        <w:tblW w:w="4828" w:type="pct"/>
        <w:tblLook w:val="0000" w:firstRow="0" w:lastRow="0" w:firstColumn="0" w:lastColumn="0" w:noHBand="0" w:noVBand="0"/>
      </w:tblPr>
      <w:tblGrid>
        <w:gridCol w:w="1242"/>
        <w:gridCol w:w="1419"/>
        <w:gridCol w:w="7654"/>
      </w:tblGrid>
      <w:tr>
        <w:trPr>
          <w:trHeight w:val="353"/>
          <w:tblHeader/>
        </w:trPr>
        <w:tc>
          <w:tcPr>
            <w:gridSpan w:val="2"/>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参数名称</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参数要求</w:t>
            </w:r>
            <w:r/>
          </w:p>
        </w:tc>
      </w:tr>
      <w:tr>
        <w:trPr>
          <w:trHeight w:val="737"/>
        </w:trPr>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高度</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≥2100mm</w:t>
            </w:r>
            <w:r/>
          </w:p>
        </w:tc>
      </w:tr>
      <w:tr>
        <w:trPr>
          <w:trHeight w:val="737"/>
        </w:trPr>
        <w:tc>
          <w:tcPr>
            <w:tcBorders>
              <w:top w:val="single" w:color="auto" w:sz="4" w:space="0"/>
              <w:left w:val="single" w:color="auto" w:sz="4" w:space="0"/>
              <w:bottom w:val="single" w:color="auto" w:sz="4" w:space="0"/>
              <w:right w:val="single" w:color="auto" w:sz="4" w:space="0"/>
            </w:tcBorders>
            <w:tcW w:w="60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加厚不锈钢</w:t>
            </w:r>
            <w:r/>
          </w:p>
        </w:tc>
      </w:tr>
      <w:tr>
        <w:trPr>
          <w:trHeight w:val="737"/>
        </w:trPr>
        <w:tc>
          <w:tcPr>
            <w:tcBorders>
              <w:top w:val="single" w:color="auto" w:sz="4" w:space="0"/>
              <w:left w:val="single" w:color="auto" w:sz="4" w:space="0"/>
              <w:bottom w:val="single" w:color="auto" w:sz="4" w:space="0"/>
              <w:right w:val="single" w:color="auto" w:sz="4" w:space="0"/>
            </w:tcBorders>
            <w:tcW w:w="60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工作压力</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0.25-0.45MPA</w:t>
            </w:r>
            <w:r/>
          </w:p>
        </w:tc>
      </w:tr>
      <w:tr>
        <w:trPr>
          <w:trHeight w:val="737"/>
        </w:trPr>
        <w:tc>
          <w:tcPr>
            <w:tcBorders>
              <w:top w:val="single" w:color="auto" w:sz="4" w:space="0"/>
              <w:left w:val="single" w:color="auto" w:sz="4" w:space="0"/>
              <w:bottom w:val="single" w:color="auto" w:sz="4" w:space="0"/>
              <w:right w:val="single" w:color="auto" w:sz="4" w:space="0"/>
            </w:tcBorders>
            <w:tcW w:w="60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总成水管尺寸</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直径</w:t>
            </w:r>
            <w:r>
              <w:rPr>
                <w:rStyle w:val="2477"/>
                <w:rFonts w:hint="eastAsia" w:asciiTheme="minorEastAsia" w:hAnsiTheme="minorEastAsia" w:eastAsiaTheme="minorEastAsia"/>
                <w:color w:val="auto"/>
                <w:lang w:bidi="ar"/>
              </w:rPr>
              <w:t xml:space="preserve">≧</w:t>
            </w:r>
            <w:r>
              <w:rPr>
                <w:rFonts w:hint="eastAsia" w:cs="宋体" w:asciiTheme="minorEastAsia" w:hAnsiTheme="minorEastAsia" w:eastAsiaTheme="minorEastAsia"/>
                <w:sz w:val="20"/>
                <w:szCs w:val="20"/>
                <w:lang w:bidi="ar"/>
              </w:rPr>
              <w:t xml:space="preserve">41mm</w:t>
            </w:r>
            <w:r/>
          </w:p>
        </w:tc>
      </w:tr>
      <w:tr>
        <w:trPr>
          <w:trHeight w:val="737"/>
        </w:trPr>
        <w:tc>
          <w:tcPr>
            <w:tcBorders>
              <w:top w:val="single" w:color="auto" w:sz="4" w:space="0"/>
              <w:left w:val="single" w:color="auto" w:sz="4" w:space="0"/>
              <w:bottom w:val="single" w:color="auto" w:sz="4" w:space="0"/>
              <w:right w:val="single" w:color="auto" w:sz="4" w:space="0"/>
            </w:tcBorders>
            <w:tcW w:w="60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子管尺寸</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直径≧25mm</w:t>
            </w:r>
            <w:r/>
          </w:p>
        </w:tc>
      </w:tr>
      <w:tr>
        <w:trPr>
          <w:trHeight w:val="737"/>
        </w:trPr>
        <w:tc>
          <w:tcPr>
            <w:tcBorders>
              <w:top w:val="single" w:color="auto" w:sz="4" w:space="0"/>
              <w:left w:val="single" w:color="auto" w:sz="4" w:space="0"/>
              <w:bottom w:val="single" w:color="auto" w:sz="4" w:space="0"/>
              <w:right w:val="single" w:color="auto" w:sz="4" w:space="0"/>
            </w:tcBorders>
            <w:tcW w:w="60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密封压力</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0.4MPA</w:t>
            </w:r>
            <w:r/>
          </w:p>
        </w:tc>
      </w:tr>
      <w:tr>
        <w:trPr>
          <w:trHeight w:val="737"/>
        </w:trPr>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喷淋</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流量</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120-180升/分钟</w:t>
            </w:r>
            <w:r/>
          </w:p>
        </w:tc>
      </w:tr>
      <w:tr>
        <w:trPr>
          <w:trHeight w:val="737"/>
        </w:trPr>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冲淋阀门</w:t>
            </w:r>
            <w:r/>
          </w:p>
        </w:tc>
        <w:tc>
          <w:tcPr>
            <w:tcBorders>
              <w:top w:val="single" w:color="auto" w:sz="4" w:space="0"/>
              <w:left w:val="single" w:color="auto" w:sz="4" w:space="0"/>
              <w:bottom w:val="single" w:color="auto" w:sz="4" w:space="0"/>
              <w:right w:val="single" w:color="auto" w:sz="4" w:space="0"/>
            </w:tcBorders>
            <w:tcW w:w="68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32mm</w:t>
            </w:r>
            <w:r/>
          </w:p>
        </w:tc>
      </w:tr>
      <w:tr>
        <w:trPr>
          <w:trHeight w:val="737"/>
        </w:trPr>
        <w:tc>
          <w:tcPr>
            <w:gridSpan w:val="2"/>
            <w:tcBorders>
              <w:top w:val="single" w:color="auto" w:sz="4" w:space="0"/>
              <w:left w:val="single" w:color="auto" w:sz="4" w:space="0"/>
              <w:bottom w:val="single" w:color="auto" w:sz="4" w:space="0"/>
              <w:right w:val="single" w:color="auto" w:sz="4" w:space="0"/>
            </w:tcBorders>
            <w:tcW w:w="12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Borders>
              <w:top w:val="single" w:color="auto" w:sz="4" w:space="0"/>
              <w:left w:val="single" w:color="auto" w:sz="4" w:space="0"/>
              <w:bottom w:val="single" w:color="auto" w:sz="4" w:space="0"/>
              <w:right w:val="single" w:color="auto" w:sz="4" w:space="0"/>
            </w:tcBorders>
            <w:tcW w:w="371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包含喷淋、洗眼。上下水、夜光推板、脚踏板开关等装置功能。</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安全防护设备，数量：6</w:t>
      </w:r>
      <w:r/>
    </w:p>
    <w:tbl>
      <w:tblPr>
        <w:tblW w:w="4894" w:type="pct"/>
        <w:tblLook w:val="0000" w:firstRow="0" w:lastRow="0" w:firstColumn="0" w:lastColumn="0" w:noHBand="0" w:noVBand="0"/>
      </w:tblPr>
      <w:tblGrid>
        <w:gridCol w:w="1240"/>
        <w:gridCol w:w="1280"/>
        <w:gridCol w:w="7936"/>
      </w:tblGrid>
      <w:tr>
        <w:trPr>
          <w:trHeight w:val="456"/>
          <w:tblHeader/>
        </w:trPr>
        <w:tc>
          <w:tcPr>
            <w:gridSpan w:val="2"/>
            <w:tcBorders>
              <w:top w:val="single" w:color="auto" w:sz="4" w:space="0"/>
              <w:left w:val="single" w:color="auto" w:sz="4" w:space="0"/>
              <w:bottom w:val="single" w:color="auto" w:sz="4" w:space="0"/>
              <w:right w:val="single" w:color="auto" w:sz="4" w:space="0"/>
            </w:tcBorders>
            <w:tcW w:w="1205"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参数名称</w:t>
            </w:r>
            <w:r/>
          </w:p>
        </w:tc>
        <w:tc>
          <w:tcPr>
            <w:tcBorders>
              <w:top w:val="single" w:color="auto" w:sz="4" w:space="0"/>
              <w:left w:val="single" w:color="auto" w:sz="4" w:space="0"/>
              <w:bottom w:val="single" w:color="auto" w:sz="4" w:space="0"/>
              <w:right w:val="single" w:color="auto" w:sz="4" w:space="0"/>
            </w:tcBorders>
            <w:tcW w:w="3795"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参数要求</w:t>
            </w:r>
            <w:r/>
          </w:p>
        </w:tc>
      </w:tr>
      <w:tr>
        <w:trPr>
          <w:trHeight w:val="737"/>
        </w:trPr>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jc w:val="center"/>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lang w:bidi="ar"/>
              </w:rPr>
              <w:t xml:space="preserve">急救药箱</w:t>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w:t>
            </w:r>
            <w:r/>
          </w:p>
        </w:tc>
        <w:tc>
          <w:tcPr>
            <w:tcBorders>
              <w:top w:val="single" w:color="auto" w:sz="4" w:space="0"/>
              <w:left w:val="single" w:color="auto" w:sz="4" w:space="0"/>
              <w:bottom w:val="single" w:color="auto" w:sz="4" w:space="0"/>
              <w:right w:val="single" w:color="auto"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含医用酒精、饱和碳酸氢钠溶液、饱和硼酸溶液、创可贴、灭菌结晶磺胺、碘伏、胶布、医用纱布、药棉、手术剪、镊子、止血带（长度N30cm）、烫伤膏、甘油等。</w:t>
            </w:r>
            <w:r/>
          </w:p>
        </w:tc>
      </w:tr>
      <w:tr>
        <w:trPr>
          <w:trHeight w:val="737"/>
        </w:trPr>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jc w:val="center"/>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lang w:bidi="ar"/>
              </w:rPr>
              <w:t xml:space="preserve">灭火毯</w:t>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auto" w:sz="4" w:space="0"/>
              <w:left w:val="single" w:color="auto" w:sz="4" w:space="0"/>
              <w:bottom w:val="single" w:color="auto" w:sz="4" w:space="0"/>
              <w:right w:val="single" w:color="auto" w:sz="4" w:space="0"/>
            </w:tcBorders>
            <w:tcW w:w="3795" w:type="pct"/>
            <w:vAlign w:val="center"/>
            <w:textDirection w:val="lrTb"/>
            <w:noWrap/>
          </w:tcPr>
          <w:p>
            <w:pPr>
              <w:jc w:val="lef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≥1200*1800*8</w:t>
            </w:r>
            <w:r>
              <w:rPr>
                <w:rStyle w:val="2478"/>
                <w:rFonts w:hint="default" w:asciiTheme="minorEastAsia" w:hAnsiTheme="minorEastAsia" w:eastAsiaTheme="minorEastAsia"/>
                <w:color w:val="auto"/>
                <w:lang w:bidi="ar"/>
              </w:rPr>
              <w:t xml:space="preserve">mm</w:t>
            </w:r>
            <w:r/>
          </w:p>
        </w:tc>
      </w:tr>
      <w:tr>
        <w:trPr>
          <w:trHeight w:val="737"/>
        </w:trPr>
        <w:tc>
          <w:tcPr>
            <w:tcBorders>
              <w:top w:val="single" w:color="auto" w:sz="4" w:space="0"/>
              <w:left w:val="single" w:color="auto" w:sz="4" w:space="0"/>
              <w:bottom w:val="single" w:color="auto" w:sz="4" w:space="0"/>
              <w:right w:val="single" w:color="auto" w:sz="4" w:space="0"/>
            </w:tcBorders>
            <w:tcW w:w="593" w:type="pct"/>
            <w:vAlign w:val="center"/>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黄沙箱</w:t>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auto" w:sz="4" w:space="0"/>
              <w:left w:val="single" w:color="auto" w:sz="4" w:space="0"/>
              <w:bottom w:val="single" w:color="auto" w:sz="4" w:space="0"/>
              <w:right w:val="single" w:color="auto"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≥600*400*400mm</w:t>
            </w:r>
            <w:r/>
          </w:p>
        </w:tc>
      </w:tr>
      <w:tr>
        <w:trPr>
          <w:trHeight w:val="737"/>
        </w:trPr>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jc w:val="center"/>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lang w:bidi="ar"/>
              </w:rPr>
              <w:t xml:space="preserve">灭火器</w:t>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灭火方式</w:t>
            </w:r>
            <w:r/>
          </w:p>
        </w:tc>
        <w:tc>
          <w:tcPr>
            <w:tcBorders>
              <w:top w:val="single" w:color="auto" w:sz="4" w:space="0"/>
              <w:left w:val="single" w:color="auto" w:sz="4" w:space="0"/>
              <w:bottom w:val="single" w:color="auto" w:sz="4" w:space="0"/>
              <w:right w:val="single" w:color="auto"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二氧化碳灭火器*2</w:t>
            </w:r>
            <w:r/>
          </w:p>
        </w:tc>
      </w:tr>
      <w:tr>
        <w:trPr>
          <w:trHeight w:val="737"/>
        </w:trPr>
        <w:tc>
          <w:tcPr>
            <w:tcBorders>
              <w:top w:val="single" w:color="auto" w:sz="4" w:space="0"/>
              <w:left w:val="single" w:color="auto" w:sz="4" w:space="0"/>
              <w:bottom w:val="single" w:color="auto" w:sz="4" w:space="0"/>
              <w:right w:val="single" w:color="auto" w:sz="4" w:space="0"/>
            </w:tcBorders>
            <w:tcW w:w="593" w:type="pct"/>
            <w:vAlign w:val="center"/>
            <w:textDirection w:val="lrTb"/>
            <w:noWrap/>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bidi="ar"/>
              </w:rPr>
              <w:t xml:space="preserve">废液桶</w:t>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容量</w:t>
            </w:r>
            <w:r/>
          </w:p>
        </w:tc>
        <w:tc>
          <w:tcPr>
            <w:tcBorders>
              <w:top w:val="single" w:color="auto" w:sz="4" w:space="0"/>
              <w:left w:val="single" w:color="auto" w:sz="4" w:space="0"/>
              <w:bottom w:val="single" w:color="auto" w:sz="4" w:space="0"/>
              <w:right w:val="single" w:color="auto"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大于25L</w:t>
            </w:r>
            <w:r/>
          </w:p>
        </w:tc>
      </w:tr>
      <w:tr>
        <w:trPr>
          <w:trHeight w:val="737"/>
        </w:trPr>
        <w:tc>
          <w:tcPr>
            <w:gridSpan w:val="2"/>
            <w:tcBorders>
              <w:top w:val="single" w:color="auto" w:sz="4" w:space="0"/>
              <w:left w:val="single" w:color="auto" w:sz="4" w:space="0"/>
              <w:bottom w:val="single" w:color="auto" w:sz="4" w:space="0"/>
              <w:right w:val="single" w:color="auto" w:sz="4" w:space="0"/>
            </w:tcBorders>
            <w:tcW w:w="1205"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Borders>
              <w:top w:val="single" w:color="auto" w:sz="4" w:space="0"/>
              <w:left w:val="single" w:color="auto" w:sz="4" w:space="0"/>
              <w:bottom w:val="single" w:color="auto" w:sz="4" w:space="0"/>
              <w:right w:val="single" w:color="auto"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预防实验过程中有的紧急情况，能够及时的处理预防。</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720" w:equalWidth="1"/>
          <w:docGrid w:linePitch="360"/>
        </w:sect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bookmarkStart w:id="232" w:name="OLE_LINK1"/>
      <w:r>
        <w:rPr>
          <w:rFonts w:hint="eastAsia" w:cs="宋体" w:asciiTheme="minorEastAsia" w:hAnsiTheme="minorEastAsia" w:eastAsiaTheme="minorEastAsia"/>
          <w:lang w:bidi="ar"/>
        </w:rPr>
        <w:t xml:space="preserve">多功能移动水槽</w:t>
      </w:r>
      <w:bookmarkEnd w:id="232"/>
      <w:r>
        <w:rPr>
          <w:rFonts w:hint="eastAsia" w:cs="宋体" w:asciiTheme="minorEastAsia" w:hAnsiTheme="minorEastAsia" w:eastAsiaTheme="minorEastAsia"/>
          <w:lang w:bidi="ar"/>
        </w:rPr>
        <w:t xml:space="preserve">，数量：56</w:t>
      </w:r>
      <w:r/>
    </w:p>
    <w:tbl>
      <w:tblPr>
        <w:tblW w:w="48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00"/>
        <w:gridCol w:w="1560"/>
        <w:gridCol w:w="7796"/>
      </w:tblGrid>
      <w:tr>
        <w:trPr>
          <w:trHeight w:val="358"/>
          <w:tblHeader/>
        </w:trPr>
        <w:tc>
          <w:tcPr>
            <w:gridSpan w:val="2"/>
            <w:tcW w:w="1272"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参数名称</w:t>
            </w:r>
            <w:r/>
          </w:p>
        </w:tc>
        <w:tc>
          <w:tcPr>
            <w:tcW w:w="3728"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参数要求</w:t>
            </w:r>
            <w:r/>
          </w:p>
        </w:tc>
      </w:tr>
      <w:tr>
        <w:trPr>
          <w:trHeight w:val="510"/>
        </w:trPr>
        <w:tc>
          <w:tcPr>
            <w:tcW w:w="52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W w:w="7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≥500×600×1030H/水槽深度270mm</w:t>
            </w:r>
            <w:r/>
          </w:p>
        </w:tc>
      </w:tr>
      <w:tr>
        <w:trPr>
          <w:trHeight w:val="510"/>
        </w:trPr>
        <w:tc>
          <w:tcPr>
            <w:tcW w:w="526"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▲水槽</w:t>
            </w:r>
            <w:r/>
          </w:p>
        </w:tc>
        <w:tc>
          <w:tcPr>
            <w:tcW w:w="7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外观尺寸</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500×600×1030H</w:t>
            </w:r>
            <w:r/>
          </w:p>
        </w:tc>
      </w:tr>
      <w:tr>
        <w:trPr>
          <w:trHeight w:val="510"/>
        </w:trPr>
        <w:tc>
          <w:tcPr>
            <w:tcW w:w="52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水槽尺寸</w:t>
            </w:r>
            <w:r/>
          </w:p>
        </w:tc>
        <w:tc>
          <w:tcPr>
            <w:tcW w:w="3728" w:type="pct"/>
            <w:vAlign w:val="bottom"/>
            <w:textDirection w:val="lrTb"/>
            <w:noWrap/>
          </w:tcPr>
          <w:p>
            <w:pPr>
              <w:jc w:val="left"/>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lang w:bidi="ar"/>
              </w:rPr>
              <w:t xml:space="preserve">水槽深度270mm</w:t>
            </w:r>
            <w:r/>
          </w:p>
        </w:tc>
      </w:tr>
      <w:tr>
        <w:trPr>
          <w:trHeight w:val="510"/>
        </w:trPr>
        <w:tc>
          <w:tcPr>
            <w:tcW w:w="52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台面采用耐酸碱PP工程塑料整体模具一体注塑成型</w:t>
            </w:r>
            <w:r/>
          </w:p>
        </w:tc>
      </w:tr>
      <w:tr>
        <w:trPr>
          <w:trHeight w:val="510"/>
        </w:trPr>
        <w:tc>
          <w:tcPr>
            <w:tcW w:w="52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采用≥3.8mm厚耐酸碱PP工程塑料整体模具注塑成型</w:t>
            </w:r>
            <w:r/>
          </w:p>
        </w:tc>
      </w:tr>
      <w:tr>
        <w:trPr>
          <w:trHeight w:val="510"/>
        </w:trPr>
        <w:tc>
          <w:tcPr>
            <w:tcW w:w="52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滴水架</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≥8试管位滴水架</w:t>
            </w:r>
            <w:r/>
          </w:p>
        </w:tc>
      </w:tr>
      <w:tr>
        <w:trPr>
          <w:trHeight w:val="510"/>
        </w:trPr>
        <w:tc>
          <w:tcPr>
            <w:tcW w:w="526"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多功能平台集成</w:t>
            </w:r>
            <w:r/>
          </w:p>
        </w:tc>
        <w:tc>
          <w:tcPr>
            <w:tcW w:w="7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给排水快速接口</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采用优质PVC软管</w:t>
            </w:r>
            <w:r/>
          </w:p>
        </w:tc>
      </w:tr>
      <w:tr>
        <w:trPr>
          <w:trHeight w:val="510"/>
        </w:trPr>
        <w:tc>
          <w:tcPr>
            <w:tcW w:w="52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信号控制接口</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≥3.8mm厚耐酸碱PP工程塑料整体模具注塑成型</w:t>
            </w:r>
            <w:r/>
          </w:p>
        </w:tc>
      </w:tr>
      <w:tr>
        <w:trPr>
          <w:trHeight w:val="510"/>
        </w:trPr>
        <w:tc>
          <w:tcPr>
            <w:tcW w:w="526"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▲电源模块</w:t>
            </w:r>
            <w:r/>
          </w:p>
        </w:tc>
        <w:tc>
          <w:tcPr>
            <w:tcW w:w="7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电源输出</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学生电源固定安装于两侧，220V交流电源：每台配备220V交流输出多用豪华插座2个;</w:t>
            </w:r>
            <w:r/>
          </w:p>
        </w:tc>
      </w:tr>
      <w:tr>
        <w:trPr>
          <w:trHeight w:val="510"/>
        </w:trPr>
        <w:tc>
          <w:tcPr>
            <w:tcW w:w="52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低压交流输出</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低压交流电源2-30V（2V一档）（短路、过载自动保护、自动复位）；低压直流电源：1.25V-30V，学生可进行微调；交直流电压均采用数码显示；多功能安装平台装配有2个网络、USB接口。</w:t>
            </w:r>
            <w:r/>
          </w:p>
        </w:tc>
      </w:tr>
      <w:tr>
        <w:trPr>
          <w:trHeight w:val="510"/>
        </w:trPr>
        <w:tc>
          <w:tcPr>
            <w:tcW w:w="526"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洗眼器</w:t>
            </w:r>
            <w:r/>
          </w:p>
        </w:tc>
        <w:tc>
          <w:tcPr>
            <w:tcW w:w="74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主体材质</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主体加厚铜质，高亮超厚电镀层。</w:t>
            </w:r>
            <w:r/>
          </w:p>
        </w:tc>
      </w:tr>
      <w:tr>
        <w:trPr>
          <w:trHeight w:val="510"/>
        </w:trPr>
        <w:tc>
          <w:tcPr>
            <w:tcW w:w="52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4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喷淋头材质</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软性橡胶</w:t>
            </w:r>
            <w:r/>
          </w:p>
        </w:tc>
      </w:tr>
      <w:tr>
        <w:trPr>
          <w:trHeight w:val="510"/>
        </w:trPr>
        <w:tc>
          <w:tcPr>
            <w:tcW w:w="52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4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防尘盖材质</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PP材质</w:t>
            </w:r>
            <w:r/>
          </w:p>
        </w:tc>
      </w:tr>
      <w:tr>
        <w:trPr>
          <w:trHeight w:val="510"/>
        </w:trPr>
        <w:tc>
          <w:tcPr>
            <w:tcW w:w="52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4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开关</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水流开启、水流锁定功能一并完成，方便使用；</w:t>
            </w:r>
            <w:r/>
          </w:p>
        </w:tc>
      </w:tr>
      <w:tr>
        <w:trPr>
          <w:trHeight w:val="510"/>
        </w:trPr>
        <w:tc>
          <w:tcPr>
            <w:tcW w:w="52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4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控水阀</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止逆阀，其阀门可自动关闭；</w:t>
            </w:r>
            <w:r/>
          </w:p>
        </w:tc>
      </w:tr>
      <w:tr>
        <w:trPr>
          <w:trHeight w:val="510"/>
        </w:trPr>
        <w:tc>
          <w:tcPr>
            <w:tcW w:w="526"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★三联水嘴</w:t>
            </w:r>
            <w:r/>
          </w:p>
        </w:tc>
        <w:tc>
          <w:tcPr>
            <w:tcW w:w="7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整体材质</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主体加厚铜质</w:t>
            </w:r>
            <w:r/>
          </w:p>
        </w:tc>
      </w:tr>
      <w:tr>
        <w:trPr>
          <w:trHeight w:val="510"/>
        </w:trPr>
        <w:tc>
          <w:tcPr>
            <w:tcW w:w="52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阀芯</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工程塑料</w:t>
            </w:r>
            <w:r/>
          </w:p>
        </w:tc>
      </w:tr>
      <w:tr>
        <w:trPr>
          <w:trHeight w:val="510"/>
        </w:trPr>
        <w:tc>
          <w:tcPr>
            <w:tcW w:w="52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鹅颈管</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工程塑料</w:t>
            </w:r>
            <w:r/>
          </w:p>
        </w:tc>
      </w:tr>
      <w:tr>
        <w:trPr>
          <w:trHeight w:val="510"/>
        </w:trPr>
        <w:tc>
          <w:tcPr>
            <w:tcW w:w="526"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▲水槽</w:t>
            </w:r>
            <w:r/>
          </w:p>
        </w:tc>
        <w:tc>
          <w:tcPr>
            <w:tcW w:w="74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双层过滤结构</w:t>
            </w:r>
            <w:r/>
          </w:p>
        </w:tc>
      </w:tr>
      <w:tr>
        <w:trPr>
          <w:trHeight w:val="510"/>
        </w:trPr>
        <w:tc>
          <w:tcPr>
            <w:tcW w:w="52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4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过滤网</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PVC材质</w:t>
            </w:r>
            <w:r/>
          </w:p>
        </w:tc>
      </w:tr>
      <w:tr>
        <w:trPr>
          <w:trHeight w:val="510"/>
        </w:trPr>
        <w:tc>
          <w:tcPr>
            <w:tcW w:w="52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4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检修口</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中部配备抽屉式过滤层并安装通锁，背面预留检修口。</w:t>
            </w:r>
            <w:r/>
          </w:p>
        </w:tc>
      </w:tr>
      <w:tr>
        <w:trPr>
          <w:trHeight w:val="510"/>
        </w:trPr>
        <w:tc>
          <w:tcPr>
            <w:tcW w:w="52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4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传感器</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水槽内设有水位传感器及排水装置，有自动排水和手动及紧急排水功能，将废水自动排出。</w:t>
            </w:r>
            <w:r/>
          </w:p>
        </w:tc>
      </w:tr>
      <w:tr>
        <w:trPr>
          <w:trHeight w:val="5224"/>
        </w:trPr>
        <w:tc>
          <w:tcPr>
            <w:gridSpan w:val="2"/>
            <w:tcW w:w="1272"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▲相关质量说明文件：</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▲提供由经国家认证委认证的第三方检测机构出具的检测报告（检测报告上须含有“CMA”或“CNAS”标志），检测内容：</w:t>
            </w:r>
            <w:r>
              <w:rPr>
                <w:rFonts w:hint="eastAsia" w:cs="宋体" w:asciiTheme="minorEastAsia" w:hAnsiTheme="minorEastAsia" w:eastAsiaTheme="minorEastAsia"/>
                <w:sz w:val="20"/>
                <w:szCs w:val="20"/>
                <w:lang w:bidi="ar"/>
              </w:rPr>
              <w:br/>
              <w:t xml:space="preserve">1、对触及带电部件的防护，B型试验探棒通过任何孔不应触及带电部件；</w:t>
            </w:r>
            <w:r>
              <w:rPr>
                <w:rFonts w:hint="eastAsia" w:cs="宋体" w:asciiTheme="minorEastAsia" w:hAnsiTheme="minorEastAsia" w:eastAsiaTheme="minorEastAsia"/>
                <w:sz w:val="20"/>
                <w:szCs w:val="20"/>
                <w:lang w:bidi="ar"/>
              </w:rPr>
              <w:br/>
              <w:t xml:space="preserve">2、发热：试验期间保护装置不应动作,密封剂不应流出，各部位温升手柄,旋钮,抓手和类似部件≤60K；</w:t>
            </w:r>
            <w:r>
              <w:rPr>
                <w:rFonts w:hint="eastAsia" w:cs="宋体" w:asciiTheme="minorEastAsia" w:hAnsiTheme="minorEastAsia" w:eastAsiaTheme="minorEastAsia"/>
                <w:sz w:val="20"/>
                <w:szCs w:val="20"/>
                <w:lang w:bidi="ar"/>
              </w:rPr>
              <w:br/>
              <w:t xml:space="preserve">3、工作温度下的泄漏电流和电气强度：电气强度承受50Hz,500V,历时1min不应出现击穿；</w:t>
            </w:r>
            <w:r>
              <w:rPr>
                <w:rFonts w:hint="eastAsia" w:cs="宋体" w:asciiTheme="minorEastAsia" w:hAnsiTheme="minorEastAsia" w:eastAsiaTheme="minorEastAsia"/>
                <w:sz w:val="20"/>
                <w:szCs w:val="20"/>
                <w:lang w:bidi="ar"/>
              </w:rPr>
              <w:br/>
              <w:t xml:space="preserve">4、耐潮湿：溢水试验电气强度承受50Hz,500V,历时1min不应出现击穿；</w:t>
            </w:r>
            <w:r>
              <w:rPr>
                <w:rFonts w:hint="eastAsia" w:cs="宋体" w:asciiTheme="minorEastAsia" w:hAnsiTheme="minorEastAsia" w:eastAsiaTheme="minorEastAsia"/>
                <w:sz w:val="20"/>
                <w:szCs w:val="20"/>
                <w:lang w:bidi="ar"/>
              </w:rPr>
              <w:br/>
              <w:t xml:space="preserve">5、稳定性和机械危险：运动件应合理布置或密封；</w:t>
            </w:r>
            <w:r>
              <w:rPr>
                <w:rFonts w:hint="eastAsia" w:cs="宋体" w:asciiTheme="minorEastAsia" w:hAnsiTheme="minorEastAsia" w:eastAsiaTheme="minorEastAsia"/>
                <w:sz w:val="20"/>
                <w:szCs w:val="20"/>
                <w:lang w:bidi="ar"/>
              </w:rPr>
              <w:br/>
              <w:t xml:space="preserve">6、机械强度：固体绝缘的易触及部件，应有足够的强度防止锋利工具的刺穿；</w:t>
            </w:r>
            <w:r>
              <w:rPr>
                <w:rFonts w:hint="eastAsia" w:cs="宋体" w:asciiTheme="minorEastAsia" w:hAnsiTheme="minorEastAsia" w:eastAsiaTheme="minorEastAsia"/>
                <w:sz w:val="20"/>
                <w:szCs w:val="20"/>
                <w:lang w:bidi="ar"/>
              </w:rPr>
              <w:br/>
              <w:t xml:space="preserve">7、结构：电气绝缘不应受凝结水或泄露液体的影响；</w:t>
            </w:r>
            <w:r>
              <w:rPr>
                <w:rFonts w:hint="eastAsia" w:cs="宋体" w:asciiTheme="minorEastAsia" w:hAnsiTheme="minorEastAsia" w:eastAsiaTheme="minorEastAsia"/>
                <w:sz w:val="20"/>
                <w:szCs w:val="20"/>
                <w:lang w:bidi="ar"/>
              </w:rPr>
              <w:br/>
              <w:t xml:space="preserve">8、耐热和耐燃：外部绝缘材料进行75℃球压试验，压痕直径≤2mm。</w:t>
            </w:r>
            <w:r/>
          </w:p>
        </w:tc>
      </w:tr>
      <w:tr>
        <w:trPr>
          <w:trHeight w:val="1041"/>
        </w:trPr>
        <w:tc>
          <w:tcPr>
            <w:gridSpan w:val="2"/>
            <w:tcW w:w="1272"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其他要求</w:t>
            </w:r>
            <w:r/>
          </w:p>
        </w:tc>
        <w:tc>
          <w:tcPr>
            <w:tcW w:w="3728" w:type="pct"/>
            <w:vAlign w:val="center"/>
            <w:textDirection w:val="lrTb"/>
            <w:noWrap w:val="false"/>
          </w:tcPr>
          <w:p>
            <w:pPr>
              <w:jc w:val="left"/>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★（1）三联水嘴：</w:t>
            </w:r>
            <w:r>
              <w:rPr>
                <w:rFonts w:cs="宋体" w:asciiTheme="minorEastAsia" w:hAnsiTheme="minorEastAsia" w:eastAsiaTheme="minorEastAsia"/>
                <w:color w:val="000000"/>
                <w:sz w:val="20"/>
              </w:rPr>
              <w:t xml:space="preserve">提供国家确定的认证机构出具的、处于有效期之内的节能产品认证证书</w:t>
            </w:r>
            <w:r>
              <w:rPr>
                <w:rFonts w:hint="eastAsia" w:cs="宋体" w:asciiTheme="minorEastAsia" w:hAnsiTheme="minorEastAsia" w:eastAsiaTheme="minorEastAsia"/>
                <w:bCs/>
                <w:sz w:val="20"/>
                <w:szCs w:val="20"/>
                <w:lang w:bidi="ar"/>
              </w:rPr>
              <w:t xml:space="preserve">。</w:t>
            </w:r>
            <w:r/>
          </w:p>
        </w:tc>
      </w:tr>
      <w:tr>
        <w:trPr>
          <w:trHeight w:val="1141"/>
        </w:trPr>
        <w:tc>
          <w:tcPr>
            <w:gridSpan w:val="2"/>
            <w:tcW w:w="1272"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整体概述</w:t>
            </w:r>
            <w:r/>
          </w:p>
        </w:tc>
        <w:tc>
          <w:tcPr>
            <w:tcW w:w="37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1.实验准备操作区域，通水、电、网络。</w:t>
            </w:r>
            <w:r>
              <w:rPr>
                <w:rFonts w:hint="eastAsia" w:cs="宋体" w:asciiTheme="minorEastAsia" w:hAnsiTheme="minorEastAsia" w:eastAsiaTheme="minorEastAsia"/>
                <w:sz w:val="20"/>
                <w:szCs w:val="20"/>
                <w:lang w:bidi="ar"/>
              </w:rPr>
              <w:br/>
              <w:t xml:space="preserve">2.为成套设备，配备滴水架、洗眼器、三联水嘴。</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静电消除器，数量：1</w:t>
      </w:r>
      <w:r/>
    </w:p>
    <w:tbl>
      <w:tblPr>
        <w:tblW w:w="4828" w:type="pct"/>
        <w:tblLook w:val="0000" w:firstRow="0" w:lastRow="0" w:firstColumn="0" w:lastColumn="0" w:noHBand="0" w:noVBand="0"/>
      </w:tblPr>
      <w:tblGrid>
        <w:gridCol w:w="1100"/>
        <w:gridCol w:w="1277"/>
        <w:gridCol w:w="7938"/>
      </w:tblGrid>
      <w:tr>
        <w:trPr>
          <w:trHeight w:val="483"/>
          <w:tblHeader/>
        </w:trPr>
        <w:tc>
          <w:tcPr>
            <w:gridSpan w:val="2"/>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3848"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参数要求</w:t>
            </w:r>
            <w:r/>
          </w:p>
        </w:tc>
      </w:tr>
      <w:tr>
        <w:trPr>
          <w:trHeight w:val="680"/>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84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加厚304不锈钢底座及杆身</w:t>
            </w:r>
            <w:r/>
          </w:p>
        </w:tc>
      </w:tr>
      <w:tr>
        <w:trPr>
          <w:trHeight w:val="680"/>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总高</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84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大于1m</w:t>
            </w:r>
            <w:r/>
          </w:p>
        </w:tc>
      </w:tr>
      <w:tr>
        <w:trPr>
          <w:trHeight w:val="680"/>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立杆</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84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大于38mm</w:t>
            </w:r>
            <w:r/>
          </w:p>
        </w:tc>
      </w:tr>
      <w:tr>
        <w:trPr>
          <w:trHeight w:val="680"/>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触摸球</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84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大于90mm</w:t>
            </w:r>
            <w:r/>
          </w:p>
        </w:tc>
      </w:tr>
      <w:tr>
        <w:trPr>
          <w:trHeight w:val="680"/>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底座</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84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大于140mm</w:t>
            </w:r>
            <w:r/>
          </w:p>
        </w:tc>
      </w:tr>
      <w:tr>
        <w:trPr>
          <w:trHeight w:val="680"/>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警示牌</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84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大于170*240mm</w:t>
            </w:r>
            <w:r/>
          </w:p>
        </w:tc>
      </w:tr>
      <w:tr>
        <w:trPr>
          <w:trHeight w:val="680"/>
        </w:trPr>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报警器</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报警方式</w:t>
            </w:r>
            <w:r/>
          </w:p>
        </w:tc>
        <w:tc>
          <w:tcPr>
            <w:tcBorders>
              <w:top w:val="single" w:color="000000" w:sz="4" w:space="0"/>
              <w:left w:val="single" w:color="000000" w:sz="4" w:space="0"/>
              <w:bottom w:val="single" w:color="000000" w:sz="4" w:space="0"/>
              <w:right w:val="single" w:color="000000" w:sz="4" w:space="0"/>
            </w:tcBorders>
            <w:tcW w:w="384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红外感应，自动语音报警</w:t>
            </w:r>
            <w:r/>
          </w:p>
        </w:tc>
      </w:tr>
      <w:tr>
        <w:trPr>
          <w:trHeight w:val="680"/>
        </w:trPr>
        <w:tc>
          <w:tcPr>
            <w:gridSpan w:val="2"/>
            <w:tcBorders>
              <w:top w:val="single" w:color="000000" w:sz="4" w:space="0"/>
              <w:left w:val="single" w:color="000000" w:sz="4" w:space="0"/>
              <w:bottom w:val="single" w:color="000000" w:sz="4" w:space="0"/>
              <w:right w:val="single" w:color="000000" w:sz="4" w:space="0"/>
            </w:tcBorders>
            <w:tcW w:w="115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Borders>
              <w:top w:val="single" w:color="000000" w:sz="4" w:space="0"/>
              <w:left w:val="single" w:color="000000" w:sz="4" w:space="0"/>
              <w:bottom w:val="single" w:color="000000" w:sz="4" w:space="0"/>
              <w:right w:val="single" w:color="000000" w:sz="4" w:space="0"/>
            </w:tcBorders>
            <w:tcW w:w="384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人体静电消除装置</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720" w:equalWidth="1"/>
          <w:docGrid w:linePitch="360"/>
        </w:sect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教师演示设备，数量：6</w:t>
      </w:r>
      <w:r/>
    </w:p>
    <w:tbl>
      <w:tblPr>
        <w:tblW w:w="0" w:type="auto"/>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0" w:type="dxa"/>
          <w:top w:w="40" w:type="dxa"/>
          <w:right w:w="100" w:type="dxa"/>
          <w:bottom w:w="40" w:type="dxa"/>
        </w:tblCellMar>
        <w:tblLook w:val="0000" w:firstRow="0" w:lastRow="0" w:firstColumn="0" w:lastColumn="0" w:noHBand="0" w:noVBand="0"/>
      </w:tblPr>
      <w:tblGrid>
        <w:gridCol w:w="951"/>
        <w:gridCol w:w="850"/>
        <w:gridCol w:w="8647"/>
      </w:tblGrid>
      <w:tr>
        <w:trPr>
          <w:trHeight w:val="237"/>
          <w:tblHeader/>
        </w:trPr>
        <w:tc>
          <w:tcPr>
            <w:gridSpan w:val="2"/>
            <w:tcW w:w="1801" w:type="dxa"/>
            <w:vAlign w:val="center"/>
            <w:textDirection w:val="lrTb"/>
            <w:noWrap w:val="false"/>
          </w:tcPr>
          <w:p>
            <w:pPr>
              <w:pStyle w:val="2043"/>
              <w:rPr>
                <w:rFonts w:hint="eastAsia" w:cs="宋体" w:asciiTheme="minorEastAsia" w:hAnsiTheme="minorEastAsia" w:eastAsiaTheme="minorEastAsia"/>
                <w:b/>
              </w:rPr>
            </w:pPr>
            <w:r>
              <w:rPr>
                <w:rFonts w:hint="eastAsia" w:cs="宋体" w:asciiTheme="minorEastAsia" w:hAnsiTheme="minorEastAsia" w:eastAsiaTheme="minorEastAsia"/>
                <w:b/>
                <w:lang w:bidi="ar"/>
              </w:rPr>
              <w:t xml:space="preserve">参数名称</w:t>
            </w:r>
            <w:r/>
          </w:p>
        </w:tc>
        <w:tc>
          <w:tcPr>
            <w:tcW w:w="8647" w:type="dxa"/>
            <w:vAlign w:val="center"/>
            <w:textDirection w:val="lrTb"/>
            <w:noWrap w:val="false"/>
          </w:tcPr>
          <w:p>
            <w:pPr>
              <w:pStyle w:val="2043"/>
              <w:rPr>
                <w:rFonts w:hint="eastAsia" w:cs="宋体" w:asciiTheme="minorEastAsia" w:hAnsiTheme="minorEastAsia" w:eastAsiaTheme="minorEastAsia"/>
                <w:b/>
              </w:rPr>
            </w:pPr>
            <w:r>
              <w:rPr>
                <w:rFonts w:hint="eastAsia" w:cs="宋体" w:asciiTheme="minorEastAsia" w:hAnsiTheme="minorEastAsia" w:eastAsiaTheme="minorEastAsia"/>
                <w:b/>
                <w:lang w:bidi="ar"/>
              </w:rPr>
              <w:t xml:space="preserve">参数要求</w:t>
            </w:r>
            <w:r/>
          </w:p>
        </w:tc>
      </w:tr>
      <w:tr>
        <w:trPr>
          <w:trHeight w:val="270"/>
        </w:trPr>
        <w:tc>
          <w:tcPr>
            <w:tcW w:w="951"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≥2650×750×850mm</w:t>
            </w:r>
            <w:r/>
          </w:p>
        </w:tc>
      </w:tr>
      <w:tr>
        <w:trPr>
          <w:trHeight w:val="270"/>
        </w:trPr>
        <w:tc>
          <w:tcPr>
            <w:tcW w:w="951" w:type="dxa"/>
            <w:vAlign w:val="center"/>
            <w:vMerge w:val="restart"/>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实验操作设备主体结构</w:t>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型材规格</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不小于30×30×1.2mm铝型材</w:t>
            </w:r>
            <w:r/>
          </w:p>
        </w:tc>
      </w:tr>
      <w:tr>
        <w:trPr>
          <w:trHeight w:val="270"/>
        </w:trPr>
        <w:tc>
          <w:tcPr>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连接件材质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w:t>
            </w:r>
            <w:r/>
          </w:p>
        </w:tc>
      </w:tr>
      <w:tr>
        <w:trPr>
          <w:trHeight w:val="454"/>
        </w:trPr>
        <w:tc>
          <w:tcPr>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背板</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采用≥5mm厚抗倍特板</w:t>
            </w:r>
            <w:r/>
          </w:p>
        </w:tc>
      </w:tr>
      <w:tr>
        <w:trPr>
          <w:trHeight w:val="454"/>
        </w:trPr>
        <w:tc>
          <w:tcPr>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抽屉</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采用≥16mm厚E1级优质三聚氰胺环保板</w:t>
            </w:r>
            <w:r/>
          </w:p>
        </w:tc>
      </w:tr>
      <w:tr>
        <w:trPr>
          <w:trHeight w:val="454"/>
        </w:trPr>
        <w:tc>
          <w:tcPr>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主体门板</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采用≥16mm厚E1级优质三聚氰胺环保板</w:t>
            </w:r>
            <w:r/>
          </w:p>
        </w:tc>
      </w:tr>
      <w:tr>
        <w:trPr>
          <w:trHeight w:val="270"/>
        </w:trPr>
        <w:tc>
          <w:tcPr>
            <w:tcBorders>
              <w:bottom w:val="single" w:color="auto" w:sz="4" w:space="0"/>
            </w:tcBorders>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主体转角结构</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采用一次成型工程塑料连插件连接。</w:t>
            </w:r>
            <w:r/>
          </w:p>
        </w:tc>
      </w:tr>
      <w:tr>
        <w:trPr>
          <w:trHeight w:val="454"/>
        </w:trPr>
        <w:tc>
          <w:tcPr>
            <w:tcBorders>
              <w:top w:val="single" w:color="auto" w:sz="4" w:space="0"/>
              <w:left w:val="single" w:color="auto" w:sz="4" w:space="0"/>
              <w:bottom w:val="single" w:color="auto" w:sz="4" w:space="0"/>
              <w:right w:val="single" w:color="auto" w:sz="4" w:space="0"/>
            </w:tcBorders>
            <w:tcW w:w="951" w:type="dxa"/>
            <w:vAlign w:val="center"/>
            <w:vMerge w:val="restart"/>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▲实验操作区平面</w:t>
            </w:r>
            <w:r/>
          </w:p>
        </w:tc>
        <w:tc>
          <w:tcPr>
            <w:tcBorders>
              <w:left w:val="single" w:color="auto" w:sz="4" w:space="0"/>
            </w:tcBorders>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不小于1500×750mm</w:t>
            </w:r>
            <w:r/>
          </w:p>
        </w:tc>
      </w:tr>
      <w:tr>
        <w:trPr>
          <w:trHeight w:val="720"/>
        </w:trPr>
        <w:tc>
          <w:tcPr>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Borders>
              <w:left w:val="single" w:color="auto" w:sz="4" w:space="0"/>
            </w:tcBorders>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≥16mm一体化陶瓷台面，经过上釉工艺处理，具有耐高温（长时间耐温1300度）、耐刻刮、防静电、耐腐蚀、防垢易清洁、防霉等最佳物理性能和化学性能，</w:t>
            </w:r>
            <w:r/>
          </w:p>
        </w:tc>
      </w:tr>
      <w:tr>
        <w:trPr>
          <w:trHeight w:val="270"/>
        </w:trPr>
        <w:tc>
          <w:tcPr>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Borders>
              <w:left w:val="single" w:color="auto" w:sz="4" w:space="0"/>
            </w:tcBorders>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包边材质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采用耐酸碱PP工程塑料一体注塑成型进行包边。</w:t>
            </w:r>
            <w:r/>
          </w:p>
        </w:tc>
      </w:tr>
      <w:tr>
        <w:trPr>
          <w:trHeight w:val="270"/>
        </w:trPr>
        <w:tc>
          <w:tcPr>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Borders>
              <w:left w:val="single" w:color="auto" w:sz="4" w:space="0"/>
            </w:tcBorders>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包边厚度</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≥35mm</w:t>
            </w:r>
            <w:r/>
          </w:p>
        </w:tc>
      </w:tr>
      <w:tr>
        <w:trPr>
          <w:trHeight w:val="1757"/>
        </w:trPr>
        <w:tc>
          <w:tcPr>
            <w:tcBorders>
              <w:top w:val="single" w:color="auto" w:sz="4" w:space="0"/>
              <w:left w:val="single" w:color="auto" w:sz="4" w:space="0"/>
              <w:bottom w:val="single" w:color="auto" w:sz="4" w:space="0"/>
              <w:right w:val="single" w:color="auto" w:sz="4" w:space="0"/>
            </w:tcBorders>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Borders>
              <w:left w:val="single" w:color="auto" w:sz="4" w:space="0"/>
            </w:tcBorders>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▲相关质量说明文件：</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参照GB/T4100、GB6566相关标准，台面品质检测结果符合或超过以下参数： </w:t>
            </w:r>
            <w:r/>
          </w:p>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吸水率≤0.5%；断裂模数≥35.0MPa；破坏强度≥1300N；耐污染性不低于3级；耐磨性不低于4级2000转；耐冲击性≥0.75；放射性 A类≤1.0；压缩强度≥130MPa；表面耐划痕≥1级；洛氏硬度≥50.0HRC；耐化学腐蚀性：98%硫酸、65%硝酸、37%盐酸、80%磷酸、乙酸、40%氢氧化钾、40%氢氧化钠、10%双氧水、氯苯、四氯化碳、37%甲醛等试剂/溶液测试表面无明显变化。</w:t>
            </w:r>
            <w:r/>
          </w:p>
        </w:tc>
      </w:tr>
      <w:tr>
        <w:trPr>
          <w:trHeight w:val="270"/>
        </w:trPr>
        <w:tc>
          <w:tcPr>
            <w:tcBorders>
              <w:top w:val="single" w:color="auto" w:sz="4" w:space="0"/>
            </w:tcBorders>
            <w:tcW w:w="951" w:type="dxa"/>
            <w:vAlign w:val="center"/>
            <w:vMerge w:val="restart"/>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多媒体展示</w:t>
            </w:r>
            <w:r>
              <w:rPr>
                <w:rFonts w:hint="eastAsia" w:cs="宋体" w:asciiTheme="minorEastAsia" w:hAnsiTheme="minorEastAsia" w:eastAsiaTheme="minorEastAsia"/>
                <w:b/>
                <w:sz w:val="20"/>
                <w:szCs w:val="20"/>
                <w:lang w:bidi="ar"/>
              </w:rPr>
              <w:t xml:space="preserve">区</w:t>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采用ABS工程塑料注塑成型。</w:t>
            </w:r>
            <w:r/>
          </w:p>
        </w:tc>
      </w:tr>
      <w:tr>
        <w:trPr>
          <w:trHeight w:val="454"/>
        </w:trPr>
        <w:tc>
          <w:tcPr>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配置</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台面预留内置≥24寸电脑显示器空间，屏面位于台面中间，采用折叠翻盖设计。</w:t>
            </w:r>
            <w:r/>
          </w:p>
        </w:tc>
      </w:tr>
      <w:tr>
        <w:trPr>
          <w:trHeight w:val="454"/>
        </w:trPr>
        <w:tc>
          <w:tcPr>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键盘托</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台身正面设置伸缩式键盘托，可同时容纳键盘和鼠标。</w:t>
            </w:r>
            <w:r/>
          </w:p>
        </w:tc>
      </w:tr>
      <w:tr>
        <w:trPr>
          <w:trHeight w:val="454"/>
        </w:trPr>
        <w:tc>
          <w:tcPr>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滑轨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钢制静音滑轨</w:t>
            </w:r>
            <w:r/>
          </w:p>
        </w:tc>
      </w:tr>
      <w:tr>
        <w:trPr>
          <w:trHeight w:val="737"/>
        </w:trPr>
        <w:tc>
          <w:tcPr>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预留功能</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台身预留抽屉和储藏设备空间。预设内置视频终端集成处理设备空间。台身内可放置电脑主机箱，柜体内留有穿线孔。</w:t>
            </w:r>
            <w:r/>
          </w:p>
        </w:tc>
      </w:tr>
      <w:tr>
        <w:trPr>
          <w:trHeight w:val="270"/>
        </w:trPr>
        <w:tc>
          <w:tcPr>
            <w:tcW w:w="951" w:type="dxa"/>
            <w:vAlign w:val="center"/>
            <w:vMerge w:val="restart"/>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水槽</w:t>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台面采用耐酸碱PP工程塑料一体注塑成型，四周边缘带挡水边。配有溢水口。</w:t>
            </w:r>
            <w:r/>
          </w:p>
        </w:tc>
      </w:tr>
      <w:tr>
        <w:trPr>
          <w:trHeight w:val="380"/>
        </w:trPr>
        <w:tc>
          <w:tcPr>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龙头材质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PPR工程塑料模具注塑成型。</w:t>
            </w:r>
            <w:r/>
          </w:p>
        </w:tc>
      </w:tr>
      <w:tr>
        <w:trPr>
          <w:trHeight w:val="270"/>
        </w:trPr>
        <w:tc>
          <w:tcPr>
            <w:tcW w:w="951" w:type="dxa"/>
            <w:vAlign w:val="center"/>
            <w:vMerge w:val="restart"/>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洗眼器</w:t>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主体加厚铜质，高亮超厚电镀层。</w:t>
            </w:r>
            <w:r/>
          </w:p>
        </w:tc>
      </w:tr>
      <w:tr>
        <w:trPr>
          <w:trHeight w:val="270"/>
        </w:trPr>
        <w:tc>
          <w:tcPr>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喷淋头材质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软性橡胶</w:t>
            </w:r>
            <w:r/>
          </w:p>
        </w:tc>
      </w:tr>
      <w:tr>
        <w:trPr>
          <w:trHeight w:val="270"/>
        </w:trPr>
        <w:tc>
          <w:tcPr>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防尘盖材质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PP材质</w:t>
            </w:r>
            <w:r/>
          </w:p>
        </w:tc>
      </w:tr>
      <w:tr>
        <w:trPr>
          <w:trHeight w:val="270"/>
        </w:trPr>
        <w:tc>
          <w:tcPr>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开关</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水流开启、水流锁定功能一并完成，方便使用；</w:t>
            </w:r>
            <w:r/>
          </w:p>
        </w:tc>
      </w:tr>
      <w:tr>
        <w:trPr>
          <w:trHeight w:val="270"/>
        </w:trPr>
        <w:tc>
          <w:tcPr>
            <w:tcW w:w="951"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控水阀</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止逆阀，其阀门可自动关闭；</w:t>
            </w:r>
            <w:r/>
          </w:p>
        </w:tc>
      </w:tr>
      <w:tr>
        <w:trPr>
          <w:trHeight w:val="1600"/>
        </w:trPr>
        <w:tc>
          <w:tcPr>
            <w:gridSpan w:val="2"/>
            <w:tcW w:w="1801"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▲相关质量说明文件：</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▲提供由经国家认证委认证的第三方检测机构出具的检测报告（检测报告上须含有“CMA”或“CNAS”标志）</w:t>
            </w:r>
            <w:r>
              <w:rPr>
                <w:rFonts w:hint="eastAsia" w:cs="宋体" w:asciiTheme="minorEastAsia" w:hAnsiTheme="minorEastAsia" w:eastAsiaTheme="minorEastAsia"/>
                <w:bCs/>
                <w:szCs w:val="21"/>
                <w:lang w:bidi="ar"/>
              </w:rPr>
              <w:t xml:space="preserve">，检测报告必须满足上述关于台面的化学性能、环保性能、TVOC释放量、物理性能、阻燃性能、氙灯老化性能、放射性参数、抗霉菌性能、抗细菌性能的要求</w:t>
            </w:r>
            <w:r>
              <w:rPr>
                <w:rFonts w:hint="eastAsia" w:cs="宋体" w:asciiTheme="minorEastAsia" w:hAnsiTheme="minorEastAsia" w:eastAsiaTheme="minorEastAsia"/>
                <w:szCs w:val="21"/>
                <w:lang w:bidi="ar"/>
              </w:rPr>
              <w:t xml:space="preserve">。</w:t>
            </w:r>
            <w:r/>
          </w:p>
        </w:tc>
      </w:tr>
      <w:tr>
        <w:trPr>
          <w:trHeight w:val="1220"/>
        </w:trPr>
        <w:tc>
          <w:tcPr>
            <w:gridSpan w:val="2"/>
            <w:tcW w:w="1801"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lang w:bidi="ar"/>
              </w:rPr>
              <w:t xml:space="preserve">整体概述</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1.提供教师实验教学、演示设备，通水、电、网络，实现对学生端电源集中控制。</w:t>
            </w:r>
            <w:r/>
          </w:p>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为成套设备：实验操作区为实验操作、展示区，需要储物功能；多媒体展示台预留设备（主机标准机箱、24寸显示器、中控、功放、24口交换机*2）等放置空间；配备水、电、网络供给与控制系统；配备洗眼器及其他相关配套设施。</w:t>
            </w:r>
            <w:r/>
          </w:p>
        </w:tc>
      </w:tr>
    </w:tbl>
    <w:p>
      <w:pPr>
        <w:ind w:right="160"/>
        <w:jc w:val="left"/>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jc w:val="left"/>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学生实验设备，数量：112</w:t>
      </w:r>
      <w:r/>
    </w:p>
    <w:tbl>
      <w:tblPr>
        <w:tblW w:w="10425" w:type="dxa"/>
        <w:tblInd w:w="3"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80" w:type="dxa"/>
          <w:top w:w="60" w:type="dxa"/>
          <w:right w:w="80" w:type="dxa"/>
          <w:bottom w:w="60" w:type="dxa"/>
        </w:tblCellMar>
        <w:tblLook w:val="0000" w:firstRow="0" w:lastRow="0" w:firstColumn="0" w:lastColumn="0" w:noHBand="0" w:noVBand="0"/>
      </w:tblPr>
      <w:tblGrid>
        <w:gridCol w:w="928"/>
        <w:gridCol w:w="850"/>
        <w:gridCol w:w="8647"/>
      </w:tblGrid>
      <w:tr>
        <w:trPr>
          <w:trHeight w:val="221"/>
          <w:tblHeader/>
        </w:trPr>
        <w:tc>
          <w:tcPr>
            <w:gridSpan w:val="2"/>
            <w:tcW w:w="1778" w:type="dxa"/>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8647" w:type="dxa"/>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r>
      <w:tr>
        <w:trPr>
          <w:trHeight w:val="476"/>
        </w:trPr>
        <w:tc>
          <w:tcPr>
            <w:tcW w:w="928"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≥1200×600×780mm</w:t>
            </w:r>
            <w:r/>
          </w:p>
        </w:tc>
      </w:tr>
      <w:tr>
        <w:trPr>
          <w:trHeight w:val="397"/>
        </w:trPr>
        <w:tc>
          <w:tcPr>
            <w:tcBorders>
              <w:bottom w:val="single" w:color="auto" w:sz="4" w:space="0"/>
            </w:tcBorders>
            <w:tcW w:w="928"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支撑结构</w:t>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新钢塑镂空结构（工字形）</w:t>
            </w:r>
            <w:r/>
          </w:p>
        </w:tc>
      </w:tr>
      <w:tr>
        <w:trPr>
          <w:trHeight w:val="749"/>
        </w:trPr>
        <w:tc>
          <w:tcPr>
            <w:tcBorders>
              <w:top w:val="single" w:color="auto" w:sz="4" w:space="0"/>
              <w:left w:val="single" w:color="auto" w:sz="4" w:space="0"/>
              <w:bottom w:val="single" w:color="auto" w:sz="4" w:space="0"/>
              <w:right w:val="single" w:color="auto" w:sz="4" w:space="0"/>
            </w:tcBorders>
            <w:tcW w:w="928" w:type="dxa"/>
            <w:vAlign w:val="center"/>
            <w:vMerge w:val="restart"/>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▲操作区平面</w:t>
            </w:r>
            <w:r/>
          </w:p>
        </w:tc>
        <w:tc>
          <w:tcPr>
            <w:tcBorders>
              <w:left w:val="single" w:color="auto" w:sz="4" w:space="0"/>
            </w:tcBorders>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裸板厚度≤12mm的一体化陶瓷台面，需另加背板（或裸板厚度≥18mm的一体化陶瓷台面），经过上釉工艺处理，具有耐高温（长时间耐温1300度）、耐刻刮、防静电、耐腐蚀、防垢易清洁、防霉等最佳物理性能和化学性能</w:t>
            </w:r>
            <w:r/>
          </w:p>
        </w:tc>
      </w:tr>
      <w:tr>
        <w:trPr>
          <w:trHeight w:val="146"/>
        </w:trPr>
        <w:tc>
          <w:tcPr>
            <w:tcBorders>
              <w:top w:val="single" w:color="auto" w:sz="4" w:space="0"/>
              <w:left w:val="single" w:color="auto" w:sz="4" w:space="0"/>
              <w:bottom w:val="single" w:color="auto" w:sz="4" w:space="0"/>
              <w:right w:val="single" w:color="auto" w:sz="4" w:space="0"/>
            </w:tcBorders>
            <w:tcW w:w="928"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Borders>
              <w:left w:val="single" w:color="auto" w:sz="4" w:space="0"/>
            </w:tcBorders>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包边材质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采用耐酸碱PP工程塑料一体注塑成型进行包边。</w:t>
            </w:r>
            <w:r/>
          </w:p>
        </w:tc>
      </w:tr>
      <w:tr>
        <w:trPr>
          <w:trHeight w:val="146"/>
        </w:trPr>
        <w:tc>
          <w:tcPr>
            <w:tcBorders>
              <w:top w:val="single" w:color="auto" w:sz="4" w:space="0"/>
              <w:left w:val="single" w:color="auto" w:sz="4" w:space="0"/>
              <w:bottom w:val="single" w:color="auto" w:sz="4" w:space="0"/>
              <w:right w:val="single" w:color="auto" w:sz="4" w:space="0"/>
            </w:tcBorders>
            <w:tcW w:w="928"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Borders>
              <w:left w:val="single" w:color="auto" w:sz="4" w:space="0"/>
            </w:tcBorders>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包边厚度</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≥35mm</w:t>
            </w:r>
            <w:r/>
          </w:p>
        </w:tc>
      </w:tr>
      <w:tr>
        <w:trPr>
          <w:trHeight w:val="227"/>
        </w:trPr>
        <w:tc>
          <w:tcPr>
            <w:tcBorders>
              <w:top w:val="single" w:color="auto" w:sz="4" w:space="0"/>
              <w:left w:val="single" w:color="auto" w:sz="4" w:space="0"/>
              <w:bottom w:val="single" w:color="auto" w:sz="4" w:space="0"/>
              <w:right w:val="single" w:color="auto" w:sz="4" w:space="0"/>
            </w:tcBorders>
            <w:tcW w:w="928"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Borders>
              <w:left w:val="single" w:color="auto" w:sz="4" w:space="0"/>
            </w:tcBorders>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▲相关质量说明文件：</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参照GB/T4100、GB6566相关标准，台面品质检测结果符合或超过以下参数： </w:t>
            </w:r>
            <w:r/>
          </w:p>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吸水率≤0.5%；断裂模数≥35.0MPa；破坏强度≥1300N；耐污染性不低于3级；耐磨性不低于4级2000转；耐冲击性≥0.75；放射性 A类≤1.0；压缩强度≥130MPa；表面耐划痕≥1级；洛氏硬度≥50.0HRC；耐化学腐蚀性：98%硫酸、65%硝酸、37%盐酸、80%磷酸、乙酸、40%氢氧化钾、40%氢氧化钠、10%双氧水、氯苯、四氯化碳、37%甲醛等试剂/溶液测试表面无明显变化。</w:t>
            </w:r>
            <w:r/>
          </w:p>
        </w:tc>
      </w:tr>
      <w:tr>
        <w:trPr>
          <w:trHeight w:val="454"/>
        </w:trPr>
        <w:tc>
          <w:tcPr>
            <w:tcBorders>
              <w:top w:val="single" w:color="auto" w:sz="4" w:space="0"/>
            </w:tcBorders>
            <w:tcW w:w="928" w:type="dxa"/>
            <w:vAlign w:val="center"/>
            <w:vMerge w:val="restart"/>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支撑脚</w:t>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内置承重部分采用60×40×1.6mm矩形铝镁合金</w:t>
            </w:r>
            <w:r/>
          </w:p>
        </w:tc>
      </w:tr>
      <w:tr>
        <w:trPr>
          <w:trHeight w:val="454"/>
        </w:trPr>
        <w:tc>
          <w:tcPr>
            <w:tcW w:w="928"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横档采用30×40×1.6mm矩形铝镁合金，通过合金压铸角铁组装成“工”字形</w:t>
            </w:r>
            <w:r/>
          </w:p>
        </w:tc>
      </w:tr>
      <w:tr>
        <w:trPr>
          <w:trHeight w:val="454"/>
        </w:trPr>
        <w:tc>
          <w:tcPr>
            <w:tcW w:w="928"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装饰柱材质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采用ABS工程塑料一次注塑成型</w:t>
            </w:r>
            <w:r/>
          </w:p>
        </w:tc>
      </w:tr>
      <w:tr>
        <w:trPr>
          <w:trHeight w:val="454"/>
        </w:trPr>
        <w:tc>
          <w:tcPr>
            <w:tcW w:w="928" w:type="dxa"/>
            <w:vAlign w:val="center"/>
            <w:vMerge w:val="restart"/>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书包盒</w:t>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规格：425×305×110mm（每组2个）。</w:t>
            </w:r>
            <w:r/>
          </w:p>
        </w:tc>
      </w:tr>
      <w:tr>
        <w:trPr>
          <w:trHeight w:val="454"/>
        </w:trPr>
        <w:tc>
          <w:tcPr>
            <w:tcW w:w="928"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采用ABS工程塑料一次注塑成型</w:t>
            </w:r>
            <w:r/>
          </w:p>
        </w:tc>
      </w:tr>
      <w:tr>
        <w:trPr>
          <w:trHeight w:val="454"/>
        </w:trPr>
        <w:tc>
          <w:tcPr>
            <w:tcW w:w="928"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固定粱</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≥30×30×1.2mm矩形构件</w:t>
            </w:r>
            <w:r/>
          </w:p>
        </w:tc>
      </w:tr>
      <w:tr>
        <w:trPr>
          <w:trHeight w:val="454"/>
        </w:trPr>
        <w:tc>
          <w:tcPr>
            <w:tcW w:w="928"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挂架</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≥20×25×1.2mm矩形构件</w:t>
            </w:r>
            <w:r/>
          </w:p>
        </w:tc>
      </w:tr>
      <w:tr>
        <w:trPr>
          <w:trHeight w:val="454"/>
        </w:trPr>
        <w:tc>
          <w:tcPr>
            <w:tcW w:w="928" w:type="dxa"/>
            <w:vAlign w:val="center"/>
            <w:vMerge w:val="continue"/>
            <w:textDirection w:val="lrTb"/>
            <w:noWrap w:val="false"/>
          </w:tcPr>
          <w:p>
            <w:pPr>
              <w:pStyle w:val="2043"/>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结构件材质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钢构件表面经酸洗、磷化、喷塑处理，框架横梁与桌脚之间均采用PC＋ABS工程塑料合金连插件连接。</w:t>
            </w:r>
            <w:r/>
          </w:p>
        </w:tc>
      </w:tr>
      <w:tr>
        <w:trPr>
          <w:trHeight w:val="454"/>
        </w:trPr>
        <w:tc>
          <w:tcPr>
            <w:tcW w:w="928"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吊板</w:t>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采用1.2mm厚冷轧钢板折弯成型，表面经酸洗、磷化、喷塑处理。</w:t>
            </w:r>
            <w:r/>
          </w:p>
        </w:tc>
      </w:tr>
      <w:tr>
        <w:trPr>
          <w:trHeight w:val="454"/>
        </w:trPr>
        <w:tc>
          <w:tcPr>
            <w:tcW w:w="928"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可调脚</w:t>
            </w:r>
            <w:r/>
          </w:p>
        </w:tc>
        <w:tc>
          <w:tcPr>
            <w:tcW w:w="850"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864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采用ABS耐蚀注塑专用垫。</w:t>
            </w:r>
            <w:r/>
          </w:p>
        </w:tc>
      </w:tr>
      <w:tr>
        <w:trPr>
          <w:trHeight w:val="1290"/>
        </w:trPr>
        <w:tc>
          <w:tcPr>
            <w:tcW w:w="928"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其他要求：</w:t>
            </w:r>
            <w:r/>
          </w:p>
        </w:tc>
        <w:tc>
          <w:tcPr>
            <w:gridSpan w:val="2"/>
            <w:tcW w:w="9497" w:type="dxa"/>
            <w:vAlign w:val="center"/>
            <w:textDirection w:val="lrTb"/>
            <w:noWrap w:val="false"/>
          </w:tcPr>
          <w:p>
            <w:pPr>
              <w:pStyle w:val="2043"/>
              <w:jc w:val="left"/>
              <w:rPr>
                <w:rFonts w:hint="eastAsia" w:cs="宋体" w:asciiTheme="minorEastAsia" w:hAnsiTheme="minorEastAsia" w:eastAsiaTheme="minorEastAsia"/>
                <w:sz w:val="20"/>
                <w:szCs w:val="20"/>
              </w:rPr>
            </w:pPr>
            <w:r/>
            <w:bookmarkStart w:id="233" w:name="OLE_LINK4"/>
            <w:r/>
            <w:bookmarkStart w:id="234" w:name="OLE_LINK3"/>
            <w:r>
              <w:rPr>
                <w:rFonts w:hint="eastAsia" w:cs="宋体" w:asciiTheme="minorEastAsia" w:hAnsiTheme="minorEastAsia" w:eastAsiaTheme="minorEastAsia"/>
                <w:sz w:val="20"/>
                <w:szCs w:val="20"/>
                <w:lang w:bidi="ar"/>
              </w:rPr>
              <w:t xml:space="preserve">▲提供由经国家认证委认证的第三方检测机构出具的检测报告（检测报告上须含有“CMA”或“CNAS”标志）</w:t>
            </w:r>
            <w:bookmarkEnd w:id="233"/>
            <w:r/>
            <w:bookmarkEnd w:id="234"/>
            <w:r>
              <w:rPr>
                <w:rFonts w:hint="eastAsia" w:cs="宋体" w:asciiTheme="minorEastAsia" w:hAnsiTheme="minorEastAsia" w:eastAsiaTheme="minorEastAsia"/>
                <w:sz w:val="20"/>
                <w:szCs w:val="20"/>
                <w:lang w:bidi="ar"/>
              </w:rPr>
              <w:t xml:space="preserve">，检测报告必须满足上述关于台面的化学性能、环保性能、TVOC释放量、物理性能、阻燃性能、氙灯老化性能、放射性参数、抗霉菌性能、抗细菌性能的要求。</w:t>
            </w:r>
            <w:r/>
          </w:p>
        </w:tc>
      </w:tr>
      <w:tr>
        <w:trPr>
          <w:trHeight w:val="1290"/>
        </w:trPr>
        <w:tc>
          <w:tcPr>
            <w:tcW w:w="928" w:type="dxa"/>
            <w:vAlign w:val="center"/>
            <w:textDirection w:val="lrTb"/>
            <w:noWrap w:val="false"/>
          </w:tcPr>
          <w:p>
            <w:pPr>
              <w:pStyle w:val="2043"/>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W w:w="9497" w:type="dxa"/>
            <w:vAlign w:val="center"/>
            <w:textDirection w:val="lrTb"/>
            <w:noWrap w:val="false"/>
          </w:tcPr>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1.提供学生实验操作、学习区域，每个演示设备具备2个学生位，电源受教师端集中控制。</w:t>
            </w:r>
            <w:r/>
          </w:p>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2.学生实验设备、水槽等为成套设备：演示设备平面为实验操作、学习区，配备书包斗；箱体、水槽提供水、电、网络系统及其他相关配套设施。</w:t>
            </w:r>
            <w:r/>
          </w:p>
        </w:tc>
      </w:tr>
    </w:tbl>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学生实验设备（生物），数量：56</w:t>
      </w:r>
      <w:r/>
    </w:p>
    <w:tbl>
      <w:tblPr>
        <w:tblW w:w="4894" w:type="pct"/>
        <w:tblLook w:val="0000" w:firstRow="0" w:lastRow="0" w:firstColumn="0" w:lastColumn="0" w:noHBand="0" w:noVBand="0"/>
      </w:tblPr>
      <w:tblGrid>
        <w:gridCol w:w="1236"/>
        <w:gridCol w:w="1284"/>
        <w:gridCol w:w="7936"/>
      </w:tblGrid>
      <w:tr>
        <w:trPr>
          <w:trHeight w:val="380"/>
          <w:tblHeader/>
        </w:trPr>
        <w:tc>
          <w:tcPr>
            <w:gridSpan w:val="2"/>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center"/>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lang w:bidi="ar"/>
              </w:rPr>
              <w:t xml:space="preserve">参数要求</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≥1200×600×780mm</w:t>
            </w:r>
            <w:r/>
          </w:p>
        </w:tc>
      </w:tr>
      <w:tr>
        <w:trPr>
          <w:trHeight w:val="397"/>
        </w:trPr>
        <w:tc>
          <w:tcPr>
            <w:tcBorders>
              <w:top w:val="single" w:color="000000" w:sz="4" w:space="0"/>
              <w:left w:val="single" w:color="000000" w:sz="4" w:space="0"/>
              <w:bottom w:val="single" w:color="auto" w:sz="4" w:space="0"/>
              <w:right w:val="single" w:color="000000" w:sz="4" w:space="0"/>
            </w:tcBorders>
            <w:tcW w:w="59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支撑结构</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新钢塑镂空结构（工字形）</w:t>
            </w:r>
            <w:r/>
          </w:p>
        </w:tc>
      </w:tr>
      <w:tr>
        <w:trPr>
          <w:trHeight w:val="720"/>
        </w:trPr>
        <w:tc>
          <w:tcPr>
            <w:tcBorders>
              <w:top w:val="single" w:color="auto" w:sz="4" w:space="0"/>
              <w:left w:val="single" w:color="auto" w:sz="4" w:space="0"/>
              <w:bottom w:val="single" w:color="auto" w:sz="4" w:space="0"/>
              <w:right w:val="single" w:color="auto" w:sz="4" w:space="0"/>
            </w:tcBorders>
            <w:tcW w:w="591"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▲操作区平面</w:t>
            </w:r>
            <w:r/>
          </w:p>
        </w:tc>
        <w:tc>
          <w:tcPr>
            <w:tcBorders>
              <w:top w:val="single" w:color="000000" w:sz="4" w:space="0"/>
              <w:left w:val="single" w:color="auto" w:sz="4" w:space="0"/>
              <w:bottom w:val="single" w:color="000000" w:sz="4" w:space="0"/>
              <w:right w:val="single" w:color="000000" w:sz="4" w:space="0"/>
            </w:tcBorders>
            <w:tcW w:w="6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裸板厚度≤12mm的一体化陶瓷台面，需另加背板（或裸板厚度≥18mm的一体化陶瓷台面），经过上釉工艺处理，具有耐高温（长时间耐温1300度）、耐刻刮、防静电、耐腐蚀、防垢易清洁、防霉等最佳物理性能和化学性能</w:t>
            </w:r>
            <w:r/>
          </w:p>
        </w:tc>
      </w:tr>
      <w:tr>
        <w:trPr>
          <w:trHeight w:val="270"/>
        </w:trPr>
        <w:tc>
          <w:tcPr>
            <w:tcBorders>
              <w:top w:val="single" w:color="auto"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auto" w:sz="4" w:space="0"/>
              <w:bottom w:val="single" w:color="000000" w:sz="4" w:space="0"/>
              <w:right w:val="single" w:color="000000" w:sz="4" w:space="0"/>
            </w:tcBorders>
            <w:tcW w:w="6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包边材质</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采用耐酸碱PP工程塑料一体注塑成型进行包边。</w:t>
            </w:r>
            <w:r/>
          </w:p>
        </w:tc>
      </w:tr>
      <w:tr>
        <w:trPr>
          <w:trHeight w:val="270"/>
        </w:trPr>
        <w:tc>
          <w:tcPr>
            <w:tcBorders>
              <w:top w:val="single" w:color="auto"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auto" w:sz="4" w:space="0"/>
              <w:bottom w:val="single" w:color="000000" w:sz="4" w:space="0"/>
              <w:right w:val="single" w:color="000000" w:sz="4" w:space="0"/>
            </w:tcBorders>
            <w:tcW w:w="6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包边厚度</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≥35mm</w:t>
            </w:r>
            <w:r/>
          </w:p>
        </w:tc>
      </w:tr>
      <w:tr>
        <w:trPr>
          <w:trHeight w:val="1440"/>
        </w:trPr>
        <w:tc>
          <w:tcPr>
            <w:tcBorders>
              <w:top w:val="single" w:color="auto" w:sz="4" w:space="0"/>
              <w:left w:val="single" w:color="auto" w:sz="4" w:space="0"/>
              <w:bottom w:val="single" w:color="auto" w:sz="4" w:space="0"/>
              <w:right w:val="single" w:color="auto" w:sz="4" w:space="0"/>
            </w:tcBorders>
            <w:tcW w:w="591"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auto" w:sz="4" w:space="0"/>
              <w:bottom w:val="single" w:color="000000" w:sz="4" w:space="0"/>
              <w:right w:val="single" w:color="000000" w:sz="4" w:space="0"/>
            </w:tcBorders>
            <w:tcW w:w="6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▲相关质量说明文件：</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参照GB/T4100、GB6566相关标准，台面品质检测结果符合或超过以下参数： </w:t>
            </w:r>
            <w:r>
              <w:rPr>
                <w:rFonts w:hint="eastAsia" w:cs="宋体" w:asciiTheme="minorEastAsia" w:hAnsiTheme="minorEastAsia" w:eastAsiaTheme="minorEastAsia"/>
                <w:sz w:val="20"/>
                <w:szCs w:val="20"/>
                <w:lang w:bidi="ar"/>
              </w:rPr>
              <w:br/>
              <w:t xml:space="preserve">吸水率≤0.5%；断裂模数≥35.0MPa；破坏强度≥1300N；耐污染性不低于3级；耐磨性不低于4级2000转；耐冲击性≥0.75；放射性 A类≤1.0；压缩强度≥130MPa；表面耐划痕≥1级；洛氏硬度≥50.0HRC；耐化学腐蚀性：98%硫酸、65%硝酸、37%盐酸、80%磷酸、乙酸、40%氢氧化钾、40%氢氧化钠、10%双氧水、氯苯、四氯化碳、37%甲醛等试剂/溶液测试表面无明显变化。</w:t>
            </w:r>
            <w:r/>
          </w:p>
        </w:tc>
      </w:tr>
      <w:tr>
        <w:trPr>
          <w:trHeight w:val="397"/>
        </w:trPr>
        <w:tc>
          <w:tcPr>
            <w:tcBorders>
              <w:top w:val="single" w:color="auto"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支撑脚</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内置承重部分采用60×40×1.6mm矩形铝镁合金</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横档采用30×40×1.6mm矩形铝镁合金，通过合金压铸角铁组装成“工”字形</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装饰柱材质</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采用ABS工程塑料一次注塑成型</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书包盒</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规格：425×305×110mm（每组2个）。</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采用ABS工程塑料一次注塑成型</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固定粱</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≥30×30×1.2mm矩形构件</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挂架</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≥20×25×1.2mm矩形构件</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结构件材质</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钢构件表面经酸洗、磷化、喷塑处理，框架横梁与桌脚之间均采用PC＋ABS工程塑料合金连插件连接。</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吊板</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采用1.2mm厚冷轧钢板折弯成型，表面经酸洗、磷化、喷塑处理。</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可调脚</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采用ABS耐蚀注塑专用垫。</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实验光源</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620*150*150mm</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电压</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220v</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功率</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发光颜色</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投射角度</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180度</w:t>
            </w:r>
            <w:r/>
          </w:p>
        </w:tc>
      </w:tr>
      <w:tr>
        <w:trPr>
          <w:trHeight w:val="397"/>
        </w:trPr>
        <w:tc>
          <w:tcPr>
            <w:tcBorders>
              <w:top w:val="single" w:color="000000" w:sz="4" w:space="0"/>
              <w:left w:val="single" w:color="000000" w:sz="4" w:space="0"/>
              <w:bottom w:val="single" w:color="000000" w:sz="4" w:space="0"/>
              <w:right w:val="single" w:color="000000" w:sz="4" w:space="0"/>
            </w:tcBorders>
            <w:tcW w:w="591"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环境温度</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40度</w:t>
            </w:r>
            <w:r/>
          </w:p>
        </w:tc>
      </w:tr>
      <w:tr>
        <w:trPr>
          <w:trHeight w:val="34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bCs/>
                <w:sz w:val="20"/>
                <w:szCs w:val="20"/>
                <w:lang w:bidi="ar"/>
              </w:rPr>
              <w:t xml:space="preserve">其他要求：</w:t>
            </w:r>
            <w:r/>
          </w:p>
        </w:tc>
        <w:tc>
          <w:tcPr>
            <w:gridSpan w:val="2"/>
            <w:tcBorders>
              <w:top w:val="single" w:color="000000" w:sz="4" w:space="0"/>
              <w:left w:val="single" w:color="000000" w:sz="4" w:space="0"/>
              <w:bottom w:val="single" w:color="000000" w:sz="4" w:space="0"/>
              <w:right w:val="single" w:color="000000" w:sz="4" w:space="0"/>
            </w:tcBorders>
            <w:tcW w:w="4409" w:type="pct"/>
            <w:vAlign w:val="center"/>
            <w:textDirection w:val="lrTb"/>
            <w:noWrap w:val="false"/>
          </w:tcPr>
          <w:p>
            <w:pPr>
              <w:jc w:val="left"/>
              <w:widowControl/>
              <w:rPr>
                <w:rFonts w:hint="eastAsia" w:cs="宋体" w:asciiTheme="minorEastAsia" w:hAnsiTheme="minorEastAsia" w:eastAsiaTheme="minorEastAsia"/>
                <w:bCs/>
                <w:sz w:val="20"/>
                <w:szCs w:val="20"/>
              </w:rPr>
            </w:pPr>
            <w:r/>
            <w:bookmarkStart w:id="235" w:name="OLE_LINK12"/>
            <w:r/>
            <w:bookmarkStart w:id="236" w:name="OLE_LINK7"/>
            <w:r/>
            <w:bookmarkStart w:id="237" w:name="OLE_LINK6"/>
            <w:r>
              <w:rPr>
                <w:rFonts w:hint="eastAsia" w:cs="宋体" w:asciiTheme="minorEastAsia" w:hAnsiTheme="minorEastAsia" w:eastAsiaTheme="minorEastAsia"/>
                <w:bCs/>
                <w:sz w:val="20"/>
                <w:szCs w:val="20"/>
                <w:lang w:bidi="ar"/>
              </w:rPr>
              <w:t xml:space="preserve">▲</w:t>
            </w:r>
            <w:bookmarkEnd w:id="235"/>
            <w:r>
              <w:rPr>
                <w:rFonts w:hint="eastAsia" w:cs="宋体" w:asciiTheme="minorEastAsia" w:hAnsiTheme="minorEastAsia" w:eastAsiaTheme="minorEastAsia"/>
                <w:bCs/>
                <w:sz w:val="20"/>
                <w:szCs w:val="20"/>
                <w:lang w:bidi="ar"/>
              </w:rPr>
              <w:t xml:space="preserve">提供由经国家认证委认证的第三方检测机构出具的检测报告（检测报告上须含有“CMA”或“CNAS”标志）</w:t>
            </w:r>
            <w:bookmarkEnd w:id="236"/>
            <w:r/>
            <w:bookmarkEnd w:id="237"/>
            <w:r>
              <w:rPr>
                <w:rFonts w:hint="eastAsia" w:cs="宋体" w:asciiTheme="minorEastAsia" w:hAnsiTheme="minorEastAsia" w:eastAsiaTheme="minorEastAsia"/>
                <w:bCs/>
                <w:sz w:val="20"/>
                <w:szCs w:val="20"/>
                <w:lang w:bidi="ar"/>
              </w:rPr>
              <w:t xml:space="preserve">检测报告必须满足上述关于台面的化学性能、环保性能、TVOC释放量、物理性能、阻燃性能、氙灯老化性能、放射性参数、抗霉菌性能、抗细菌性能的要求。</w:t>
            </w:r>
            <w:r/>
          </w:p>
        </w:tc>
      </w:tr>
      <w:tr>
        <w:trPr>
          <w:trHeight w:val="318"/>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2"/>
                <w:szCs w:val="22"/>
                <w:lang w:bidi="ar"/>
              </w:rPr>
              <w:t xml:space="preserve">整体概述</w:t>
            </w:r>
            <w:r/>
          </w:p>
        </w:tc>
        <w:tc>
          <w:tcPr>
            <w:gridSpan w:val="2"/>
            <w:tcBorders>
              <w:top w:val="single" w:color="000000" w:sz="4" w:space="0"/>
              <w:left w:val="single" w:color="000000" w:sz="4" w:space="0"/>
              <w:bottom w:val="single" w:color="000000" w:sz="4" w:space="0"/>
              <w:right w:val="single" w:color="000000" w:sz="4" w:space="0"/>
            </w:tcBorders>
            <w:tcW w:w="440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1.提供学生实验操作、学习区域，每个演示设备2个学生位，电源受教师端集中控制。</w:t>
            </w:r>
            <w:r>
              <w:rPr>
                <w:rFonts w:hint="eastAsia" w:cs="宋体" w:asciiTheme="minorEastAsia" w:hAnsiTheme="minorEastAsia" w:eastAsiaTheme="minorEastAsia"/>
                <w:sz w:val="20"/>
                <w:szCs w:val="20"/>
                <w:lang w:bidi="ar"/>
              </w:rPr>
              <w:br/>
              <w:t xml:space="preserve">2. 学生实验设备、水槽等为成套设备：演示设备平面为实验操作、学习区，配备书包斗；箱体、水槽提供水、电、网络系统及其他相关配套设施。</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720" w:equalWidth="1"/>
          <w:docGrid w:linePitch="360"/>
        </w:sectPr>
      </w:pPr>
      <w:r/>
      <w:bookmarkStart w:id="238" w:name="OLE_LINK8"/>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实验</w:t>
      </w:r>
      <w:bookmarkEnd w:id="238"/>
      <w:r>
        <w:rPr>
          <w:rFonts w:hint="eastAsia" w:cs="宋体" w:asciiTheme="minorEastAsia" w:hAnsiTheme="minorEastAsia" w:eastAsiaTheme="minorEastAsia"/>
          <w:lang w:bidi="ar"/>
        </w:rPr>
        <w:t xml:space="preserve">准备设备，数量：3</w:t>
      </w:r>
      <w:r/>
    </w:p>
    <w:tbl>
      <w:tblPr>
        <w:tblW w:w="4961" w:type="pct"/>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096"/>
        <w:gridCol w:w="1422"/>
        <w:gridCol w:w="8081"/>
      </w:tblGrid>
      <w:tr>
        <w:trPr>
          <w:trHeight w:val="464"/>
          <w:tblHeader/>
        </w:trPr>
        <w:tc>
          <w:tcPr>
            <w:gridSpan w:val="2"/>
            <w:tcBorders>
              <w:bottom w:val="single" w:color="000000" w:sz="4" w:space="0"/>
              <w:right w:val="single" w:color="000000" w:sz="4" w:space="0"/>
            </w:tcBorders>
            <w:tcW w:w="1188"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参数名称</w:t>
            </w:r>
            <w:r/>
          </w:p>
        </w:tc>
        <w:tc>
          <w:tcPr>
            <w:tcBorders>
              <w:left w:val="single" w:color="000000" w:sz="4" w:space="0"/>
              <w:bottom w:val="single" w:color="000000" w:sz="4" w:space="0"/>
            </w:tcBorders>
            <w:tcW w:w="3812"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参数要求</w:t>
            </w:r>
            <w:r/>
          </w:p>
        </w:tc>
      </w:tr>
      <w:tr>
        <w:trPr>
          <w:trHeight w:val="372"/>
        </w:trPr>
        <w:tc>
          <w:tcPr>
            <w:tcBorders>
              <w:top w:val="single" w:color="000000" w:sz="4" w:space="0"/>
              <w:bottom w:val="single" w:color="000000" w:sz="4" w:space="0"/>
              <w:right w:val="single" w:color="000000" w:sz="4" w:space="0"/>
            </w:tcBorders>
            <w:tcW w:w="517" w:type="pct"/>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bottom w:val="single" w:color="000000" w:sz="4" w:space="0"/>
              <w:right w:val="single" w:color="000000" w:sz="4" w:space="0"/>
            </w:tcBorders>
            <w:tcW w:w="671" w:type="pct"/>
            <w:vAlign w:val="center"/>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尺寸</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≥2400×1200×850mm</w:t>
            </w:r>
            <w:r/>
          </w:p>
        </w:tc>
      </w:tr>
      <w:tr>
        <w:trPr>
          <w:trHeight w:val="640"/>
        </w:trPr>
        <w:tc>
          <w:tcPr>
            <w:tcBorders>
              <w:top w:val="single" w:color="000000" w:sz="4" w:space="0"/>
              <w:bottom w:val="none" w:color="000000" w:sz="4" w:space="0"/>
              <w:right w:val="single" w:color="000000" w:sz="4" w:space="0"/>
            </w:tcBorders>
            <w:tcW w:w="517"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支撑结构</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材质(含喷涂)</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侧、前后档板、门板等均采用16mm厚优质E1级环保三聚氰胺灰白色双贴面板。</w:t>
            </w:r>
            <w:r/>
          </w:p>
        </w:tc>
      </w:tr>
      <w:tr>
        <w:trPr>
          <w:trHeight w:val="397"/>
        </w:trPr>
        <w:tc>
          <w:tcPr>
            <w:tcBorders>
              <w:top w:val="single" w:color="000000" w:sz="4" w:space="0"/>
              <w:bottom w:val="single" w:color="auto" w:sz="4" w:space="0"/>
              <w:right w:val="single" w:color="000000"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铝木结构</w:t>
            </w:r>
            <w:r/>
          </w:p>
        </w:tc>
      </w:tr>
      <w:tr>
        <w:trPr>
          <w:trHeight w:val="397"/>
        </w:trPr>
        <w:tc>
          <w:tcPr>
            <w:tcBorders>
              <w:top w:val="single" w:color="auto" w:sz="4" w:space="0"/>
              <w:left w:val="single" w:color="auto" w:sz="4" w:space="0"/>
              <w:bottom w:val="single" w:color="auto" w:sz="4" w:space="0"/>
              <w:right w:val="single" w:color="auto" w:sz="4" w:space="0"/>
            </w:tcBorders>
            <w:tcW w:w="517"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操作区平面</w:t>
            </w:r>
            <w:r/>
          </w:p>
        </w:tc>
        <w:tc>
          <w:tcPr>
            <w:tcBorders>
              <w:top w:val="single" w:color="000000" w:sz="4" w:space="0"/>
              <w:left w:val="single" w:color="auto" w:sz="4" w:space="0"/>
              <w:bottom w:val="single" w:color="000000" w:sz="4" w:space="0"/>
              <w:right w:val="single" w:color="000000" w:sz="4" w:space="0"/>
            </w:tcBorders>
            <w:tcW w:w="67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实芯理化板</w:t>
            </w:r>
            <w:r/>
          </w:p>
        </w:tc>
      </w:tr>
      <w:tr>
        <w:trPr>
          <w:trHeight w:val="397"/>
        </w:trPr>
        <w:tc>
          <w:tcPr>
            <w:tcBorders>
              <w:top w:val="single" w:color="auto" w:sz="4" w:space="0"/>
              <w:left w:val="single" w:color="auto" w:sz="4" w:space="0"/>
              <w:bottom w:val="single" w:color="auto" w:sz="4" w:space="0"/>
              <w:right w:val="single" w:color="auto"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auto" w:sz="4" w:space="0"/>
              <w:bottom w:val="single" w:color="000000" w:sz="4" w:space="0"/>
              <w:right w:val="single" w:color="000000" w:sz="4" w:space="0"/>
            </w:tcBorders>
            <w:tcW w:w="67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Borders>
              <w:top w:val="single" w:color="000000" w:sz="4" w:space="0"/>
              <w:left w:val="single" w:color="000000" w:sz="4" w:space="0"/>
              <w:bottom w:val="single" w:color="000000" w:sz="4" w:space="0"/>
            </w:tcBorders>
            <w:tcW w:w="3812" w:type="pct"/>
            <w:vAlign w:val="bottom"/>
            <w:textDirection w:val="lrTb"/>
            <w:noWrap/>
          </w:tcPr>
          <w:p>
            <w:pPr>
              <w:jc w:val="left"/>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lang w:bidi="ar"/>
              </w:rPr>
              <w:t xml:space="preserve">采用12mm</w:t>
            </w:r>
            <w:r/>
          </w:p>
        </w:tc>
      </w:tr>
      <w:tr>
        <w:trPr>
          <w:trHeight w:val="397"/>
        </w:trPr>
        <w:tc>
          <w:tcPr>
            <w:tcBorders>
              <w:top w:val="single" w:color="auto" w:sz="4" w:space="0"/>
              <w:left w:val="single" w:color="auto" w:sz="4" w:space="0"/>
              <w:bottom w:val="single" w:color="auto" w:sz="4" w:space="0"/>
              <w:right w:val="single" w:color="auto"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auto" w:sz="4" w:space="0"/>
              <w:bottom w:val="single" w:color="000000" w:sz="4" w:space="0"/>
              <w:right w:val="single" w:color="000000" w:sz="4" w:space="0"/>
            </w:tcBorders>
            <w:tcW w:w="67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环保要求</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耐强酸碱、耐腐蚀、耐有机溶剂，抗菌、抗污染、防水、防火。</w:t>
            </w:r>
            <w:r/>
          </w:p>
        </w:tc>
      </w:tr>
      <w:tr>
        <w:trPr>
          <w:trHeight w:val="397"/>
        </w:trPr>
        <w:tc>
          <w:tcPr>
            <w:tcBorders>
              <w:top w:val="single" w:color="auto" w:sz="4" w:space="0"/>
              <w:left w:val="single" w:color="auto" w:sz="4" w:space="0"/>
              <w:bottom w:val="single" w:color="auto" w:sz="4" w:space="0"/>
              <w:right w:val="single" w:color="auto" w:sz="4" w:space="0"/>
            </w:tcBorders>
            <w:tcW w:w="517"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试剂摆放区</w:t>
            </w:r>
            <w:r/>
          </w:p>
        </w:tc>
        <w:tc>
          <w:tcPr>
            <w:tcBorders>
              <w:top w:val="single" w:color="000000" w:sz="4" w:space="0"/>
              <w:left w:val="single" w:color="auto" w:sz="4" w:space="0"/>
              <w:bottom w:val="single" w:color="000000" w:sz="4" w:space="0"/>
              <w:right w:val="single" w:color="000000" w:sz="4" w:space="0"/>
            </w:tcBorders>
            <w:tcW w:w="67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tcBorders>
            <w:tcW w:w="3812" w:type="pct"/>
            <w:vAlign w:val="bottom"/>
            <w:textDirection w:val="lrTb"/>
            <w:noWrap/>
          </w:tcPr>
          <w:p>
            <w:pPr>
              <w:jc w:val="left"/>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lang w:bidi="ar"/>
              </w:rPr>
              <w:t xml:space="preserve">2250×400×550mm</w:t>
            </w:r>
            <w:r/>
          </w:p>
        </w:tc>
      </w:tr>
      <w:tr>
        <w:trPr>
          <w:trHeight w:val="397"/>
        </w:trPr>
        <w:tc>
          <w:tcPr>
            <w:tcBorders>
              <w:top w:val="single" w:color="auto" w:sz="4" w:space="0"/>
              <w:left w:val="single" w:color="auto" w:sz="4" w:space="0"/>
              <w:bottom w:val="single" w:color="auto" w:sz="4" w:space="0"/>
              <w:right w:val="single" w:color="auto"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auto" w:sz="4" w:space="0"/>
              <w:bottom w:val="single" w:color="000000" w:sz="4" w:space="0"/>
              <w:right w:val="single" w:color="000000" w:sz="4" w:space="0"/>
            </w:tcBorders>
            <w:tcW w:w="67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框架</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钢制结构</w:t>
            </w:r>
            <w:r/>
          </w:p>
        </w:tc>
      </w:tr>
      <w:tr>
        <w:trPr>
          <w:trHeight w:val="705"/>
        </w:trPr>
        <w:tc>
          <w:tcPr>
            <w:tcBorders>
              <w:top w:val="single" w:color="auto" w:sz="4" w:space="0"/>
              <w:left w:val="single" w:color="auto" w:sz="4" w:space="0"/>
              <w:bottom w:val="single" w:color="auto" w:sz="4" w:space="0"/>
              <w:right w:val="single" w:color="auto"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auto" w:sz="4" w:space="0"/>
              <w:bottom w:val="single" w:color="000000" w:sz="4" w:space="0"/>
              <w:right w:val="single" w:color="000000" w:sz="4" w:space="0"/>
            </w:tcBorders>
            <w:tcW w:w="67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立柱（规格/厚度）</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立柱：（规格：80×40）</w:t>
            </w:r>
            <w:r/>
          </w:p>
        </w:tc>
      </w:tr>
      <w:tr>
        <w:trPr>
          <w:trHeight w:val="377"/>
        </w:trPr>
        <w:tc>
          <w:tcPr>
            <w:tcBorders>
              <w:top w:val="single" w:color="auto" w:sz="4" w:space="0"/>
              <w:left w:val="single" w:color="auto" w:sz="4" w:space="0"/>
              <w:bottom w:val="single" w:color="auto" w:sz="4" w:space="0"/>
              <w:right w:val="single" w:color="auto"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auto" w:sz="4" w:space="0"/>
              <w:bottom w:val="single" w:color="000000" w:sz="4" w:space="0"/>
              <w:right w:val="single" w:color="000000" w:sz="4" w:space="0"/>
            </w:tcBorders>
            <w:tcW w:w="67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护栏</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层板两侧加装不锈钢挡杆</w:t>
            </w:r>
            <w:r/>
          </w:p>
        </w:tc>
      </w:tr>
      <w:tr>
        <w:trPr>
          <w:trHeight w:val="377"/>
        </w:trPr>
        <w:tc>
          <w:tcPr>
            <w:tcBorders>
              <w:top w:val="single" w:color="auto" w:sz="4" w:space="0"/>
              <w:left w:val="single" w:color="auto" w:sz="4" w:space="0"/>
              <w:bottom w:val="single" w:color="auto" w:sz="4" w:space="0"/>
              <w:right w:val="single" w:color="auto"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auto" w:sz="4" w:space="0"/>
              <w:bottom w:val="single" w:color="000000" w:sz="4" w:space="0"/>
              <w:right w:val="single" w:color="000000" w:sz="4" w:space="0"/>
            </w:tcBorders>
            <w:tcW w:w="67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挂板</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层板：单层，采用不小于6mm厚玻璃</w:t>
            </w:r>
            <w:r/>
          </w:p>
        </w:tc>
      </w:tr>
      <w:tr>
        <w:trPr>
          <w:trHeight w:val="377"/>
        </w:trPr>
        <w:tc>
          <w:tcPr>
            <w:tcBorders>
              <w:top w:val="single" w:color="auto" w:sz="4" w:space="0"/>
              <w:left w:val="single" w:color="auto" w:sz="4" w:space="0"/>
              <w:bottom w:val="single" w:color="auto" w:sz="4" w:space="0"/>
              <w:right w:val="single" w:color="auto"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auto" w:sz="4" w:space="0"/>
              <w:bottom w:val="single" w:color="000000" w:sz="4" w:space="0"/>
              <w:right w:val="single" w:color="000000" w:sz="4" w:space="0"/>
            </w:tcBorders>
            <w:tcW w:w="67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立柱底座</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w:t>
            </w:r>
            <w:r/>
          </w:p>
        </w:tc>
      </w:tr>
      <w:tr>
        <w:trPr>
          <w:trHeight w:val="377"/>
        </w:trPr>
        <w:tc>
          <w:tcPr>
            <w:tcBorders>
              <w:top w:val="single" w:color="auto" w:sz="4" w:space="0"/>
              <w:left w:val="single" w:color="auto" w:sz="4" w:space="0"/>
              <w:bottom w:val="single" w:color="auto" w:sz="4" w:space="0"/>
              <w:right w:val="single" w:color="auto"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auto" w:sz="4" w:space="0"/>
              <w:bottom w:val="single" w:color="000000" w:sz="4" w:space="0"/>
              <w:right w:val="single" w:color="000000" w:sz="4" w:space="0"/>
            </w:tcBorders>
            <w:tcW w:w="67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立柱堵头</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w:t>
            </w:r>
            <w:r/>
          </w:p>
        </w:tc>
      </w:tr>
      <w:tr>
        <w:trPr>
          <w:trHeight w:val="377"/>
        </w:trPr>
        <w:tc>
          <w:tcPr>
            <w:tcBorders>
              <w:top w:val="single" w:color="auto" w:sz="4" w:space="0"/>
              <w:left w:val="single" w:color="auto" w:sz="4" w:space="0"/>
              <w:bottom w:val="single" w:color="auto" w:sz="4" w:space="0"/>
              <w:right w:val="single" w:color="auto"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auto" w:sz="4" w:space="0"/>
              <w:bottom w:val="single" w:color="000000" w:sz="4" w:space="0"/>
              <w:right w:val="single" w:color="000000" w:sz="4" w:space="0"/>
            </w:tcBorders>
            <w:tcW w:w="67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采用不小于6mm厚玻璃</w:t>
            </w:r>
            <w:r/>
          </w:p>
        </w:tc>
      </w:tr>
      <w:tr>
        <w:trPr>
          <w:trHeight w:val="377"/>
        </w:trPr>
        <w:tc>
          <w:tcPr>
            <w:tcBorders>
              <w:top w:val="single" w:color="auto" w:sz="4" w:space="0"/>
              <w:bottom w:val="single" w:color="000000" w:sz="4" w:space="0"/>
              <w:right w:val="single" w:color="000000" w:sz="4" w:space="0"/>
            </w:tcBorders>
            <w:tcW w:w="517"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水槽</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规格尺寸</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500×600×1030H/水槽深度270mm</w:t>
            </w:r>
            <w:r/>
          </w:p>
        </w:tc>
      </w:tr>
      <w:tr>
        <w:trPr>
          <w:trHeight w:val="377"/>
        </w:trPr>
        <w:tc>
          <w:tcPr>
            <w:tcBorders>
              <w:top w:val="single" w:color="000000" w:sz="4" w:space="0"/>
              <w:bottom w:val="single" w:color="000000" w:sz="4" w:space="0"/>
              <w:right w:val="single" w:color="000000"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主题材质</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采用3.8mm厚工程塑料整体模具注塑成型</w:t>
            </w:r>
            <w:r/>
          </w:p>
        </w:tc>
      </w:tr>
      <w:tr>
        <w:trPr>
          <w:trHeight w:val="1373"/>
        </w:trPr>
        <w:tc>
          <w:tcPr>
            <w:tcBorders>
              <w:top w:val="single" w:color="000000" w:sz="4" w:space="0"/>
              <w:bottom w:val="single" w:color="000000" w:sz="4" w:space="0"/>
              <w:right w:val="single" w:color="000000"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电源固定安装于两侧，220V交流电源：每台配备220V交流输出多用豪华插座2个,低压交流电源2-30V/3A（2V一档）（短路、过载自动保护、自动复位）；低压直流电源：1.25V-30V/3A，学生可进行微调；交直流电压均采用数码显示；</w:t>
            </w:r>
            <w:r/>
          </w:p>
        </w:tc>
      </w:tr>
      <w:tr>
        <w:trPr>
          <w:trHeight w:val="454"/>
        </w:trPr>
        <w:tc>
          <w:tcPr>
            <w:tcBorders>
              <w:top w:val="single" w:color="000000" w:sz="4" w:space="0"/>
              <w:bottom w:val="single" w:color="000000" w:sz="4" w:space="0"/>
              <w:right w:val="single" w:color="000000"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网络接口</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2个</w:t>
            </w:r>
            <w:r/>
          </w:p>
        </w:tc>
      </w:tr>
      <w:tr>
        <w:trPr>
          <w:trHeight w:val="454"/>
        </w:trPr>
        <w:tc>
          <w:tcPr>
            <w:tcBorders>
              <w:top w:val="single" w:color="000000" w:sz="4" w:space="0"/>
              <w:bottom w:val="single" w:color="000000" w:sz="4" w:space="0"/>
              <w:right w:val="single" w:color="000000"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USB接口</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2个</w:t>
            </w:r>
            <w:r/>
          </w:p>
        </w:tc>
      </w:tr>
      <w:tr>
        <w:trPr>
          <w:trHeight w:val="454"/>
        </w:trPr>
        <w:tc>
          <w:tcPr>
            <w:tcBorders>
              <w:top w:val="single" w:color="000000" w:sz="4" w:space="0"/>
              <w:bottom w:val="single" w:color="000000" w:sz="4" w:space="0"/>
              <w:right w:val="single" w:color="000000"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滴水架</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8试管位</w:t>
            </w:r>
            <w:r/>
          </w:p>
        </w:tc>
      </w:tr>
      <w:tr>
        <w:trPr>
          <w:trHeight w:val="705"/>
        </w:trPr>
        <w:tc>
          <w:tcPr>
            <w:tcBorders>
              <w:top w:val="single" w:color="000000" w:sz="4" w:space="0"/>
              <w:bottom w:val="single" w:color="000000" w:sz="4" w:space="0"/>
              <w:right w:val="single" w:color="000000"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left"/>
              <w:widowControl/>
              <w:rPr>
                <w:rFonts w:hint="eastAsia" w:cs="宋体" w:asciiTheme="minorEastAsia" w:hAnsiTheme="minorEastAsia" w:eastAsiaTheme="minorEastAsia"/>
                <w:sz w:val="20"/>
                <w:szCs w:val="20"/>
              </w:rPr>
            </w:pPr>
            <w:r/>
            <w:bookmarkStart w:id="239" w:name="OLE_LINK9"/>
            <w:r/>
            <w:bookmarkStart w:id="240" w:name="OLE_LINK10"/>
            <w:r>
              <w:rPr>
                <w:rFonts w:hint="eastAsia" w:cs="宋体" w:asciiTheme="minorEastAsia" w:hAnsiTheme="minorEastAsia" w:eastAsiaTheme="minorEastAsia"/>
                <w:sz w:val="20"/>
                <w:szCs w:val="20"/>
                <w:lang w:bidi="ar"/>
              </w:rPr>
              <w:t xml:space="preserve">▲三联水嘴</w:t>
            </w:r>
            <w:bookmarkEnd w:id="239"/>
            <w:r/>
            <w:bookmarkEnd w:id="240"/>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三联水嘴采用工程塑料模具注塑成型。</w:t>
            </w:r>
            <w:r/>
          </w:p>
        </w:tc>
      </w:tr>
      <w:tr>
        <w:trPr>
          <w:trHeight w:val="454"/>
        </w:trPr>
        <w:tc>
          <w:tcPr>
            <w:tcBorders>
              <w:top w:val="single" w:color="000000" w:sz="4" w:space="0"/>
              <w:bottom w:val="single" w:color="000000" w:sz="4" w:space="0"/>
              <w:right w:val="single" w:color="000000" w:sz="4" w:space="0"/>
            </w:tcBorders>
            <w:tcW w:w="517"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洗眼器</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主体材质</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主体加厚铜质，高亮超厚电镀层。</w:t>
            </w:r>
            <w:r/>
          </w:p>
        </w:tc>
      </w:tr>
      <w:tr>
        <w:trPr>
          <w:trHeight w:val="454"/>
        </w:trPr>
        <w:tc>
          <w:tcPr>
            <w:tcBorders>
              <w:top w:val="single" w:color="000000" w:sz="4" w:space="0"/>
              <w:bottom w:val="single" w:color="000000" w:sz="4" w:space="0"/>
              <w:right w:val="single" w:color="000000"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喷淋头材质</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软性橡胶</w:t>
            </w:r>
            <w:r/>
          </w:p>
        </w:tc>
      </w:tr>
      <w:tr>
        <w:trPr>
          <w:trHeight w:val="454"/>
        </w:trPr>
        <w:tc>
          <w:tcPr>
            <w:tcBorders>
              <w:top w:val="single" w:color="000000" w:sz="4" w:space="0"/>
              <w:bottom w:val="single" w:color="000000" w:sz="4" w:space="0"/>
              <w:right w:val="single" w:color="000000"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防尘盖材质</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PP材质</w:t>
            </w:r>
            <w:r/>
          </w:p>
        </w:tc>
      </w:tr>
      <w:tr>
        <w:trPr>
          <w:trHeight w:val="454"/>
        </w:trPr>
        <w:tc>
          <w:tcPr>
            <w:tcBorders>
              <w:top w:val="single" w:color="000000" w:sz="4" w:space="0"/>
              <w:bottom w:val="single" w:color="000000" w:sz="4" w:space="0"/>
              <w:right w:val="single" w:color="000000"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开关</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水流开启、水流锁定功能一并完成，方便使用；</w:t>
            </w:r>
            <w:r/>
          </w:p>
        </w:tc>
      </w:tr>
      <w:tr>
        <w:trPr>
          <w:trHeight w:val="454"/>
        </w:trPr>
        <w:tc>
          <w:tcPr>
            <w:tcBorders>
              <w:top w:val="single" w:color="000000" w:sz="4" w:space="0"/>
              <w:bottom w:val="single" w:color="000000" w:sz="4" w:space="0"/>
              <w:right w:val="single" w:color="000000" w:sz="4" w:space="0"/>
            </w:tcBorders>
            <w:tcW w:w="517"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控水阀</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止逆阀，其阀门可自动关闭；</w:t>
            </w:r>
            <w:r/>
          </w:p>
        </w:tc>
      </w:tr>
      <w:tr>
        <w:trPr>
          <w:trHeight w:val="454"/>
        </w:trPr>
        <w:tc>
          <w:tcPr>
            <w:gridSpan w:val="2"/>
            <w:tcBorders>
              <w:top w:val="single" w:color="000000" w:sz="4" w:space="0"/>
              <w:bottom w:val="single" w:color="000000" w:sz="4" w:space="0"/>
              <w:right w:val="single" w:color="000000" w:sz="4" w:space="0"/>
            </w:tcBorders>
            <w:tcW w:w="118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
                <w:bCs/>
                <w:sz w:val="20"/>
                <w:szCs w:val="20"/>
                <w:lang w:bidi="ar"/>
              </w:rPr>
              <w:t xml:space="preserve">其他要求</w:t>
            </w:r>
            <w:r/>
          </w:p>
        </w:tc>
        <w:tc>
          <w:tcPr>
            <w:tcBorders>
              <w:top w:val="single" w:color="000000" w:sz="4" w:space="0"/>
              <w:left w:val="single" w:color="000000" w:sz="4" w:space="0"/>
              <w:bottom w:val="single" w:color="000000" w:sz="4" w:space="0"/>
            </w:tcBorders>
            <w:tcW w:w="3812" w:type="pct"/>
            <w:vAlign w:val="center"/>
            <w:textDirection w:val="lrTb"/>
            <w:noWrap w:val="false"/>
          </w:tcPr>
          <w:p>
            <w:pPr>
              <w:pStyle w:val="1095"/>
              <w:rPr>
                <w:rFonts w:hint="eastAsia" w:cs="宋体" w:asciiTheme="minorEastAsia" w:hAnsiTheme="minorEastAsia"/>
                <w:b/>
                <w:bCs/>
                <w:sz w:val="20"/>
                <w:szCs w:val="20"/>
              </w:rPr>
            </w:pPr>
            <w:r>
              <w:rPr>
                <w:rFonts w:hint="eastAsia" w:cs="宋体" w:asciiTheme="minorEastAsia" w:hAnsiTheme="minorEastAsia"/>
                <w:b/>
                <w:bCs/>
                <w:sz w:val="20"/>
                <w:szCs w:val="20"/>
                <w:lang w:bidi="ar"/>
              </w:rPr>
              <w:t xml:space="preserve">★（1）三联水嘴：</w:t>
            </w:r>
            <w:r>
              <w:rPr>
                <w:rFonts w:cs="宋体" w:asciiTheme="minorEastAsia" w:hAnsiTheme="minorEastAsia"/>
                <w:color w:val="000000"/>
                <w:sz w:val="20"/>
              </w:rPr>
              <w:t xml:space="preserve">提供国家确定的认证机构出具的、处于有效期之内的节能产品认证证书</w:t>
            </w:r>
            <w:r>
              <w:rPr>
                <w:rFonts w:hint="eastAsia" w:cs="宋体" w:asciiTheme="minorEastAsia" w:hAnsiTheme="minorEastAsia"/>
                <w:bCs/>
                <w:sz w:val="20"/>
                <w:szCs w:val="20"/>
                <w:lang w:bidi="ar"/>
              </w:rPr>
              <w:t xml:space="preserve">。</w:t>
            </w:r>
            <w:r/>
          </w:p>
        </w:tc>
      </w:tr>
      <w:tr>
        <w:trPr>
          <w:trHeight w:val="765"/>
        </w:trPr>
        <w:tc>
          <w:tcPr>
            <w:gridSpan w:val="2"/>
            <w:tcBorders>
              <w:top w:val="single" w:color="000000" w:sz="4" w:space="0"/>
              <w:bottom w:val="single" w:color="000000" w:sz="4" w:space="0"/>
              <w:right w:val="single" w:color="000000" w:sz="4" w:space="0"/>
            </w:tcBorders>
            <w:tcW w:w="1188" w:type="pct"/>
            <w:vAlign w:val="center"/>
            <w:textDirection w:val="lrTb"/>
            <w:noWrap w:val="false"/>
          </w:tcPr>
          <w:p>
            <w:pPr>
              <w:jc w:val="left"/>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整体概述</w:t>
            </w:r>
            <w:r/>
          </w:p>
        </w:tc>
        <w:tc>
          <w:tcPr>
            <w:tcBorders>
              <w:top w:val="single" w:color="000000" w:sz="4" w:space="0"/>
              <w:left w:val="single" w:color="000000" w:sz="4" w:space="0"/>
              <w:bottom w:val="single" w:color="000000" w:sz="4" w:space="0"/>
            </w:tcBorders>
            <w:tcW w:w="38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1.实验准备操作区域，通水、电、网络。</w:t>
            </w:r>
            <w:r>
              <w:rPr>
                <w:rFonts w:hint="eastAsia" w:cs="宋体" w:asciiTheme="minorEastAsia" w:hAnsiTheme="minorEastAsia" w:eastAsiaTheme="minorEastAsia"/>
                <w:sz w:val="20"/>
                <w:szCs w:val="20"/>
                <w:lang w:bidi="ar"/>
              </w:rPr>
              <w:br/>
              <w:t xml:space="preserve">2.为成套设备，化学准备实验区域需要配备试剂架、洗眼器。</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720" w:equalWidth="1"/>
          <w:docGrid w:linePitch="360"/>
        </w:sect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仪器储存设备，数量：20</w:t>
      </w:r>
      <w:r/>
    </w:p>
    <w:tbl>
      <w:tblPr>
        <w:tblW w:w="4894" w:type="pct"/>
        <w:tblLook w:val="0000" w:firstRow="0" w:lastRow="0" w:firstColumn="0" w:lastColumn="0" w:noHBand="0" w:noVBand="0"/>
      </w:tblPr>
      <w:tblGrid>
        <w:gridCol w:w="1384"/>
        <w:gridCol w:w="1136"/>
        <w:gridCol w:w="7936"/>
      </w:tblGrid>
      <w:tr>
        <w:trPr>
          <w:trHeight w:val="459"/>
          <w:tblHeader/>
        </w:trPr>
        <w:tc>
          <w:tcPr>
            <w:gridSpan w:val="2"/>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center"/>
              <w:widowControl/>
              <w:rPr>
                <w:rFonts w:hint="eastAsia" w:cs="宋体" w:asciiTheme="minorEastAsia" w:hAnsiTheme="minorEastAsia" w:eastAsiaTheme="minorEastAsia"/>
                <w:b/>
                <w:bCs/>
                <w:sz w:val="22"/>
                <w:szCs w:val="22"/>
              </w:rPr>
            </w:pPr>
            <w:r>
              <w:rPr>
                <w:rFonts w:hint="eastAsia" w:cs="宋体" w:asciiTheme="minorEastAsia" w:hAnsiTheme="minorEastAsia" w:eastAsiaTheme="minorEastAsia"/>
                <w:b/>
                <w:bCs/>
                <w:sz w:val="22"/>
                <w:szCs w:val="22"/>
                <w:lang w:bidi="ar"/>
              </w:rPr>
              <w:t xml:space="preserve">参数要求</w:t>
            </w:r>
            <w:r/>
          </w:p>
        </w:tc>
      </w:tr>
      <w:tr>
        <w:trPr>
          <w:trHeight w:val="624"/>
        </w:trPr>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≥1000*500*1970mm</w:t>
            </w:r>
            <w:r/>
          </w:p>
        </w:tc>
      </w:tr>
      <w:tr>
        <w:trPr>
          <w:trHeight w:val="1474"/>
        </w:trPr>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主体结构</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材质。侧板、顶底板采用改性PP材料增加强度，注塑模一次性成型，表面沙面和光面相结合处理,保证柜体之坚固及密封性，耐腐蚀性强。采用经过改性PP材质注塑模一次成型，与柜门平行，开启方便。门铰链：采用经过射出成型的PP材料制成，耐腐蚀性好。螺丝：PP材质，可选不锈钢304材质</w:t>
            </w:r>
            <w:r/>
          </w:p>
        </w:tc>
      </w:tr>
      <w:tr>
        <w:trPr>
          <w:trHeight w:val="624"/>
        </w:trPr>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下储物</w:t>
            </w:r>
            <w:r>
              <w:rPr>
                <w:rFonts w:hint="eastAsia" w:cs="宋体" w:asciiTheme="minorEastAsia" w:hAnsiTheme="minorEastAsia" w:eastAsiaTheme="minorEastAsia"/>
                <w:lang w:bidi="ar"/>
              </w:rPr>
              <w:t xml:space="preserve">区</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内框采用改性PP材质注塑模一次成型,外嵌4.6mm厚钢化烤漆玻璃</w:t>
            </w:r>
            <w:r/>
          </w:p>
        </w:tc>
      </w:tr>
      <w:tr>
        <w:trPr>
          <w:trHeight w:val="850"/>
        </w:trPr>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上储物</w:t>
            </w:r>
            <w:r>
              <w:rPr>
                <w:rFonts w:hint="eastAsia" w:cs="宋体" w:asciiTheme="minorEastAsia" w:hAnsiTheme="minorEastAsia" w:eastAsiaTheme="minorEastAsia"/>
                <w:lang w:bidi="ar"/>
              </w:rPr>
              <w:t xml:space="preserve">区</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内框采用改性PP材质注塑模一次成型,外嵌4.6mm厚钢化烤漆玻璃，中间烤漆镂空制作。</w:t>
            </w:r>
            <w:r/>
          </w:p>
        </w:tc>
      </w:tr>
      <w:tr>
        <w:trPr>
          <w:trHeight w:val="1417"/>
        </w:trPr>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层板</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p>
        </w:tc>
      </w:tr>
      <w:tr>
        <w:trPr>
          <w:trHeight w:val="793"/>
        </w:trPr>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固定件</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螺丝</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 材质，可选不锈钢 304 材质</w:t>
            </w:r>
            <w:r/>
          </w:p>
        </w:tc>
      </w:tr>
      <w:tr>
        <w:trPr>
          <w:trHeight w:val="793"/>
        </w:trPr>
        <w:tc>
          <w:tcPr>
            <w:gridSpan w:val="2"/>
            <w:tcBorders>
              <w:top w:val="single" w:color="000000" w:sz="4" w:space="0"/>
              <w:left w:val="single" w:color="000000" w:sz="4" w:space="0"/>
              <w:bottom w:val="single" w:color="000000" w:sz="4" w:space="0"/>
              <w:right w:val="single" w:color="000000" w:sz="4" w:space="0"/>
            </w:tcBorders>
            <w:tcW w:w="120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实验仪器分类展示、存储，层板高度可调节。</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药品储存设备，数量：4</w:t>
      </w:r>
      <w:r/>
    </w:p>
    <w:tbl>
      <w:tblPr>
        <w:tblW w:w="4894" w:type="pct"/>
        <w:tblLook w:val="0000" w:firstRow="0" w:lastRow="0" w:firstColumn="0" w:lastColumn="0" w:noHBand="0" w:noVBand="0"/>
      </w:tblPr>
      <w:tblGrid>
        <w:gridCol w:w="1099"/>
        <w:gridCol w:w="1136"/>
        <w:gridCol w:w="8221"/>
      </w:tblGrid>
      <w:tr>
        <w:trPr>
          <w:trHeight w:val="399"/>
          <w:tblHeader/>
        </w:trPr>
        <w:tc>
          <w:tcPr>
            <w:gridSpan w:val="2"/>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393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r>
      <w:tr>
        <w:trPr>
          <w:trHeight w:val="567"/>
        </w:trPr>
        <w:tc>
          <w:tcPr>
            <w:tcBorders>
              <w:top w:val="single" w:color="000000" w:sz="4" w:space="0"/>
              <w:left w:val="single" w:color="000000" w:sz="4" w:space="0"/>
              <w:bottom w:val="single" w:color="000000" w:sz="4" w:space="0"/>
              <w:right w:val="single" w:color="000000" w:sz="4" w:space="0"/>
            </w:tcBorders>
            <w:tcW w:w="526"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93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1200*600*2000mm</w:t>
            </w:r>
            <w:r/>
          </w:p>
        </w:tc>
      </w:tr>
      <w:tr>
        <w:trPr>
          <w:trHeight w:val="450"/>
        </w:trPr>
        <w:tc>
          <w:tcPr>
            <w:tcBorders>
              <w:top w:val="single" w:color="000000" w:sz="4" w:space="0"/>
              <w:left w:val="single" w:color="000000" w:sz="4" w:space="0"/>
              <w:bottom w:val="single" w:color="000000" w:sz="4" w:space="0"/>
              <w:right w:val="single" w:color="000000" w:sz="4" w:space="0"/>
            </w:tcBorders>
            <w:tcW w:w="526"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侧板/层板材质及结构</w:t>
            </w:r>
            <w:r/>
          </w:p>
        </w:tc>
        <w:tc>
          <w:tcPr>
            <w:tcBorders>
              <w:top w:val="single" w:color="000000" w:sz="4" w:space="0"/>
              <w:left w:val="single" w:color="000000" w:sz="4" w:space="0"/>
              <w:bottom w:val="single" w:color="000000" w:sz="4" w:space="0"/>
              <w:right w:val="single" w:color="000000" w:sz="4" w:space="0"/>
            </w:tcBorders>
            <w:tcW w:w="393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背板采用不小于8mm耐腐蚀PP中空板</w:t>
            </w:r>
            <w:r/>
          </w:p>
        </w:tc>
      </w:tr>
      <w:tr>
        <w:trPr>
          <w:trHeight w:val="510"/>
        </w:trPr>
        <w:tc>
          <w:tcPr>
            <w:tcBorders>
              <w:top w:val="single" w:color="000000" w:sz="4" w:space="0"/>
              <w:left w:val="single" w:color="000000" w:sz="4" w:space="0"/>
              <w:bottom w:val="single" w:color="000000" w:sz="4" w:space="0"/>
              <w:right w:val="single" w:color="000000" w:sz="4" w:space="0"/>
            </w:tcBorders>
            <w:tcW w:w="526"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上储物</w:t>
            </w:r>
            <w:r>
              <w:rPr>
                <w:rFonts w:hint="eastAsia" w:cs="宋体" w:asciiTheme="minorEastAsia" w:hAnsiTheme="minorEastAsia" w:eastAsiaTheme="minorEastAsia"/>
                <w:lang w:bidi="ar"/>
              </w:rPr>
              <w:t xml:space="preserve">区</w:t>
            </w:r>
            <w:r/>
          </w:p>
        </w:tc>
        <w:tc>
          <w:tcPr>
            <w:tcBorders>
              <w:top w:val="single" w:color="000000" w:sz="4" w:space="0"/>
              <w:left w:val="single" w:color="000000" w:sz="4" w:space="0"/>
              <w:bottom w:val="single" w:color="000000" w:sz="4" w:space="0"/>
              <w:right w:val="single" w:color="000000" w:sz="4" w:space="0"/>
            </w:tcBorders>
            <w:tcW w:w="3931"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上下储存设备域采用对开门设计，门框采用工程级聚丙烯材料一体化注塑成型，嵌入式设计厚度不小于4mm玻璃柜门，配置数码锁，便于老师日常管理。</w:t>
            </w:r>
            <w:r/>
          </w:p>
        </w:tc>
      </w:tr>
      <w:tr>
        <w:trPr>
          <w:trHeight w:val="510"/>
        </w:trPr>
        <w:tc>
          <w:tcPr>
            <w:tcBorders>
              <w:top w:val="single" w:color="000000" w:sz="4" w:space="0"/>
              <w:left w:val="single" w:color="000000" w:sz="4" w:space="0"/>
              <w:bottom w:val="single" w:color="000000" w:sz="4" w:space="0"/>
              <w:right w:val="single" w:color="000000" w:sz="4" w:space="0"/>
            </w:tcBorders>
            <w:tcW w:w="526"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下储物</w:t>
            </w:r>
            <w:r>
              <w:rPr>
                <w:rFonts w:hint="eastAsia" w:cs="宋体" w:asciiTheme="minorEastAsia" w:hAnsiTheme="minorEastAsia" w:eastAsiaTheme="minorEastAsia"/>
                <w:lang w:bidi="ar"/>
              </w:rPr>
              <w:t xml:space="preserve">区</w:t>
            </w:r>
            <w:r/>
          </w:p>
        </w:tc>
        <w:tc>
          <w:tcPr>
            <w:tcBorders>
              <w:top w:val="single" w:color="000000" w:sz="4" w:space="0"/>
              <w:left w:val="single" w:color="000000" w:sz="4" w:space="0"/>
              <w:bottom w:val="single" w:color="000000" w:sz="4" w:space="0"/>
              <w:right w:val="single" w:color="000000" w:sz="4" w:space="0"/>
            </w:tcBorders>
            <w:tcW w:w="3931"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67"/>
        </w:trPr>
        <w:tc>
          <w:tcPr>
            <w:tcBorders>
              <w:top w:val="single" w:color="000000" w:sz="4" w:space="0"/>
              <w:left w:val="single" w:color="000000" w:sz="4" w:space="0"/>
              <w:bottom w:val="single" w:color="000000" w:sz="4" w:space="0"/>
              <w:right w:val="single" w:color="000000" w:sz="4" w:space="0"/>
            </w:tcBorders>
            <w:tcW w:w="526"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门把手</w:t>
            </w:r>
            <w:r/>
          </w:p>
        </w:tc>
        <w:tc>
          <w:tcPr>
            <w:tcBorders>
              <w:top w:val="single" w:color="000000" w:sz="4" w:space="0"/>
              <w:left w:val="single" w:color="000000" w:sz="4" w:space="0"/>
              <w:bottom w:val="single" w:color="000000" w:sz="4" w:space="0"/>
              <w:right w:val="single" w:color="000000" w:sz="4" w:space="0"/>
            </w:tcBorders>
            <w:tcW w:w="393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PVC材质</w:t>
            </w:r>
            <w:r/>
          </w:p>
        </w:tc>
      </w:tr>
      <w:tr>
        <w:trPr>
          <w:trHeight w:val="690"/>
        </w:trPr>
        <w:tc>
          <w:tcPr>
            <w:tcBorders>
              <w:top w:val="single" w:color="000000" w:sz="4" w:space="0"/>
              <w:left w:val="single" w:color="000000" w:sz="4" w:space="0"/>
              <w:bottom w:val="single" w:color="000000" w:sz="4" w:space="0"/>
              <w:right w:val="single" w:color="000000" w:sz="4" w:space="0"/>
            </w:tcBorders>
            <w:tcW w:w="526"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门铰链</w:t>
            </w:r>
            <w:r/>
          </w:p>
        </w:tc>
        <w:tc>
          <w:tcPr>
            <w:tcBorders>
              <w:top w:val="single" w:color="000000" w:sz="4" w:space="0"/>
              <w:left w:val="single" w:color="000000" w:sz="4" w:space="0"/>
              <w:bottom w:val="single" w:color="000000" w:sz="4" w:space="0"/>
              <w:right w:val="single" w:color="000000" w:sz="4" w:space="0"/>
            </w:tcBorders>
            <w:tcW w:w="393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框架连接处选用内置式免螺丝安装方式，材质选用工程级耐腐蚀、抗磨尼龙铰链。</w:t>
            </w:r>
            <w:r/>
          </w:p>
        </w:tc>
      </w:tr>
      <w:tr>
        <w:trPr>
          <w:trHeight w:val="690"/>
        </w:trPr>
        <w:tc>
          <w:tcPr>
            <w:tcBorders>
              <w:top w:val="single" w:color="000000" w:sz="4" w:space="0"/>
              <w:left w:val="single" w:color="000000" w:sz="4" w:space="0"/>
              <w:bottom w:val="single" w:color="000000" w:sz="4" w:space="0"/>
              <w:right w:val="single" w:color="000000" w:sz="4" w:space="0"/>
            </w:tcBorders>
            <w:tcW w:w="526"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环保要求</w:t>
            </w:r>
            <w:r/>
          </w:p>
        </w:tc>
        <w:tc>
          <w:tcPr>
            <w:tcBorders>
              <w:top w:val="single" w:color="000000" w:sz="4" w:space="0"/>
              <w:left w:val="single" w:color="000000" w:sz="4" w:space="0"/>
              <w:bottom w:val="single" w:color="000000" w:sz="4" w:space="0"/>
              <w:right w:val="single" w:color="000000" w:sz="4" w:space="0"/>
            </w:tcBorders>
            <w:tcW w:w="393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具有耐腐蚀、耐酸碱、防水、耐热，耐候性能强、表面硬度、高弹性、韧性、电绝缘性等稳定物理、化学性能</w:t>
            </w:r>
            <w:r/>
          </w:p>
        </w:tc>
      </w:tr>
      <w:tr>
        <w:trPr>
          <w:trHeight w:val="567"/>
        </w:trPr>
        <w:tc>
          <w:tcPr>
            <w:tcBorders>
              <w:top w:val="single" w:color="000000" w:sz="4" w:space="0"/>
              <w:left w:val="single" w:color="000000" w:sz="4" w:space="0"/>
              <w:bottom w:val="single" w:color="000000" w:sz="4" w:space="0"/>
              <w:right w:val="single" w:color="000000" w:sz="4" w:space="0"/>
            </w:tcBorders>
            <w:tcW w:w="526"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风机</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3931" w:type="pct"/>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PVC材质</w:t>
            </w:r>
            <w:r/>
          </w:p>
        </w:tc>
      </w:tr>
      <w:tr>
        <w:trPr>
          <w:trHeight w:val="900"/>
        </w:trPr>
        <w:tc>
          <w:tcPr>
            <w:tcBorders>
              <w:top w:val="single" w:color="000000" w:sz="4" w:space="0"/>
              <w:left w:val="single" w:color="000000" w:sz="4" w:space="0"/>
              <w:bottom w:val="single" w:color="000000" w:sz="4" w:space="0"/>
              <w:right w:val="single" w:color="000000" w:sz="4" w:space="0"/>
            </w:tcBorders>
            <w:tcW w:w="526"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机电要求</w:t>
            </w:r>
            <w:r/>
          </w:p>
        </w:tc>
        <w:tc>
          <w:tcPr>
            <w:tcBorders>
              <w:top w:val="single" w:color="000000" w:sz="4" w:space="0"/>
              <w:left w:val="single" w:color="000000" w:sz="4" w:space="0"/>
              <w:bottom w:val="single" w:color="000000" w:sz="4" w:space="0"/>
              <w:right w:val="single" w:color="000000" w:sz="4" w:space="0"/>
            </w:tcBorders>
            <w:tcW w:w="393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实验通风机：规格：功率190W通风机。电压：220V，工作时：噪音≤65分贝,风流量948m³/h，全压 210Pa </w:t>
            </w:r>
            <w:r>
              <w:rPr>
                <w:rFonts w:hint="eastAsia" w:cs="宋体" w:asciiTheme="minorEastAsia" w:hAnsiTheme="minorEastAsia" w:eastAsiaTheme="minorEastAsia"/>
                <w:sz w:val="20"/>
                <w:szCs w:val="20"/>
                <w:lang w:bidi="ar"/>
              </w:rPr>
              <w:br/>
              <w:t xml:space="preserve">风机开关及漏电保护装置：漏电保护开关，0.06s急速断电,主体采用PC阻燃热固性外壳。</w:t>
            </w:r>
            <w:r/>
          </w:p>
        </w:tc>
      </w:tr>
      <w:tr>
        <w:trPr>
          <w:trHeight w:val="624"/>
        </w:trPr>
        <w:tc>
          <w:tcPr>
            <w:tcBorders>
              <w:top w:val="single" w:color="000000" w:sz="4" w:space="0"/>
              <w:left w:val="single" w:color="000000" w:sz="4" w:space="0"/>
              <w:bottom w:val="single" w:color="000000" w:sz="4" w:space="0"/>
              <w:right w:val="single" w:color="000000" w:sz="4" w:space="0"/>
            </w:tcBorders>
            <w:tcW w:w="526"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通风管道</w:t>
            </w:r>
            <w:r/>
          </w:p>
        </w:tc>
        <w:tc>
          <w:tcPr>
            <w:tcBorders>
              <w:top w:val="single" w:color="000000" w:sz="4" w:space="0"/>
              <w:left w:val="single" w:color="000000" w:sz="4" w:space="0"/>
              <w:bottom w:val="single" w:color="000000" w:sz="4" w:space="0"/>
              <w:right w:val="single" w:color="000000" w:sz="4" w:space="0"/>
            </w:tcBorders>
            <w:tcW w:w="3931" w:type="pct"/>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规格：采用φ200，φ110室内主、副管，转接头及室外管。</w:t>
            </w:r>
            <w:r/>
          </w:p>
        </w:tc>
      </w:tr>
      <w:tr>
        <w:trPr>
          <w:trHeight w:val="875"/>
        </w:trPr>
        <w:tc>
          <w:tcPr>
            <w:gridSpan w:val="2"/>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Borders>
              <w:top w:val="single" w:color="000000" w:sz="4" w:space="0"/>
              <w:left w:val="single" w:color="000000" w:sz="4" w:space="0"/>
              <w:bottom w:val="single" w:color="000000" w:sz="4" w:space="0"/>
              <w:right w:val="single" w:color="000000" w:sz="4" w:space="0"/>
            </w:tcBorders>
            <w:tcW w:w="3931" w:type="pct"/>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实验仪器分类展示、存储，层板高度可调节。</w:t>
            </w:r>
            <w:r/>
          </w:p>
        </w:tc>
      </w:tr>
    </w:tbl>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通风处理区，数量：1</w:t>
      </w:r>
      <w:r/>
    </w:p>
    <w:tbl>
      <w:tblPr>
        <w:tblpPr w:horzAnchor="margin" w:tblpXSpec="left" w:vertAnchor="page" w:tblpY="1938" w:leftFromText="180" w:topFromText="0" w:rightFromText="180" w:bottomFromText="0"/>
        <w:tblW w:w="1045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42"/>
        <w:gridCol w:w="1134"/>
        <w:gridCol w:w="8080"/>
      </w:tblGrid>
      <w:tr>
        <w:trPr>
          <w:trHeight w:val="412"/>
          <w:tblHeader/>
        </w:trPr>
        <w:tc>
          <w:tcPr>
            <w:gridSpan w:val="2"/>
            <w:tcBorders>
              <w:bottom w:val="single" w:color="000000" w:sz="4" w:space="0"/>
              <w:right w:val="single" w:color="000000" w:sz="4" w:space="0"/>
            </w:tcBorders>
            <w:tcW w:w="2376"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Borders>
              <w:left w:val="single" w:color="000000" w:sz="4" w:space="0"/>
              <w:bottom w:val="single" w:color="000000" w:sz="4" w:space="0"/>
            </w:tcBorders>
            <w:tcW w:w="8080"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r>
      <w:tr>
        <w:trPr>
          <w:trHeight w:val="510"/>
        </w:trPr>
        <w:tc>
          <w:tcPr>
            <w:tcBorders>
              <w:top w:val="single" w:color="000000" w:sz="4" w:space="0"/>
              <w:bottom w:val="single" w:color="000000" w:sz="4" w:space="0"/>
              <w:right w:val="single" w:color="000000" w:sz="4" w:space="0"/>
            </w:tcBorders>
            <w:tcW w:w="1242"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tcBorders>
            <w:tcW w:w="808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≥1200×750×2100mm</w:t>
            </w:r>
            <w:r/>
          </w:p>
        </w:tc>
      </w:tr>
      <w:tr>
        <w:trPr>
          <w:trHeight w:val="510"/>
        </w:trPr>
        <w:tc>
          <w:tcPr>
            <w:tcBorders>
              <w:top w:val="single" w:color="000000" w:sz="4" w:space="0"/>
              <w:bottom w:val="single" w:color="000000" w:sz="4" w:space="0"/>
              <w:right w:val="single" w:color="000000" w:sz="4" w:space="0"/>
            </w:tcBorders>
            <w:tcW w:w="1242" w:type="dxa"/>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操作平面</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tcBorders>
            <w:tcW w:w="808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专用实芯理化板</w:t>
            </w:r>
            <w:r/>
          </w:p>
        </w:tc>
      </w:tr>
      <w:tr>
        <w:trPr>
          <w:trHeight w:val="510"/>
        </w:trPr>
        <w:tc>
          <w:tcPr>
            <w:tcBorders>
              <w:top w:val="single" w:color="000000" w:sz="4" w:space="0"/>
              <w:bottom w:val="single" w:color="000000" w:sz="4" w:space="0"/>
              <w:right w:val="single" w:color="000000" w:sz="4" w:space="0"/>
            </w:tcBorders>
            <w:tcW w:w="1242"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Borders>
              <w:top w:val="single" w:color="000000" w:sz="4" w:space="0"/>
              <w:left w:val="single" w:color="000000" w:sz="4" w:space="0"/>
              <w:bottom w:val="single" w:color="000000" w:sz="4" w:space="0"/>
            </w:tcBorders>
            <w:tcW w:w="808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12mm</w:t>
            </w:r>
            <w:r/>
          </w:p>
        </w:tc>
      </w:tr>
      <w:tr>
        <w:trPr>
          <w:trHeight w:val="510"/>
        </w:trPr>
        <w:tc>
          <w:tcPr>
            <w:tcBorders>
              <w:top w:val="single" w:color="000000" w:sz="4" w:space="0"/>
              <w:bottom w:val="single" w:color="000000" w:sz="4" w:space="0"/>
              <w:right w:val="single" w:color="000000" w:sz="4" w:space="0"/>
            </w:tcBorders>
            <w:tcW w:w="1242" w:type="dxa"/>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主体结构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结构材料</w:t>
            </w:r>
            <w:r/>
          </w:p>
        </w:tc>
        <w:tc>
          <w:tcPr>
            <w:tcBorders>
              <w:top w:val="single" w:color="000000" w:sz="4" w:space="0"/>
              <w:left w:val="single" w:color="000000" w:sz="4" w:space="0"/>
              <w:bottom w:val="single" w:color="000000" w:sz="4" w:space="0"/>
            </w:tcBorders>
            <w:tcW w:w="808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立柱采用采用50mm×50mm铝镁合金框架</w:t>
            </w:r>
            <w:r/>
          </w:p>
        </w:tc>
      </w:tr>
      <w:tr>
        <w:trPr>
          <w:trHeight w:val="510"/>
        </w:trPr>
        <w:tc>
          <w:tcPr>
            <w:tcBorders>
              <w:top w:val="single" w:color="000000" w:sz="4" w:space="0"/>
              <w:bottom w:val="single" w:color="000000" w:sz="4" w:space="0"/>
              <w:right w:val="single" w:color="000000" w:sz="4" w:space="0"/>
            </w:tcBorders>
            <w:tcW w:w="1242"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板材</w:t>
            </w:r>
            <w:r/>
          </w:p>
        </w:tc>
        <w:tc>
          <w:tcPr>
            <w:tcBorders>
              <w:top w:val="single" w:color="000000" w:sz="4" w:space="0"/>
              <w:left w:val="single" w:color="000000" w:sz="4" w:space="0"/>
              <w:bottom w:val="single" w:color="000000" w:sz="4" w:space="0"/>
            </w:tcBorders>
            <w:tcW w:w="808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E1级优质三聚氰胺双贴面板</w:t>
            </w:r>
            <w:r/>
          </w:p>
        </w:tc>
      </w:tr>
      <w:tr>
        <w:trPr>
          <w:trHeight w:val="510"/>
        </w:trPr>
        <w:tc>
          <w:tcPr>
            <w:tcBorders>
              <w:top w:val="single" w:color="000000" w:sz="4" w:space="0"/>
              <w:bottom w:val="single" w:color="000000" w:sz="4" w:space="0"/>
              <w:right w:val="single" w:color="000000" w:sz="4" w:space="0"/>
            </w:tcBorders>
            <w:tcW w:w="1242"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上下水</w:t>
            </w:r>
            <w:r/>
          </w:p>
        </w:tc>
        <w:tc>
          <w:tcPr>
            <w:tcBorders>
              <w:top w:val="single" w:color="000000" w:sz="4" w:space="0"/>
              <w:left w:val="single" w:color="000000" w:sz="4" w:space="0"/>
              <w:bottom w:val="single" w:color="000000" w:sz="4" w:space="0"/>
            </w:tcBorders>
            <w:tcW w:w="808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PP杯槽和单联水嘴。</w:t>
            </w:r>
            <w:r/>
          </w:p>
        </w:tc>
      </w:tr>
      <w:tr>
        <w:trPr>
          <w:trHeight w:val="510"/>
        </w:trPr>
        <w:tc>
          <w:tcPr>
            <w:tcBorders>
              <w:top w:val="single" w:color="000000" w:sz="4" w:space="0"/>
              <w:bottom w:val="single" w:color="000000" w:sz="4" w:space="0"/>
              <w:right w:val="single" w:color="000000" w:sz="4" w:space="0"/>
            </w:tcBorders>
            <w:tcW w:w="1242"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操作窗口</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开启方式</w:t>
            </w:r>
            <w:r/>
          </w:p>
        </w:tc>
        <w:tc>
          <w:tcPr>
            <w:tcBorders>
              <w:top w:val="single" w:color="000000" w:sz="4" w:space="0"/>
              <w:left w:val="single" w:color="000000" w:sz="4" w:space="0"/>
              <w:bottom w:val="single" w:color="000000" w:sz="4" w:space="0"/>
            </w:tcBorders>
            <w:tcW w:w="808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升降窗口采用自动配置平衡，0-100%开关任意无段定位。</w:t>
            </w:r>
            <w:r/>
          </w:p>
        </w:tc>
      </w:tr>
      <w:tr>
        <w:trPr>
          <w:trHeight w:val="510"/>
        </w:trPr>
        <w:tc>
          <w:tcPr>
            <w:tcBorders>
              <w:top w:val="single" w:color="000000" w:sz="4" w:space="0"/>
              <w:bottom w:val="single" w:color="000000" w:sz="4" w:space="0"/>
              <w:right w:val="single" w:color="000000" w:sz="4" w:space="0"/>
            </w:tcBorders>
            <w:tcW w:w="1242"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支撑脚</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材质功能</w:t>
            </w:r>
            <w:r/>
          </w:p>
        </w:tc>
        <w:tc>
          <w:tcPr>
            <w:tcBorders>
              <w:top w:val="single" w:color="000000" w:sz="4" w:space="0"/>
              <w:left w:val="single" w:color="000000" w:sz="4" w:space="0"/>
              <w:bottom w:val="single" w:color="000000" w:sz="4" w:space="0"/>
            </w:tcBorders>
            <w:tcW w:w="808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采用模型成型，无金属部分外露，可以现场地面调整水平。</w:t>
            </w:r>
            <w:r/>
          </w:p>
        </w:tc>
      </w:tr>
      <w:tr>
        <w:trPr>
          <w:trHeight w:val="510"/>
        </w:trPr>
        <w:tc>
          <w:tcPr>
            <w:tcBorders>
              <w:top w:val="single" w:color="000000" w:sz="4" w:space="0"/>
              <w:bottom w:val="single" w:color="000000" w:sz="4" w:space="0"/>
              <w:right w:val="single" w:color="000000" w:sz="4" w:space="0"/>
            </w:tcBorders>
            <w:tcW w:w="1242" w:type="dxa"/>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tcBorders>
            <w:tcW w:w="808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PC阻燃热固性外壳</w:t>
            </w:r>
            <w:r/>
          </w:p>
        </w:tc>
      </w:tr>
      <w:tr>
        <w:trPr>
          <w:trHeight w:val="510"/>
        </w:trPr>
        <w:tc>
          <w:tcPr>
            <w:tcBorders>
              <w:top w:val="single" w:color="000000" w:sz="4" w:space="0"/>
              <w:bottom w:val="single" w:color="000000" w:sz="4" w:space="0"/>
              <w:right w:val="single" w:color="000000" w:sz="4" w:space="0"/>
            </w:tcBorders>
            <w:tcW w:w="1242" w:type="dxa"/>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功率</w:t>
            </w:r>
            <w:r/>
          </w:p>
        </w:tc>
        <w:tc>
          <w:tcPr>
            <w:tcBorders>
              <w:top w:val="single" w:color="000000" w:sz="4" w:space="0"/>
              <w:left w:val="single" w:color="000000" w:sz="4" w:space="0"/>
              <w:bottom w:val="single" w:color="000000" w:sz="4" w:space="0"/>
            </w:tcBorders>
            <w:tcW w:w="808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190W</w:t>
            </w:r>
            <w:r/>
          </w:p>
        </w:tc>
      </w:tr>
      <w:tr>
        <w:trPr>
          <w:trHeight w:val="510"/>
        </w:trPr>
        <w:tc>
          <w:tcPr>
            <w:tcBorders>
              <w:top w:val="single" w:color="000000" w:sz="4" w:space="0"/>
              <w:bottom w:val="single" w:color="000000" w:sz="4" w:space="0"/>
              <w:right w:val="single" w:color="000000" w:sz="4" w:space="0"/>
            </w:tcBorders>
            <w:tcW w:w="1242" w:type="dxa"/>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电压</w:t>
            </w:r>
            <w:r/>
          </w:p>
        </w:tc>
        <w:tc>
          <w:tcPr>
            <w:tcBorders>
              <w:top w:val="single" w:color="000000" w:sz="4" w:space="0"/>
              <w:left w:val="single" w:color="000000" w:sz="4" w:space="0"/>
              <w:bottom w:val="single" w:color="000000" w:sz="4" w:space="0"/>
            </w:tcBorders>
            <w:tcW w:w="808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220V</w:t>
            </w:r>
            <w:r/>
          </w:p>
        </w:tc>
      </w:tr>
      <w:tr>
        <w:trPr>
          <w:trHeight w:val="510"/>
        </w:trPr>
        <w:tc>
          <w:tcPr>
            <w:tcBorders>
              <w:top w:val="single" w:color="000000" w:sz="4" w:space="0"/>
              <w:bottom w:val="single" w:color="000000" w:sz="4" w:space="0"/>
              <w:right w:val="single" w:color="000000" w:sz="4" w:space="0"/>
            </w:tcBorders>
            <w:tcW w:w="1242" w:type="dxa"/>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噪音</w:t>
            </w:r>
            <w:r/>
          </w:p>
        </w:tc>
        <w:tc>
          <w:tcPr>
            <w:tcBorders>
              <w:top w:val="single" w:color="000000" w:sz="4" w:space="0"/>
              <w:left w:val="single" w:color="000000" w:sz="4" w:space="0"/>
              <w:bottom w:val="single" w:color="000000" w:sz="4" w:space="0"/>
            </w:tcBorders>
            <w:tcW w:w="808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≤65分贝</w:t>
            </w:r>
            <w:r/>
          </w:p>
        </w:tc>
      </w:tr>
      <w:tr>
        <w:trPr>
          <w:trHeight w:val="510"/>
        </w:trPr>
        <w:tc>
          <w:tcPr>
            <w:tcBorders>
              <w:top w:val="single" w:color="000000" w:sz="4" w:space="0"/>
              <w:bottom w:val="single" w:color="000000" w:sz="4" w:space="0"/>
              <w:right w:val="single" w:color="000000" w:sz="4" w:space="0"/>
            </w:tcBorders>
            <w:tcW w:w="1242" w:type="dxa"/>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风流量</w:t>
            </w:r>
            <w:r/>
          </w:p>
        </w:tc>
        <w:tc>
          <w:tcPr>
            <w:tcBorders>
              <w:top w:val="single" w:color="000000" w:sz="4" w:space="0"/>
              <w:left w:val="single" w:color="000000" w:sz="4" w:space="0"/>
              <w:bottom w:val="single" w:color="000000" w:sz="4" w:space="0"/>
            </w:tcBorders>
            <w:tcW w:w="808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948m³/h</w:t>
            </w:r>
            <w:r/>
          </w:p>
        </w:tc>
      </w:tr>
      <w:tr>
        <w:trPr>
          <w:trHeight w:val="510"/>
        </w:trPr>
        <w:tc>
          <w:tcPr>
            <w:tcBorders>
              <w:top w:val="single" w:color="000000" w:sz="4" w:space="0"/>
              <w:bottom w:val="single" w:color="000000" w:sz="4" w:space="0"/>
              <w:right w:val="single" w:color="000000" w:sz="4" w:space="0"/>
            </w:tcBorders>
            <w:tcW w:w="1242" w:type="dxa"/>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保护装置</w:t>
            </w:r>
            <w:r/>
          </w:p>
        </w:tc>
        <w:tc>
          <w:tcPr>
            <w:tcBorders>
              <w:top w:val="single" w:color="000000" w:sz="4" w:space="0"/>
              <w:left w:val="single" w:color="000000" w:sz="4" w:space="0"/>
              <w:bottom w:val="single" w:color="000000" w:sz="4" w:space="0"/>
            </w:tcBorders>
            <w:tcW w:w="808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风机开关及漏电保护装置：漏电保护开关，0.06s急速断电,</w:t>
            </w:r>
            <w:r/>
          </w:p>
        </w:tc>
      </w:tr>
      <w:tr>
        <w:trPr>
          <w:trHeight w:val="510"/>
        </w:trPr>
        <w:tc>
          <w:tcPr>
            <w:tcBorders>
              <w:top w:val="single" w:color="000000" w:sz="4" w:space="0"/>
              <w:bottom w:val="single" w:color="000000" w:sz="4" w:space="0"/>
              <w:right w:val="single" w:color="000000" w:sz="4" w:space="0"/>
            </w:tcBorders>
            <w:tcW w:w="1242" w:type="dxa"/>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通风管道</w:t>
            </w:r>
            <w:r/>
          </w:p>
        </w:tc>
        <w:tc>
          <w:tcPr>
            <w:tcBorders>
              <w:top w:val="single" w:color="000000" w:sz="4" w:space="0"/>
              <w:left w:val="single" w:color="000000" w:sz="4" w:space="0"/>
              <w:bottom w:val="single" w:color="000000" w:sz="4" w:space="0"/>
            </w:tcBorders>
            <w:tcW w:w="808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规格：采用φ200，φ110室内主、副管，转接头及室外管。</w:t>
            </w:r>
            <w:r/>
          </w:p>
        </w:tc>
      </w:tr>
      <w:tr>
        <w:trPr>
          <w:trHeight w:val="702"/>
        </w:trPr>
        <w:tc>
          <w:tcPr>
            <w:gridSpan w:val="2"/>
            <w:tcBorders>
              <w:top w:val="single" w:color="000000" w:sz="4" w:space="0"/>
              <w:bottom w:val="single" w:color="000000" w:sz="4" w:space="0"/>
              <w:right w:val="single" w:color="000000" w:sz="4" w:space="0"/>
            </w:tcBorders>
            <w:tcW w:w="2376"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Borders>
              <w:top w:val="single" w:color="000000" w:sz="4" w:space="0"/>
              <w:left w:val="single" w:color="000000" w:sz="4" w:space="0"/>
              <w:bottom w:val="single" w:color="000000" w:sz="4" w:space="0"/>
            </w:tcBorders>
            <w:tcW w:w="8080" w:type="dxa"/>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上区域：带吸风通风装置、可视操作平面、理化板平面。下区域：储物。</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720" w:equalWidth="1"/>
          <w:docGrid w:linePitch="360"/>
        </w:sectPr>
      </w:pPr>
      <w:r>
        <w:rPr>
          <w:rFonts w:hint="eastAsia" w:cs="宋体" w:asciiTheme="minorEastAsia" w:hAnsiTheme="minorEastAsia" w:eastAsiaTheme="minorEastAsia"/>
        </w:rPr>
      </w:r>
      <w:r/>
    </w:p>
    <w:p>
      <w:pPr>
        <w:pStyle w:val="921"/>
        <w:numPr>
          <w:ilvl w:val="1"/>
          <w:numId w:val="7"/>
        </w:numPr>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易爆品储存设备、易燃品储存设备、酸碱物品储存设备</w:t>
      </w:r>
      <w:r/>
    </w:p>
    <w:tbl>
      <w:tblPr>
        <w:tblW w:w="496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84"/>
        <w:gridCol w:w="1229"/>
        <w:gridCol w:w="1229"/>
        <w:gridCol w:w="6523"/>
        <w:gridCol w:w="1134"/>
      </w:tblGrid>
      <w:tr>
        <w:trPr>
          <w:cantSplit/>
          <w:trHeight w:val="501"/>
          <w:tblHeader/>
        </w:trPr>
        <w:tc>
          <w:tcPr>
            <w:gridSpan w:val="3"/>
            <w:tcW w:w="138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307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W w:w="535"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510"/>
        </w:trPr>
        <w:tc>
          <w:tcPr>
            <w:tcW w:w="22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易燃品</w:t>
            </w:r>
            <w:r>
              <w:rPr>
                <w:rFonts w:hint="eastAsia" w:cs="宋体" w:asciiTheme="minorEastAsia" w:hAnsiTheme="minorEastAsia" w:eastAsiaTheme="minorEastAsia"/>
                <w:lang w:bidi="ar"/>
              </w:rPr>
              <w:t xml:space="preserve">储存设备</w:t>
            </w:r>
            <w:r/>
          </w:p>
        </w:tc>
        <w:tc>
          <w:tcPr>
            <w:tcW w:w="58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900×510×1800（mm)</w:t>
            </w:r>
            <w:r/>
          </w:p>
        </w:tc>
        <w:tc>
          <w:tcPr>
            <w:tcW w:w="535"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650"/>
        </w:trPr>
        <w:tc>
          <w:tcPr>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58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主体结构</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底座采用2.0mm的冷轧钢板,内外表面经酸洗磷化环氧树脂粉末喷涂，烘热固化处理。</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510"/>
        </w:trPr>
        <w:tc>
          <w:tcPr>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900×510×1800（mm)</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50"/>
        </w:trPr>
        <w:tc>
          <w:tcPr>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58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内胆衬板</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高级</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77"/>
        </w:trPr>
        <w:tc>
          <w:tcPr>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58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层板</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077" w:type="pct"/>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pp聚丙烯树脂</w:t>
            </w:r>
            <w:r/>
          </w:p>
        </w:tc>
        <w:tc>
          <w:tcPr>
            <w:tcW w:w="535" w:type="pct"/>
            <w:vAlign w:val="bottom"/>
            <w:vMerge w:val="continue"/>
            <w:textDirection w:val="lrTb"/>
            <w:noWrap/>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50"/>
        </w:trPr>
        <w:tc>
          <w:tcPr>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样式及数量</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中部有3个三层阶梯式的pp聚丙烯树脂活动搁板一次成型的</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50"/>
        </w:trPr>
        <w:tc>
          <w:tcPr>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58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通风口</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底部设置90×50×145mm进风口，进风口底部有不锈钢可调风阀</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30"/>
        </w:trPr>
        <w:tc>
          <w:tcPr>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58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铰链</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采用经射出成型的PP（聚丙烯）材料制成，</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50"/>
        </w:trPr>
        <w:tc>
          <w:tcPr>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规格（要求）</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耐腐蚀性能好，外观精美。</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30"/>
        </w:trPr>
        <w:tc>
          <w:tcPr>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58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锁具</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数量</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1存储设备上安装的磁锁</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等级</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高级</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防腐</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58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安全要求</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控制器</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高级</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时控开关</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高级</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30"/>
        </w:trPr>
        <w:tc>
          <w:tcPr>
            <w:tcW w:w="22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易爆品</w:t>
            </w:r>
            <w:r>
              <w:rPr>
                <w:rFonts w:hint="eastAsia" w:cs="宋体" w:asciiTheme="minorEastAsia" w:hAnsiTheme="minorEastAsia" w:eastAsiaTheme="minorEastAsia"/>
                <w:lang w:bidi="ar"/>
              </w:rPr>
              <w:t xml:space="preserve">储存设备</w:t>
            </w:r>
            <w:r/>
          </w:p>
        </w:tc>
        <w:tc>
          <w:tcPr>
            <w:tcW w:w="58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900×510×1800（mm)</w:t>
            </w:r>
            <w:r/>
          </w:p>
        </w:tc>
        <w:tc>
          <w:tcPr>
            <w:tcW w:w="535"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650"/>
        </w:trPr>
        <w:tc>
          <w:tcPr>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58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主体结构</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底座采用2.0mm的冷轧钢板,内外表面经酸洗磷化环氧树脂粉末喷涂，烘热固化处理。</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30"/>
        </w:trPr>
        <w:tc>
          <w:tcPr>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900×510×1800（mm)</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50"/>
        </w:trPr>
        <w:tc>
          <w:tcPr>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58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内胆衬板</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高级</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30"/>
        </w:trPr>
        <w:tc>
          <w:tcPr>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58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层板</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077"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pp聚丙烯树脂</w:t>
            </w:r>
            <w:r/>
          </w:p>
        </w:tc>
        <w:tc>
          <w:tcPr>
            <w:tcW w:w="535" w:type="pct"/>
            <w:vAlign w:val="bottom"/>
            <w:vMerge w:val="continue"/>
            <w:textDirection w:val="lrTb"/>
            <w:noWrap/>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50"/>
        </w:trPr>
        <w:tc>
          <w:tcPr>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样式及数量</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中部有3个三层阶梯式的pp聚丙烯树脂活动搁板一次成型的</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50"/>
        </w:trPr>
        <w:tc>
          <w:tcPr>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58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通风口</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底部设置90×50×145mm进风口，进风口底部有不锈钢可调风阀</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30"/>
        </w:trPr>
        <w:tc>
          <w:tcPr>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58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铰链</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采用经射出成型的PP（聚丙烯）材料制成，</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50"/>
        </w:trPr>
        <w:tc>
          <w:tcPr>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规格（要求）</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耐腐蚀性能好，外观精美。</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37"/>
        </w:trPr>
        <w:tc>
          <w:tcPr>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58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锁具</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数量</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1个磁锁</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85"/>
        </w:trPr>
        <w:tc>
          <w:tcPr>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等级</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高级</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85"/>
        </w:trPr>
        <w:tc>
          <w:tcPr>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防腐</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50"/>
        </w:trPr>
        <w:tc>
          <w:tcPr>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W w:w="58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安全要求</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控制器</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高级</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17"/>
        </w:trPr>
        <w:tc>
          <w:tcPr>
            <w:tcBorders>
              <w:bottom w:val="single" w:color="auto" w:sz="4" w:space="0"/>
            </w:tcBorders>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时控开关</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高级</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Borders>
              <w:top w:val="single" w:color="auto" w:sz="4" w:space="0"/>
              <w:left w:val="single" w:color="auto" w:sz="4" w:space="0"/>
              <w:bottom w:val="single" w:color="auto" w:sz="4" w:space="0"/>
              <w:right w:val="single" w:color="auto" w:sz="4" w:space="0"/>
            </w:tcBorders>
            <w:tcW w:w="22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酸碱</w:t>
            </w:r>
            <w:r>
              <w:rPr>
                <w:rFonts w:hint="eastAsia" w:cs="宋体" w:asciiTheme="minorEastAsia" w:hAnsiTheme="minorEastAsia" w:eastAsiaTheme="minorEastAsia"/>
                <w:lang w:bidi="ar"/>
              </w:rPr>
              <w:t xml:space="preserve">物品储存设备</w:t>
            </w:r>
            <w:r/>
          </w:p>
        </w:tc>
        <w:tc>
          <w:tcPr>
            <w:tcBorders>
              <w:left w:val="single" w:color="auto" w:sz="4" w:space="0"/>
            </w:tcBorders>
            <w:tcW w:w="58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H1800×W900×D450(mm)</w:t>
            </w:r>
            <w:r/>
          </w:p>
        </w:tc>
        <w:tc>
          <w:tcPr>
            <w:tcW w:w="535"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397"/>
        </w:trPr>
        <w:tc>
          <w:tcPr>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Borders>
              <w:left w:val="single" w:color="auto" w:sz="4" w:space="0"/>
            </w:tcBorders>
            <w:tcW w:w="58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主体结构</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采用8mm瓷白色PP（聚丙烯）</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8mm</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50"/>
        </w:trPr>
        <w:tc>
          <w:tcPr>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Borders>
              <w:left w:val="single" w:color="auto" w:sz="4" w:space="0"/>
            </w:tcBorders>
            <w:tcW w:w="58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内胆衬板</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采用8mm瓷白色PP（聚丙烯）</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971"/>
        </w:trPr>
        <w:tc>
          <w:tcPr>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Borders>
              <w:left w:val="single" w:color="auto" w:sz="4" w:space="0"/>
            </w:tcBorders>
            <w:tcW w:w="58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层板</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采用瓷白色PP（聚丙烯）板制作，四周有立边。整体设计为活动式，可随意抽取放在合适的隔层，自由组合各层空间，四周立边可获得一定程度的防溢效果。</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50"/>
        </w:trPr>
        <w:tc>
          <w:tcPr>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样式及数量</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2块（可调高度）+1块固定隔断</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Borders>
              <w:left w:val="single" w:color="auto" w:sz="4" w:space="0"/>
            </w:tcBorders>
            <w:tcW w:w="58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通风口</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高级</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454"/>
        </w:trPr>
        <w:tc>
          <w:tcPr>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Borders>
              <w:left w:val="single" w:color="auto" w:sz="4" w:space="0"/>
            </w:tcBorders>
            <w:tcW w:w="58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铰链</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采用经射出成型的PP（聚丙烯）材料制成，</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650"/>
        </w:trPr>
        <w:tc>
          <w:tcPr>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规格（要求）</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耐腐蚀性能好，外观精美。</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Borders>
              <w:left w:val="single" w:color="auto" w:sz="4" w:space="0"/>
            </w:tcBorders>
            <w:tcW w:w="58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锁具</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数量</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四把防腐挂锁</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等级</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高级</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防腐</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c>
          <w:tcPr>
            <w:tcBorders>
              <w:left w:val="single" w:color="auto" w:sz="4" w:space="0"/>
            </w:tcBorders>
            <w:tcW w:w="58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安全要求</w:t>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控制器</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高级</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trHeight w:val="397"/>
        </w:trPr>
        <w:tc>
          <w:tcPr>
            <w:tcBorders>
              <w:top w:val="single" w:color="auto" w:sz="4" w:space="0"/>
              <w:left w:val="single" w:color="auto" w:sz="4" w:space="0"/>
              <w:bottom w:val="single" w:color="auto" w:sz="4" w:space="0"/>
              <w:right w:val="single" w:color="auto" w:sz="4" w:space="0"/>
            </w:tcBorders>
            <w:tcW w:w="2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580"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8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时控开关</w:t>
            </w:r>
            <w:r/>
          </w:p>
        </w:tc>
        <w:tc>
          <w:tcPr>
            <w:tcW w:w="307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高级</w:t>
            </w:r>
            <w:r/>
          </w:p>
        </w:tc>
        <w:tc>
          <w:tcPr>
            <w:tcW w:w="535" w:type="pct"/>
            <w:vAlign w:val="center"/>
            <w:vMerge w:val="continue"/>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r>
            <w:r/>
          </w:p>
        </w:tc>
      </w:tr>
      <w:tr>
        <w:trPr>
          <w:cantSplit/>
          <w:trHeight w:val="887"/>
        </w:trPr>
        <w:tc>
          <w:tcPr>
            <w:gridSpan w:val="3"/>
            <w:tcW w:w="138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W w:w="361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危化品分类存储，具有通风功能，满足危化品管理相关要求。</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720" w:equalWidth="1"/>
          <w:docGrid w:linePitch="360"/>
        </w:sect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ind w:right="160"/>
        <w:jc w:val="left"/>
        <w:rPr>
          <w:rFonts w:hint="eastAsia" w:cs="宋体" w:asciiTheme="minorEastAsia" w:hAnsiTheme="minorEastAsia" w:eastAsiaTheme="minorEastAsia"/>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cs="宋体" w:asciiTheme="minorEastAsia" w:hAnsiTheme="minorEastAsia" w:eastAsiaTheme="minorEastAsia"/>
          <w:sz w:val="32"/>
          <w:szCs w:val="32"/>
        </w:rPr>
        <w:t xml:space="preserve">平面图（仅供参考）</w: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8318500" cy="2876550"/>
                <wp:effectExtent l="0" t="0" r="6350" b="0"/>
                <wp:docPr id="5" name="图片 97" descr="空白图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空白图_00"/>
                        <pic:cNvPicPr>
                          <a:picLocks noChangeAspect="1"/>
                        </pic:cNvPicPr>
                        <pic:nvPr/>
                      </pic:nvPicPr>
                      <pic:blipFill>
                        <a:blip r:embed="rId17"/>
                        <a:srcRect l="-95" t="28310" r="93" b="26961"/>
                        <a:stretch/>
                      </pic:blipFill>
                      <pic:spPr bwMode="auto">
                        <a:xfrm>
                          <a:off x="0" y="0"/>
                          <a:ext cx="8318500" cy="2876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5.0pt;height:226.5pt;mso-wrap-distance-left:0.0pt;mso-wrap-distance-top:0.0pt;mso-wrap-distance-right:0.0pt;mso-wrap-distance-bottom:0.0pt;" stroked="f">
                <v:path textboxrect="0,0,0,0"/>
                <v:imagedata r:id="rId17"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8362950" cy="4013200"/>
                <wp:effectExtent l="0" t="0" r="0" b="6350"/>
                <wp:docPr id="6" name="图片 96" descr="空白图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空白图_01"/>
                        <pic:cNvPicPr>
                          <a:picLocks noChangeAspect="1"/>
                        </pic:cNvPicPr>
                        <pic:nvPr/>
                      </pic:nvPicPr>
                      <pic:blipFill>
                        <a:blip r:embed="rId18"/>
                        <a:srcRect l="0" t="18873" r="0" b="18995"/>
                        <a:stretch/>
                      </pic:blipFill>
                      <pic:spPr bwMode="auto">
                        <a:xfrm>
                          <a:off x="0" y="0"/>
                          <a:ext cx="8362950" cy="4013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58.5pt;height:316.0pt;mso-wrap-distance-left:0.0pt;mso-wrap-distance-top:0.0pt;mso-wrap-distance-right:0.0pt;mso-wrap-distance-bottom:0.0pt;" stroked="f">
                <v:path textboxrect="0,0,0,0"/>
                <v:imagedata r:id="rId18"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8058150" cy="5187950"/>
                <wp:effectExtent l="0" t="0" r="0" b="0"/>
                <wp:docPr id="7" name="图片 95" descr="空白图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空白图_02"/>
                        <pic:cNvPicPr>
                          <a:picLocks noChangeAspect="1"/>
                        </pic:cNvPicPr>
                        <pic:nvPr/>
                      </pic:nvPicPr>
                      <pic:blipFill>
                        <a:blip r:embed="rId19"/>
                        <a:srcRect l="0" t="7108" r="0" b="9560"/>
                        <a:stretch/>
                      </pic:blipFill>
                      <pic:spPr bwMode="auto">
                        <a:xfrm>
                          <a:off x="0" y="0"/>
                          <a:ext cx="8058150" cy="5187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34.5pt;height:408.5pt;mso-wrap-distance-left:0.0pt;mso-wrap-distance-top:0.0pt;mso-wrap-distance-right:0.0pt;mso-wrap-distance-bottom:0.0pt;" stroked="f">
                <v:path textboxrect="0,0,0,0"/>
                <v:imagedata r:id="rId19"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8642350" cy="5130800"/>
                <wp:effectExtent l="0" t="0" r="6350" b="0"/>
                <wp:docPr id="8" name="图片 94" descr="空白图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空白图_03"/>
                        <pic:cNvPicPr>
                          <a:picLocks noChangeAspect="1"/>
                        </pic:cNvPicPr>
                        <pic:nvPr/>
                      </pic:nvPicPr>
                      <pic:blipFill>
                        <a:blip r:embed="rId20"/>
                        <a:srcRect l="0" t="12990" r="0" b="9804"/>
                        <a:stretch/>
                      </pic:blipFill>
                      <pic:spPr bwMode="auto">
                        <a:xfrm>
                          <a:off x="0" y="0"/>
                          <a:ext cx="8642350" cy="5130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80.5pt;height:404.0pt;mso-wrap-distance-left:0.0pt;mso-wrap-distance-top:0.0pt;mso-wrap-distance-right:0.0pt;mso-wrap-distance-bottom:0.0pt;" stroked="f">
                <v:path textboxrect="0,0,0,0"/>
                <v:imagedata r:id="rId20" o:title=""/>
              </v:shape>
            </w:pict>
          </mc:Fallback>
        </mc:AlternateContent>
      </w:r>
      <w:r/>
    </w:p>
    <w:p>
      <w:pPr>
        <w:ind w:right="160"/>
        <w:jc w:val="left"/>
        <w:rPr>
          <w:rFonts w:hint="eastAsia" w:cs="宋体" w:asciiTheme="minorEastAsia" w:hAnsiTheme="minorEastAsia" w:eastAsiaTheme="minorEastAsia"/>
        </w:rPr>
      </w:pPr>
      <w:r>
        <w:rPr>
          <w:rFonts w:hint="eastAsia" w:cs="宋体" w:asciiTheme="minorEastAsia" w:hAnsiTheme="minorEastAsia" w:eastAsiaTheme="minorEastAsia"/>
          <w:sz w:val="32"/>
          <w:szCs w:val="32"/>
        </w:rPr>
        <w:t xml:space="preserve">点位图</w: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6948000" cy="2132057"/>
                <wp:effectExtent l="0" t="0" r="5715" b="1905"/>
                <wp:docPr id="9" name="图片 93" descr="合并PDF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合并PDF_00"/>
                        <pic:cNvPicPr>
                          <a:picLocks noChangeAspect="1"/>
                        </pic:cNvPicPr>
                        <pic:nvPr/>
                      </pic:nvPicPr>
                      <pic:blipFill>
                        <a:blip r:embed="rId21"/>
                        <a:srcRect l="-95" t="29729" r="93" b="26077"/>
                        <a:stretch/>
                      </pic:blipFill>
                      <pic:spPr bwMode="auto">
                        <a:xfrm>
                          <a:off x="0" y="0"/>
                          <a:ext cx="6948000" cy="2132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47.1pt;height:167.9pt;mso-wrap-distance-left:0.0pt;mso-wrap-distance-top:0.0pt;mso-wrap-distance-right:0.0pt;mso-wrap-distance-bottom:0.0pt;" stroked="f">
                <v:path textboxrect="0,0,0,0"/>
                <v:imagedata r:id="rId21"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6948000" cy="1887353"/>
                <wp:effectExtent l="0" t="0" r="5715" b="0"/>
                <wp:docPr id="10" name="图片 92" descr="合并PDF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合并PDF_01"/>
                        <pic:cNvPicPr>
                          <a:picLocks noChangeAspect="1"/>
                        </pic:cNvPicPr>
                        <pic:nvPr/>
                      </pic:nvPicPr>
                      <pic:blipFill>
                        <a:blip r:embed="rId22"/>
                        <a:srcRect l="0" t="30667" r="0" b="29426"/>
                        <a:stretch/>
                      </pic:blipFill>
                      <pic:spPr bwMode="auto">
                        <a:xfrm>
                          <a:off x="0" y="0"/>
                          <a:ext cx="6948000" cy="18873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47.1pt;height:148.6pt;mso-wrap-distance-left:0.0pt;mso-wrap-distance-top:0.0pt;mso-wrap-distance-right:0.0pt;mso-wrap-distance-bottom:0.0pt;" stroked="f">
                <v:path textboxrect="0,0,0,0"/>
                <v:imagedata r:id="rId22"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6948000" cy="2773083"/>
                <wp:effectExtent l="0" t="0" r="5715" b="8255"/>
                <wp:docPr id="11" name="图片 83" descr="合并PDF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合并PDF_02"/>
                        <pic:cNvPicPr>
                          <a:picLocks noChangeAspect="1"/>
                        </pic:cNvPicPr>
                        <pic:nvPr/>
                      </pic:nvPicPr>
                      <pic:blipFill>
                        <a:blip r:embed="rId23"/>
                        <a:srcRect l="-281" t="16606" r="284" b="25406"/>
                        <a:stretch/>
                      </pic:blipFill>
                      <pic:spPr bwMode="auto">
                        <a:xfrm>
                          <a:off x="0" y="0"/>
                          <a:ext cx="6948000" cy="27730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47.1pt;height:218.4pt;mso-wrap-distance-left:0.0pt;mso-wrap-distance-top:0.0pt;mso-wrap-distance-right:0.0pt;mso-wrap-distance-bottom:0.0pt;" stroked="f">
                <v:path textboxrect="0,0,0,0"/>
                <v:imagedata r:id="rId23"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6948000" cy="2328911"/>
                <wp:effectExtent l="0" t="0" r="5715" b="0"/>
                <wp:docPr id="12" name="图片 82" descr="合并PDF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合并PDF_03"/>
                        <pic:cNvPicPr>
                          <a:picLocks noChangeAspect="1"/>
                        </pic:cNvPicPr>
                        <pic:nvPr/>
                      </pic:nvPicPr>
                      <pic:blipFill>
                        <a:blip r:embed="rId24"/>
                        <a:srcRect l="0" t="27319" r="0" b="23533"/>
                        <a:stretch/>
                      </pic:blipFill>
                      <pic:spPr bwMode="auto">
                        <a:xfrm>
                          <a:off x="0" y="0"/>
                          <a:ext cx="6948000" cy="2328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47.1pt;height:183.4pt;mso-wrap-distance-left:0.0pt;mso-wrap-distance-top:0.0pt;mso-wrap-distance-right:0.0pt;mso-wrap-distance-bottom:0.0pt;" stroked="f">
                <v:path textboxrect="0,0,0,0"/>
                <v:imagedata r:id="rId24"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6948000" cy="1878369"/>
                <wp:effectExtent l="0" t="0" r="5715" b="7620"/>
                <wp:docPr id="13" name="图片 81" descr="F449 0423 镇江实验高中学校实验室施工图--张晓杰(1)-Model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descr="F449 0423 镇江实验高中学校实验室施工图--张晓杰(1)-Model_00"/>
                        <pic:cNvPicPr>
                          <a:picLocks noChangeAspect="1"/>
                        </pic:cNvPicPr>
                        <pic:nvPr/>
                      </pic:nvPicPr>
                      <pic:blipFill>
                        <a:blip r:embed="rId25"/>
                        <a:srcRect l="1773" t="32866" r="1879" b="34547"/>
                        <a:stretch/>
                      </pic:blipFill>
                      <pic:spPr bwMode="auto">
                        <a:xfrm>
                          <a:off x="0" y="0"/>
                          <a:ext cx="6948000" cy="18783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47.1pt;height:147.9pt;mso-wrap-distance-left:0.0pt;mso-wrap-distance-top:0.0pt;mso-wrap-distance-right:0.0pt;mso-wrap-distance-bottom:0.0pt;" stroked="f">
                <v:path textboxrect="0,0,0,0"/>
                <v:imagedata r:id="rId25" o:title=""/>
              </v:shape>
            </w:pict>
          </mc:Fallback>
        </mc:AlternateContent>
      </w:r>
      <w:r/>
    </w:p>
    <w:p>
      <w:pPr>
        <w:rPr>
          <w:rFonts w:hint="eastAsia" w:cs="宋体" w:asciiTheme="minorEastAsia" w:hAnsiTheme="minorEastAsia" w:eastAsiaTheme="minorEastAsia"/>
        </w:rPr>
      </w:pP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6948000" cy="2154297"/>
                <wp:effectExtent l="0" t="0" r="5715" b="0"/>
                <wp:docPr id="14" name="图片 80" descr="F449 0423 镇江实验高中学校实验室施工图--张晓杰(1)-Model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 descr="F449 0423 镇江实验高中学校实验室施工图--张晓杰(1)-Model_00"/>
                        <pic:cNvPicPr>
                          <a:picLocks noChangeAspect="1"/>
                        </pic:cNvPicPr>
                        <pic:nvPr/>
                      </pic:nvPicPr>
                      <pic:blipFill>
                        <a:blip r:embed="rId26"/>
                        <a:srcRect l="0" t="31129" r="0" b="26438"/>
                        <a:stretch/>
                      </pic:blipFill>
                      <pic:spPr bwMode="auto">
                        <a:xfrm>
                          <a:off x="0" y="0"/>
                          <a:ext cx="6948000" cy="21542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47.1pt;height:169.6pt;mso-wrap-distance-left:0.0pt;mso-wrap-distance-top:0.0pt;mso-wrap-distance-right:0.0pt;mso-wrap-distance-bottom:0.0pt;" stroked="f">
                <v:path textboxrect="0,0,0,0"/>
                <v:imagedata r:id="rId26"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6948000" cy="2808440"/>
                <wp:effectExtent l="0" t="0" r="5715" b="0"/>
                <wp:docPr id="15" name="图片 79" descr="F449 0423 镇江实验高中学校实验室施工图--张晓杰(1)-模型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4" descr="F449 0423 镇江实验高中学校实验室施工图--张晓杰(1)-模型_00"/>
                        <pic:cNvPicPr>
                          <a:picLocks noChangeAspect="1"/>
                        </pic:cNvPicPr>
                        <pic:nvPr/>
                      </pic:nvPicPr>
                      <pic:blipFill>
                        <a:blip r:embed="rId27"/>
                        <a:srcRect l="0" t="25172" r="0" b="23360"/>
                        <a:stretch/>
                      </pic:blipFill>
                      <pic:spPr bwMode="auto">
                        <a:xfrm>
                          <a:off x="0" y="0"/>
                          <a:ext cx="6948000" cy="28084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47.1pt;height:221.1pt;mso-wrap-distance-left:0.0pt;mso-wrap-distance-top:0.0pt;mso-wrap-distance-right:0.0pt;mso-wrap-distance-bottom:0.0pt;" stroked="f">
                <v:path textboxrect="0,0,0,0"/>
                <v:imagedata r:id="rId27"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6984000" cy="2751709"/>
                <wp:effectExtent l="0" t="0" r="7620" b="0"/>
                <wp:docPr id="16" name="图片 78" descr="合并PDF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descr="合并PDF_17"/>
                        <pic:cNvPicPr>
                          <a:picLocks noChangeAspect="1"/>
                        </pic:cNvPicPr>
                        <pic:nvPr/>
                      </pic:nvPicPr>
                      <pic:blipFill>
                        <a:blip r:embed="rId28"/>
                        <a:srcRect l="0" t="22215" r="0" b="20724"/>
                        <a:stretch/>
                      </pic:blipFill>
                      <pic:spPr bwMode="auto">
                        <a:xfrm>
                          <a:off x="0" y="0"/>
                          <a:ext cx="6984000" cy="2751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49.9pt;height:216.7pt;mso-wrap-distance-left:0.0pt;mso-wrap-distance-top:0.0pt;mso-wrap-distance-right:0.0pt;mso-wrap-distance-bottom:0.0pt;" stroked="f">
                <v:path textboxrect="0,0,0,0"/>
                <v:imagedata r:id="rId28"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6948000" cy="3216587"/>
                <wp:effectExtent l="0" t="0" r="5715" b="0"/>
                <wp:docPr id="17" name="图片 77" descr="合并PDF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descr="合并PDF_07"/>
                        <pic:cNvPicPr>
                          <a:picLocks noChangeAspect="1"/>
                        </pic:cNvPicPr>
                        <pic:nvPr/>
                      </pic:nvPicPr>
                      <pic:blipFill>
                        <a:blip r:embed="rId29"/>
                        <a:srcRect l="0" t="17142" r="0" b="18043"/>
                        <a:stretch/>
                      </pic:blipFill>
                      <pic:spPr bwMode="auto">
                        <a:xfrm>
                          <a:off x="0" y="0"/>
                          <a:ext cx="6948000" cy="32165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47.1pt;height:253.3pt;mso-wrap-distance-left:0.0pt;mso-wrap-distance-top:0.0pt;mso-wrap-distance-right:0.0pt;mso-wrap-distance-bottom:0.0pt;" stroked="f">
                <v:path textboxrect="0,0,0,0"/>
                <v:imagedata r:id="rId29"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7020000" cy="3084069"/>
                <wp:effectExtent l="0" t="0" r="0" b="2540"/>
                <wp:docPr id="18" name="图片 76" descr="合并PDF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合并PDF_08"/>
                        <pic:cNvPicPr>
                          <a:picLocks noChangeAspect="1"/>
                        </pic:cNvPicPr>
                        <pic:nvPr/>
                      </pic:nvPicPr>
                      <pic:blipFill>
                        <a:blip r:embed="rId30"/>
                        <a:srcRect l="0" t="19015" r="0" b="16569"/>
                        <a:stretch/>
                      </pic:blipFill>
                      <pic:spPr bwMode="auto">
                        <a:xfrm>
                          <a:off x="0" y="0"/>
                          <a:ext cx="7020000" cy="30840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52.8pt;height:242.8pt;mso-wrap-distance-left:0.0pt;mso-wrap-distance-top:0.0pt;mso-wrap-distance-right:0.0pt;mso-wrap-distance-bottom:0.0pt;" stroked="f">
                <v:path textboxrect="0,0,0,0"/>
                <v:imagedata r:id="rId30"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6948000" cy="4913843"/>
                <wp:effectExtent l="0" t="0" r="5715" b="1270"/>
                <wp:docPr id="19" name="图片 75" descr="合并PDF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descr="合并PDF_09"/>
                        <pic:cNvPicPr>
                          <a:picLocks noChangeAspect="1"/>
                        </pic:cNvPicPr>
                        <pic:nvPr/>
                      </pic:nvPicPr>
                      <pic:blipFill>
                        <a:blip r:embed="rId31"/>
                        <a:stretch/>
                      </pic:blipFill>
                      <pic:spPr bwMode="auto">
                        <a:xfrm>
                          <a:off x="0" y="0"/>
                          <a:ext cx="6948000" cy="49138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47.1pt;height:386.9pt;mso-wrap-distance-left:0.0pt;mso-wrap-distance-top:0.0pt;mso-wrap-distance-right:0.0pt;mso-wrap-distance-bottom:0.0pt;" stroked="f">
                <v:path textboxrect="0,0,0,0"/>
                <v:imagedata r:id="rId31"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7056000" cy="4989646"/>
                <wp:effectExtent l="0" t="0" r="0" b="1905"/>
                <wp:docPr id="20" name="图片 74" descr="合并PDF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descr="合并PDF_10"/>
                        <pic:cNvPicPr>
                          <a:picLocks noChangeAspect="1"/>
                        </pic:cNvPicPr>
                        <pic:nvPr/>
                      </pic:nvPicPr>
                      <pic:blipFill>
                        <a:blip r:embed="rId32"/>
                        <a:stretch/>
                      </pic:blipFill>
                      <pic:spPr bwMode="auto">
                        <a:xfrm>
                          <a:off x="0" y="0"/>
                          <a:ext cx="7056000" cy="4989646"/>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55.6pt;height:392.9pt;mso-wrap-distance-left:0.0pt;mso-wrap-distance-top:0.0pt;mso-wrap-distance-right:0.0pt;mso-wrap-distance-bottom:0.0pt;" stroked="f">
                <v:path textboxrect="0,0,0,0"/>
                <v:imagedata r:id="rId32"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6912000" cy="4886708"/>
                <wp:effectExtent l="0" t="0" r="3175" b="9525"/>
                <wp:docPr id="21" name="图片 73" descr="合并PDF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descr="合并PDF_11"/>
                        <pic:cNvPicPr>
                          <a:picLocks noChangeAspect="1"/>
                        </pic:cNvPicPr>
                        <pic:nvPr/>
                      </pic:nvPicPr>
                      <pic:blipFill>
                        <a:blip r:embed="rId33"/>
                        <a:stretch/>
                      </pic:blipFill>
                      <pic:spPr bwMode="auto">
                        <a:xfrm>
                          <a:off x="0" y="0"/>
                          <a:ext cx="6912000" cy="48867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44.3pt;height:384.8pt;mso-wrap-distance-left:0.0pt;mso-wrap-distance-top:0.0pt;mso-wrap-distance-right:0.0pt;mso-wrap-distance-bottom:0.0pt;" stroked="f">
                <v:path textboxrect="0,0,0,0"/>
                <v:imagedata r:id="rId33"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7092000" cy="5015863"/>
                <wp:effectExtent l="0" t="0" r="0" b="0"/>
                <wp:docPr id="22" name="图片 72" descr="合并PDF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descr="合并PDF_12"/>
                        <pic:cNvPicPr>
                          <a:picLocks noChangeAspect="1"/>
                        </pic:cNvPicPr>
                        <pic:nvPr/>
                      </pic:nvPicPr>
                      <pic:blipFill>
                        <a:blip r:embed="rId34"/>
                        <a:stretch/>
                      </pic:blipFill>
                      <pic:spPr bwMode="auto">
                        <a:xfrm>
                          <a:off x="0" y="0"/>
                          <a:ext cx="7092000" cy="5015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58.4pt;height:394.9pt;mso-wrap-distance-left:0.0pt;mso-wrap-distance-top:0.0pt;mso-wrap-distance-right:0.0pt;mso-wrap-distance-bottom:0.0pt;" stroked="f">
                <v:path textboxrect="0,0,0,0"/>
                <v:imagedata r:id="rId34"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6912000" cy="4884710"/>
                <wp:effectExtent l="0" t="0" r="3175" b="0"/>
                <wp:docPr id="23" name="图片 71" descr="合并PDF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descr="合并PDF_13"/>
                        <pic:cNvPicPr>
                          <a:picLocks noChangeAspect="1"/>
                        </pic:cNvPicPr>
                        <pic:nvPr/>
                      </pic:nvPicPr>
                      <pic:blipFill>
                        <a:blip r:embed="rId35"/>
                        <a:stretch/>
                      </pic:blipFill>
                      <pic:spPr bwMode="auto">
                        <a:xfrm>
                          <a:off x="0" y="0"/>
                          <a:ext cx="6912000" cy="4884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44.3pt;height:384.6pt;mso-wrap-distance-left:0.0pt;mso-wrap-distance-top:0.0pt;mso-wrap-distance-right:0.0pt;mso-wrap-distance-bottom:0.0pt;" stroked="f">
                <v:path textboxrect="0,0,0,0"/>
                <v:imagedata r:id="rId35"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7020000" cy="4966650"/>
                <wp:effectExtent l="0" t="0" r="0" b="5715"/>
                <wp:docPr id="24" name="图片 70" descr="合并PDF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descr="合并PDF_14"/>
                        <pic:cNvPicPr>
                          <a:picLocks noChangeAspect="1"/>
                        </pic:cNvPicPr>
                        <pic:nvPr/>
                      </pic:nvPicPr>
                      <pic:blipFill>
                        <a:blip r:embed="rId36"/>
                        <a:stretch/>
                      </pic:blipFill>
                      <pic:spPr bwMode="auto">
                        <a:xfrm>
                          <a:off x="0" y="0"/>
                          <a:ext cx="7020000" cy="4966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52.8pt;height:391.1pt;mso-wrap-distance-left:0.0pt;mso-wrap-distance-top:0.0pt;mso-wrap-distance-right:0.0pt;mso-wrap-distance-bottom:0.0pt;" stroked="f">
                <v:path textboxrect="0,0,0,0"/>
                <v:imagedata r:id="rId36" o:title=""/>
              </v:shape>
            </w:pict>
          </mc:Fallback>
        </mc:AlternateContent>
      </w: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6984000" cy="4939337"/>
                <wp:effectExtent l="0" t="0" r="7620" b="0"/>
                <wp:docPr id="25" name="图片 17" descr="合并PDF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descr="合并PDF_15"/>
                        <pic:cNvPicPr>
                          <a:picLocks noChangeAspect="1"/>
                        </pic:cNvPicPr>
                        <pic:nvPr/>
                      </pic:nvPicPr>
                      <pic:blipFill>
                        <a:blip r:embed="rId37"/>
                        <a:stretch/>
                      </pic:blipFill>
                      <pic:spPr bwMode="auto">
                        <a:xfrm>
                          <a:off x="0" y="0"/>
                          <a:ext cx="6984000" cy="4939337"/>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49.9pt;height:388.9pt;mso-wrap-distance-left:0.0pt;mso-wrap-distance-top:0.0pt;mso-wrap-distance-right:0.0pt;mso-wrap-distance-bottom:0.0pt;" stroked="f">
                <v:path textboxrect="0,0,0,0"/>
                <v:imagedata r:id="rId37" o:title=""/>
              </v:shape>
            </w:pict>
          </mc:Fallback>
        </mc:AlternateContent>
      </w:r>
      <w:r/>
    </w:p>
    <w:p>
      <w:pPr>
        <w:jc w:val="left"/>
        <w:widowControl/>
        <w:rPr>
          <w:rFonts w:hint="eastAsia" w:cs="宋体" w:asciiTheme="minorEastAsia" w:hAnsiTheme="minorEastAsia" w:eastAsiaTheme="minorEastAsia"/>
        </w:rPr>
      </w:pPr>
      <w:r>
        <w:rPr>
          <w:rFonts w:cs="宋体" w:asciiTheme="minorEastAsia" w:hAnsiTheme="minorEastAsia" w:eastAsiaTheme="minorEastAsia"/>
        </w:rPr>
        <w:br w:type="page" w:clear="all"/>
      </w:r>
      <w:r/>
    </w:p>
    <w:p>
      <w:pPr>
        <w:rPr>
          <w:rFonts w:hint="eastAsia" w:cs="宋体" w:asciiTheme="minorEastAsia" w:hAnsiTheme="minorEastAsia" w:eastAsiaTheme="minorEastAsia"/>
        </w:rPr>
      </w:pPr>
      <w:r>
        <w:rPr>
          <w:rFonts w:hint="eastAsia" w:cs="宋体" w:asciiTheme="minorEastAsia" w:hAnsiTheme="minorEastAsia" w:eastAsiaTheme="minorEastAsia"/>
        </w:rPr>
        <mc:AlternateContent>
          <mc:Choice Requires="wpg">
            <w:drawing>
              <wp:inline xmlns:wp="http://schemas.openxmlformats.org/drawingml/2006/wordprocessingDrawing" distT="0" distB="0" distL="0" distR="0">
                <wp:extent cx="7143750" cy="5054600"/>
                <wp:effectExtent l="0" t="0" r="0" b="0"/>
                <wp:docPr id="26" name="图片 16" descr="合并PDF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descr="合并PDF_16"/>
                        <pic:cNvPicPr>
                          <a:picLocks noChangeAspect="1"/>
                        </pic:cNvPicPr>
                        <pic:nvPr/>
                      </pic:nvPicPr>
                      <pic:blipFill>
                        <a:blip r:embed="rId38"/>
                        <a:stretch/>
                      </pic:blipFill>
                      <pic:spPr bwMode="auto">
                        <a:xfrm>
                          <a:off x="0" y="0"/>
                          <a:ext cx="7143750" cy="5054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62.5pt;height:398.0pt;mso-wrap-distance-left:0.0pt;mso-wrap-distance-top:0.0pt;mso-wrap-distance-right:0.0pt;mso-wrap-distance-bottom:0.0pt;" stroked="f">
                <v:path textboxrect="0,0,0,0"/>
                <v:imagedata r:id="rId38" o:title=""/>
              </v:shape>
            </w:pict>
          </mc:Fallback>
        </mc:AlternateContent>
      </w:r>
      <w:r/>
    </w:p>
    <w:p>
      <w:pPr>
        <w:jc w:val="left"/>
        <w:widowControl/>
        <w:rPr>
          <w:rFonts w:hint="eastAsia" w:cs="宋体" w:asciiTheme="minorEastAsia" w:hAnsiTheme="minorEastAsia" w:eastAsiaTheme="minorEastAsia"/>
          <w:b/>
          <w:bCs/>
          <w:sz w:val="24"/>
        </w:rPr>
      </w:pPr>
      <w:r>
        <w:rPr>
          <w:rFonts w:cs="宋体" w:asciiTheme="minorEastAsia" w:hAnsiTheme="minorEastAsia" w:eastAsiaTheme="minorEastAsia"/>
          <w:b/>
          <w:bCs/>
          <w:sz w:val="24"/>
        </w:rPr>
        <w:br w:type="page" w:clear="all"/>
      </w:r>
      <w:r/>
    </w:p>
    <w:p>
      <w:pPr>
        <w:ind w:firstLine="482"/>
        <w:pageBreakBefore/>
        <w:spacing w:line="56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注：采购需求清单表中某一参数为固定值，均指该项参数的最低要求，投标人可选择优于或等于最低要求的产品进行响应。其中★代表实质性指标（含政府采购强制采购的节能产品,需提供经国家确定的认证机构出具的处于有效期内的节能产品认证证书），未提供证书或不满足该指标项将导致投标无效。▲代表重要性指标，未提供相应检测报告或证明材料的，将扣减分数。如提供了相关点位图和平面布置图，仅供投标人参考。具体以投标人实地考察后，依据现场实际情况自行合理设计。</w:t>
      </w:r>
      <w:r/>
    </w:p>
    <w:p>
      <w:pPr>
        <w:ind w:firstLine="482"/>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
          <w:bCs/>
          <w:sz w:val="24"/>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bCs/>
          <w:sz w:val="24"/>
        </w:rPr>
        <w:t xml:space="preserve">其内容包含</w:t>
      </w:r>
      <w:r>
        <w:rPr>
          <w:rFonts w:cs="宋体" w:asciiTheme="minorEastAsia" w:hAnsiTheme="minorEastAsia" w:eastAsiaTheme="minorEastAsia"/>
          <w:bCs/>
          <w:sz w:val="24"/>
        </w:rPr>
        <w:t xml:space="preserve">但不限于</w:t>
      </w:r>
      <w:r>
        <w:rPr>
          <w:rFonts w:hint="eastAsia" w:cs="宋体" w:asciiTheme="minorEastAsia" w:hAnsiTheme="minorEastAsia" w:eastAsiaTheme="minorEastAsia"/>
          <w:bCs/>
          <w:sz w:val="24"/>
        </w:rPr>
        <w:t xml:space="preserve">以下</w:t>
      </w:r>
      <w:r>
        <w:rPr>
          <w:rFonts w:cs="宋体" w:asciiTheme="minorEastAsia" w:hAnsiTheme="minorEastAsia" w:eastAsiaTheme="minorEastAsia"/>
          <w:bCs/>
          <w:sz w:val="24"/>
        </w:rPr>
        <w:t xml:space="preserve">内容：</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1.采购标的需实现的功能或者目标，以及为落实政府采购政策需满足的要求：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1.目标定位：设施设备要满足日常教学、课程拓展等要求。实验室硬件、软件搭配要完美、准确实现教、学等相关功能。</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相关要求：投标人应从规格、材质、数量、技术要求、设计和制造标准等角度综合考量，提供技术先进、质量优质的全新合格产品。各设备要确保安全可靠，软件运行时要流畅、准确；数据存储、调用安全可靠；确保软硬件配套实施功能的一致性。</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2.采购标的需执行的国家相关标准、行业标准、地方标准或者其他标准、规范：</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1.投标产品的技术标准按相关国家标准执行，无国家标准的，按行业标准等执行；在文件中有特别要求的，按文件中规定的要求执行，并且符合相关法律、法规规定的要求。 </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2.项目提供的技术要求(规格)只是对产品的一些原则性要求，并不是最详尽的描述和要求，投标人有责任依据相关设计技术规范和有关行业国家标准执行。 </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3.投标人应保证提供的产品不侵犯任何第三人的知识产权等权利。否则，应负全部责任，并承担由此引起的一切后果。</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3.采购标的需满足的质量、安全、技术规格、物理特性及各实验室功能等要求：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3.1镇江市实验高级中学各室功能描述：</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物理实验室（吊装）</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为完成高中物理学科实验教学、课标实验操作、探究学习、培养科学素养等提供场所。</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实验室</w:t>
      </w:r>
      <w:r>
        <w:rPr>
          <w:rFonts w:cs="宋体" w:asciiTheme="minorEastAsia" w:hAnsiTheme="minorEastAsia" w:eastAsiaTheme="minorEastAsia"/>
          <w:sz w:val="24"/>
        </w:rPr>
        <w:t xml:space="preserve">可容纳56名学生，分为28组进行实验；通过吊装提供学生端供电（含网络接口）</w:t>
      </w:r>
      <w:r>
        <w:rPr>
          <w:rFonts w:hint="eastAsia" w:cs="宋体" w:asciiTheme="minorEastAsia" w:hAnsiTheme="minorEastAsia" w:eastAsiaTheme="minorEastAsia"/>
          <w:sz w:val="24"/>
        </w:rPr>
        <w:t xml:space="preserve">连接</w:t>
      </w:r>
      <w:r>
        <w:rPr>
          <w:rFonts w:cs="宋体" w:asciiTheme="minorEastAsia" w:hAnsiTheme="minorEastAsia" w:eastAsiaTheme="minorEastAsia"/>
          <w:sz w:val="24"/>
        </w:rPr>
        <w:t xml:space="preserve">到桌；具备多媒体教学功能；采用健康照明。</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教室前端为教学核心区域，通过吊装提供教师端供电（含网络接口）</w:t>
      </w:r>
      <w:r>
        <w:rPr>
          <w:rFonts w:hint="eastAsia" w:cs="宋体" w:asciiTheme="minorEastAsia" w:hAnsiTheme="minorEastAsia" w:eastAsiaTheme="minorEastAsia"/>
          <w:sz w:val="24"/>
        </w:rPr>
        <w:t xml:space="preserve">连接</w:t>
      </w:r>
      <w:r>
        <w:rPr>
          <w:rFonts w:cs="宋体" w:asciiTheme="minorEastAsia" w:hAnsiTheme="minorEastAsia" w:eastAsiaTheme="minorEastAsia"/>
          <w:sz w:val="24"/>
        </w:rPr>
        <w:t xml:space="preserve">到桌；给排水</w:t>
      </w:r>
      <w:r>
        <w:rPr>
          <w:rFonts w:hint="eastAsia" w:cs="宋体" w:asciiTheme="minorEastAsia" w:hAnsiTheme="minorEastAsia" w:eastAsiaTheme="minorEastAsia"/>
          <w:sz w:val="24"/>
        </w:rPr>
        <w:t xml:space="preserve">管道连接</w:t>
      </w:r>
      <w:r>
        <w:rPr>
          <w:rFonts w:cs="宋体" w:asciiTheme="minorEastAsia" w:hAnsiTheme="minorEastAsia" w:eastAsiaTheme="minorEastAsia"/>
          <w:sz w:val="24"/>
        </w:rPr>
        <w:t xml:space="preserve">到桌；</w:t>
      </w:r>
      <w:r>
        <w:rPr>
          <w:rFonts w:hint="eastAsia" w:cs="宋体" w:asciiTheme="minorEastAsia" w:hAnsiTheme="minorEastAsia" w:eastAsiaTheme="minorEastAsia"/>
          <w:sz w:val="24"/>
        </w:rPr>
        <w:t xml:space="preserve">具备</w:t>
      </w:r>
      <w:r>
        <w:rPr>
          <w:rFonts w:cs="宋体" w:asciiTheme="minorEastAsia" w:hAnsiTheme="minorEastAsia" w:eastAsiaTheme="minorEastAsia"/>
          <w:sz w:val="24"/>
        </w:rPr>
        <w:t xml:space="preserve">可便捷操作一体机、视频展台、灯光等设备；可集中分组控制学生端电源通断、低压电源的电压值。</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物理电学实验室</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为完成高中物理学科实验教学、课标实验操作、探究学习、培养科学素养等提供场所。。</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实验室</w:t>
      </w:r>
      <w:r>
        <w:rPr>
          <w:rFonts w:cs="宋体" w:asciiTheme="minorEastAsia" w:hAnsiTheme="minorEastAsia" w:eastAsiaTheme="minorEastAsia"/>
          <w:sz w:val="24"/>
        </w:rPr>
        <w:t xml:space="preserve">可容纳56名学生，分为28组进行实验；电（含网络接口）</w:t>
      </w:r>
      <w:r>
        <w:rPr>
          <w:rFonts w:hint="eastAsia" w:cs="宋体" w:asciiTheme="minorEastAsia" w:hAnsiTheme="minorEastAsia" w:eastAsiaTheme="minorEastAsia"/>
          <w:sz w:val="24"/>
        </w:rPr>
        <w:t xml:space="preserve">连接</w:t>
      </w:r>
      <w:r>
        <w:rPr>
          <w:rFonts w:cs="宋体" w:asciiTheme="minorEastAsia" w:hAnsiTheme="minorEastAsia" w:eastAsiaTheme="minorEastAsia"/>
          <w:sz w:val="24"/>
        </w:rPr>
        <w:t xml:space="preserve">到桌；具备多媒体教学功能；采用健康照明。</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教室前端为教学核心区域，给排水、电（含网络接口）</w:t>
      </w:r>
      <w:r>
        <w:rPr>
          <w:rFonts w:hint="eastAsia" w:cs="宋体" w:asciiTheme="minorEastAsia" w:hAnsiTheme="minorEastAsia" w:eastAsiaTheme="minorEastAsia"/>
          <w:sz w:val="24"/>
        </w:rPr>
        <w:t xml:space="preserve">连接</w:t>
      </w:r>
      <w:r>
        <w:rPr>
          <w:rFonts w:cs="宋体" w:asciiTheme="minorEastAsia" w:hAnsiTheme="minorEastAsia" w:eastAsiaTheme="minorEastAsia"/>
          <w:sz w:val="24"/>
        </w:rPr>
        <w:t xml:space="preserve">到桌；</w:t>
      </w:r>
      <w:r>
        <w:rPr>
          <w:rFonts w:hint="eastAsia" w:cs="宋体" w:asciiTheme="minorEastAsia" w:hAnsiTheme="minorEastAsia" w:eastAsiaTheme="minorEastAsia"/>
          <w:sz w:val="24"/>
        </w:rPr>
        <w:t xml:space="preserve">具备</w:t>
      </w:r>
      <w:r>
        <w:rPr>
          <w:rFonts w:cs="宋体" w:asciiTheme="minorEastAsia" w:hAnsiTheme="minorEastAsia" w:eastAsiaTheme="minorEastAsia"/>
          <w:sz w:val="24"/>
        </w:rPr>
        <w:t xml:space="preserve">可便捷操作一体机、视频展台、灯光等设备；可集中分组控制学生端电源通断、电压值。</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物理仪器准备室</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提供仪器存储与</w:t>
      </w:r>
      <w:r>
        <w:rPr>
          <w:rFonts w:hint="eastAsia" w:cs="宋体" w:asciiTheme="minorEastAsia" w:hAnsiTheme="minorEastAsia" w:eastAsiaTheme="minorEastAsia"/>
          <w:sz w:val="24"/>
        </w:rPr>
        <w:t xml:space="preserve">教学用具</w:t>
      </w:r>
      <w:r>
        <w:rPr>
          <w:rFonts w:cs="宋体" w:asciiTheme="minorEastAsia" w:hAnsiTheme="minorEastAsia" w:eastAsiaTheme="minorEastAsia"/>
          <w:sz w:val="24"/>
        </w:rPr>
        <w:t xml:space="preserve">展示的空间；提供实验器材与药品的准备、器材维护保养所需的空间，给排水、电（含网络接口）</w:t>
      </w:r>
      <w:r>
        <w:rPr>
          <w:rFonts w:hint="eastAsia" w:cs="宋体" w:asciiTheme="minorEastAsia" w:hAnsiTheme="minorEastAsia" w:eastAsiaTheme="minorEastAsia"/>
          <w:sz w:val="24"/>
        </w:rPr>
        <w:t xml:space="preserve">连接</w:t>
      </w:r>
      <w:r>
        <w:rPr>
          <w:rFonts w:cs="宋体" w:asciiTheme="minorEastAsia" w:hAnsiTheme="minorEastAsia" w:eastAsiaTheme="minorEastAsia"/>
          <w:sz w:val="24"/>
        </w:rPr>
        <w:t xml:space="preserve">到准备台。</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rPr>
          <w:rFonts w:cs="宋体" w:asciiTheme="minorEastAsia" w:hAnsiTheme="minorEastAsia" w:eastAsiaTheme="minorEastAsia"/>
          <w:sz w:val="24"/>
        </w:rPr>
        <w:t xml:space="preserve">化学上通风实验室</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为完成高中化学学科实验教学、课标实验操作、探究学习、培养科学素养等提供场所。。</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实验室</w:t>
      </w:r>
      <w:r>
        <w:rPr>
          <w:rFonts w:cs="宋体" w:asciiTheme="minorEastAsia" w:hAnsiTheme="minorEastAsia" w:eastAsiaTheme="minorEastAsia"/>
          <w:sz w:val="24"/>
        </w:rPr>
        <w:t xml:space="preserve">可容纳56名学生，分为28组进行实验；给排水、电（含网络接口）</w:t>
      </w:r>
      <w:r>
        <w:rPr>
          <w:rFonts w:hint="eastAsia" w:cs="宋体" w:asciiTheme="minorEastAsia" w:hAnsiTheme="minorEastAsia" w:eastAsiaTheme="minorEastAsia"/>
          <w:sz w:val="24"/>
        </w:rPr>
        <w:t xml:space="preserve">连接</w:t>
      </w:r>
      <w:r>
        <w:rPr>
          <w:rFonts w:cs="宋体" w:asciiTheme="minorEastAsia" w:hAnsiTheme="minorEastAsia" w:eastAsiaTheme="minorEastAsia"/>
          <w:sz w:val="24"/>
        </w:rPr>
        <w:t xml:space="preserve">到桌；通过吊装提供通风到桌；具备多媒体教学功能；采用健康照明。</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教室前端为教学核心区域，给排水、电（含网络接口）</w:t>
      </w:r>
      <w:r>
        <w:rPr>
          <w:rFonts w:hint="eastAsia" w:cs="宋体" w:asciiTheme="minorEastAsia" w:hAnsiTheme="minorEastAsia" w:eastAsiaTheme="minorEastAsia"/>
          <w:sz w:val="24"/>
        </w:rPr>
        <w:t xml:space="preserve">连接</w:t>
      </w:r>
      <w:r>
        <w:rPr>
          <w:rFonts w:cs="宋体" w:asciiTheme="minorEastAsia" w:hAnsiTheme="minorEastAsia" w:eastAsiaTheme="minorEastAsia"/>
          <w:sz w:val="24"/>
        </w:rPr>
        <w:t xml:space="preserve">到桌；通过吊装提供通风到桌；</w:t>
      </w:r>
      <w:r>
        <w:rPr>
          <w:rFonts w:hint="eastAsia" w:cs="宋体" w:asciiTheme="minorEastAsia" w:hAnsiTheme="minorEastAsia" w:eastAsiaTheme="minorEastAsia"/>
          <w:sz w:val="24"/>
        </w:rPr>
        <w:t xml:space="preserve">具备</w:t>
      </w:r>
      <w:r>
        <w:rPr>
          <w:rFonts w:cs="宋体" w:asciiTheme="minorEastAsia" w:hAnsiTheme="minorEastAsia" w:eastAsiaTheme="minorEastAsia"/>
          <w:sz w:val="24"/>
        </w:rPr>
        <w:t xml:space="preserve">可便捷操作一体机、视频展台、灯光等设备；可集中分组控制学生端电源、通风的通断。</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实验废水汇至废水处理设备，经处理后排放；通风设备将实验废气抽至活性炭废气处理装置，经处理后排放。</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化学吊装实验室</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为完成高中化学学科实验教学、课标实验操作、探究学习、培养科学素养等提供场所。。</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实验室</w:t>
      </w:r>
      <w:r>
        <w:rPr>
          <w:rFonts w:cs="宋体" w:asciiTheme="minorEastAsia" w:hAnsiTheme="minorEastAsia" w:eastAsiaTheme="minorEastAsia"/>
          <w:sz w:val="24"/>
        </w:rPr>
        <w:t xml:space="preserve">可容纳56名学生，分为28组进行实验；通过吊装提供给排水、电（含网络接口）、通风到桌；具备多媒体教学功能；采用健康照明。</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教室前端为教学核心区域，通过吊装提供给排水、电（含网络接口）、通风到桌；</w:t>
      </w:r>
      <w:r>
        <w:rPr>
          <w:rFonts w:hint="eastAsia" w:cs="宋体" w:asciiTheme="minorEastAsia" w:hAnsiTheme="minorEastAsia" w:eastAsiaTheme="minorEastAsia"/>
          <w:sz w:val="24"/>
        </w:rPr>
        <w:t xml:space="preserve">具备</w:t>
      </w:r>
      <w:r>
        <w:rPr>
          <w:rFonts w:cs="宋体" w:asciiTheme="minorEastAsia" w:hAnsiTheme="minorEastAsia" w:eastAsiaTheme="minorEastAsia"/>
          <w:sz w:val="24"/>
        </w:rPr>
        <w:t xml:space="preserve">可便捷操作一体机、视频展台、灯光等设备；可集中分组控制吊装设备的给排水、电（含网络接口）、通风等相关功能。</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实验废水汇至废水处理设备，经处理后排放；通风设备将实验废气抽至活性炭废气处理装置，经处理后排放。</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w:t>
      </w:r>
      <w:r>
        <w:rPr>
          <w:rFonts w:cs="宋体" w:asciiTheme="minorEastAsia" w:hAnsiTheme="minorEastAsia" w:eastAsiaTheme="minorEastAsia"/>
          <w:sz w:val="24"/>
        </w:rPr>
        <w:t xml:space="preserve">化学仪器准备室</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提供仪器存储与</w:t>
      </w:r>
      <w:r>
        <w:rPr>
          <w:rFonts w:hint="eastAsia" w:cs="宋体" w:asciiTheme="minorEastAsia" w:hAnsiTheme="minorEastAsia" w:eastAsiaTheme="minorEastAsia"/>
          <w:sz w:val="24"/>
        </w:rPr>
        <w:t xml:space="preserve">教学用具</w:t>
      </w:r>
      <w:r>
        <w:rPr>
          <w:rFonts w:cs="宋体" w:asciiTheme="minorEastAsia" w:hAnsiTheme="minorEastAsia" w:eastAsiaTheme="minorEastAsia"/>
          <w:sz w:val="24"/>
        </w:rPr>
        <w:t xml:space="preserve">展示的空间、普通药品分类存储空间；提供实验器材与药品的准备、器材维护保养所需的空间，给排水、电（含网络接口）</w:t>
      </w:r>
      <w:r>
        <w:rPr>
          <w:rFonts w:hint="eastAsia" w:cs="宋体" w:asciiTheme="minorEastAsia" w:hAnsiTheme="minorEastAsia" w:eastAsiaTheme="minorEastAsia"/>
          <w:sz w:val="24"/>
        </w:rPr>
        <w:t xml:space="preserve">连接</w:t>
      </w:r>
      <w:r>
        <w:rPr>
          <w:rFonts w:cs="宋体" w:asciiTheme="minorEastAsia" w:hAnsiTheme="minorEastAsia" w:eastAsiaTheme="minorEastAsia"/>
          <w:sz w:val="24"/>
        </w:rPr>
        <w:t xml:space="preserve">到准备台；满足</w:t>
      </w:r>
      <w:r>
        <w:rPr>
          <w:rFonts w:hint="eastAsia" w:cs="宋体" w:asciiTheme="minorEastAsia" w:hAnsiTheme="minorEastAsia" w:eastAsiaTheme="minorEastAsia"/>
          <w:sz w:val="24"/>
        </w:rPr>
        <w:t xml:space="preserve">实验</w:t>
      </w:r>
      <w:r>
        <w:rPr>
          <w:rFonts w:cs="宋体" w:asciiTheme="minorEastAsia" w:hAnsiTheme="minorEastAsia" w:eastAsiaTheme="minorEastAsia"/>
          <w:sz w:val="24"/>
        </w:rPr>
        <w:t xml:space="preserve">室、操作柜通风</w:t>
      </w:r>
      <w:r>
        <w:rPr>
          <w:rFonts w:hint="eastAsia" w:cs="宋体" w:asciiTheme="minorEastAsia" w:hAnsiTheme="minorEastAsia" w:eastAsiaTheme="minorEastAsia"/>
          <w:sz w:val="24"/>
        </w:rPr>
        <w:t xml:space="preserve">要求</w:t>
      </w:r>
      <w:r>
        <w:rPr>
          <w:rFonts w:cs="宋体" w:asciiTheme="minorEastAsia" w:hAnsiTheme="minorEastAsia" w:eastAsiaTheme="minorEastAsia"/>
          <w:sz w:val="24"/>
        </w:rPr>
        <w:t xml:space="preserve">。</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废水处理设备将化学实验室、准备室的实验废水集中处理后排放；通风设备将实验废气抽至活性炭废气处理装置，经处理后排放。</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w:t>
      </w:r>
      <w:r>
        <w:rPr>
          <w:rFonts w:cs="宋体" w:asciiTheme="minorEastAsia" w:hAnsiTheme="minorEastAsia" w:eastAsiaTheme="minorEastAsia"/>
          <w:sz w:val="24"/>
        </w:rPr>
        <w:t xml:space="preserve">化学药品室（危化品室）</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提供危化品的分类存储的空间；通风</w:t>
      </w:r>
      <w:r>
        <w:rPr>
          <w:rFonts w:hint="eastAsia" w:cs="宋体" w:asciiTheme="minorEastAsia" w:hAnsiTheme="minorEastAsia" w:eastAsiaTheme="minorEastAsia"/>
          <w:sz w:val="24"/>
        </w:rPr>
        <w:t xml:space="preserve">系统</w:t>
      </w:r>
      <w:r>
        <w:rPr>
          <w:rFonts w:cs="宋体" w:asciiTheme="minorEastAsia" w:hAnsiTheme="minorEastAsia" w:eastAsiaTheme="minorEastAsia"/>
          <w:sz w:val="24"/>
        </w:rPr>
        <w:t xml:space="preserve">到柜；各项设备符合中小学实验室危化品管理相关存储要求。</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通风设备将实验废气抽至活性炭废气处理装置，经处理后排放。</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w:t>
      </w:r>
      <w:r>
        <w:rPr>
          <w:rFonts w:cs="宋体" w:asciiTheme="minorEastAsia" w:hAnsiTheme="minorEastAsia" w:eastAsiaTheme="minorEastAsia"/>
          <w:sz w:val="24"/>
        </w:rPr>
        <w:t xml:space="preserve">生物吊装实验室</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为完成高中生物学科实验教学、课标实验操作、探究学习、培养科学素养等提供场所。。</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实验室</w:t>
      </w:r>
      <w:r>
        <w:rPr>
          <w:rFonts w:cs="宋体" w:asciiTheme="minorEastAsia" w:hAnsiTheme="minorEastAsia" w:eastAsiaTheme="minorEastAsia"/>
          <w:sz w:val="24"/>
        </w:rPr>
        <w:t xml:space="preserve">可容纳56名学生，分为28组进行实验；通过吊装提供给排水、电（含网络接口）</w:t>
      </w:r>
      <w:r>
        <w:rPr>
          <w:rFonts w:hint="eastAsia" w:cs="宋体" w:asciiTheme="minorEastAsia" w:hAnsiTheme="minorEastAsia" w:eastAsiaTheme="minorEastAsia"/>
          <w:sz w:val="24"/>
        </w:rPr>
        <w:t xml:space="preserve">连接</w:t>
      </w:r>
      <w:r>
        <w:rPr>
          <w:rFonts w:cs="宋体" w:asciiTheme="minorEastAsia" w:hAnsiTheme="minorEastAsia" w:eastAsiaTheme="minorEastAsia"/>
          <w:sz w:val="24"/>
        </w:rPr>
        <w:t xml:space="preserve">到桌；辅助光源</w:t>
      </w:r>
      <w:r>
        <w:rPr>
          <w:rFonts w:hint="eastAsia" w:cs="宋体" w:asciiTheme="minorEastAsia" w:hAnsiTheme="minorEastAsia" w:eastAsiaTheme="minorEastAsia"/>
          <w:sz w:val="24"/>
        </w:rPr>
        <w:t xml:space="preserve">安装</w:t>
      </w:r>
      <w:r>
        <w:rPr>
          <w:rFonts w:cs="宋体" w:asciiTheme="minorEastAsia" w:hAnsiTheme="minorEastAsia" w:eastAsiaTheme="minorEastAsia"/>
          <w:sz w:val="24"/>
        </w:rPr>
        <w:t xml:space="preserve">到桌；具备多媒体教学功能；采用健康照明。</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教室前端为教学核心区域，通过吊装提供给排水、电（含网络接口）</w:t>
      </w:r>
      <w:r>
        <w:rPr>
          <w:rFonts w:hint="eastAsia" w:cs="宋体" w:asciiTheme="minorEastAsia" w:hAnsiTheme="minorEastAsia" w:eastAsiaTheme="minorEastAsia"/>
          <w:sz w:val="24"/>
        </w:rPr>
        <w:t xml:space="preserve">连接</w:t>
      </w:r>
      <w:r>
        <w:rPr>
          <w:rFonts w:cs="宋体" w:asciiTheme="minorEastAsia" w:hAnsiTheme="minorEastAsia" w:eastAsiaTheme="minorEastAsia"/>
          <w:sz w:val="24"/>
        </w:rPr>
        <w:t xml:space="preserve">到桌；</w:t>
      </w:r>
      <w:r>
        <w:rPr>
          <w:rFonts w:hint="eastAsia" w:cs="宋体" w:asciiTheme="minorEastAsia" w:hAnsiTheme="minorEastAsia" w:eastAsiaTheme="minorEastAsia"/>
          <w:sz w:val="24"/>
        </w:rPr>
        <w:t xml:space="preserve">具备</w:t>
      </w:r>
      <w:r>
        <w:rPr>
          <w:rFonts w:cs="宋体" w:asciiTheme="minorEastAsia" w:hAnsiTheme="minorEastAsia" w:eastAsiaTheme="minorEastAsia"/>
          <w:sz w:val="24"/>
        </w:rPr>
        <w:t xml:space="preserve">可便捷操作一体机、视频展台、灯光等设备；可集中分组控制吊装设备的给排水、电（含网络接口）等相关功能。</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w:t>
      </w:r>
      <w:r>
        <w:rPr>
          <w:rFonts w:cs="宋体" w:asciiTheme="minorEastAsia" w:hAnsiTheme="minorEastAsia" w:eastAsiaTheme="minorEastAsia"/>
          <w:sz w:val="24"/>
        </w:rPr>
        <w:t xml:space="preserve">生物创新实验室</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为完成高中生物学科实验教学、课标实验操作、探究学习、培养科学素养等提供场所。</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实验室</w:t>
      </w:r>
      <w:r>
        <w:rPr>
          <w:rFonts w:cs="宋体" w:asciiTheme="minorEastAsia" w:hAnsiTheme="minorEastAsia" w:eastAsiaTheme="minorEastAsia"/>
          <w:sz w:val="24"/>
        </w:rPr>
        <w:t xml:space="preserve">可容纳56名学生，分为28组进行实验；给排水、电（含网络接口）、辅助光源</w:t>
      </w:r>
      <w:r>
        <w:rPr>
          <w:rFonts w:hint="eastAsia" w:cs="宋体" w:asciiTheme="minorEastAsia" w:hAnsiTheme="minorEastAsia" w:eastAsiaTheme="minorEastAsia"/>
          <w:sz w:val="24"/>
        </w:rPr>
        <w:t xml:space="preserve">连接</w:t>
      </w:r>
      <w:r>
        <w:rPr>
          <w:rFonts w:cs="宋体" w:asciiTheme="minorEastAsia" w:hAnsiTheme="minorEastAsia" w:eastAsiaTheme="minorEastAsia"/>
          <w:sz w:val="24"/>
        </w:rPr>
        <w:t xml:space="preserve">到桌；具备多媒体教学功能；采用健康照明。</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教室前端为教学核心区域，给排水、电（含网络接口）</w:t>
      </w:r>
      <w:r>
        <w:rPr>
          <w:rFonts w:hint="eastAsia" w:cs="宋体" w:asciiTheme="minorEastAsia" w:hAnsiTheme="minorEastAsia" w:eastAsiaTheme="minorEastAsia"/>
          <w:sz w:val="24"/>
        </w:rPr>
        <w:t xml:space="preserve">连接</w:t>
      </w:r>
      <w:r>
        <w:rPr>
          <w:rFonts w:cs="宋体" w:asciiTheme="minorEastAsia" w:hAnsiTheme="minorEastAsia" w:eastAsiaTheme="minorEastAsia"/>
          <w:sz w:val="24"/>
        </w:rPr>
        <w:t xml:space="preserve">到桌；</w:t>
      </w:r>
      <w:r>
        <w:rPr>
          <w:rFonts w:hint="eastAsia" w:cs="宋体" w:asciiTheme="minorEastAsia" w:hAnsiTheme="minorEastAsia" w:eastAsiaTheme="minorEastAsia"/>
          <w:sz w:val="24"/>
        </w:rPr>
        <w:t xml:space="preserve">具备</w:t>
      </w:r>
      <w:r>
        <w:rPr>
          <w:rFonts w:cs="宋体" w:asciiTheme="minorEastAsia" w:hAnsiTheme="minorEastAsia" w:eastAsiaTheme="minorEastAsia"/>
          <w:sz w:val="24"/>
        </w:rPr>
        <w:t xml:space="preserve">可便捷操作一体机、视频展台、灯光等设备；可集中分组控制学生端电源通断。</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w:t>
      </w:r>
      <w:r>
        <w:rPr>
          <w:rFonts w:cs="宋体" w:asciiTheme="minorEastAsia" w:hAnsiTheme="minorEastAsia" w:eastAsiaTheme="minorEastAsia"/>
          <w:sz w:val="24"/>
        </w:rPr>
        <w:t xml:space="preserve">生物实验准备室</w:t>
      </w:r>
      <w:r/>
    </w:p>
    <w:p>
      <w:pPr>
        <w:ind w:firstLine="480"/>
        <w:spacing w:line="560" w:lineRule="exact"/>
        <w:rPr>
          <w:rFonts w:hint="eastAsia" w:cs="宋体" w:asciiTheme="minorEastAsia" w:hAnsiTheme="minorEastAsia" w:eastAsiaTheme="minorEastAsia"/>
          <w:sz w:val="24"/>
        </w:rPr>
      </w:pPr>
      <w:r>
        <w:rPr>
          <w:rFonts w:cs="宋体" w:asciiTheme="minorEastAsia" w:hAnsiTheme="minorEastAsia" w:eastAsiaTheme="minorEastAsia"/>
          <w:sz w:val="24"/>
        </w:rPr>
        <w:t xml:space="preserve">提供仪器存储与</w:t>
      </w:r>
      <w:r>
        <w:rPr>
          <w:rFonts w:hint="eastAsia" w:cs="宋体" w:asciiTheme="minorEastAsia" w:hAnsiTheme="minorEastAsia" w:eastAsiaTheme="minorEastAsia"/>
          <w:sz w:val="24"/>
        </w:rPr>
        <w:t xml:space="preserve">教学用具</w:t>
      </w:r>
      <w:r>
        <w:rPr>
          <w:rFonts w:cs="宋体" w:asciiTheme="minorEastAsia" w:hAnsiTheme="minorEastAsia" w:eastAsiaTheme="minorEastAsia"/>
          <w:sz w:val="24"/>
        </w:rPr>
        <w:t xml:space="preserve">展示的空间；提供实验器材与药品的准备、器材维护保养所需的空间，给排水、电（含网络接口）到准备台。</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4.采购标的的数量、采购项目交付或者实施的时间和地点： </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1.采购标的的数量：详见货物清单。</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2.交付时间：自合同签订之日起</w:t>
      </w:r>
      <w:r>
        <w:rPr>
          <w:rFonts w:hint="eastAsia" w:cs="宋体" w:asciiTheme="minorEastAsia" w:hAnsiTheme="minorEastAsia" w:eastAsiaTheme="minorEastAsia"/>
          <w:sz w:val="24"/>
          <w:u w:val="single"/>
        </w:rPr>
        <w:t xml:space="preserve"> 30  </w:t>
      </w:r>
      <w:r>
        <w:rPr>
          <w:rFonts w:hint="eastAsia" w:cs="宋体" w:asciiTheme="minorEastAsia" w:hAnsiTheme="minorEastAsia" w:eastAsiaTheme="minorEastAsia"/>
          <w:sz w:val="24"/>
        </w:rPr>
        <w:t xml:space="preserve">日内。</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3.交付地点：镇江市实验高级中学。</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5.采购标的需满足的服务标准、期限、效率等要求： </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1.时限要求：自合同签订之日起</w:t>
      </w:r>
      <w:r>
        <w:rPr>
          <w:rFonts w:hint="eastAsia" w:cs="宋体" w:asciiTheme="minorEastAsia" w:hAnsiTheme="minorEastAsia" w:eastAsiaTheme="minorEastAsia"/>
          <w:bCs/>
          <w:sz w:val="24"/>
          <w:u w:val="single"/>
        </w:rPr>
        <w:t xml:space="preserve">  30 </w:t>
      </w:r>
      <w:r>
        <w:rPr>
          <w:rFonts w:hint="eastAsia" w:cs="宋体" w:asciiTheme="minorEastAsia" w:hAnsiTheme="minorEastAsia" w:eastAsiaTheme="minorEastAsia"/>
          <w:bCs/>
          <w:sz w:val="24"/>
        </w:rPr>
        <w:t xml:space="preserve">日内，完成本项目实施。每逾期1天，扣除合同总额的1‰。因招标人原因造成的逾期除外。</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2.质保要求：本项目整体免费质保3年（自交货并总验收合格之日起计），3年内软件免费升级且保持版本最新，硬件免费更换或维修。签订合同后，必须提供产品原生产厂商针对本项目的三年原厂质保函原件，加盖生产厂商公章。</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3.售后要求：在免费质保期内，招标人或设备使用学校，发出故障通知后，应当在1小时以内响应，24小时内解决，不能在24小时内解决的，应提供备件支持。在质保期内，同一商品、同一质量问题连续两次维修仍无法正常使用，必须无条件给予全套更新。质保期外，应提供免费维护和技术支持，维修只收材料成本费。签订合同后，提供针对本项目的售后服务承诺函原件。</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4.确认要求：</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4.1本项目实验室设施设备布局、可选设施设备颜色、环境提升效果等在供货、施工前须与使用学校确认，同意后方可供货、施工。</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4.2供应商应保证设备的整体安装效果，保证整套设备系统安装、调试、集成完成后的良好运行状态。</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5.施工部分实施要求：</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5.1主要包含旧实验室原有墙地面、吊顶部分拆除、出新；通风系统及智能吊装系统的安装；</w:t>
      </w:r>
      <w:r>
        <w:rPr>
          <w:rFonts w:hint="eastAsia" w:cs="宋体" w:asciiTheme="minorEastAsia" w:hAnsiTheme="minorEastAsia" w:eastAsiaTheme="minorEastAsia"/>
          <w:bCs/>
          <w:sz w:val="24"/>
        </w:rPr>
        <w:t xml:space="preserve">地上和地下的水、电、网络等管线的布置；灯具的安装；垃圾清运等内容。</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5.2施工要求：要及时做好施工围挡、材料搬运、施工过程中垃圾清理与卫生清洁、零星修补、成品保护、建筑垃圾外运、精保洁等。施工过程中要不影响学校师生正常工作学习。</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bCs/>
          <w:sz w:val="24"/>
        </w:rPr>
        <w:t xml:space="preserve">5.3安装要求：项目整体安装要符合规范、安全可靠。</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6.采购标的的其他技术、服务等要求：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6.1安装要求：安装工作必须由专业人员进行施工，安装施工须符合规范。</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6.2安全责任要求：要采取安全措施，加强施工安全管理，严格执行操作规程。项目在运输、安装、调试、运维等过程中一切安全责任由中标人承担。施工人员必须有意外伤害险，以保证项目施工的平安、顺畅，按期完工。因项目施工产生的施工人员和学校师生人身安全问题由中标人承担全部责任。由于施工现场为学校，施工期间不得影响学校师生日常工作与学习。签订合同后，提供针对本项目的安全责任承诺书，施工前，需与相关学校签订安全责任书。</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6.3培训要求：要提供免费培训服务，包含但不限于设备软件使用服务、课程培训服务等。在项目验收前，使用服务应面向学校相关人员至少提供1次现场培训，同时提供主要设备、软件的操作视频。</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6.4勘察要求：本项目施工场所为旧实验室或旧功能室，项目实施包含实验室内外环境改造，采购人将组织统一现场勘察，投标人中标后不得以不了解现场为由提出增加费用的要求。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6.6报价要求：投标人投标报价应包括本项目涉及的所有货物、辅材及运输、装卸、安装、调试、人工、质保、培训，环境改造、垃圾清运等全部费用。无论本招标文件是否以文字形式规定，投标人应具备足够的专业知识和能力判定本项目所需的一切费用，中标人不得提出任何增加费用的要求，不得降低产品及安装施工质量。各投标人在报价时请充分考虑各种因素。</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6.7包装要求： </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6.7.1商品包装环保要求：应当按《关于印发〈商品包装政府采购需求标准（试行）〉、〈快递包装政府采购需求标准（试行）〉的通知》（财办库〔2020〕123号）文件执行。</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（1）商品包装层数不得超过 3 层，空隙率不大于 40%；</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（2）商品包装尽可能使用单一材质的包装材料，如因功能需求必需使用不同材质，不同材质间应便于分离；</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（3）商品包装中铅、汞、镉、六价铬的总含量应不大于100mg/kg；</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（4）商品包装印刷使用的油墨中挥发性有机化合物(VOCs)含量应不大于 5%（以重量计）；</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（5）塑料材质商品包装上呈现的印刷颜色不得超过6色；</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（6）纸质商品包装应使用75%以上的可再生纤维原料生产；</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（7）木质商品包装的原料应来源于可持续性森林。</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6.7.2快递包装环保要求：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（1）快递包装中重金属（铅、汞、镉、六价铬）总量应不大于 100mg/kg；</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（2）快递包装印刷使用的油墨中不应添加邻苯二甲酸酯，其挥发性有机化合物(VOCs)含量应不大于5%（以重量计）；</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（3）快递包装中使用纸基材的包装材料，纸基材中的有机氯的含量应不大于 150 mg/kg；</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（5）快递中使用的塑料包装袋不得使用聚氯乙烯作为原料，且原料应为单一材质制成，生物分解率大于60%；</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（6）快递中使用的充气类填充物不得使用聚氯乙烯作为 原料，且原料为单一材质制成，生物分解率大于60%；</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（7）快递中使用的集装袋应为单一材质制成，其重复使用次数应不小于 80 次；</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（8）快递中应使用幅宽不大于45mm 的生物降解胶带；</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（9）快递包装中不得使用溶剂型胶粘剂；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（11）快递应使用电子面单；</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（12）直接使用商品包装作为快递包装的商品，其商品包装满足《商品包装政府采购需求标准（试行）》即可；</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（13）快递包装产品质量和封装方式应符合相关国家或行业标准技术指标要求。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6.8绿色数据中心</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6.9低挥发性有机化合物产品：本项目中如有涉及涂料、胶黏剂、油墨、清洗剂等挥发性有机</w:t>
      </w:r>
      <w:r>
        <w:rPr>
          <w:rFonts w:hint="eastAsia" w:cs="宋体" w:asciiTheme="minorEastAsia" w:hAnsiTheme="minorEastAsia" w:eastAsiaTheme="minorEastAsia"/>
          <w:sz w:val="24"/>
        </w:rPr>
        <w:t xml:space="preserve">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6.10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6.11绿色低碳管理目标和服务要求：在物业、合同能源管理等服务类采购项目需求中，要强化绿色低碳管理目标和服务要求，促进绿色产品和服务推广应用。</w:t>
      </w:r>
      <w:r/>
    </w:p>
    <w:p>
      <w:pPr>
        <w:ind w:firstLine="482"/>
        <w:spacing w:line="560" w:lineRule="exact"/>
        <w:rPr>
          <w:rFonts w:hint="eastAsia" w:cs="宋体" w:asciiTheme="minorEastAsia" w:hAnsiTheme="minorEastAsia" w:eastAsiaTheme="minorEastAsia"/>
          <w:b/>
          <w:sz w:val="24"/>
          <w:u w:val="single"/>
        </w:rPr>
      </w:pPr>
      <w:r>
        <w:rPr>
          <w:rFonts w:hint="eastAsia" w:cs="宋体" w:asciiTheme="minorEastAsia" w:hAnsiTheme="minorEastAsia" w:eastAsiaTheme="minorEastAsia"/>
          <w:b/>
          <w:sz w:val="24"/>
        </w:rPr>
        <w:t xml:space="preserve">7.非单一产品采购项目，采购标的中的核心产品：</w:t>
      </w:r>
      <w:r>
        <w:rPr>
          <w:rFonts w:hint="eastAsia" w:cs="宋体" w:asciiTheme="minorEastAsia" w:hAnsiTheme="minorEastAsia" w:eastAsiaTheme="minorEastAsia"/>
          <w:b/>
          <w:sz w:val="24"/>
          <w:u w:val="single"/>
        </w:rPr>
        <w:t xml:space="preserve">详见前附表</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8.</w:t>
      </w:r>
      <w:r>
        <w:rPr>
          <w:rFonts w:hint="eastAsia" w:cs="宋体" w:asciiTheme="minorEastAsia" w:hAnsiTheme="minorEastAsia" w:eastAsiaTheme="minorEastAsia"/>
          <w:b/>
          <w:sz w:val="24"/>
          <w:u w:val="single"/>
        </w:rPr>
        <w:t xml:space="preserve">采购需求中必须满足的实质性要求</w:t>
      </w:r>
      <w:r>
        <w:rPr>
          <w:rFonts w:hint="eastAsia" w:cs="宋体" w:asciiTheme="minorEastAsia" w:hAnsiTheme="minorEastAsia" w:eastAsiaTheme="minorEastAsia"/>
          <w:b/>
          <w:sz w:val="24"/>
        </w:rPr>
        <w:t xml:space="preserve">：</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★1。诚信承诺：投标人必须保证投标文件中方案及货物的真实性，</w:t>
      </w:r>
      <w:r>
        <w:rPr>
          <w:rFonts w:hint="eastAsia" w:cs="宋体" w:asciiTheme="minorEastAsia" w:hAnsiTheme="minorEastAsia" w:eastAsiaTheme="minorEastAsia"/>
          <w:b/>
          <w:bCs/>
          <w:sz w:val="24"/>
        </w:rPr>
        <w:t xml:space="preserve">投标时，须提供包含上述内容的承诺函（加盖投标人公章）。</w:t>
      </w:r>
      <w:r/>
    </w:p>
    <w:p>
      <w:pPr>
        <w:ind w:firstLine="480"/>
        <w:spacing w:line="56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sz w:val="24"/>
        </w:rPr>
        <w:t xml:space="preserve">★2其他支持：质保期内，按招标人实际需要，提供软件功能补充、更新，以适配本地区教育主管部门最新考试要求。</w:t>
      </w:r>
      <w:r>
        <w:rPr>
          <w:rFonts w:hint="eastAsia" w:cs="宋体" w:asciiTheme="minorEastAsia" w:hAnsiTheme="minorEastAsia" w:eastAsiaTheme="minorEastAsia"/>
          <w:b/>
          <w:bCs/>
          <w:sz w:val="24"/>
        </w:rPr>
        <w:t xml:space="preserve">投标时，须提供包含上述支持的承诺函（加盖投标人公章）。</w:t>
      </w:r>
      <w:r/>
    </w:p>
    <w:p>
      <w:pPr>
        <w:ind w:firstLine="482"/>
        <w:spacing w:line="56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★3.投标供应商须提供每种实验仪器的分类代码（符合《JY/T 0595-2019  基础教育装备分类与代码》要求），并承诺协助学校完成实验仪器分类入库入柜和在“ 中小学实验室及实验教学管理平台”中的登记入库入柜。（格式自拟）</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9.付款方式：详见合同</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10.履约保证金：</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10.1本项目免收履约保证金。</w:t>
      </w:r>
      <w:r/>
    </w:p>
    <w:p>
      <w:pPr>
        <w:jc w:val="left"/>
        <w:widowControl/>
        <w:rPr>
          <w:rFonts w:hint="eastAsia" w:cs="宋体" w:asciiTheme="minorEastAsia" w:hAnsiTheme="minorEastAsia" w:eastAsiaTheme="minorEastAsia"/>
          <w:sz w:val="24"/>
        </w:rPr>
      </w:pPr>
      <w:r>
        <w:rPr>
          <w:rFonts w:cs="宋体" w:asciiTheme="minorEastAsia" w:hAnsiTheme="minorEastAsia" w:eastAsiaTheme="minorEastAsia"/>
          <w:sz w:val="24"/>
        </w:rPr>
        <w:br w:type="page" w:clear="all"/>
      </w:r>
      <w:r/>
    </w:p>
    <w:p>
      <w:pPr>
        <w:pStyle w:val="2476"/>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三、标段三：镇江市朱方高级中学实验室改造及设备购置</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项目属性:货物类项目。</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采购需求包括拟采购的标的及其需要满足的技术、商务要求。</w:t>
      </w:r>
      <w:r/>
    </w:p>
    <w:p>
      <w:pPr>
        <w:ind w:firstLine="482"/>
        <w:spacing w:line="56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（一）技术要求是指对采购标的功能和质量要求，包括性能、材料、结构、外观、安全，或者服务内容和标准等。</w:t>
      </w:r>
      <w:r/>
    </w:p>
    <w:p>
      <w:pPr>
        <w:ind w:firstLine="482"/>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
          <w:bCs/>
          <w:sz w:val="24"/>
        </w:rPr>
        <w:t xml:space="preserve">项目概况：镇江市朱方高级中学：1间物理实验室、1间物理仪器准备室、1间化学实验室、1间化学准备室、1间化学药品（危化品）室、1间生物实验室、1间生物实验准备室改造升级及仪器设备采购</w:t>
      </w:r>
      <w:r>
        <w:rPr>
          <w:rFonts w:hint="eastAsia" w:cs="宋体" w:asciiTheme="minorEastAsia" w:hAnsiTheme="minorEastAsia" w:eastAsiaTheme="minorEastAsia"/>
          <w:bCs/>
          <w:sz w:val="24"/>
        </w:rPr>
        <w:t xml:space="preserve">。具体内容包含但不限于以下</w:t>
      </w:r>
      <w:r>
        <w:rPr>
          <w:rFonts w:cs="宋体" w:asciiTheme="minorEastAsia" w:hAnsiTheme="minorEastAsia" w:eastAsiaTheme="minorEastAsia"/>
          <w:bCs/>
          <w:sz w:val="24"/>
        </w:rPr>
        <w:t xml:space="preserve">内容</w:t>
      </w:r>
      <w:r>
        <w:rPr>
          <w:rFonts w:hint="eastAsia" w:cs="宋体" w:asciiTheme="minorEastAsia" w:hAnsiTheme="minorEastAsia" w:eastAsiaTheme="minorEastAsia"/>
          <w:bCs/>
          <w:sz w:val="24"/>
        </w:rPr>
        <w:t xml:space="preserve">：对原有教室的现有地面、墙面、吊顶等内容进行出新改造；拆除垃圾清运；新增通风系统；对教室所有电、网络布线系统、教室内外所有给排水系统进行铺设；各种实验仪器、集成设备的安装、调试及培训等。</w:t>
      </w:r>
      <w:r/>
    </w:p>
    <w:p>
      <w:pPr>
        <w:pStyle w:val="1133"/>
        <w:jc w:val="both"/>
        <w:rPr>
          <w:rFonts w:hint="eastAsia" w:cs="宋体" w:asciiTheme="minorEastAsia" w:hAnsiTheme="minorEastAsia"/>
          <w:sz w:val="24"/>
          <w:szCs w:val="24"/>
        </w:rPr>
      </w:pPr>
      <w:r>
        <w:rPr>
          <w:rFonts w:hint="eastAsia" w:cs="宋体" w:asciiTheme="minorEastAsia" w:hAnsiTheme="minorEastAsia"/>
          <w:sz w:val="24"/>
          <w:szCs w:val="24"/>
          <w:lang w:bidi="ar"/>
        </w:rPr>
        <w:t xml:space="preserve">（二）采购清单：</w:t>
      </w:r>
      <w:r/>
    </w:p>
    <w:p>
      <w:pPr>
        <w:pStyle w:val="921"/>
        <w:rPr>
          <w:rFonts w:hint="eastAsia" w:cs="宋体" w:asciiTheme="minorEastAsia" w:hAnsiTheme="minorEastAsia" w:eastAsiaTheme="minorEastAsia"/>
        </w:rPr>
      </w:pPr>
      <w:r>
        <w:rPr>
          <w:rFonts w:hint="eastAsia" w:cs="宋体" w:asciiTheme="minorEastAsia" w:hAnsiTheme="minorEastAsia" w:eastAsiaTheme="minorEastAsia"/>
        </w:rPr>
        <w:t xml:space="preserve">通风系统（型号一）</w:t>
      </w:r>
      <w:r/>
    </w:p>
    <w:tbl>
      <w:tblPr>
        <w:tblpPr w:horzAnchor="text" w:tblpXSpec="left" w:vertAnchor="text" w:tblpY="1" w:leftFromText="180" w:topFromText="0" w:rightFromText="180" w:bottomFromText="0"/>
        <w:tblW w:w="48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40"/>
        <w:gridCol w:w="797"/>
        <w:gridCol w:w="625"/>
        <w:gridCol w:w="7261"/>
        <w:gridCol w:w="1133"/>
      </w:tblGrid>
      <w:tr>
        <w:trPr>
          <w:trHeight w:val="460"/>
          <w:tblHeader/>
        </w:trPr>
        <w:tc>
          <w:tcPr>
            <w:gridSpan w:val="3"/>
            <w:tcW w:w="986"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472"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c>
          <w:tcPr>
            <w:tcW w:w="542"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
                <w:sz w:val="20"/>
                <w:szCs w:val="20"/>
                <w:lang w:bidi="ar"/>
              </w:rPr>
              <w:t xml:space="preserve">数量</w:t>
            </w:r>
            <w:r/>
          </w:p>
        </w:tc>
      </w:tr>
      <w:tr>
        <w:trPr>
          <w:trHeight w:val="420"/>
        </w:trPr>
        <w:tc>
          <w:tcPr>
            <w:tcW w:w="30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风机主机</w:t>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功率</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5.5KW</w:t>
            </w:r>
            <w:r/>
          </w:p>
        </w:tc>
        <w:tc>
          <w:tcPr>
            <w:tcW w:w="542"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485"/>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风量</w:t>
            </w:r>
            <w:r/>
          </w:p>
        </w:tc>
        <w:tc>
          <w:tcPr>
            <w:tcW w:w="3472" w:type="pct"/>
            <w:vAlign w:val="center"/>
            <w:textDirection w:val="lrTb"/>
            <w:noWrap w:val="false"/>
          </w:tcPr>
          <w:p>
            <w:pPr>
              <w:pStyle w:val="1095"/>
              <w:ind w:firstLine="400"/>
              <w:rPr>
                <w:rFonts w:hint="eastAsia" w:cs="宋体" w:asciiTheme="minorEastAsia" w:hAnsiTheme="minorEastAsia"/>
                <w:bCs/>
                <w:sz w:val="20"/>
                <w:szCs w:val="20"/>
              </w:rPr>
            </w:pPr>
            <w:r>
              <w:rPr>
                <w:rFonts w:hint="eastAsia" w:cs="宋体" w:asciiTheme="minorEastAsia" w:hAnsiTheme="minorEastAsia"/>
                <w:bCs/>
                <w:sz w:val="20"/>
                <w:szCs w:val="20"/>
                <w:lang w:bidi="ar"/>
              </w:rPr>
              <w:t xml:space="preserve">6840-12700</w:t>
            </w:r>
            <w:r>
              <w:rPr>
                <w:rFonts w:hint="eastAsia" w:cs="宋体" w:asciiTheme="minorEastAsia" w:hAnsiTheme="minorEastAsia"/>
              </w:rPr>
              <w:t xml:space="preserve">m³</w:t>
            </w:r>
            <w:r>
              <w:rPr>
                <w:rFonts w:hint="eastAsia" w:cs="宋体" w:asciiTheme="minorEastAsia" w:hAnsiTheme="minorEastAsia"/>
                <w:bCs/>
                <w:sz w:val="20"/>
                <w:szCs w:val="20"/>
                <w:lang w:bidi="ar"/>
              </w:rPr>
              <w:t xml:space="preserve">/H</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46"/>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全压</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1137-785Pa</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84"/>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每小时换气次数</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20次以上，带补气口装置</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519"/>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室内噪音</w:t>
            </w:r>
            <w:r/>
          </w:p>
        </w:tc>
        <w:tc>
          <w:tcPr>
            <w:tcW w:w="3472" w:type="pct"/>
            <w:vAlign w:val="center"/>
            <w:textDirection w:val="lrTb"/>
            <w:noWrap w:val="false"/>
          </w:tcPr>
          <w:p>
            <w:pPr>
              <w:pStyle w:val="1095"/>
              <w:ind w:firstLine="400"/>
              <w:rPr>
                <w:rFonts w:hint="eastAsia" w:cs="宋体" w:asciiTheme="minorEastAsia" w:hAnsiTheme="minorEastAsia"/>
                <w:bCs/>
                <w:sz w:val="20"/>
                <w:szCs w:val="20"/>
              </w:rPr>
            </w:pPr>
            <w:r>
              <w:rPr>
                <w:rFonts w:hint="eastAsia" w:cs="宋体" w:asciiTheme="minorEastAsia" w:hAnsiTheme="minorEastAsia"/>
                <w:bCs/>
                <w:sz w:val="20"/>
                <w:szCs w:val="20"/>
                <w:lang w:bidi="ar"/>
              </w:rPr>
              <w:t xml:space="preserve">室内噪音小于</w:t>
            </w:r>
            <w:r>
              <w:rPr>
                <w:rFonts w:hint="eastAsia" w:cs="宋体" w:asciiTheme="minorEastAsia" w:hAnsiTheme="minorEastAsia"/>
              </w:rPr>
              <w:t xml:space="preserve">55dB</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1895"/>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配件</w:t>
            </w:r>
            <w:r/>
          </w:p>
        </w:tc>
        <w:tc>
          <w:tcPr>
            <w:tcW w:w="3472" w:type="pct"/>
            <w:vAlign w:val="center"/>
            <w:textDirection w:val="lrTb"/>
            <w:noWrap w:val="false"/>
          </w:tcPr>
          <w:p>
            <w:pPr>
              <w:pStyle w:val="1095"/>
              <w:ind w:firstLine="400"/>
              <w:rPr>
                <w:rFonts w:hint="eastAsia" w:cs="宋体" w:asciiTheme="minorEastAsia" w:hAnsiTheme="minorEastAsia"/>
              </w:rPr>
            </w:pPr>
            <w:r>
              <w:rPr>
                <w:rFonts w:hint="eastAsia" w:cs="宋体" w:asciiTheme="minorEastAsia" w:hAnsiTheme="minorEastAsia"/>
                <w:bCs/>
                <w:sz w:val="20"/>
                <w:szCs w:val="20"/>
                <w:lang w:bidi="ar"/>
              </w:rPr>
              <w:t xml:space="preserve">风机控制线：</w:t>
            </w:r>
            <w:r>
              <w:rPr>
                <w:rFonts w:hint="eastAsia" w:cs="宋体" w:asciiTheme="minorEastAsia" w:hAnsiTheme="minorEastAsia"/>
              </w:rPr>
              <w:t xml:space="preserve">4×4mm²及3×2.5mm²护套线缆各一组</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减震器1套；风机雨帽1套；电机雨帽1套</w:t>
            </w:r>
            <w:r>
              <w:rPr>
                <w:rFonts w:hint="eastAsia" w:cs="宋体" w:asciiTheme="minorEastAsia" w:hAnsiTheme="minorEastAsia" w:eastAsiaTheme="minorEastAsia"/>
                <w:bCs/>
                <w:sz w:val="20"/>
                <w:szCs w:val="20"/>
                <w:lang w:bidi="ar"/>
              </w:rPr>
              <w:br/>
              <w:t xml:space="preserve">通风管道采用化工专用工程塑料优质UPVC制作</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65"/>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电压</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380V</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65"/>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重量</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约150KG</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1277"/>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控制终端</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具有对吊装通风系统的风机无极变频调速和启动控制功能。可单独安装，或集成到教师教学电源。</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54"/>
        </w:trPr>
        <w:tc>
          <w:tcPr>
            <w:tcW w:w="30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变频器</w:t>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控制方式</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采用电流无感矢量控制</w:t>
            </w:r>
            <w:r/>
          </w:p>
        </w:tc>
        <w:tc>
          <w:tcPr>
            <w:tcW w:w="542"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429"/>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额定电压</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AC3PH380V+15%</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37"/>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频率</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50-60Hz</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586"/>
        </w:trPr>
        <w:tc>
          <w:tcPr>
            <w:tcW w:w="30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室外消音器</w:t>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ф570×800±10mm</w:t>
            </w:r>
            <w:r/>
          </w:p>
        </w:tc>
        <w:tc>
          <w:tcPr>
            <w:tcW w:w="542"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633"/>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玻璃钢或PP材质</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676"/>
        </w:trPr>
        <w:tc>
          <w:tcPr>
            <w:tcW w:w="30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▲万向抽气罩</w:t>
            </w:r>
            <w:r/>
          </w:p>
        </w:tc>
        <w:tc>
          <w:tcPr>
            <w:tcW w:w="38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关节</w:t>
            </w:r>
            <w:r/>
          </w:p>
        </w:tc>
        <w:tc>
          <w:tcPr>
            <w:tcW w:w="29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高密度PP材质，可360度旋转调节方向</w:t>
            </w:r>
            <w:r/>
          </w:p>
        </w:tc>
        <w:tc>
          <w:tcPr>
            <w:tcW w:w="542"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29</w:t>
            </w:r>
            <w:r/>
          </w:p>
        </w:tc>
      </w:tr>
      <w:tr>
        <w:trPr>
          <w:trHeight w:val="925"/>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38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关节连接杆</w:t>
            </w:r>
            <w:r/>
          </w:p>
        </w:tc>
        <w:tc>
          <w:tcPr>
            <w:tcW w:w="29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304不锈钢</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639"/>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38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关节松紧旋钮</w:t>
            </w:r>
            <w:r/>
          </w:p>
        </w:tc>
        <w:tc>
          <w:tcPr>
            <w:tcW w:w="29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全铜材质，内嵌不锈钢轴承</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799"/>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381" w:type="pct"/>
            <w:vAlign w:val="center"/>
            <w:textDirection w:val="lrTb"/>
            <w:noWrap/>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拱形/杯形集气罩</w:t>
            </w:r>
            <w:r/>
          </w:p>
        </w:tc>
        <w:tc>
          <w:tcPr>
            <w:tcW w:w="29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高密度PP制成</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659"/>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tcW w:w="381"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伸缩导管</w:t>
            </w:r>
            <w:r/>
          </w:p>
        </w:tc>
        <w:tc>
          <w:tcPr>
            <w:tcW w:w="299"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直径75mm铝合金</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596"/>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最大活动半径</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约1600mm</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940"/>
        </w:trPr>
        <w:tc>
          <w:tcPr>
            <w:tcW w:w="306"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风机控制线</w:t>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规格型号</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4×4mm²及3×2.5mm²护套线缆各一组</w:t>
            </w:r>
            <w:r/>
          </w:p>
        </w:tc>
        <w:tc>
          <w:tcPr>
            <w:tcW w:w="542"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475"/>
        </w:trPr>
        <w:tc>
          <w:tcPr>
            <w:tcW w:w="30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室内通风管道</w:t>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PVC管</w:t>
            </w:r>
            <w:r/>
          </w:p>
        </w:tc>
        <w:tc>
          <w:tcPr>
            <w:tcW w:w="542"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504"/>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主管规格</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φ200mm</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523"/>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支管规格</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φ160mm/φ110mm</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76"/>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接口</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专用胶固定</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16"/>
        </w:trPr>
        <w:tc>
          <w:tcPr>
            <w:tcW w:w="30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室外行程通风管道+风机平台</w:t>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材质</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PVC</w:t>
            </w:r>
            <w:r/>
          </w:p>
        </w:tc>
        <w:tc>
          <w:tcPr>
            <w:tcW w:w="542"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465"/>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管道口径</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φ400mm</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66"/>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弯头</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φ400mm</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47"/>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管卡</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碳钢制作</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72"/>
        </w:trPr>
        <w:tc>
          <w:tcPr>
            <w:tcW w:w="30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活性碳废弃处理装置</w:t>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处理风量</w:t>
            </w:r>
            <w:r/>
          </w:p>
        </w:tc>
        <w:tc>
          <w:tcPr>
            <w:tcW w:w="3472" w:type="pct"/>
            <w:vAlign w:val="center"/>
            <w:textDirection w:val="lrTb"/>
            <w:noWrap w:val="false"/>
          </w:tcPr>
          <w:p>
            <w:pPr>
              <w:pStyle w:val="1095"/>
              <w:ind w:firstLine="400"/>
              <w:rPr>
                <w:rFonts w:hint="eastAsia" w:cs="宋体" w:asciiTheme="minorEastAsia" w:hAnsiTheme="minorEastAsia"/>
                <w:bCs/>
                <w:sz w:val="20"/>
                <w:szCs w:val="20"/>
              </w:rPr>
            </w:pPr>
            <w:r>
              <w:rPr>
                <w:rFonts w:hint="eastAsia" w:cs="宋体" w:asciiTheme="minorEastAsia" w:hAnsiTheme="minorEastAsia"/>
                <w:bCs/>
                <w:sz w:val="20"/>
                <w:szCs w:val="20"/>
                <w:lang w:bidi="ar"/>
              </w:rPr>
              <w:t xml:space="preserve">处理风量≥</w:t>
            </w:r>
            <w:r>
              <w:rPr>
                <w:rFonts w:hint="eastAsia" w:cs="宋体" w:asciiTheme="minorEastAsia" w:hAnsiTheme="minorEastAsia"/>
              </w:rPr>
              <w:t xml:space="preserve">8000</w:t>
            </w:r>
            <w:r>
              <w:rPr>
                <w:rFonts w:hint="eastAsia" w:cs="宋体" w:asciiTheme="minorEastAsia" w:hAnsiTheme="minorEastAsia"/>
                <w:bCs/>
                <w:sz w:val="20"/>
                <w:szCs w:val="20"/>
                <w:lang w:bidi="ar"/>
              </w:rPr>
              <w:t xml:space="preserve">m³/h</w:t>
            </w:r>
            <w:r/>
          </w:p>
        </w:tc>
        <w:tc>
          <w:tcPr>
            <w:tcW w:w="542"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w:t>
            </w:r>
            <w:r/>
          </w:p>
        </w:tc>
      </w:tr>
      <w:tr>
        <w:trPr>
          <w:trHeight w:val="1035"/>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安装方式</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吸附单元在设备箱体内分层格栅式安装，要求能够非常方便的检修及更换</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459"/>
        </w:trPr>
        <w:tc>
          <w:tcPr>
            <w:tcW w:w="306"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c>
          <w:tcPr>
            <w:gridSpan w:val="2"/>
            <w:tcW w:w="680"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设备材质</w:t>
            </w:r>
            <w:r/>
          </w:p>
        </w:tc>
        <w:tc>
          <w:tcPr>
            <w:tcW w:w="3472"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PP板材</w:t>
            </w:r>
            <w:r/>
          </w:p>
        </w:tc>
        <w:tc>
          <w:tcPr>
            <w:tcW w:w="542" w:type="pct"/>
            <w:vAlign w:val="center"/>
            <w:vMerge w:val="continue"/>
            <w:textDirection w:val="lrTb"/>
            <w:noWrap w:val="false"/>
          </w:tcPr>
          <w:p>
            <w:pPr>
              <w:pStyle w:val="2043"/>
              <w:rPr>
                <w:rFonts w:hint="eastAsia" w:cs="宋体" w:asciiTheme="minorEastAsia" w:hAnsiTheme="minorEastAsia" w:eastAsiaTheme="minorEastAsia"/>
                <w:bCs/>
                <w:sz w:val="20"/>
                <w:szCs w:val="20"/>
                <w:lang w:bidi="ar"/>
              </w:rPr>
            </w:pPr>
            <w:r>
              <w:rPr>
                <w:rFonts w:hint="eastAsia" w:cs="宋体" w:asciiTheme="minorEastAsia" w:hAnsiTheme="minorEastAsia" w:eastAsiaTheme="minorEastAsia"/>
                <w:bCs/>
                <w:sz w:val="20"/>
                <w:szCs w:val="20"/>
                <w:lang w:bidi="ar"/>
              </w:rPr>
            </w:r>
            <w:r/>
          </w:p>
        </w:tc>
      </w:tr>
      <w:tr>
        <w:trPr>
          <w:trHeight w:val="1569"/>
        </w:trPr>
        <w:tc>
          <w:tcPr>
            <w:gridSpan w:val="3"/>
            <w:tcW w:w="986"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安装方式</w:t>
            </w:r>
            <w:r/>
          </w:p>
        </w:tc>
        <w:tc>
          <w:tcPr>
            <w:gridSpan w:val="2"/>
            <w:tcW w:w="401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1、室内每张演示设备及教师演示设备配置一个万向抽气罩，安装实验室顶部，采用φ200mmPVC主管、φ160mmPVC支管进行连接，管道接口采用专用胶水固定。室内主管道与室外主管道进行对接；</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2、室外主管道采用φ400mmPVC管道及弯头，采用管卡固定，风管连接室外消音器，并于风机对接。</w:t>
            </w:r>
            <w:r/>
          </w:p>
        </w:tc>
      </w:tr>
      <w:tr>
        <w:trPr>
          <w:trHeight w:val="2566"/>
        </w:trPr>
        <w:tc>
          <w:tcPr>
            <w:gridSpan w:val="3"/>
            <w:tcW w:w="986"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综合设计方案简述</w:t>
            </w:r>
            <w:r/>
          </w:p>
        </w:tc>
        <w:tc>
          <w:tcPr>
            <w:gridSpan w:val="2"/>
            <w:tcW w:w="401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备注：原大楼未设有排风管道，目前的解决方案是通过外部风机进行排风。这种方式在提高能源利用效率的同时，能够有效降低施工和维护成本。需要满足室内空气流通的需求，并为未来的系统优化提供灵活的可能性。通过这种简化的排风设计，实现可持续的运营目标，并确保环境舒适度。</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1、室内每张演示设备及教师演示设备配置一个万向抽气罩，安装实验室顶部，采用φ200mmPVC主管、φ160mmPVC支管进行连接，管道接口采用专用胶水固定。室内主管道与室外主管道进行对接；</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2、室外主管道采用φ400mmPVC管道及弯头，采用管卡固定，风管连接室外消音器，并于风机对接。</w:t>
            </w:r>
            <w:r/>
          </w:p>
        </w:tc>
      </w:tr>
      <w:tr>
        <w:trPr>
          <w:trHeight w:val="1150"/>
        </w:trPr>
        <w:tc>
          <w:tcPr>
            <w:gridSpan w:val="3"/>
            <w:tcW w:w="986" w:type="pct"/>
            <w:vAlign w:val="center"/>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gridSpan w:val="2"/>
            <w:tcW w:w="401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每间化学实验室配备一套通风系统，排风管道从实验室内连接至室外，采用教师主控，变频设计，符合《中小学校设计规范》GB50099-2011</w:t>
            </w:r>
            <w:r/>
          </w:p>
        </w:tc>
      </w:tr>
    </w:tbl>
    <w:p>
      <w:pPr>
        <w:rPr>
          <w:rFonts w:hint="eastAsia" w:cs="宋体" w:asciiTheme="minorEastAsia" w:hAnsiTheme="minorEastAsia" w:eastAsiaTheme="minorEastAsia"/>
        </w:rPr>
      </w:pPr>
      <w:r>
        <w:rPr>
          <w:rFonts w:cs="宋体" w:asciiTheme="minorEastAsia" w:hAnsiTheme="minorEastAsia" w:eastAsiaTheme="minorEastAsia"/>
        </w:rPr>
        <w:br w:type="textWrapping" w:clear="all"/>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rPr>
        <w:t xml:space="preserve">通风系统（型号二）</w:t>
      </w:r>
      <w:r/>
    </w:p>
    <w:tbl>
      <w:tblPr>
        <w:tblW w:w="4894" w:type="pct"/>
        <w:tblLook w:val="0000" w:firstRow="0" w:lastRow="0" w:firstColumn="0" w:lastColumn="0" w:noHBand="0" w:noVBand="0"/>
      </w:tblPr>
      <w:tblGrid>
        <w:gridCol w:w="972"/>
        <w:gridCol w:w="726"/>
        <w:gridCol w:w="7625"/>
        <w:gridCol w:w="1133"/>
      </w:tblGrid>
      <w:tr>
        <w:trPr>
          <w:trHeight w:val="671"/>
          <w:tblHeader/>
        </w:trPr>
        <w:tc>
          <w:tcPr>
            <w:gridSpan w:val="2"/>
            <w:tcBorders>
              <w:top w:val="single" w:color="000000" w:sz="4" w:space="0"/>
              <w:left w:val="single" w:color="000000" w:sz="4" w:space="0"/>
              <w:bottom w:val="single" w:color="000000" w:sz="4" w:space="0"/>
              <w:right w:val="single" w:color="000000" w:sz="4" w:space="0"/>
            </w:tcBorders>
            <w:tcW w:w="812"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t xml:space="preserve">数量</w:t>
            </w:r>
            <w:r/>
          </w:p>
        </w:tc>
      </w:tr>
      <w:tr>
        <w:trPr>
          <w:trHeight w:val="1050"/>
        </w:trPr>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250轴流风单相220V，功率110W，转速 1450r/min，流量1850m³/小时，噪声符合国家标准,风机外壳和叶轮均采用模具一次成型。</w:t>
            </w:r>
            <w:r/>
          </w:p>
        </w:tc>
        <w:tc>
          <w:tcPr>
            <w:tcBorders>
              <w:top w:val="single" w:color="000000" w:sz="4" w:space="0"/>
              <w:left w:val="single" w:color="000000" w:sz="4" w:space="0"/>
              <w:right w:val="single" w:color="000000" w:sz="4" w:space="0"/>
            </w:tcBorders>
            <w:tcW w:w="542" w:type="pct"/>
            <w:vAlign w:val="center"/>
            <w:vMerge w:val="restart"/>
            <w:textDirection w:val="lrTb"/>
            <w:noWrap/>
          </w:tcPr>
          <w:p>
            <w:pPr>
              <w:jc w:val="center"/>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2</w:t>
            </w:r>
            <w:r/>
          </w:p>
        </w:tc>
      </w:tr>
      <w:tr>
        <w:trPr>
          <w:trHeight w:val="698"/>
        </w:trPr>
        <w:tc>
          <w:tcPr>
            <w:tcBorders>
              <w:top w:val="single" w:color="000000" w:sz="4" w:space="0"/>
              <w:left w:val="single" w:color="000000" w:sz="4" w:space="0"/>
              <w:bottom w:val="single" w:color="000000" w:sz="4" w:space="0"/>
              <w:right w:val="single" w:color="000000" w:sz="4" w:space="0"/>
            </w:tcBorders>
            <w:tcW w:w="465"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室内通风管道配件</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主风管</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采用具有耐酸碱性能PVCФ200㎜、支分管Ф160㎜，Ф110mm。</w:t>
            </w:r>
            <w:r/>
          </w:p>
        </w:tc>
        <w:tc>
          <w:tcPr>
            <w:tcBorders>
              <w:left w:val="single" w:color="000000" w:sz="4" w:space="0"/>
              <w:right w:val="single" w:color="000000" w:sz="4" w:space="0"/>
            </w:tcBorders>
            <w:tcW w:w="542" w:type="pct"/>
            <w:vAlign w:val="bottom"/>
            <w:vMerge w:val="continue"/>
            <w:textDirection w:val="lrTb"/>
            <w:noWrap/>
          </w:tcPr>
          <w:p>
            <w:pPr>
              <w:jc w:val="center"/>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1245"/>
        </w:trPr>
        <w:tc>
          <w:tcPr>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管卡</w:t>
            </w:r>
            <w:r/>
          </w:p>
        </w:tc>
        <w:tc>
          <w:tcPr>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采用碳钢制作，表面经镀铬处理，具有耐腐蚀、防火、防潮等功能。</w:t>
            </w:r>
            <w:r/>
          </w:p>
        </w:tc>
        <w:tc>
          <w:tcPr>
            <w:tcBorders>
              <w:left w:val="single" w:color="000000" w:sz="4" w:space="0"/>
              <w:bottom w:val="single" w:color="000000" w:sz="4" w:space="0"/>
              <w:right w:val="single" w:color="000000" w:sz="4" w:space="0"/>
            </w:tcBorders>
            <w:tcW w:w="542" w:type="pct"/>
            <w:vAlign w:val="bottom"/>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trHeight w:val="1385"/>
        </w:trPr>
        <w:tc>
          <w:tcPr>
            <w:gridSpan w:val="2"/>
            <w:tcBorders>
              <w:top w:val="single" w:color="000000" w:sz="4" w:space="0"/>
              <w:left w:val="single" w:color="000000" w:sz="4" w:space="0"/>
              <w:bottom w:val="single" w:color="000000" w:sz="4" w:space="0"/>
              <w:right w:val="single" w:color="000000" w:sz="4" w:space="0"/>
            </w:tcBorders>
            <w:tcW w:w="81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综合设计方案简述</w:t>
            </w:r>
            <w:r/>
          </w:p>
        </w:tc>
        <w:tc>
          <w:tcPr>
            <w:gridSpan w:val="2"/>
            <w:tcBorders>
              <w:top w:val="single" w:color="000000" w:sz="4" w:space="0"/>
              <w:left w:val="single" w:color="000000" w:sz="4" w:space="0"/>
              <w:bottom w:val="single" w:color="000000" w:sz="4" w:space="0"/>
              <w:right w:val="single" w:color="000000" w:sz="4" w:space="0"/>
            </w:tcBorders>
            <w:tcW w:w="4188"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原大楼未设有排风管道，目前的解决方案是增加轴流风机安装于顶部，通关Ф160㎜，Ф110mm支管进行连接，外部通过φ200mmPVC主管排除室外，管道接口采用碳钢制作管卡连接。</w:t>
            </w:r>
            <w:r>
              <w:rPr>
                <w:rFonts w:hint="eastAsia" w:cs="宋体" w:asciiTheme="minorEastAsia" w:hAnsiTheme="minorEastAsia" w:eastAsiaTheme="minorEastAsia"/>
                <w:sz w:val="20"/>
                <w:szCs w:val="20"/>
                <w:lang w:bidi="ar"/>
              </w:rPr>
              <w:br/>
              <w:t xml:space="preserve">组成部分：轴流风机、主风管、内部支管、管卡等连接件。</w:t>
            </w:r>
            <w:r/>
          </w:p>
        </w:tc>
      </w:tr>
      <w:tr>
        <w:trPr>
          <w:trHeight w:val="709"/>
        </w:trPr>
        <w:tc>
          <w:tcPr>
            <w:gridSpan w:val="2"/>
            <w:tcBorders>
              <w:top w:val="single" w:color="000000" w:sz="4" w:space="0"/>
              <w:left w:val="single" w:color="000000" w:sz="4" w:space="0"/>
              <w:bottom w:val="single" w:color="000000" w:sz="4" w:space="0"/>
              <w:right w:val="single" w:color="000000" w:sz="4" w:space="0"/>
            </w:tcBorders>
            <w:tcW w:w="81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概述</w:t>
            </w:r>
            <w:r/>
          </w:p>
        </w:tc>
        <w:tc>
          <w:tcPr>
            <w:gridSpan w:val="2"/>
            <w:tcBorders>
              <w:top w:val="single" w:color="000000" w:sz="4" w:space="0"/>
              <w:left w:val="single" w:color="000000" w:sz="4" w:space="0"/>
              <w:bottom w:val="single" w:color="000000" w:sz="4" w:space="0"/>
              <w:right w:val="single" w:color="000000" w:sz="4" w:space="0"/>
            </w:tcBorders>
            <w:tcW w:w="4188"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准备配备一套通风系统，排风管道从实验室内连接至室外，符合《中小学校设计规范》GB50099-2011</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通风系统（型号三）</w:t>
      </w:r>
      <w:r/>
    </w:p>
    <w:tbl>
      <w:tblPr>
        <w:tblW w:w="0" w:type="auto"/>
        <w:jc w:val="center"/>
        <w:tblLook w:val="0000" w:firstRow="0" w:lastRow="0" w:firstColumn="0" w:lastColumn="0" w:noHBand="0" w:noVBand="0"/>
      </w:tblPr>
      <w:tblGrid>
        <w:gridCol w:w="1281"/>
        <w:gridCol w:w="911"/>
        <w:gridCol w:w="7130"/>
        <w:gridCol w:w="1360"/>
      </w:tblGrid>
      <w:tr>
        <w:trPr>
          <w:jc w:val="center"/>
          <w:trHeight w:val="628"/>
          <w:tblHeader/>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7130"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通风风机</w:t>
            </w:r>
            <w:r/>
          </w:p>
        </w:tc>
        <w:tc>
          <w:tcPr>
            <w:tcBorders>
              <w:top w:val="single" w:color="000000" w:sz="4" w:space="0"/>
              <w:left w:val="single" w:color="000000" w:sz="4" w:space="0"/>
              <w:bottom w:val="single" w:color="000000" w:sz="4" w:space="0"/>
              <w:right w:val="single" w:color="000000" w:sz="4" w:space="0"/>
            </w:tcBorders>
            <w:tcW w:w="713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250轴流风单相220V，功率110W，转速 1450r/min，流量1850m³/小时，噪声符合国家标准,风机外壳和叶轮均采用模具一次成型。</w:t>
            </w:r>
            <w:r/>
          </w:p>
        </w:tc>
        <w:tc>
          <w:tcPr>
            <w:tcBorders>
              <w:top w:val="single" w:color="000000" w:sz="4" w:space="0"/>
              <w:left w:val="single" w:color="000000" w:sz="4" w:space="0"/>
              <w:right w:val="single" w:color="000000" w:sz="4" w:space="0"/>
            </w:tcBorders>
            <w:tcW w:w="1360" w:type="dxa"/>
            <w:vAlign w:val="center"/>
            <w:vMerge w:val="restart"/>
            <w:textDirection w:val="lrTb"/>
            <w:noWrap/>
          </w:tcPr>
          <w:p>
            <w:pPr>
              <w:jc w:val="center"/>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t xml:space="preserve">1</w:t>
            </w:r>
            <w:r/>
          </w:p>
        </w:tc>
      </w:tr>
      <w:tr>
        <w:trPr>
          <w:jc w:val="center"/>
          <w:trHeight w:val="653"/>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室内通风管道配件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主风管</w:t>
            </w:r>
            <w:r/>
          </w:p>
        </w:tc>
        <w:tc>
          <w:tcPr>
            <w:tcBorders>
              <w:top w:val="single" w:color="000000" w:sz="4" w:space="0"/>
              <w:left w:val="single" w:color="000000" w:sz="4" w:space="0"/>
              <w:bottom w:val="single" w:color="000000" w:sz="4" w:space="0"/>
              <w:right w:val="single" w:color="000000" w:sz="4" w:space="0"/>
            </w:tcBorders>
            <w:tcW w:w="713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采用具有耐酸碱性能PVCФ200㎜、支分管Ф160㎜，Ф110mm。 </w:t>
            </w:r>
            <w:r/>
          </w:p>
        </w:tc>
        <w:tc>
          <w:tcPr>
            <w:tcBorders>
              <w:left w:val="single" w:color="000000" w:sz="4" w:space="0"/>
              <w:right w:val="single" w:color="000000" w:sz="4" w:space="0"/>
            </w:tcBorders>
            <w:tcW w:w="1360" w:type="dxa"/>
            <w:vAlign w:val="bottom"/>
            <w:vMerge w:val="continue"/>
            <w:textDirection w:val="lrTb"/>
            <w:noWrap/>
          </w:tcPr>
          <w:p>
            <w:pPr>
              <w:jc w:val="center"/>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jc w:val="center"/>
          <w:trHeight w:val="95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管卡</w:t>
            </w:r>
            <w:r/>
          </w:p>
        </w:tc>
        <w:tc>
          <w:tcPr>
            <w:tcBorders>
              <w:top w:val="single" w:color="000000" w:sz="4" w:space="0"/>
              <w:left w:val="single" w:color="000000" w:sz="4" w:space="0"/>
              <w:bottom w:val="single" w:color="000000" w:sz="4" w:space="0"/>
              <w:right w:val="single" w:color="000000" w:sz="4" w:space="0"/>
            </w:tcBorders>
            <w:tcW w:w="713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采用碳钢制作，表面经镀铬处理，具有耐腐蚀、防火、防潮等功能。</w:t>
            </w:r>
            <w:r/>
          </w:p>
        </w:tc>
        <w:tc>
          <w:tcPr>
            <w:tcBorders>
              <w:left w:val="single" w:color="000000" w:sz="4" w:space="0"/>
              <w:right w:val="single" w:color="000000" w:sz="4" w:space="0"/>
            </w:tcBorders>
            <w:tcW w:w="1360" w:type="dxa"/>
            <w:vAlign w:val="bottom"/>
            <w:vMerge w:val="continue"/>
            <w:textDirection w:val="lrTb"/>
            <w:noWrap/>
          </w:tcPr>
          <w:p>
            <w:pPr>
              <w:jc w:val="center"/>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jc w:val="center"/>
          <w:trHeight w:val="161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排风扇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轴流排气扇</w:t>
            </w:r>
            <w:r/>
          </w:p>
        </w:tc>
        <w:tc>
          <w:tcPr>
            <w:tcBorders>
              <w:top w:val="single" w:color="000000" w:sz="4" w:space="0"/>
              <w:left w:val="single" w:color="000000" w:sz="4" w:space="0"/>
              <w:bottom w:val="single" w:color="000000" w:sz="4" w:space="0"/>
              <w:right w:val="single" w:color="000000" w:sz="4" w:space="0"/>
            </w:tcBorders>
            <w:tcW w:w="713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1、尺寸：400*400*300mm；</w:t>
            </w:r>
            <w:r>
              <w:rPr>
                <w:rFonts w:hint="eastAsia" w:cs="宋体" w:asciiTheme="minorEastAsia" w:hAnsiTheme="minorEastAsia" w:eastAsiaTheme="minorEastAsia"/>
                <w:sz w:val="20"/>
                <w:szCs w:val="20"/>
                <w:lang w:bidi="ar"/>
              </w:rPr>
              <w:br/>
              <w:t xml:space="preserve">2、风量：2500m³/h；</w:t>
            </w:r>
            <w:r>
              <w:rPr>
                <w:rFonts w:hint="eastAsia" w:cs="宋体" w:asciiTheme="minorEastAsia" w:hAnsiTheme="minorEastAsia" w:eastAsiaTheme="minorEastAsia"/>
                <w:sz w:val="20"/>
                <w:szCs w:val="20"/>
                <w:lang w:bidi="ar"/>
              </w:rPr>
              <w:br/>
              <w:t xml:space="preserve">3、功率：250W；</w:t>
            </w:r>
            <w:r>
              <w:rPr>
                <w:rFonts w:hint="eastAsia" w:cs="宋体" w:asciiTheme="minorEastAsia" w:hAnsiTheme="minorEastAsia" w:eastAsiaTheme="minorEastAsia"/>
                <w:sz w:val="20"/>
                <w:szCs w:val="20"/>
                <w:lang w:bidi="ar"/>
              </w:rPr>
              <w:br/>
              <w:t xml:space="preserve">4、电压：220V；</w:t>
            </w:r>
            <w:r>
              <w:rPr>
                <w:rFonts w:hint="eastAsia" w:cs="宋体" w:asciiTheme="minorEastAsia" w:hAnsiTheme="minorEastAsia" w:eastAsiaTheme="minorEastAsia"/>
                <w:sz w:val="20"/>
                <w:szCs w:val="20"/>
                <w:lang w:bidi="ar"/>
              </w:rPr>
              <w:br/>
              <w:t xml:space="preserve">5、30cm。</w:t>
            </w:r>
            <w:r/>
          </w:p>
        </w:tc>
        <w:tc>
          <w:tcPr>
            <w:tcBorders>
              <w:left w:val="single" w:color="000000" w:sz="4" w:space="0"/>
              <w:bottom w:val="single" w:color="000000" w:sz="4" w:space="0"/>
              <w:right w:val="single" w:color="000000" w:sz="4" w:space="0"/>
            </w:tcBorders>
            <w:tcW w:w="1360" w:type="dxa"/>
            <w:vAlign w:val="bottom"/>
            <w:vMerge w:val="continue"/>
            <w:textDirection w:val="lrTb"/>
            <w:noWrap/>
          </w:tcPr>
          <w:p>
            <w:pPr>
              <w:jc w:val="center"/>
              <w:widowControl/>
              <w:rPr>
                <w:rFonts w:hint="eastAsia" w:cs="宋体" w:asciiTheme="minorEastAsia" w:hAnsiTheme="minorEastAsia" w:eastAsiaTheme="minorEastAsia"/>
                <w:sz w:val="22"/>
                <w:szCs w:val="22"/>
              </w:rPr>
            </w:pPr>
            <w:r>
              <w:rPr>
                <w:rFonts w:hint="eastAsia" w:cs="宋体" w:asciiTheme="minorEastAsia" w:hAnsiTheme="minorEastAsia" w:eastAsiaTheme="minorEastAsia"/>
                <w:sz w:val="22"/>
                <w:szCs w:val="22"/>
              </w:rPr>
            </w:r>
            <w:r/>
          </w:p>
        </w:tc>
      </w:tr>
      <w:tr>
        <w:trPr>
          <w:jc w:val="center"/>
          <w:trHeight w:val="1296"/>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综合设计方案简述</w:t>
            </w:r>
            <w:r/>
          </w:p>
        </w:tc>
        <w:tc>
          <w:tcPr>
            <w:gridSpan w:val="2"/>
            <w:tcBorders>
              <w:top w:val="single" w:color="000000" w:sz="4" w:space="0"/>
              <w:left w:val="single" w:color="000000" w:sz="4" w:space="0"/>
              <w:bottom w:val="single" w:color="000000" w:sz="4" w:space="0"/>
              <w:right w:val="single" w:color="000000" w:sz="4" w:space="0"/>
            </w:tcBorders>
            <w:tcW w:w="849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原大楼未设有排风管道，目前的解决方案是增加轴流风机安装于顶部，通关Ф160㎜，Ф110mm支管进行连接，外部通过φ200mmPVC主管排除室外，管道接口采用碳钢制作管卡连接。</w:t>
            </w:r>
            <w:r>
              <w:rPr>
                <w:rFonts w:hint="eastAsia" w:cs="宋体" w:asciiTheme="minorEastAsia" w:hAnsiTheme="minorEastAsia" w:eastAsiaTheme="minorEastAsia"/>
                <w:sz w:val="20"/>
                <w:szCs w:val="20"/>
                <w:lang w:bidi="ar"/>
              </w:rPr>
              <w:br/>
              <w:t xml:space="preserve">组成部分：轴流风机、主风管、排风扇、内部支管、管卡等连接件。</w:t>
            </w:r>
            <w:r/>
          </w:p>
        </w:tc>
      </w:tr>
      <w:tr>
        <w:trPr>
          <w:jc w:val="center"/>
          <w:trHeight w:val="1300"/>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Borders>
              <w:top w:val="single" w:color="000000" w:sz="4" w:space="0"/>
              <w:left w:val="single" w:color="000000" w:sz="4" w:space="0"/>
              <w:bottom w:val="single" w:color="000000" w:sz="4" w:space="0"/>
              <w:right w:val="single" w:color="000000" w:sz="4" w:space="0"/>
            </w:tcBorders>
            <w:tcW w:w="8490"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危化品室配备一套通风系统，排风管道从实验室内连接至室外，符合《中小学校设计规范》GB50099-2011</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720" w:equalWidth="1"/>
          <w:docGrid w:linePitch="360"/>
        </w:sect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pPr>
      <w:r>
        <w:rPr>
          <w:rFonts w:hint="eastAsia" w:cs="宋体" w:asciiTheme="minorEastAsia" w:hAnsiTheme="minorEastAsia" w:eastAsiaTheme="minorEastAsia"/>
        </w:rPr>
        <w:t xml:space="preserve">灯光系统（型号一）</w:t>
      </w:r>
      <w:r/>
    </w:p>
    <w:tbl>
      <w:tblPr>
        <w:tblW w:w="48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49"/>
        <w:gridCol w:w="979"/>
        <w:gridCol w:w="7892"/>
        <w:gridCol w:w="1136"/>
      </w:tblGrid>
      <w:tr>
        <w:trPr>
          <w:trHeight w:val="590"/>
          <w:tblHeader/>
        </w:trPr>
        <w:tc>
          <w:tcPr>
            <w:gridSpan w:val="2"/>
            <w:tcW w:w="683"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774"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c>
          <w:tcPr>
            <w:tcW w:w="542"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数量</w:t>
            </w:r>
            <w:r/>
          </w:p>
        </w:tc>
      </w:tr>
      <w:tr>
        <w:trPr>
          <w:trHeight w:val="340"/>
        </w:trPr>
        <w:tc>
          <w:tcPr>
            <w:tcW w:w="21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平板灯</w:t>
            </w:r>
            <w:r/>
          </w:p>
        </w:tc>
        <w:tc>
          <w:tcPr>
            <w:tcW w:w="468"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600*600±5mm</w:t>
            </w:r>
            <w:r/>
          </w:p>
        </w:tc>
        <w:tc>
          <w:tcPr>
            <w:tcW w:w="542"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24</w:t>
            </w:r>
            <w:r/>
          </w:p>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rPr>
            </w:r>
            <w:r/>
          </w:p>
        </w:tc>
      </w:tr>
      <w:tr>
        <w:trPr>
          <w:trHeight w:val="340"/>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规格材质</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szCs w:val="21"/>
              </w:rPr>
              <w:t xml:space="preserve">为一体式侧发光微晶防眩面板灯，棱锥体光学结构设计，微晶结构长短轴尺寸比值≥2，采用高性能光学板材辊压成型；至少有3种光学材料组成，包含反射纸、导光板、微晶防眩板等，灯体表面发光均匀，无暗影</w:t>
            </w:r>
            <w:r>
              <w:rPr>
                <w:rFonts w:hint="eastAsia" w:cs="宋体" w:asciiTheme="minorEastAsia" w:hAnsiTheme="minorEastAsia" w:eastAsiaTheme="minorEastAsia"/>
                <w:bCs/>
                <w:szCs w:val="21"/>
                <w:lang w:bidi="ar"/>
              </w:rPr>
              <w:t xml:space="preserve">。</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340"/>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功率</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＜45W;220V</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36"/>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出光方式</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采用侧发光的出光方式，灯体表面发光均匀，无暗影。6000小时光通维持率均需大于95%。</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340"/>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照明质量</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演示设备为参考平面，照明质量应满足：</w:t>
            </w:r>
            <w:r>
              <w:rPr>
                <w:rFonts w:hint="eastAsia" w:cs="宋体" w:asciiTheme="minorEastAsia" w:hAnsiTheme="minorEastAsia" w:eastAsiaTheme="minorEastAsia"/>
                <w:bCs/>
                <w:sz w:val="20"/>
                <w:szCs w:val="20"/>
                <w:lang w:bidi="ar"/>
              </w:rPr>
              <w:br/>
              <w:t xml:space="preserve">维持平均照度不低于300Lx；</w:t>
            </w:r>
            <w:r>
              <w:rPr>
                <w:rFonts w:hint="eastAsia" w:cs="宋体" w:asciiTheme="minorEastAsia" w:hAnsiTheme="minorEastAsia" w:eastAsiaTheme="minorEastAsia"/>
                <w:bCs/>
                <w:sz w:val="20"/>
                <w:szCs w:val="20"/>
                <w:lang w:bidi="ar"/>
              </w:rPr>
              <w:br/>
              <w:t xml:space="preserve">统一眩光等级UGR大于19；</w:t>
            </w:r>
            <w:r>
              <w:rPr>
                <w:rFonts w:hint="eastAsia" w:cs="宋体" w:asciiTheme="minorEastAsia" w:hAnsiTheme="minorEastAsia" w:eastAsiaTheme="minorEastAsia"/>
                <w:bCs/>
                <w:sz w:val="20"/>
                <w:szCs w:val="20"/>
                <w:lang w:bidi="ar"/>
              </w:rPr>
              <w:br/>
              <w:t xml:space="preserve">照度均匀度不低于0.7；</w:t>
            </w:r>
            <w:r>
              <w:rPr>
                <w:rFonts w:hint="eastAsia" w:cs="宋体" w:asciiTheme="minorEastAsia" w:hAnsiTheme="minorEastAsia" w:eastAsiaTheme="minorEastAsia"/>
                <w:bCs/>
                <w:sz w:val="20"/>
                <w:szCs w:val="20"/>
                <w:lang w:bidi="ar"/>
              </w:rPr>
              <w:br/>
              <w:t xml:space="preserve">照明功率密度低于7W/m²。</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340"/>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安装要求</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光源模组采用铝基板，导入胶带均匀的固定在灯体上，使灯条和散热体大面积接触；灯体上至少有4个防掉落挂钩，安装好后可挂在吊架上，保证安全无掉落风险。</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340"/>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防眩方式：微晶防眩。 </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蓝光危害等级：豁免级（RG0）（或0类危险），光源使用双蓝光光谱，有效减少蓝光危害。</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教室灯色温：4300K-5300K；</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显色指数：Ra＞90、R9＞50；</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教室灯光效（或灯具效能）：≥80 lm/W。</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31"/>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灯驱动电源需为隔离型恒流驱动，电源有外壳并可靠固定。</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40"/>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灯色容差（色品容差）≤5 SDCM。</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340"/>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灯依据《GB/T 31275》《GB/T 17743》标准经灯具电源端传导骚扰电压（或电源接口骚扰电压）、辐射骚扰、感应电流密度测试，检测结果皆为合格（或通过或符合或判定为P）。提供第三方检测机构出具的检测报告及国家认监委查询截图。</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54"/>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符合《</w:t>
            </w:r>
            <w:r>
              <w:rPr>
                <w:rFonts w:cs="宋体" w:asciiTheme="minorEastAsia" w:hAnsiTheme="minorEastAsia" w:eastAsiaTheme="minorEastAsia"/>
                <w:szCs w:val="21"/>
              </w:rPr>
              <w:t xml:space="preserve">GB40070</w:t>
            </w:r>
            <w:r>
              <w:rPr>
                <w:rFonts w:hint="eastAsia" w:cs="宋体" w:asciiTheme="minorEastAsia" w:hAnsiTheme="minorEastAsia" w:eastAsiaTheme="minorEastAsia"/>
                <w:szCs w:val="21"/>
              </w:rPr>
              <w:t xml:space="preserve">儿童青少年学习用品近视防控卫生要求》标准通过近视防控认证证书，符合《GB/T 26572电子电气产品中限用物质的限量要求》标准通过电器电子产品认</w:t>
            </w:r>
            <w:r>
              <w:rPr>
                <w:rFonts w:hint="eastAsia" w:cs="宋体" w:asciiTheme="minorEastAsia" w:hAnsiTheme="minorEastAsia" w:eastAsiaTheme="minorEastAsia"/>
                <w:szCs w:val="21"/>
                <w:lang w:bidi="ar"/>
              </w:rPr>
              <w:t xml:space="preserve">证，</w:t>
            </w:r>
            <w:r>
              <w:rPr>
                <w:rFonts w:hint="eastAsia" w:cs="宋体" w:asciiTheme="minorEastAsia" w:hAnsiTheme="minorEastAsia" w:eastAsiaTheme="minorEastAsia"/>
                <w:szCs w:val="21"/>
              </w:rPr>
              <w:t xml:space="preserve">环境适应性均满足防护等级≥IP40，ta≥50℃</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91"/>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灯选用足够数量小功率LED灯珠，灯珠实际使用功率不宜超过额定功率的50%，以提高其发光效率和降低灯具光衰，且LED教室灯须通过CCC认证。提供第三方认证机构出具的认证证书及国家认监委查询“有效”截图。</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54"/>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cs="宋体" w:asciiTheme="minorEastAsia" w:hAnsiTheme="minorEastAsia" w:eastAsiaTheme="minorEastAsia"/>
                <w:szCs w:val="21"/>
              </w:rPr>
              <w:t xml:space="preserve">依据</w:t>
            </w:r>
            <w:r>
              <w:rPr>
                <w:rFonts w:hint="eastAsia" w:cs="宋体" w:asciiTheme="minorEastAsia" w:hAnsiTheme="minorEastAsia" w:eastAsiaTheme="minorEastAsia"/>
                <w:szCs w:val="21"/>
              </w:rPr>
              <w:t xml:space="preserve">《QB/T 5533》标准通过教室照明灯具性能认证，单颗光源功率≥1W，防护等级≥IP40，ta≥50℃</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54"/>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℃及相对温差≥10℃均在严酷自然环境下至少持续运行360小时后，至少依据《GB/T36979》标准满足空间颜色非均匀性△u’v’≤0.007</w:t>
            </w:r>
            <w:r>
              <w:rPr>
                <w:rFonts w:hint="eastAsia" w:cs="宋体" w:asciiTheme="minorEastAsia" w:hAnsiTheme="minorEastAsia" w:eastAsiaTheme="minorEastAsia"/>
                <w:bCs/>
                <w:szCs w:val="21"/>
                <w:lang w:bidi="ar"/>
              </w:rPr>
              <w:t xml:space="preserve">。提供第三方认证机构出具的自然环境实地认证证书及国家认监委查询“有效”截图。</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54"/>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w:t>
            </w:r>
            <w:r>
              <w:rPr>
                <w:rFonts w:hint="eastAsia" w:cs="宋体" w:asciiTheme="minorEastAsia" w:hAnsiTheme="minorEastAsia" w:eastAsiaTheme="minorEastAsia"/>
                <w:bCs/>
                <w:szCs w:val="21"/>
                <w:lang w:bidi="ar"/>
              </w:rPr>
              <w:t xml:space="preserve">至少依据《GB/T 18595》标准满足浪涌性能达到C或以上等级。提供第三方认证机构出具的自然环境实地认证证书及国家认监委查询“有效”截图。</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54"/>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w:t>
            </w:r>
            <w:r>
              <w:rPr>
                <w:rFonts w:hint="eastAsia" w:cs="宋体" w:asciiTheme="minorEastAsia" w:hAnsiTheme="minorEastAsia" w:eastAsiaTheme="minorEastAsia"/>
                <w:bCs/>
                <w:szCs w:val="21"/>
                <w:lang w:bidi="ar"/>
              </w:rPr>
              <w:t xml:space="preserve">至少依据《GB/T6882》标准满足噪声</w:t>
            </w: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5</w:t>
            </w:r>
            <w:r>
              <w:rPr>
                <w:rFonts w:hint="eastAsia" w:cs="宋体" w:asciiTheme="minorEastAsia" w:hAnsiTheme="minorEastAsia" w:eastAsiaTheme="minorEastAsia"/>
                <w:bCs/>
                <w:szCs w:val="21"/>
                <w:lang w:bidi="ar"/>
              </w:rPr>
              <w:t xml:space="preserve">dB（A）。提供第三方认证机构出具的自然环境实地认证证书及国家认监委查询“有效”截图。</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896"/>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至少</w:t>
            </w:r>
            <w:r>
              <w:rPr>
                <w:rFonts w:cs="宋体" w:asciiTheme="minorEastAsia" w:hAnsiTheme="minorEastAsia" w:eastAsiaTheme="minorEastAsia"/>
                <w:szCs w:val="21"/>
              </w:rPr>
              <w:t xml:space="preserve">依据《GB/T42064》标准通过认证，结论为频闪无危害或无频闪危害或无显著影响</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54"/>
        </w:trPr>
        <w:tc>
          <w:tcPr>
            <w:tcW w:w="21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平板灯</w:t>
            </w:r>
            <w:r/>
          </w:p>
        </w:tc>
        <w:tc>
          <w:tcPr>
            <w:tcW w:w="468"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施工要求</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灯具距演示设备面的最低悬挂高度1.7m，非嵌入式灯具应使用刚性吊杆安装，吊杆应与灯面垂直，不得倾斜，两杆间距偏差±5 mm；灯具排列采用长轴垂直于板书区域布置；灯具对称安装，其横（纵）向中心轴线宜在同一直线上，偏斜不应大于20mm。吊杆安装的灯具应采用不小于Φ6mm膨胀螺栓固定，预埋件承重能不低于灯具重量的10倍。灯具及其附件应安装齐全，并无损伤、变形、涂层剥落和</w:t>
            </w:r>
            <w:r>
              <w:rPr>
                <w:rFonts w:hint="eastAsia" w:cs="宋体" w:asciiTheme="minorEastAsia" w:hAnsiTheme="minorEastAsia" w:eastAsiaTheme="minorEastAsia"/>
                <w:bCs/>
                <w:szCs w:val="21"/>
                <w:lang w:bidi="ar"/>
              </w:rPr>
              <w:t xml:space="preserve">灯罩破裂等缺陷；灯具接线牢固、接触良好；开关面板及接线盒盒体安装完整、无破损变形，零件齐全；墙面明线安装中导管管径大小和接线盒孔径相匹配，导管和接线盒连接紧密。对施工中造成的墙面破损应修复。按教室照明设置情况和天然采光状况，每个照明开关所控制灯具数不应多于3个；板书区域灯具应单独控制，开关安装在板书区域同侧；灯具安装时，要注意避免对其他设备（如：监控摄像机、投影机、顶装空调）的遮挡；如果光线受到建筑构件遮挡，应注意在限值内调整灯具的水平安装位置或降低灯具的安装高度；安装风扇的教室中，出光口面应低于风扇叶面。</w:t>
            </w:r>
            <w:r/>
          </w:p>
        </w:tc>
        <w:tc>
          <w:tcPr>
            <w:tcW w:w="542" w:type="pct"/>
            <w:vAlign w:val="center"/>
            <w:vMerge w:val="continue"/>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rPr>
            </w:r>
            <w:r/>
          </w:p>
        </w:tc>
      </w:tr>
      <w:tr>
        <w:trPr>
          <w:trHeight w:val="2646"/>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照明设计方案</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需提供每间实验室由DIALux或类似设计工具仿真设计的完整报表，报表中的教室尺寸等信息由采购方提供，报表中的灯具参数必须和提供的灯具检测报告上的参数一致。计算结果数据达到以下指标，维护系数取值1.0，全部灯具点亮时，课桌面平均照度≥375lx、均匀度≥0.7，板书面平均照度≥625lx、均匀度≥0.8，统一眩光值UGR&lt;19。具体施工与设计方案一致。</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7"/>
        </w:trPr>
        <w:tc>
          <w:tcPr>
            <w:tcW w:w="21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黑板灯</w:t>
            </w:r>
            <w:r/>
          </w:p>
        </w:tc>
        <w:tc>
          <w:tcPr>
            <w:tcW w:w="468"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长度≥900mm，灯体最小壁厚不低于0.65mm。</w:t>
            </w:r>
            <w:r/>
          </w:p>
        </w:tc>
        <w:tc>
          <w:tcPr>
            <w:tcW w:w="542"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6</w:t>
            </w:r>
            <w:r/>
          </w:p>
        </w:tc>
      </w:tr>
      <w:tr>
        <w:trPr>
          <w:trHeight w:val="523"/>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规格材质</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一体式透镜防眩灯具；采用一体式航空铝型材灯体。光源使用双蓝光光谱，有效减少蓝光危害</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7"/>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功率</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＜45W；220V</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7"/>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出光方式</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侧发光的出光方式，发光导向黑板，6000小时光通维持率均需大于95%。</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7"/>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照明质量</w:t>
            </w:r>
            <w:r/>
          </w:p>
        </w:tc>
        <w:tc>
          <w:tcPr>
            <w:tcW w:w="3774"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满足黑板面维持平均照度≥500Lx，照度均匀度≥0.8；                              </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防眩方式：透镜防眩；</w:t>
            </w:r>
            <w:r>
              <w:rPr>
                <w:rFonts w:hint="eastAsia" w:cs="宋体" w:asciiTheme="minorEastAsia" w:hAnsiTheme="minorEastAsia" w:eastAsiaTheme="minorEastAsia"/>
                <w:bCs/>
                <w:szCs w:val="21"/>
                <w:lang w:bidi="ar"/>
              </w:rPr>
              <w:br/>
              <w:t xml:space="preserve">蓝光危害等级：豁免级（RG0）（或0类危险）；</w:t>
            </w:r>
            <w:r>
              <w:rPr>
                <w:rFonts w:hint="eastAsia" w:cs="宋体" w:asciiTheme="minorEastAsia" w:hAnsiTheme="minorEastAsia" w:eastAsiaTheme="minorEastAsia"/>
                <w:bCs/>
                <w:szCs w:val="21"/>
                <w:lang w:bidi="ar"/>
              </w:rPr>
              <w:br/>
              <w:t xml:space="preserve">色温：4300K-5300K；</w:t>
            </w:r>
            <w:r>
              <w:rPr>
                <w:rFonts w:hint="eastAsia" w:cs="宋体" w:asciiTheme="minorEastAsia" w:hAnsiTheme="minorEastAsia" w:eastAsiaTheme="minorEastAsia"/>
                <w:bCs/>
                <w:szCs w:val="21"/>
                <w:lang w:bidi="ar"/>
              </w:rPr>
              <w:br/>
              <w:t xml:space="preserve">显色指数：Ra＞90、R9＞50；</w:t>
            </w:r>
            <w:r>
              <w:rPr>
                <w:rFonts w:hint="eastAsia" w:cs="宋体" w:asciiTheme="minorEastAsia" w:hAnsiTheme="minorEastAsia" w:eastAsiaTheme="minorEastAsia"/>
                <w:bCs/>
                <w:szCs w:val="21"/>
                <w:lang w:bidi="ar"/>
              </w:rPr>
              <w:br/>
              <w:t xml:space="preserve">光效：≥80 lm/W。</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982"/>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LED黑板灯驱动电源需为隔离型恒流驱动，电源有外壳并可靠固定；驱动不可徒手拆卸，保证安全；驱动电源置于灯体上居中对称，保证吊装安全稳固。</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365"/>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灯色容差（色品容差）≤5 SDCM。</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1"/>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灯依据《GB/T 31275》《GB/T 17743》标准经灯具电源端传导骚扰电压（或电源接口骚扰电压）、辐射骚扰、感应电流密度测试，检测结果皆为合格（或通过或符合或判定为P）。提供第三方检测机构出具的检测报告及国家认监委查询截图。</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377"/>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符合《</w:t>
            </w:r>
            <w:r>
              <w:rPr>
                <w:rFonts w:cs="宋体" w:asciiTheme="minorEastAsia" w:hAnsiTheme="minorEastAsia" w:eastAsiaTheme="minorEastAsia"/>
                <w:szCs w:val="21"/>
              </w:rPr>
              <w:t xml:space="preserve">GB40070</w:t>
            </w:r>
            <w:r>
              <w:rPr>
                <w:rFonts w:hint="eastAsia" w:cs="宋体" w:asciiTheme="minorEastAsia" w:hAnsiTheme="minorEastAsia" w:eastAsiaTheme="minorEastAsia"/>
                <w:szCs w:val="21"/>
              </w:rPr>
              <w:t xml:space="preserve">儿童青少年学习用品近视防控卫生要求》标准通过近视防控认证证书，符合《GB/T 26572电子电气产品中限用物质的限量要求》标准通过电器电子产品认</w:t>
            </w:r>
            <w:r>
              <w:rPr>
                <w:rFonts w:hint="eastAsia" w:cs="宋体" w:asciiTheme="minorEastAsia" w:hAnsiTheme="minorEastAsia" w:eastAsiaTheme="minorEastAsia"/>
                <w:szCs w:val="21"/>
                <w:lang w:bidi="ar"/>
              </w:rPr>
              <w:t xml:space="preserve">证，</w:t>
            </w:r>
            <w:r>
              <w:rPr>
                <w:rFonts w:hint="eastAsia" w:cs="宋体" w:asciiTheme="minorEastAsia" w:hAnsiTheme="minorEastAsia" w:eastAsiaTheme="minorEastAsia"/>
                <w:szCs w:val="21"/>
              </w:rPr>
              <w:t xml:space="preserve">环境适应性均满足防护等级≥IP40，ta≥50℃</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1"/>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灯选用足够数量小功率LED灯珠，灯珠实际使用功率不宜超过额定功率的50%，以提高其发光效率和降低灯具光衰，且LED黑板灯须通过CCC认证。提供第三方认证机构出具的认证证书及国家认监委查询“有效”截图。</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283"/>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w:t>
            </w:r>
            <w:r>
              <w:rPr>
                <w:rFonts w:cs="宋体" w:asciiTheme="minorEastAsia" w:hAnsiTheme="minorEastAsia" w:eastAsiaTheme="minorEastAsia"/>
                <w:szCs w:val="21"/>
              </w:rPr>
              <w:t xml:space="preserve">依据</w:t>
            </w:r>
            <w:r>
              <w:rPr>
                <w:rFonts w:hint="eastAsia" w:cs="宋体" w:asciiTheme="minorEastAsia" w:hAnsiTheme="minorEastAsia" w:eastAsiaTheme="minorEastAsia"/>
                <w:szCs w:val="21"/>
              </w:rPr>
              <w:t xml:space="preserve">《QB/T 5533》标准通过教室照明灯具性能认证，单颗光源功率≥1W，防护等级≥IP40，ta≥50℃</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794"/>
        </w:trPr>
        <w:tc>
          <w:tcPr>
            <w:tcW w:w="215"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黑板灯</w:t>
            </w:r>
            <w:r/>
          </w:p>
        </w:tc>
        <w:tc>
          <w:tcPr>
            <w:tcW w:w="468"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774"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℃及相对温差≥10℃均在严酷自然环境下至少持续运行360小时后，至少依据《GB/T36979》标准满足空间颜色非均匀性△u’v’≤0.007</w:t>
            </w:r>
            <w:r>
              <w:rPr>
                <w:rFonts w:hint="eastAsia" w:cs="宋体" w:asciiTheme="minorEastAsia" w:hAnsiTheme="minorEastAsia" w:eastAsiaTheme="minorEastAsia"/>
                <w:bCs/>
                <w:szCs w:val="21"/>
                <w:lang w:bidi="ar"/>
              </w:rPr>
              <w:t xml:space="preserve">。提供第三方认证机构出具的自然环境实地认证证书及国家认监委查询“有效”截图。</w:t>
            </w:r>
            <w:r/>
          </w:p>
        </w:tc>
        <w:tc>
          <w:tcPr>
            <w:tcW w:w="542" w:type="pct"/>
            <w:vAlign w:val="center"/>
            <w:vMerge w:val="continue"/>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rPr>
            </w:r>
            <w:r/>
          </w:p>
        </w:tc>
      </w:tr>
      <w:tr>
        <w:trPr>
          <w:trHeight w:val="794"/>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w:t>
            </w:r>
            <w:r>
              <w:rPr>
                <w:rFonts w:hint="eastAsia" w:cs="宋体" w:asciiTheme="minorEastAsia" w:hAnsiTheme="minorEastAsia" w:eastAsiaTheme="minorEastAsia"/>
                <w:bCs/>
                <w:szCs w:val="21"/>
                <w:lang w:bidi="ar"/>
              </w:rPr>
              <w:t xml:space="preserve">至少依据《GB/T 18595》标准满足浪涌性能达到C或以上等级。提供第三方认证机构出具的自然环境实地认证证书及国家认监委查询“有效”截图。</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794"/>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w:t>
            </w:r>
            <w:r>
              <w:rPr>
                <w:rFonts w:hint="eastAsia" w:cs="宋体" w:asciiTheme="minorEastAsia" w:hAnsiTheme="minorEastAsia" w:eastAsiaTheme="minorEastAsia"/>
                <w:bCs/>
                <w:szCs w:val="21"/>
                <w:lang w:bidi="ar"/>
              </w:rPr>
              <w:t xml:space="preserve">至少依据《GB/T6882》标准满足噪声</w:t>
            </w: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5</w:t>
            </w:r>
            <w:r>
              <w:rPr>
                <w:rFonts w:hint="eastAsia" w:cs="宋体" w:asciiTheme="minorEastAsia" w:hAnsiTheme="minorEastAsia" w:eastAsiaTheme="minorEastAsia"/>
                <w:bCs/>
                <w:szCs w:val="21"/>
                <w:lang w:bidi="ar"/>
              </w:rPr>
              <w:t xml:space="preserve">dB（A）。提供第三方认证机构出具的自然环境实地认证证书及国家认监委查询“有效”截图。</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794"/>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至少</w:t>
            </w:r>
            <w:r>
              <w:rPr>
                <w:rFonts w:cs="宋体" w:asciiTheme="minorEastAsia" w:hAnsiTheme="minorEastAsia" w:eastAsiaTheme="minorEastAsia"/>
                <w:szCs w:val="21"/>
              </w:rPr>
              <w:t xml:space="preserve">依据《GB/T42064》标准通过认证，结论为频闪无危害或无频闪危害或无显著影响</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362"/>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防护等级</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IP42</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3568"/>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施工要求</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灯具距演示设备面的最低悬挂高度1.7m，非嵌入式灯具应使用刚性吊杆安装，吊杆应与灯面垂直，不得倾斜，两杆间距偏差±5 mm；灯具排列采用长轴垂直于板书区域布置；灯具对称安装，其横（纵）向中心轴线宜在同一直线上，偏斜不应大于20mm。吊杆安装的灯具应采用不小于Φ6mm膨胀螺栓固定，预埋件承重能不低于灯具重量的10倍。灯具及其附件应安装齐全，并无损伤、变形、涂层剥落和</w:t>
            </w:r>
            <w:r>
              <w:rPr>
                <w:rFonts w:hint="eastAsia" w:cs="宋体" w:asciiTheme="minorEastAsia" w:hAnsiTheme="minorEastAsia" w:eastAsiaTheme="minorEastAsia"/>
                <w:bCs/>
                <w:szCs w:val="21"/>
                <w:lang w:bidi="ar"/>
              </w:rPr>
              <w:t xml:space="preserve">灯罩破裂等缺陷；灯具接线牢固、接触良好；开关面板及接线盒盒体安装完整、无破损变形，零件齐全；墙面明线安装中导管管径大小和接线盒孔径相匹配，导管和接线盒连接紧密。对施工中造成的墙面破损应修复。按教室照明设置情况和天然采光状况，每个照明开关所控制灯具数不应多于3个；板书区域灯具应单独控制，开关安装在板书区域同侧；灯具安装时，要注意避免对其他设备（如：监控摄像机、投影机、顶装空调）的遮挡；如果光线受到建筑构件遮挡，应注意在限值内调整灯具的水平安装位置或降低灯具的安装高度；安装风扇的教室中，出光口面应低于风扇叶面。</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343"/>
        </w:trPr>
        <w:tc>
          <w:tcPr>
            <w:tcW w:w="215"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468"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照明设计方案</w:t>
            </w:r>
            <w:r/>
          </w:p>
        </w:tc>
        <w:tc>
          <w:tcPr>
            <w:tcW w:w="3774"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需提供每间实验室由DIALux或类似设计工具仿真设计的完整报表，报表中的教室尺寸等信息由采购方提供，报表中的灯具参数必须和提供的灯具检测报告上的参数一致。计算结果数据达到以下指标，维护系数取值1.0，全部灯具点亮时，课桌面平均照度≥375lx、均匀度≥0.7，板书面平均照度≥625lx、均匀度≥0.8，统一眩光值UGR&lt;19。具体施工与设计方案一致。</w:t>
            </w:r>
            <w:r/>
          </w:p>
        </w:tc>
        <w:tc>
          <w:tcPr>
            <w:tcW w:w="54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7"/>
        </w:trPr>
        <w:tc>
          <w:tcPr>
            <w:gridSpan w:val="2"/>
            <w:tcW w:w="683" w:type="pct"/>
            <w:vAlign w:val="center"/>
            <w:textDirection w:val="lrTb"/>
            <w:noWrap/>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gridSpan w:val="2"/>
            <w:tcW w:w="4317"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1. 教室光照度等各项指标达到国家标准。</w:t>
            </w:r>
            <w:r>
              <w:rPr>
                <w:rFonts w:hint="eastAsia" w:cs="宋体" w:asciiTheme="minorEastAsia" w:hAnsiTheme="minorEastAsia" w:eastAsiaTheme="minorEastAsia"/>
                <w:bCs/>
                <w:szCs w:val="21"/>
                <w:lang w:bidi="ar"/>
              </w:rPr>
              <w:br/>
              <w:t xml:space="preserve">2. 灯光系统为成套设备：教室顶灯、黑板灯、控制面板、辅材等。</w:t>
            </w:r>
            <w:r/>
          </w:p>
        </w:tc>
      </w:tr>
    </w:tbl>
    <w:p>
      <w:pPr>
        <w:pStyle w:val="921"/>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rPr>
        <w:t xml:space="preserve">灯光系统（型号二）</w:t>
      </w:r>
      <w:r/>
    </w:p>
    <w:tbl>
      <w:tblPr>
        <w:tblW w:w="496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91"/>
        <w:gridCol w:w="581"/>
        <w:gridCol w:w="7949"/>
        <w:gridCol w:w="1278"/>
      </w:tblGrid>
      <w:tr>
        <w:trPr>
          <w:trHeight w:val="340"/>
          <w:tblHeader/>
        </w:trPr>
        <w:tc>
          <w:tcPr>
            <w:gridSpan w:val="2"/>
            <w:tcW w:w="647"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750"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c>
          <w:tcPr>
            <w:tcW w:w="602"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数量</w:t>
            </w:r>
            <w:r/>
          </w:p>
        </w:tc>
      </w:tr>
      <w:tr>
        <w:trPr>
          <w:trHeight w:val="510"/>
        </w:trPr>
        <w:tc>
          <w:tcPr>
            <w:tcW w:w="37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条形灯</w:t>
            </w:r>
            <w:r/>
          </w:p>
        </w:tc>
        <w:tc>
          <w:tcPr>
            <w:tcW w:w="2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1200*300±10mm</w:t>
            </w:r>
            <w:r/>
          </w:p>
        </w:tc>
        <w:tc>
          <w:tcPr>
            <w:tcW w:w="602" w:type="pct"/>
            <w:vAlign w:val="center"/>
            <w:vMerge w:val="restart"/>
            <w:textDirection w:val="lrTb"/>
            <w:noWrap/>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15</w:t>
            </w:r>
            <w:r/>
          </w:p>
        </w:tc>
      </w:tr>
      <w:tr>
        <w:trPr>
          <w:trHeight w:val="624"/>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规格材质</w:t>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szCs w:val="21"/>
              </w:rPr>
              <w:t xml:space="preserve">为一体式侧发光微晶防眩面板灯，棱锥体光学结构设计，微晶结构长短轴尺寸比值≥2，采用高性能光学板材辊压成型；至少有</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种光学材料组成，包含反射纸，导光板，和微晶防眩板等，灯体表面发光均匀，无暗影</w:t>
            </w:r>
            <w:r>
              <w:rPr>
                <w:rFonts w:hint="eastAsia" w:cs="宋体" w:asciiTheme="minorEastAsia" w:hAnsiTheme="minorEastAsia" w:eastAsiaTheme="minorEastAsia"/>
                <w:bCs/>
                <w:szCs w:val="21"/>
                <w:lang w:bidi="ar"/>
              </w:rPr>
              <w:t xml:space="preserve">。</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24"/>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功率</w:t>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＜45W；220V</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24"/>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出光方式</w:t>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采用侧发光的出光方式，灯体表面发光均匀，无暗影。6000小时光通维持率均需大于95%。</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24"/>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安装要求</w:t>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光源模组采用铝基板，导入胶带均匀的固定在灯体上，使灯条和散热体大面积接触。</w:t>
            </w:r>
            <w:r>
              <w:rPr>
                <w:rFonts w:hint="eastAsia" w:cs="宋体" w:asciiTheme="minorEastAsia" w:hAnsiTheme="minorEastAsia" w:eastAsiaTheme="minorEastAsia"/>
                <w:bCs/>
                <w:sz w:val="20"/>
                <w:szCs w:val="20"/>
                <w:lang w:bidi="ar"/>
              </w:rPr>
              <w:br/>
              <w:t xml:space="preserve">吊架固定在灯体边框上面，单个支架的固定点要求≥4个。</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24"/>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照明质量</w:t>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演示设备为参考平面，照明质量应满足：</w:t>
            </w:r>
            <w:r>
              <w:rPr>
                <w:rFonts w:hint="eastAsia" w:cs="宋体" w:asciiTheme="minorEastAsia" w:hAnsiTheme="minorEastAsia" w:eastAsiaTheme="minorEastAsia"/>
                <w:bCs/>
                <w:sz w:val="20"/>
                <w:szCs w:val="20"/>
                <w:lang w:bidi="ar"/>
              </w:rPr>
              <w:br/>
              <w:t xml:space="preserve">维持平均照度不低于300Lx；</w:t>
            </w:r>
            <w:r>
              <w:rPr>
                <w:rFonts w:hint="eastAsia" w:cs="宋体" w:asciiTheme="minorEastAsia" w:hAnsiTheme="minorEastAsia" w:eastAsiaTheme="minorEastAsia"/>
                <w:bCs/>
                <w:sz w:val="20"/>
                <w:szCs w:val="20"/>
                <w:lang w:bidi="ar"/>
              </w:rPr>
              <w:br/>
              <w:t xml:space="preserve">统一眩光等级UGR大于19；</w:t>
            </w:r>
            <w:r>
              <w:rPr>
                <w:rFonts w:hint="eastAsia" w:cs="宋体" w:asciiTheme="minorEastAsia" w:hAnsiTheme="minorEastAsia" w:eastAsiaTheme="minorEastAsia"/>
                <w:bCs/>
                <w:sz w:val="20"/>
                <w:szCs w:val="20"/>
                <w:lang w:bidi="ar"/>
              </w:rPr>
              <w:br/>
              <w:t xml:space="preserve">照度均匀度不低于0.7；</w:t>
            </w:r>
            <w:r>
              <w:rPr>
                <w:rFonts w:hint="eastAsia" w:cs="宋体" w:asciiTheme="minorEastAsia" w:hAnsiTheme="minorEastAsia" w:eastAsiaTheme="minorEastAsia"/>
                <w:bCs/>
                <w:sz w:val="20"/>
                <w:szCs w:val="20"/>
                <w:lang w:bidi="ar"/>
              </w:rPr>
              <w:br/>
              <w:t xml:space="preserve">照明功率密度低于7W/m²。</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24"/>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防眩方式：微晶防眩；光源使用双蓝光光谱，有效减少蓝光危害。</w:t>
            </w:r>
            <w:r>
              <w:rPr>
                <w:rFonts w:hint="eastAsia" w:cs="宋体" w:asciiTheme="minorEastAsia" w:hAnsiTheme="minorEastAsia" w:eastAsiaTheme="minorEastAsia"/>
                <w:bCs/>
                <w:szCs w:val="21"/>
                <w:lang w:bidi="ar"/>
              </w:rPr>
              <w:br/>
              <w:t xml:space="preserve">蓝光危害等级：豁免级（RG0）（或0类危险）；</w:t>
            </w:r>
            <w:r>
              <w:rPr>
                <w:rFonts w:hint="eastAsia" w:cs="宋体" w:asciiTheme="minorEastAsia" w:hAnsiTheme="minorEastAsia" w:eastAsiaTheme="minorEastAsia"/>
                <w:bCs/>
                <w:szCs w:val="21"/>
                <w:lang w:bidi="ar"/>
              </w:rPr>
              <w:br/>
              <w:t xml:space="preserve">色温：4300K-5300K；</w:t>
            </w:r>
            <w:r>
              <w:rPr>
                <w:rFonts w:hint="eastAsia" w:cs="宋体" w:asciiTheme="minorEastAsia" w:hAnsiTheme="minorEastAsia" w:eastAsiaTheme="minorEastAsia"/>
                <w:bCs/>
                <w:szCs w:val="21"/>
                <w:lang w:bidi="ar"/>
              </w:rPr>
              <w:br/>
              <w:t xml:space="preserve">显色指数：Ra＞90、R9＞50；</w:t>
            </w:r>
            <w:r>
              <w:rPr>
                <w:rFonts w:hint="eastAsia" w:cs="宋体" w:asciiTheme="minorEastAsia" w:hAnsiTheme="minorEastAsia" w:eastAsiaTheme="minorEastAsia"/>
                <w:bCs/>
                <w:szCs w:val="21"/>
                <w:lang w:bidi="ar"/>
              </w:rPr>
              <w:br/>
              <w:t xml:space="preserve">光效：≥80 lm/W。</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340"/>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教室灯驱动电源需为隔离型恒流驱动，电源有外壳并可靠固定。</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340"/>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教室灯色容差（色品容差）≤5 SDCM。</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340"/>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灯依据《GB/T 31275》《GB/T 17743》标准经灯具电源端传导骚扰电压（或电源接口骚扰电压）、辐射骚扰、感应电流密度测试，检测结果皆为合格（或通过或符合或判定为P）。提供第三方检测机构出具的检测报告及国家认监委查询截图。</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340"/>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符合《</w:t>
            </w:r>
            <w:r>
              <w:rPr>
                <w:rFonts w:cs="宋体" w:asciiTheme="minorEastAsia" w:hAnsiTheme="minorEastAsia" w:eastAsiaTheme="minorEastAsia"/>
                <w:szCs w:val="21"/>
              </w:rPr>
              <w:t xml:space="preserve">GB40070</w:t>
            </w:r>
            <w:r>
              <w:rPr>
                <w:rFonts w:hint="eastAsia" w:cs="宋体" w:asciiTheme="minorEastAsia" w:hAnsiTheme="minorEastAsia" w:eastAsiaTheme="minorEastAsia"/>
                <w:szCs w:val="21"/>
              </w:rPr>
              <w:t xml:space="preserve">儿童青少年学习用品近视防控卫生要求》标准通过近视防控认证证书，符合《GB/T 26572电子电气产品中限用物质的限量要求》标准通过电器电子产品认</w:t>
            </w:r>
            <w:r>
              <w:rPr>
                <w:rFonts w:hint="eastAsia" w:cs="宋体" w:asciiTheme="minorEastAsia" w:hAnsiTheme="minorEastAsia" w:eastAsiaTheme="minorEastAsia"/>
                <w:szCs w:val="21"/>
                <w:lang w:bidi="ar"/>
              </w:rPr>
              <w:t xml:space="preserve">证，</w:t>
            </w:r>
            <w:r>
              <w:rPr>
                <w:rFonts w:hint="eastAsia" w:cs="宋体" w:asciiTheme="minorEastAsia" w:hAnsiTheme="minorEastAsia" w:eastAsiaTheme="minorEastAsia"/>
                <w:szCs w:val="21"/>
              </w:rPr>
              <w:t xml:space="preserve">环境适应性均满足防护等级≥IP40，ta≥50℃</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24"/>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灯选用足够数量小功率LED灯珠，灯珠实际使用功率不宜超过额定功率的50%，以提高其发光效率和降低灯具光衰，且LED教室灯须通过CCC认证。提供第三方认证机构出具的认证证书及国家认监委查询“有效”截图。</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24"/>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cs="宋体" w:asciiTheme="minorEastAsia" w:hAnsiTheme="minorEastAsia" w:eastAsiaTheme="minorEastAsia"/>
                <w:szCs w:val="21"/>
              </w:rPr>
              <w:t xml:space="preserve">依据</w:t>
            </w:r>
            <w:r>
              <w:rPr>
                <w:rFonts w:hint="eastAsia" w:cs="宋体" w:asciiTheme="minorEastAsia" w:hAnsiTheme="minorEastAsia" w:eastAsiaTheme="minorEastAsia"/>
                <w:szCs w:val="21"/>
              </w:rPr>
              <w:t xml:space="preserve">《QB/T 5533》标准通过教室照明灯具性能认证，单颗光源功率≥1W，防护等级≥IP40，ta≥50℃</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24"/>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℃及相对温差≥10℃均在严酷自然环境下至少持续运行360小时后，至少依据《GB/T36979》标准满足空间颜色非均匀性△u’v’≤0.007</w:t>
            </w:r>
            <w:r>
              <w:rPr>
                <w:rFonts w:hint="eastAsia" w:cs="宋体" w:asciiTheme="minorEastAsia" w:hAnsiTheme="minorEastAsia" w:eastAsiaTheme="minorEastAsia"/>
                <w:bCs/>
                <w:szCs w:val="21"/>
                <w:lang w:bidi="ar"/>
              </w:rPr>
              <w:t xml:space="preserve">。提供第三方认证机构出具的自然环境实地认证证书及国家认监委查询“有效”截图。</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24"/>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w:t>
            </w:r>
            <w:r>
              <w:rPr>
                <w:rFonts w:hint="eastAsia" w:cs="宋体" w:asciiTheme="minorEastAsia" w:hAnsiTheme="minorEastAsia" w:eastAsiaTheme="minorEastAsia"/>
                <w:bCs/>
                <w:szCs w:val="21"/>
                <w:lang w:bidi="ar"/>
              </w:rPr>
              <w:t xml:space="preserve">至少依据《GB/T 18595》标准满足浪涌性能达到C或以上等</w:t>
            </w:r>
            <w:r>
              <w:rPr>
                <w:rFonts w:hint="eastAsia" w:cs="宋体" w:asciiTheme="minorEastAsia" w:hAnsiTheme="minorEastAsia" w:eastAsiaTheme="minorEastAsia"/>
                <w:bCs/>
                <w:szCs w:val="21"/>
                <w:lang w:bidi="ar"/>
              </w:rPr>
              <w:t xml:space="preserve">级。提供第三方认证机构出具的自然环境实地认证证书及国家认监委查询“有效”截图。</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24"/>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w:t>
            </w:r>
            <w:r>
              <w:rPr>
                <w:rFonts w:hint="eastAsia" w:cs="宋体" w:asciiTheme="minorEastAsia" w:hAnsiTheme="minorEastAsia" w:eastAsiaTheme="minorEastAsia"/>
                <w:bCs/>
                <w:szCs w:val="21"/>
                <w:lang w:bidi="ar"/>
              </w:rPr>
              <w:t xml:space="preserve">至少依据《GB/T6882》标准满足噪声</w:t>
            </w: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5</w:t>
            </w:r>
            <w:r>
              <w:rPr>
                <w:rFonts w:hint="eastAsia" w:cs="宋体" w:asciiTheme="minorEastAsia" w:hAnsiTheme="minorEastAsia" w:eastAsiaTheme="minorEastAsia"/>
                <w:bCs/>
                <w:szCs w:val="21"/>
                <w:lang w:bidi="ar"/>
              </w:rPr>
              <w:t xml:space="preserve">dB（A）。提供第三方认证机构出具的自然环境实地认证证书及国家认监委查询“有效”截图。</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025"/>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施工要求</w:t>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灯具距演示设备面的最低悬挂高度1.7m，非嵌入式灯具应使用刚性吊杆安装，吊杆应与灯面垂直，不得倾斜，两杆间距偏差±5 mm；灯具排列采用长轴垂直于板书区域布置；灯具对称安装，其横（纵）向中心轴线宜在同一直线上，偏斜不应大于20mm。吊杆安装的灯具应采用不小于Φ6mm膨胀螺栓固定，预埋件承重能不低于灯具重量的10倍。灯具及其附件应安装齐全，并无损伤、变形、涂层剥落和</w:t>
            </w:r>
            <w:r>
              <w:rPr>
                <w:rFonts w:hint="eastAsia" w:cs="宋体" w:asciiTheme="minorEastAsia" w:hAnsiTheme="minorEastAsia" w:eastAsiaTheme="minorEastAsia"/>
                <w:bCs/>
                <w:szCs w:val="21"/>
                <w:lang w:bidi="ar"/>
              </w:rPr>
              <w:t xml:space="preserve">灯罩破裂等缺陷；灯具接线牢固、接触良好；开关面板及接线盒盒体安装完整、无破损变形，零件齐全；墙面明线安装中导管管径大小和接线盒孔径相匹配，导管和接线盒连接紧密。对施工中造成的墙面破损应修复。按教室照明设置情况和天然采光状况，每个照明开关所控制灯具数不应多于3个；板书区域灯具应单独控制，开关安装在板书区域同侧；灯具安装时，要注意避免对其他设备（如：监控摄像机、投影机、顶装空调）的遮挡；如果光线受到建筑构件遮挡，应注意在限值内调整灯具的水平安装位置或降低灯具的安装高度；安装风扇的教室中，出光口面应低于风扇叶面。</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757"/>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照明设计方案</w:t>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需提供每间实验室由DIALux或类似设计工具仿真设计的完整报表，报表中的教室尺寸等信息由采购方提供，报表中的灯具参数必须和提供的灯具检测报告上的参数一致。计算结果数据达到以下指标，维护系数取值1.0，全部灯具点亮时，课桌面平均照度≥375lx、均匀度≥0.7，板书面平均照度≥625lx、均匀度≥0.8，统一眩光值UGR&lt;19。具体施工与设计方案一致。</w:t>
            </w:r>
            <w:r/>
          </w:p>
        </w:tc>
        <w:tc>
          <w:tcPr>
            <w:tcW w:w="602" w:type="pct"/>
            <w:vAlign w:val="center"/>
            <w:vMerge w:val="continue"/>
            <w:textDirection w:val="lrTb"/>
            <w:noWrap/>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62"/>
        </w:trPr>
        <w:tc>
          <w:tcPr>
            <w:tcW w:w="37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黑板灯</w:t>
            </w:r>
            <w:r/>
          </w:p>
        </w:tc>
        <w:tc>
          <w:tcPr>
            <w:tcW w:w="2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尺寸</w:t>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长度≥900mm，灯体最小壁厚不低于0.65mm。</w:t>
            </w:r>
            <w:r/>
          </w:p>
        </w:tc>
        <w:tc>
          <w:tcPr>
            <w:tcW w:w="602"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3</w:t>
            </w:r>
            <w:r/>
          </w:p>
        </w:tc>
      </w:tr>
      <w:tr>
        <w:trPr>
          <w:trHeight w:val="270"/>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规格材质</w:t>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一体式透镜防眩灯具；采用一体式航空铝型材灯体。</w:t>
            </w:r>
            <w:r/>
          </w:p>
        </w:tc>
        <w:tc>
          <w:tcPr>
            <w:tcW w:w="60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16"/>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功率</w:t>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＜45W；220V</w:t>
            </w:r>
            <w:r/>
          </w:p>
        </w:tc>
        <w:tc>
          <w:tcPr>
            <w:tcW w:w="60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270"/>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出光方式</w:t>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侧发光的出光方式，发光导向黑板，6000小时光通维持率均需大于95%。</w:t>
            </w:r>
            <w:r/>
          </w:p>
        </w:tc>
        <w:tc>
          <w:tcPr>
            <w:tcW w:w="60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2097"/>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750"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满足黑板面维持平均照度≥500Lx，照度均匀度≥0.8；                              </w:t>
            </w:r>
            <w:r/>
          </w:p>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防眩方式：透镜防眩；光源使用双蓝光光谱，有效减少蓝光危害。</w:t>
            </w:r>
            <w:r>
              <w:rPr>
                <w:rFonts w:hint="eastAsia" w:cs="宋体" w:asciiTheme="minorEastAsia" w:hAnsiTheme="minorEastAsia" w:eastAsiaTheme="minorEastAsia"/>
                <w:bCs/>
                <w:szCs w:val="21"/>
                <w:lang w:bidi="ar"/>
              </w:rPr>
              <w:br/>
              <w:t xml:space="preserve">蓝光危害等级：豁免级（RG0）（或0类危险）；</w:t>
            </w:r>
            <w:r>
              <w:rPr>
                <w:rFonts w:hint="eastAsia" w:cs="宋体" w:asciiTheme="minorEastAsia" w:hAnsiTheme="minorEastAsia" w:eastAsiaTheme="minorEastAsia"/>
                <w:bCs/>
                <w:szCs w:val="21"/>
                <w:lang w:bidi="ar"/>
              </w:rPr>
              <w:br/>
              <w:t xml:space="preserve">色温：4300K-5300K；</w:t>
            </w:r>
            <w:r>
              <w:rPr>
                <w:rFonts w:hint="eastAsia" w:cs="宋体" w:asciiTheme="minorEastAsia" w:hAnsiTheme="minorEastAsia" w:eastAsiaTheme="minorEastAsia"/>
                <w:bCs/>
                <w:szCs w:val="21"/>
                <w:lang w:bidi="ar"/>
              </w:rPr>
              <w:br/>
              <w:t xml:space="preserve">显色指数：Ra＞90、R9＞50；</w:t>
            </w:r>
            <w:r>
              <w:rPr>
                <w:rFonts w:hint="eastAsia" w:cs="宋体" w:asciiTheme="minorEastAsia" w:hAnsiTheme="minorEastAsia" w:eastAsiaTheme="minorEastAsia"/>
                <w:bCs/>
                <w:szCs w:val="21"/>
                <w:lang w:bidi="ar"/>
              </w:rPr>
              <w:br/>
              <w:t xml:space="preserve">光效：≥80 lm/W。</w:t>
            </w:r>
            <w:r/>
          </w:p>
        </w:tc>
        <w:tc>
          <w:tcPr>
            <w:tcW w:w="60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1079"/>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LED黑板灯驱动电源需为隔离型恒流驱动，电源有外壳并可靠固定；驱动不可徒手拆卸，保证安全；驱动电源置于灯体上居中对称，保证吊装安全稳固。</w:t>
            </w:r>
            <w:r/>
          </w:p>
        </w:tc>
        <w:tc>
          <w:tcPr>
            <w:tcW w:w="60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80"/>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灯色容差（色品容差）≤5 SDCM。</w:t>
            </w:r>
            <w:r/>
          </w:p>
        </w:tc>
        <w:tc>
          <w:tcPr>
            <w:tcW w:w="60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80"/>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灯依据《GB/T 31275》《GB/T 17743》标准经灯具电源端传导骚扰电压（或电源接口骚扰电压）、辐射骚扰、感应电流密度测试，检测结果皆为合格（或通过或符合或判定为P）。提供第三方检测机构出具的检测报告及国家认监委查询截图。</w:t>
            </w:r>
            <w:r/>
          </w:p>
        </w:tc>
        <w:tc>
          <w:tcPr>
            <w:tcW w:w="60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850"/>
        </w:trPr>
        <w:tc>
          <w:tcPr>
            <w:tcW w:w="37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黑板灯</w:t>
            </w:r>
            <w:r/>
          </w:p>
        </w:tc>
        <w:tc>
          <w:tcPr>
            <w:tcW w:w="274" w:type="pct"/>
            <w:vAlign w:val="center"/>
            <w:vMerge w:val="restart"/>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功能要求</w:t>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符合《</w:t>
            </w:r>
            <w:r>
              <w:rPr>
                <w:rFonts w:cs="宋体" w:asciiTheme="minorEastAsia" w:hAnsiTheme="minorEastAsia" w:eastAsiaTheme="minorEastAsia"/>
                <w:szCs w:val="21"/>
              </w:rPr>
              <w:t xml:space="preserve">GB40070</w:t>
            </w:r>
            <w:r>
              <w:rPr>
                <w:rFonts w:hint="eastAsia" w:cs="宋体" w:asciiTheme="minorEastAsia" w:hAnsiTheme="minorEastAsia" w:eastAsiaTheme="minorEastAsia"/>
                <w:szCs w:val="21"/>
              </w:rPr>
              <w:t xml:space="preserve">儿童青少年学习用品近视防控卫生要求》标准通过近视防控认证证书，符合《GB/T 26572电子电气产品中限用物质的限量要求》标准通过电器电子产品认</w:t>
            </w:r>
            <w:r>
              <w:rPr>
                <w:rFonts w:hint="eastAsia" w:cs="宋体" w:asciiTheme="minorEastAsia" w:hAnsiTheme="minorEastAsia" w:eastAsiaTheme="minorEastAsia"/>
                <w:szCs w:val="21"/>
                <w:lang w:bidi="ar"/>
              </w:rPr>
              <w:t xml:space="preserve">证，</w:t>
            </w:r>
            <w:r>
              <w:rPr>
                <w:rFonts w:hint="eastAsia" w:cs="宋体" w:asciiTheme="minorEastAsia" w:hAnsiTheme="minorEastAsia" w:eastAsiaTheme="minorEastAsia"/>
                <w:szCs w:val="21"/>
              </w:rPr>
              <w:t xml:space="preserve">环境适应性均满足防护等级≥IP40，ta≥50℃</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602" w:type="pct"/>
            <w:vAlign w:val="center"/>
            <w:vMerge w:val="continue"/>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rPr>
            </w:r>
            <w:r/>
          </w:p>
        </w:tc>
      </w:tr>
      <w:tr>
        <w:trPr>
          <w:trHeight w:val="850"/>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灯选用足够数量小功率LED灯珠，灯珠实际使用功率不宜超过额定功率的50%，以提高其发光效率和降低灯具光衰，且LED黑板灯须通过CCC认证。提供第三方认证机构出具的认证证书及国家认监委查询“有效”截图。</w:t>
            </w:r>
            <w:r/>
          </w:p>
        </w:tc>
        <w:tc>
          <w:tcPr>
            <w:tcW w:w="60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850"/>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w:t>
            </w:r>
            <w:r>
              <w:rPr>
                <w:rFonts w:cs="宋体" w:asciiTheme="minorEastAsia" w:hAnsiTheme="minorEastAsia" w:eastAsiaTheme="minorEastAsia"/>
                <w:szCs w:val="21"/>
              </w:rPr>
              <w:t xml:space="preserve">依据</w:t>
            </w:r>
            <w:r>
              <w:rPr>
                <w:rFonts w:hint="eastAsia" w:cs="宋体" w:asciiTheme="minorEastAsia" w:hAnsiTheme="minorEastAsia" w:eastAsiaTheme="minorEastAsia"/>
                <w:szCs w:val="21"/>
              </w:rPr>
              <w:t xml:space="preserve">《QB/T 5533》标准通过教室照明灯具性能认证，单颗光源功率≥1W，防护等级≥IP40，ta≥50℃</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60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850"/>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℃及相对温差≥10℃均在严酷自然环境下至少持续运行360小时后，至少依据《GB/T36979》标准满足空间颜色非均匀性△u’v’≤0.007</w:t>
            </w:r>
            <w:r>
              <w:rPr>
                <w:rFonts w:hint="eastAsia" w:cs="宋体" w:asciiTheme="minorEastAsia" w:hAnsiTheme="minorEastAsia" w:eastAsiaTheme="minorEastAsia"/>
                <w:bCs/>
                <w:szCs w:val="21"/>
                <w:lang w:bidi="ar"/>
              </w:rPr>
              <w:t xml:space="preserve">。提供第三方认证机构出具的自然环境实地认证证书及国家认监委查询“有效”截图。</w:t>
            </w:r>
            <w:r/>
          </w:p>
        </w:tc>
        <w:tc>
          <w:tcPr>
            <w:tcW w:w="60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850"/>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w:t>
            </w:r>
            <w:r>
              <w:rPr>
                <w:rFonts w:hint="eastAsia" w:cs="宋体" w:asciiTheme="minorEastAsia" w:hAnsiTheme="minorEastAsia" w:eastAsiaTheme="minorEastAsia"/>
                <w:bCs/>
                <w:szCs w:val="21"/>
                <w:lang w:bidi="ar"/>
              </w:rPr>
              <w:t xml:space="preserve">至少依据《GB/T 18595》标准满足浪涌性能达到C或以上等级。提供第三方认证机构出具的自然环境实地认证证书及国家认监委查询“有效”截图。</w:t>
            </w:r>
            <w:r/>
          </w:p>
        </w:tc>
        <w:tc>
          <w:tcPr>
            <w:tcW w:w="60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850"/>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经严酷自然环境实地测试，分别在极热环境：大气压力≤90kPa，平均湿度≤50%RH、极值空气温度≥3</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w:t>
            </w:r>
            <w:r>
              <w:rPr>
                <w:rFonts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℃与在极寒环境：大气压力≥90kPa，平均湿度≥50%RH、极值空气温度≤-</w:t>
            </w:r>
            <w:r>
              <w:rPr>
                <w:rFonts w:cs="宋体" w:asciiTheme="minorEastAsia" w:hAnsiTheme="minorEastAsia" w:eastAsiaTheme="minorEastAsia"/>
                <w:szCs w:val="21"/>
              </w:rPr>
              <w:t xml:space="preserve">5</w:t>
            </w:r>
            <w:r>
              <w:rPr>
                <w:rFonts w:hint="eastAsia" w:cs="宋体" w:asciiTheme="minorEastAsia" w:hAnsiTheme="minorEastAsia" w:eastAsiaTheme="minorEastAsia"/>
                <w:szCs w:val="21"/>
              </w:rPr>
              <w:t xml:space="preserve">℃及相对温差≥10℃均在严酷自然环境下至少持续运行360小时后，</w:t>
            </w:r>
            <w:r>
              <w:rPr>
                <w:rFonts w:hint="eastAsia" w:cs="宋体" w:asciiTheme="minorEastAsia" w:hAnsiTheme="minorEastAsia" w:eastAsiaTheme="minorEastAsia"/>
                <w:bCs/>
                <w:szCs w:val="21"/>
                <w:lang w:bidi="ar"/>
              </w:rPr>
              <w:t xml:space="preserve">至少依据《GB/T6882》标准满足噪声</w:t>
            </w: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5</w:t>
            </w:r>
            <w:r>
              <w:rPr>
                <w:rFonts w:hint="eastAsia" w:cs="宋体" w:asciiTheme="minorEastAsia" w:hAnsiTheme="minorEastAsia" w:eastAsiaTheme="minorEastAsia"/>
                <w:bCs/>
                <w:szCs w:val="21"/>
                <w:lang w:bidi="ar"/>
              </w:rPr>
              <w:t xml:space="preserve">dB（A）。提供第三方认证机构出具的自然环境实地认证证书及国家认监委查询“有效”截图。</w:t>
            </w:r>
            <w:r/>
          </w:p>
        </w:tc>
        <w:tc>
          <w:tcPr>
            <w:tcW w:w="60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56"/>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vMerge w:val="continue"/>
            <w:textDirection w:val="lrTb"/>
            <w:noWrap w:val="false"/>
          </w:tcPr>
          <w:p>
            <w:pPr>
              <w:pStyle w:val="2043"/>
              <w:jc w:val="both"/>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3750" w:type="pct"/>
            <w:vAlign w:val="center"/>
            <w:textDirection w:val="lrTb"/>
            <w:noWrap w:val="false"/>
          </w:tcPr>
          <w:p>
            <w:pPr>
              <w:pStyle w:val="2043"/>
              <w:jc w:val="left"/>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lang w:bidi="ar"/>
              </w:rPr>
              <w:t xml:space="preserve">灯</w:t>
            </w:r>
            <w:r>
              <w:rPr>
                <w:rFonts w:hint="eastAsia" w:cs="宋体" w:asciiTheme="minorEastAsia" w:hAnsiTheme="minorEastAsia" w:eastAsiaTheme="minorEastAsia"/>
                <w:szCs w:val="21"/>
              </w:rPr>
              <w:t xml:space="preserve">至少</w:t>
            </w:r>
            <w:r>
              <w:rPr>
                <w:rFonts w:cs="宋体" w:asciiTheme="minorEastAsia" w:hAnsiTheme="minorEastAsia" w:eastAsiaTheme="minorEastAsia"/>
                <w:szCs w:val="21"/>
              </w:rPr>
              <w:t xml:space="preserve">依据《GB/T42064》标准通过认证，结论为频闪无危害或无频闪危害或无显著影响</w:t>
            </w:r>
            <w:r>
              <w:rPr>
                <w:rFonts w:hint="eastAsia" w:cs="宋体" w:asciiTheme="minorEastAsia" w:hAnsiTheme="minorEastAsia" w:eastAsiaTheme="minorEastAsia"/>
                <w:bCs/>
                <w:szCs w:val="21"/>
                <w:lang w:bidi="ar"/>
              </w:rPr>
              <w:t xml:space="preserve">。提供第三方认证机构出具的认证证书及国家认监委查询“有效”截图。</w:t>
            </w:r>
            <w:r/>
          </w:p>
        </w:tc>
        <w:tc>
          <w:tcPr>
            <w:tcW w:w="60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4389"/>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施工要求</w:t>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灯具距演示设备面的最低悬挂高度1.7m，非嵌入式灯具应使用刚性吊杆安装，吊杆应与灯面垂直，不得倾斜，两杆间距偏差±5 mm；灯具排列采用长轴垂直于板书区域布置；灯具对称安装，其横（纵）向中心轴线宜在同一直线上，偏斜不应大于20mm。吊杆安装的灯具应采用不小于Φ6mm膨胀螺栓固定，预埋件承重能不低于灯具重量的10倍。灯具及其附件应安装齐全，并无损伤、变形、涂层剥落和</w:t>
            </w:r>
            <w:r>
              <w:rPr>
                <w:rFonts w:hint="eastAsia" w:cs="宋体" w:asciiTheme="minorEastAsia" w:hAnsiTheme="minorEastAsia" w:eastAsiaTheme="minorEastAsia"/>
                <w:bCs/>
                <w:szCs w:val="21"/>
                <w:lang w:bidi="ar"/>
              </w:rPr>
              <w:t xml:space="preserve">灯罩破裂等缺陷；灯具接线牢固、接触良好；开关面板及接线盒盒体安装完整、无破损变形，零件齐全；墙面明线安装中导管管径大小和接线盒孔径相匹配，导管和接线盒连接紧密。对施工中造成的墙面破损应修复。按教室照明设置情况和天然采光状况，每个照明开关所控制灯具数不应多于3个；板书区域灯具应单独控制，开关安装在板书区域同侧；灯具安装时，要注意避免对其他设备（如：监控摄像机、投影机、顶装空调）的遮挡；如果光线受到建筑构件遮挡，应注意在限值内调整灯具的水平安装位置或降低灯具的安装高度；安装风扇的教室中，出光口面应低于风扇叶面。</w:t>
            </w:r>
            <w:r/>
          </w:p>
        </w:tc>
        <w:tc>
          <w:tcPr>
            <w:tcW w:w="60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2493"/>
        </w:trPr>
        <w:tc>
          <w:tcPr>
            <w:tcW w:w="37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274" w:type="pct"/>
            <w:vAlign w:val="center"/>
            <w:textDirection w:val="lrTb"/>
            <w:noWrap w:val="false"/>
          </w:tcPr>
          <w:p>
            <w:pPr>
              <w:pStyle w:val="2043"/>
              <w:jc w:val="both"/>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照明设计方案</w:t>
            </w:r>
            <w:r/>
          </w:p>
        </w:tc>
        <w:tc>
          <w:tcPr>
            <w:tcW w:w="3750"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需提供每间实验室由DIALux或类似设计工具仿真设计的完整报表，报表中的教室尺寸等信息由采购方提供，报表中的灯具参数必须和提供的灯具检测报告上的参数一致。计算结果数据达到以下指标，维护系数取值1.0，全部灯具点亮时，课桌面平均照度≥375lx、均匀度≥0.7，板书面平均照度≥625lx、均匀度≥0.8，统一眩光值UGR&lt;19。具体施工与设计方案一致。</w:t>
            </w:r>
            <w:r/>
          </w:p>
        </w:tc>
        <w:tc>
          <w:tcPr>
            <w:tcW w:w="602" w:type="pct"/>
            <w:vAlign w:val="center"/>
            <w:vMerge w:val="continue"/>
            <w:textDirection w:val="lrTb"/>
            <w:noWrap w:val="false"/>
          </w:tcPr>
          <w:p>
            <w:pPr>
              <w:pStyle w:val="2043"/>
              <w:jc w:val="left"/>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r>
      <w:tr>
        <w:trPr>
          <w:trHeight w:val="647"/>
        </w:trPr>
        <w:tc>
          <w:tcPr>
            <w:gridSpan w:val="2"/>
            <w:tcW w:w="647" w:type="pct"/>
            <w:vAlign w:val="center"/>
            <w:textDirection w:val="lrTb"/>
            <w:noWrap/>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整体概述</w:t>
            </w:r>
            <w:r/>
          </w:p>
        </w:tc>
        <w:tc>
          <w:tcPr>
            <w:gridSpan w:val="2"/>
            <w:tcW w:w="4353"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Cs w:val="21"/>
                <w:lang w:bidi="ar"/>
              </w:rPr>
              <w:t xml:space="preserve">1. 教室光照度等各项指标达到国家标准。</w:t>
            </w:r>
            <w:r>
              <w:rPr>
                <w:rFonts w:hint="eastAsia" w:cs="宋体" w:asciiTheme="minorEastAsia" w:hAnsiTheme="minorEastAsia" w:eastAsiaTheme="minorEastAsia"/>
                <w:bCs/>
                <w:szCs w:val="21"/>
                <w:lang w:bidi="ar"/>
              </w:rPr>
              <w:br/>
              <w:t xml:space="preserve">2. 灯光系统为成套设备：教室顶灯、黑板灯、控制面板、辅材等。</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危化品设施</w:t>
      </w:r>
      <w:r/>
    </w:p>
    <w:tbl>
      <w:tblPr>
        <w:tblW w:w="4828" w:type="pct"/>
        <w:tblLook w:val="0000" w:firstRow="0" w:lastRow="0" w:firstColumn="0" w:lastColumn="0" w:noHBand="0" w:noVBand="0"/>
      </w:tblPr>
      <w:tblGrid>
        <w:gridCol w:w="1495"/>
        <w:gridCol w:w="1502"/>
        <w:gridCol w:w="6183"/>
        <w:gridCol w:w="1135"/>
      </w:tblGrid>
      <w:tr>
        <w:trPr>
          <w:trHeight w:val="388"/>
          <w:tblHeader/>
        </w:trPr>
        <w:tc>
          <w:tcPr>
            <w:gridSpan w:val="2"/>
            <w:tcBorders>
              <w:top w:val="single" w:color="000000" w:sz="4" w:space="0"/>
              <w:left w:val="single" w:color="000000" w:sz="4" w:space="0"/>
              <w:bottom w:val="single" w:color="000000" w:sz="4" w:space="0"/>
              <w:right w:val="single" w:color="000000" w:sz="4" w:space="0"/>
            </w:tcBorders>
            <w:tcW w:w="1453"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299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437"/>
        </w:trPr>
        <w:tc>
          <w:tcPr>
            <w:gridSpan w:val="2"/>
            <w:tcBorders>
              <w:top w:val="single" w:color="000000" w:sz="4" w:space="0"/>
              <w:left w:val="single" w:color="000000" w:sz="4" w:space="0"/>
              <w:bottom w:val="single" w:color="000000" w:sz="4" w:space="0"/>
              <w:right w:val="single" w:color="000000" w:sz="4" w:space="0"/>
            </w:tcBorders>
            <w:tcW w:w="145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防盗门</w:t>
            </w:r>
            <w:r/>
          </w:p>
        </w:tc>
        <w:tc>
          <w:tcPr>
            <w:tcBorders>
              <w:top w:val="single" w:color="000000" w:sz="4" w:space="0"/>
              <w:left w:val="single" w:color="000000" w:sz="4" w:space="0"/>
              <w:bottom w:val="single" w:color="000000" w:sz="4" w:space="0"/>
              <w:right w:val="single" w:color="000000" w:sz="4" w:space="0"/>
            </w:tcBorders>
            <w:tcW w:w="299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指纹，双锁，防盗报警，国标乙级以上</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437"/>
        </w:trPr>
        <w:tc>
          <w:tcPr>
            <w:gridSpan w:val="2"/>
            <w:tcBorders>
              <w:top w:val="single" w:color="000000" w:sz="4" w:space="0"/>
              <w:left w:val="single" w:color="000000" w:sz="4" w:space="0"/>
              <w:bottom w:val="single" w:color="000000" w:sz="4" w:space="0"/>
              <w:right w:val="single" w:color="000000" w:sz="4" w:space="0"/>
            </w:tcBorders>
            <w:tcW w:w="145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防盗窗</w:t>
            </w:r>
            <w:r/>
          </w:p>
        </w:tc>
        <w:tc>
          <w:tcPr>
            <w:tcBorders>
              <w:top w:val="single" w:color="000000" w:sz="4" w:space="0"/>
              <w:left w:val="single" w:color="000000" w:sz="4" w:space="0"/>
              <w:bottom w:val="single" w:color="000000" w:sz="4" w:space="0"/>
              <w:right w:val="single" w:color="000000" w:sz="4" w:space="0"/>
            </w:tcBorders>
            <w:tcW w:w="299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2.0mm断桥铝定制防盗窗</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1316"/>
        </w:trPr>
        <w:tc>
          <w:tcPr>
            <w:tcBorders>
              <w:top w:val="single" w:color="000000" w:sz="4" w:space="0"/>
              <w:left w:val="single" w:color="000000" w:sz="4" w:space="0"/>
              <w:bottom w:val="single" w:color="000000" w:sz="4" w:space="0"/>
              <w:right w:val="single" w:color="000000" w:sz="4" w:space="0"/>
            </w:tcBorders>
            <w:tcW w:w="725"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防爆照明</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防爆照明灯</w:t>
            </w:r>
            <w:r/>
          </w:p>
        </w:tc>
        <w:tc>
          <w:tcPr>
            <w:tcBorders>
              <w:top w:val="single" w:color="000000" w:sz="4" w:space="0"/>
              <w:left w:val="single" w:color="000000" w:sz="4" w:space="0"/>
              <w:bottom w:val="single" w:color="000000" w:sz="4" w:space="0"/>
              <w:right w:val="single" w:color="000000" w:sz="4" w:space="0"/>
            </w:tcBorders>
            <w:tcW w:w="299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1.电压：220V；</w:t>
            </w:r>
            <w:r>
              <w:rPr>
                <w:rFonts w:hint="eastAsia" w:cs="宋体" w:asciiTheme="minorEastAsia" w:hAnsiTheme="minorEastAsia" w:eastAsiaTheme="minorEastAsia"/>
                <w:sz w:val="20"/>
                <w:szCs w:val="20"/>
                <w:lang w:bidi="ar"/>
              </w:rPr>
              <w:br/>
              <w:t xml:space="preserve">2.温度组别：T1~T4；</w:t>
            </w:r>
            <w:r>
              <w:rPr>
                <w:rFonts w:hint="eastAsia" w:cs="宋体" w:asciiTheme="minorEastAsia" w:hAnsiTheme="minorEastAsia" w:eastAsiaTheme="minorEastAsia"/>
                <w:sz w:val="20"/>
                <w:szCs w:val="20"/>
                <w:lang w:bidi="ar"/>
              </w:rPr>
              <w:br/>
              <w:t xml:space="preserve">3.防爆标志：EXdⅡBT4Gb；</w:t>
            </w:r>
            <w:r>
              <w:rPr>
                <w:rFonts w:hint="eastAsia" w:cs="宋体" w:asciiTheme="minorEastAsia" w:hAnsiTheme="minorEastAsia" w:eastAsiaTheme="minorEastAsia"/>
                <w:sz w:val="20"/>
                <w:szCs w:val="20"/>
                <w:lang w:bidi="ar"/>
              </w:rPr>
              <w:br/>
              <w:t xml:space="preserve">4.灯身材质：铁，加厚玻璃及铁丝网罩。</w:t>
            </w:r>
            <w:r/>
          </w:p>
        </w:tc>
        <w:tc>
          <w:tcPr>
            <w:tcBorders>
              <w:top w:val="single" w:color="000000" w:sz="4" w:space="0"/>
              <w:left w:val="single" w:color="000000" w:sz="4" w:space="0"/>
              <w:bottom w:val="single" w:color="000000" w:sz="4" w:space="0"/>
              <w:right w:val="single" w:color="000000" w:sz="4" w:space="0"/>
            </w:tcBorders>
            <w:tcW w:w="550"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640"/>
        </w:trPr>
        <w:tc>
          <w:tcPr>
            <w:tcBorders>
              <w:top w:val="single" w:color="000000" w:sz="4" w:space="0"/>
              <w:left w:val="single" w:color="000000" w:sz="4" w:space="0"/>
              <w:bottom w:val="single" w:color="000000" w:sz="4" w:space="0"/>
              <w:right w:val="single" w:color="000000" w:sz="4" w:space="0"/>
            </w:tcBorders>
            <w:tcW w:w="725"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防爆单控开关</w:t>
            </w:r>
            <w:r/>
          </w:p>
        </w:tc>
        <w:tc>
          <w:tcPr>
            <w:tcBorders>
              <w:top w:val="single" w:color="000000" w:sz="4" w:space="0"/>
              <w:left w:val="single" w:color="000000" w:sz="4" w:space="0"/>
              <w:bottom w:val="single" w:color="000000" w:sz="4" w:space="0"/>
              <w:right w:val="single" w:color="000000" w:sz="4" w:space="0"/>
            </w:tcBorders>
            <w:tcW w:w="299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1.外壳采用铝合金压铸而成，表面高压静电喷涂；</w:t>
            </w:r>
            <w:r>
              <w:rPr>
                <w:rFonts w:hint="eastAsia" w:cs="宋体" w:asciiTheme="minorEastAsia" w:hAnsiTheme="minorEastAsia" w:eastAsiaTheme="minorEastAsia"/>
                <w:sz w:val="20"/>
                <w:szCs w:val="20"/>
                <w:lang w:bidi="ar"/>
              </w:rPr>
              <w:br/>
              <w:t xml:space="preserve">2.内部具有防尘功能；</w:t>
            </w:r>
            <w:r>
              <w:rPr>
                <w:rFonts w:hint="eastAsia" w:cs="宋体" w:asciiTheme="minorEastAsia" w:hAnsiTheme="minorEastAsia" w:eastAsiaTheme="minorEastAsia"/>
                <w:sz w:val="20"/>
                <w:szCs w:val="20"/>
                <w:lang w:bidi="ar"/>
              </w:rPr>
              <w:br/>
              <w:t xml:space="preserve">3.防爆标识：：EXdⅡBT4Gb；</w:t>
            </w:r>
            <w:r>
              <w:rPr>
                <w:rFonts w:hint="eastAsia" w:cs="宋体" w:asciiTheme="minorEastAsia" w:hAnsiTheme="minorEastAsia" w:eastAsiaTheme="minorEastAsia"/>
                <w:sz w:val="20"/>
                <w:szCs w:val="20"/>
                <w:lang w:bidi="ar"/>
              </w:rPr>
              <w:br/>
              <w:t xml:space="preserve">4.防护等级IP65。</w:t>
            </w:r>
            <w:r/>
          </w:p>
        </w:tc>
        <w:tc>
          <w:tcPr>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93"/>
        </w:trPr>
        <w:tc>
          <w:tcPr>
            <w:tcBorders>
              <w:top w:val="single" w:color="000000" w:sz="4" w:space="0"/>
              <w:left w:val="single" w:color="000000" w:sz="4" w:space="0"/>
              <w:bottom w:val="single" w:color="000000" w:sz="4" w:space="0"/>
              <w:right w:val="single" w:color="000000" w:sz="4" w:space="0"/>
            </w:tcBorders>
            <w:tcW w:w="725"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防爆插销</w:t>
            </w:r>
            <w:r/>
          </w:p>
        </w:tc>
        <w:tc>
          <w:tcPr>
            <w:tcBorders>
              <w:top w:val="single" w:color="000000" w:sz="4" w:space="0"/>
              <w:left w:val="single" w:color="000000" w:sz="4" w:space="0"/>
              <w:bottom w:val="single" w:color="000000" w:sz="4" w:space="0"/>
              <w:right w:val="single" w:color="000000" w:sz="4" w:space="0"/>
            </w:tcBorders>
            <w:tcW w:w="299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1.电流电压：220V~250V，10A~16A；</w:t>
            </w:r>
            <w:r>
              <w:rPr>
                <w:rFonts w:hint="eastAsia" w:cs="宋体" w:asciiTheme="minorEastAsia" w:hAnsiTheme="minorEastAsia" w:eastAsiaTheme="minorEastAsia"/>
                <w:sz w:val="20"/>
                <w:szCs w:val="20"/>
                <w:lang w:bidi="ar"/>
              </w:rPr>
              <w:br/>
              <w:t xml:space="preserve">2.防爆级别：EXdⅡBT4Gb；</w:t>
            </w:r>
            <w:r>
              <w:rPr>
                <w:rFonts w:hint="eastAsia" w:cs="宋体" w:asciiTheme="minorEastAsia" w:hAnsiTheme="minorEastAsia" w:eastAsiaTheme="minorEastAsia"/>
                <w:sz w:val="20"/>
                <w:szCs w:val="20"/>
                <w:lang w:bidi="ar"/>
              </w:rPr>
              <w:br/>
              <w:t xml:space="preserve">3.防护等级IP65。</w:t>
            </w:r>
            <w:r/>
          </w:p>
        </w:tc>
        <w:tc>
          <w:tcPr>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640"/>
        </w:trPr>
        <w:tc>
          <w:tcPr>
            <w:tcBorders>
              <w:top w:val="single" w:color="000000" w:sz="4" w:space="0"/>
              <w:left w:val="single" w:color="000000" w:sz="4" w:space="0"/>
              <w:bottom w:val="single" w:color="000000" w:sz="4" w:space="0"/>
              <w:right w:val="single" w:color="000000" w:sz="4" w:space="0"/>
            </w:tcBorders>
            <w:tcW w:w="725"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防爆应急指示一体灯</w:t>
            </w:r>
            <w:r/>
          </w:p>
        </w:tc>
        <w:tc>
          <w:tcPr>
            <w:tcBorders>
              <w:top w:val="single" w:color="000000" w:sz="4" w:space="0"/>
              <w:left w:val="single" w:color="000000" w:sz="4" w:space="0"/>
              <w:bottom w:val="single" w:color="000000" w:sz="4" w:space="0"/>
              <w:right w:val="single" w:color="000000" w:sz="4" w:space="0"/>
            </w:tcBorders>
            <w:tcW w:w="299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1.电压：AC220V/50Hz；</w:t>
            </w:r>
            <w:r>
              <w:rPr>
                <w:rFonts w:hint="eastAsia" w:cs="宋体" w:asciiTheme="minorEastAsia" w:hAnsiTheme="minorEastAsia" w:eastAsiaTheme="minorEastAsia"/>
                <w:sz w:val="20"/>
                <w:szCs w:val="20"/>
                <w:lang w:bidi="ar"/>
              </w:rPr>
              <w:br/>
              <w:t xml:space="preserve">2.应急启动：0.3秒；</w:t>
            </w:r>
            <w:r>
              <w:rPr>
                <w:rFonts w:hint="eastAsia" w:cs="宋体" w:asciiTheme="minorEastAsia" w:hAnsiTheme="minorEastAsia" w:eastAsiaTheme="minorEastAsia"/>
                <w:sz w:val="20"/>
                <w:szCs w:val="20"/>
                <w:lang w:bidi="ar"/>
              </w:rPr>
              <w:br/>
              <w:t xml:space="preserve">3.防护等级IP65；</w:t>
            </w:r>
            <w:r>
              <w:rPr>
                <w:rFonts w:hint="eastAsia" w:cs="宋体" w:asciiTheme="minorEastAsia" w:hAnsiTheme="minorEastAsia" w:eastAsiaTheme="minorEastAsia"/>
                <w:sz w:val="20"/>
                <w:szCs w:val="20"/>
                <w:lang w:bidi="ar"/>
              </w:rPr>
              <w:br/>
              <w:t xml:space="preserve">4.材质：精工车铝；</w:t>
            </w:r>
            <w:r>
              <w:rPr>
                <w:rFonts w:hint="eastAsia" w:cs="宋体" w:asciiTheme="minorEastAsia" w:hAnsiTheme="minorEastAsia" w:eastAsiaTheme="minorEastAsia"/>
                <w:sz w:val="20"/>
                <w:szCs w:val="20"/>
                <w:lang w:bidi="ar"/>
              </w:rPr>
              <w:br/>
              <w:t xml:space="preserve">5.防爆级别：EXdⅡBT4Gb。</w:t>
            </w:r>
            <w:r/>
          </w:p>
        </w:tc>
        <w:tc>
          <w:tcPr>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68"/>
        </w:trPr>
        <w:tc>
          <w:tcPr>
            <w:gridSpan w:val="2"/>
            <w:tcBorders>
              <w:top w:val="single" w:color="000000" w:sz="4" w:space="0"/>
              <w:left w:val="single" w:color="000000" w:sz="4" w:space="0"/>
              <w:bottom w:val="single" w:color="000000" w:sz="4" w:space="0"/>
              <w:right w:val="single" w:color="000000" w:sz="4" w:space="0"/>
            </w:tcBorders>
            <w:tcW w:w="145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监控</w:t>
            </w:r>
            <w:r/>
          </w:p>
        </w:tc>
        <w:tc>
          <w:tcPr>
            <w:tcBorders>
              <w:top w:val="single" w:color="000000" w:sz="4" w:space="0"/>
              <w:left w:val="single" w:color="000000" w:sz="4" w:space="0"/>
              <w:bottom w:val="single" w:color="000000" w:sz="4" w:space="0"/>
              <w:right w:val="single" w:color="000000" w:sz="4" w:space="0"/>
            </w:tcBorders>
            <w:tcW w:w="299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防爆型探头2个，全方位360度无死角，含4口交换机。</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37"/>
        </w:trPr>
        <w:tc>
          <w:tcPr>
            <w:gridSpan w:val="2"/>
            <w:tcBorders>
              <w:top w:val="single" w:color="000000" w:sz="4" w:space="0"/>
              <w:left w:val="single" w:color="000000" w:sz="4" w:space="0"/>
              <w:bottom w:val="single" w:color="000000" w:sz="4" w:space="0"/>
              <w:right w:val="single" w:color="000000" w:sz="4" w:space="0"/>
            </w:tcBorders>
            <w:tcW w:w="145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静电消除器</w:t>
            </w:r>
            <w:r/>
          </w:p>
        </w:tc>
        <w:tc>
          <w:tcPr>
            <w:tcBorders>
              <w:top w:val="single" w:color="000000" w:sz="4" w:space="0"/>
              <w:left w:val="single" w:color="000000" w:sz="4" w:space="0"/>
              <w:bottom w:val="single" w:color="000000" w:sz="4" w:space="0"/>
              <w:right w:val="single" w:color="000000" w:sz="4" w:space="0"/>
            </w:tcBorders>
            <w:tcW w:w="299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静电释放球（含声光提示功能）。</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965"/>
        </w:trPr>
        <w:tc>
          <w:tcPr>
            <w:gridSpan w:val="2"/>
            <w:tcBorders>
              <w:top w:val="single" w:color="000000" w:sz="4" w:space="0"/>
              <w:left w:val="single" w:color="000000" w:sz="4" w:space="0"/>
              <w:bottom w:val="single" w:color="000000" w:sz="4" w:space="0"/>
              <w:right w:val="single" w:color="000000" w:sz="4" w:space="0"/>
            </w:tcBorders>
            <w:tcW w:w="145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Borders>
              <w:top w:val="single" w:color="000000" w:sz="4" w:space="0"/>
              <w:left w:val="single" w:color="000000" w:sz="4" w:space="0"/>
              <w:bottom w:val="single" w:color="000000" w:sz="4" w:space="0"/>
              <w:right w:val="single" w:color="000000" w:sz="4" w:space="0"/>
            </w:tcBorders>
            <w:tcW w:w="35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易爆存储设备功能：防爆结构设计、通风系统、静电释放功能、安全报警系统；</w:t>
            </w:r>
            <w:r>
              <w:rPr>
                <w:rFonts w:hint="eastAsia" w:cs="宋体" w:asciiTheme="minorEastAsia" w:hAnsiTheme="minorEastAsia" w:eastAsiaTheme="minorEastAsia"/>
                <w:sz w:val="20"/>
                <w:szCs w:val="20"/>
                <w:lang w:bidi="ar"/>
              </w:rPr>
              <w:br/>
              <w:t xml:space="preserve">易燃存储设备功能：防火功能、通风与可燃气体控制、分类存储功能、防泄漏功能；</w:t>
            </w:r>
            <w:r>
              <w:rPr>
                <w:rFonts w:hint="eastAsia" w:cs="宋体" w:asciiTheme="minorEastAsia" w:hAnsiTheme="minorEastAsia" w:eastAsiaTheme="minorEastAsia"/>
                <w:sz w:val="20"/>
                <w:szCs w:val="20"/>
                <w:lang w:bidi="ar"/>
              </w:rPr>
              <w:br/>
              <w:t xml:space="preserve">耐腐蚀品储存设备功能：耐腐蚀材料构造、密封和隔离功能、通风系统</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录播系统</w:t>
      </w:r>
      <w:r/>
    </w:p>
    <w:tbl>
      <w:tblPr>
        <w:tblW w:w="4961" w:type="pct"/>
        <w:tblLook w:val="0000" w:firstRow="0" w:lastRow="0" w:firstColumn="0" w:lastColumn="0" w:noHBand="0" w:noVBand="0"/>
      </w:tblPr>
      <w:tblGrid>
        <w:gridCol w:w="601"/>
        <w:gridCol w:w="630"/>
        <w:gridCol w:w="1338"/>
        <w:gridCol w:w="6754"/>
        <w:gridCol w:w="1276"/>
      </w:tblGrid>
      <w:tr>
        <w:trPr>
          <w:trHeight w:val="278"/>
          <w:tblHeader/>
        </w:trPr>
        <w:tc>
          <w:tcPr>
            <w:gridSpan w:val="3"/>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t xml:space="preserve">数量</w:t>
            </w:r>
            <w:r/>
          </w:p>
        </w:tc>
      </w:tr>
      <w:tr>
        <w:trPr>
          <w:trHeight w:val="624"/>
        </w:trPr>
        <w:tc>
          <w:tcPr>
            <w:gridSpan w:val="2"/>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安装方式</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壁挂式</w:t>
            </w:r>
            <w:r/>
          </w:p>
        </w:tc>
        <w:tc>
          <w:tcPr>
            <w:tcBorders>
              <w:top w:val="single" w:color="000000" w:sz="4" w:space="0"/>
              <w:left w:val="single" w:color="000000" w:sz="4" w:space="0"/>
              <w:right w:val="single" w:color="000000" w:sz="4" w:space="0"/>
            </w:tcBorders>
            <w:tcW w:w="602" w:type="pct"/>
            <w:vAlign w:val="center"/>
            <w:vMerge w:val="restart"/>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3套</w:t>
            </w:r>
            <w:r/>
          </w:p>
        </w:tc>
      </w:tr>
      <w:tr>
        <w:trPr>
          <w:trHeight w:val="624"/>
        </w:trPr>
        <w:tc>
          <w:tcPr>
            <w:tcBorders>
              <w:top w:val="single" w:color="000000" w:sz="4" w:space="0"/>
              <w:left w:val="single" w:color="000000" w:sz="4" w:space="0"/>
              <w:right w:val="single" w:color="000000" w:sz="4" w:space="0"/>
            </w:tcBorders>
            <w:tcW w:w="28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录播主机</w:t>
            </w:r>
            <w:r/>
          </w:p>
        </w:tc>
        <w:tc>
          <w:tcPr>
            <w:tcBorders>
              <w:top w:val="single" w:color="000000" w:sz="4" w:space="0"/>
              <w:left w:val="single" w:color="000000" w:sz="4" w:space="0"/>
              <w:bottom w:val="single" w:color="000000" w:sz="4" w:space="0"/>
              <w:right w:val="single" w:color="000000" w:sz="4" w:space="0"/>
            </w:tcBorders>
            <w:tcW w:w="297"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屏体</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15.6英寸</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分辨率</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1920*1080</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触控类型</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电容触控</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触控点数</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10点</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嵌入式系统</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操作系统</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安卓11</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CPU</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4核A73+4核A53</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GPU</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mali G52</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内存</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4G</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存储</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32G+1T</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接口</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USB接口</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USB*2</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中控接口</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RS232*1</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视频输入接口</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≥HDMI*2，≥POE*4</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视频输出接口</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HDMI*1</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音频输入接口</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LINE IN*1</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音频输出接口</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LINE OUT*1</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4"/>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输出分辨率</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u w:val="single"/>
              </w:rPr>
            </w:pPr>
            <w:r/>
            <w:hyperlink r:id="rId39" w:tooltip="mailto:4K@30fps" w:history="1">
              <w:r>
                <w:rPr>
                  <w:rStyle w:val="1149"/>
                  <w:rFonts w:hint="eastAsia" w:cs="宋体" w:asciiTheme="minorEastAsia" w:hAnsiTheme="minorEastAsia" w:eastAsiaTheme="minorEastAsia"/>
                  <w:color w:val="auto"/>
                  <w:sz w:val="20"/>
                  <w:szCs w:val="20"/>
                  <w:u w:val="single"/>
                </w:rPr>
                <w:t xml:space="preserve">4K@30fps</w:t>
              </w:r>
            </w:hyperlink>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013"/>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NFC</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刷卡开关机</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支持NFC功能，便于用户刷卡开机；同时预留≥1路RS232接口，用于与中控对接。</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01"/>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视频编解码</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支持H.264、H.265视频编码协议，要求支持4K@30fps、1080P@30fps、720P@30fps分辨率格式编解码。</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29"/>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音频编解码</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采用AAC音频编解码协议标准，并支持音频处理功能。</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39"/>
        </w:trPr>
        <w:tc>
          <w:tcPr>
            <w:tcBorders>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高性能浮点DSP</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支持AEC回声抑制、AGC自动增益、ANC噪声抑制等音频数字化处理功能。</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59"/>
        </w:trPr>
        <w:tc>
          <w:tcPr>
            <w:tcBorders>
              <w:top w:val="single" w:color="000000" w:sz="4" w:space="0"/>
              <w:left w:val="single" w:color="000000" w:sz="4" w:space="0"/>
              <w:right w:val="single" w:color="000000" w:sz="4" w:space="0"/>
            </w:tcBorders>
            <w:tcW w:w="28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录播主机</w:t>
            </w:r>
            <w:r/>
          </w:p>
        </w:tc>
        <w:tc>
          <w:tcPr>
            <w:gridSpan w:val="2"/>
            <w:tcBorders>
              <w:top w:val="single" w:color="000000" w:sz="4" w:space="0"/>
              <w:left w:val="single" w:color="000000" w:sz="4" w:space="0"/>
              <w:bottom w:val="single" w:color="000000" w:sz="4" w:space="0"/>
              <w:right w:val="single" w:color="000000" w:sz="4" w:space="0"/>
            </w:tcBorders>
            <w:tcW w:w="92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软件功能</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录播系统可通过壁挂录播主机的液晶触摸屏进行控制，也可以通过WEB页面实现远程访问和管理。</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66"/>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Borders>
              <w:top w:val="single" w:color="000000" w:sz="4" w:space="0"/>
              <w:left w:val="single" w:color="000000" w:sz="4" w:space="0"/>
              <w:bottom w:val="single" w:color="000000" w:sz="4" w:space="0"/>
              <w:right w:val="single" w:color="000000" w:sz="4" w:space="0"/>
            </w:tcBorders>
            <w:tcW w:w="9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录播软件：</w:t>
            </w:r>
            <w:r>
              <w:rPr>
                <w:rFonts w:hint="eastAsia" w:cs="宋体" w:asciiTheme="minorEastAsia" w:hAnsiTheme="minorEastAsia" w:eastAsiaTheme="minorEastAsia"/>
                <w:sz w:val="20"/>
                <w:szCs w:val="20"/>
                <w:lang w:bidi="ar"/>
              </w:rPr>
              <w:br/>
              <w:t xml:space="preserve">（1）系统至少包含电脑画面、教师特写、学生特写、教师全景、学生全景五路视频信号预览通道。</w:t>
            </w:r>
            <w:r>
              <w:rPr>
                <w:rFonts w:hint="eastAsia" w:cs="宋体" w:asciiTheme="minorEastAsia" w:hAnsiTheme="minorEastAsia" w:eastAsiaTheme="minorEastAsia"/>
                <w:sz w:val="20"/>
                <w:szCs w:val="20"/>
                <w:lang w:bidi="ar"/>
              </w:rPr>
              <w:br/>
              <w:t xml:space="preserve">（2）系统提供一键开始录制、一键开始直播的功能。</w:t>
            </w:r>
            <w:r>
              <w:rPr>
                <w:rFonts w:hint="eastAsia" w:cs="宋体" w:asciiTheme="minorEastAsia" w:hAnsiTheme="minorEastAsia" w:eastAsiaTheme="minorEastAsia"/>
                <w:sz w:val="20"/>
                <w:szCs w:val="20"/>
                <w:lang w:bidi="ar"/>
              </w:rPr>
              <w:br/>
              <w:t xml:space="preserve">（3）系统支持预设画面布局调用和切换特效调用；画面布局支持一键选择不同布局，针对不同的布局均可选择画面位置和画面大小。</w:t>
            </w:r>
            <w:r>
              <w:rPr>
                <w:rFonts w:hint="eastAsia" w:cs="宋体" w:asciiTheme="minorEastAsia" w:hAnsiTheme="minorEastAsia" w:eastAsiaTheme="minorEastAsia"/>
                <w:sz w:val="20"/>
                <w:szCs w:val="20"/>
                <w:lang w:bidi="ar"/>
              </w:rPr>
              <w:br/>
              <w:t xml:space="preserve">（4）系统支持对预设台标和预设水印的一键开启和关闭。</w:t>
            </w:r>
            <w:r>
              <w:rPr>
                <w:rFonts w:hint="eastAsia" w:cs="宋体" w:asciiTheme="minorEastAsia" w:hAnsiTheme="minorEastAsia" w:eastAsiaTheme="minorEastAsia"/>
                <w:sz w:val="20"/>
                <w:szCs w:val="20"/>
                <w:lang w:bidi="ar"/>
              </w:rPr>
              <w:br/>
              <w:t xml:space="preserve">（5）系统支持录制模式的选择，录制模式至少包含电影模式录制和电影+资源模式同时录制。</w:t>
            </w:r>
            <w:r>
              <w:rPr>
                <w:rFonts w:hint="eastAsia" w:cs="宋体" w:asciiTheme="minorEastAsia" w:hAnsiTheme="minorEastAsia" w:eastAsiaTheme="minorEastAsia"/>
                <w:sz w:val="20"/>
                <w:szCs w:val="20"/>
                <w:lang w:bidi="ar"/>
              </w:rPr>
              <w:br/>
              <w:t xml:space="preserve">（6）系统支持无线摄像机的视频接入，便于后期对录播系统进行升级。</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587"/>
        </w:trPr>
        <w:tc>
          <w:tcPr>
            <w:tcBorders>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Borders>
              <w:top w:val="single" w:color="000000" w:sz="4" w:space="0"/>
              <w:left w:val="single" w:color="000000" w:sz="4" w:space="0"/>
              <w:bottom w:val="single" w:color="000000" w:sz="4" w:space="0"/>
              <w:right w:val="single" w:color="000000" w:sz="4" w:space="0"/>
            </w:tcBorders>
            <w:tcW w:w="92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远程WEB页面提供导播管理、文件管理和设备管理三大功能。</w:t>
            </w:r>
            <w:r>
              <w:rPr>
                <w:rFonts w:hint="eastAsia" w:cs="宋体" w:asciiTheme="minorEastAsia" w:hAnsiTheme="minorEastAsia" w:eastAsiaTheme="minorEastAsia"/>
                <w:sz w:val="20"/>
                <w:szCs w:val="20"/>
                <w:lang w:bidi="ar"/>
              </w:rPr>
              <w:br/>
              <w:t xml:space="preserve">一、导播管理：</w:t>
            </w:r>
            <w:r>
              <w:rPr>
                <w:rFonts w:hint="eastAsia" w:cs="宋体" w:asciiTheme="minorEastAsia" w:hAnsiTheme="minorEastAsia" w:eastAsiaTheme="minorEastAsia"/>
                <w:sz w:val="20"/>
                <w:szCs w:val="20"/>
                <w:lang w:bidi="ar"/>
              </w:rPr>
              <w:br/>
              <w:t xml:space="preserve">（1）导播五画面：可以通过切换电脑画面、教师特写、学生特写、教师全景、学生全景等五路画面的场景来进行查看。</w:t>
            </w:r>
            <w:r>
              <w:rPr>
                <w:rFonts w:hint="eastAsia" w:cs="宋体" w:asciiTheme="minorEastAsia" w:hAnsiTheme="minorEastAsia" w:eastAsiaTheme="minorEastAsia"/>
                <w:sz w:val="20"/>
                <w:szCs w:val="20"/>
                <w:lang w:bidi="ar"/>
              </w:rPr>
              <w:br/>
              <w:t xml:space="preserve">（2）导播通道视频切换：鼠标单击某一路通道即可完成视频切换。</w:t>
            </w:r>
            <w:r>
              <w:rPr>
                <w:rFonts w:hint="eastAsia" w:cs="宋体" w:asciiTheme="minorEastAsia" w:hAnsiTheme="minorEastAsia" w:eastAsiaTheme="minorEastAsia"/>
                <w:sz w:val="20"/>
                <w:szCs w:val="20"/>
                <w:lang w:bidi="ar"/>
              </w:rPr>
              <w:br/>
              <w:t xml:space="preserve">（3）信息显示：在导播管理页面实时呈现课程名称、主讲老师、视频参数、音频参数、录制码率、磁盘容量等基本信息。</w:t>
            </w:r>
            <w:r>
              <w:rPr>
                <w:rFonts w:hint="eastAsia" w:cs="宋体" w:asciiTheme="minorEastAsia" w:hAnsiTheme="minorEastAsia" w:eastAsiaTheme="minorEastAsia"/>
                <w:sz w:val="20"/>
                <w:szCs w:val="20"/>
                <w:lang w:bidi="ar"/>
              </w:rPr>
              <w:br/>
              <w:t xml:space="preserve">（4）为提升视频信号预览效果，所有录播相关控制的功能按键默认为隐藏，需要使用时调出即可。</w:t>
            </w:r>
            <w:r>
              <w:rPr>
                <w:rFonts w:hint="eastAsia" w:cs="宋体" w:asciiTheme="minorEastAsia" w:hAnsiTheme="minorEastAsia" w:eastAsiaTheme="minorEastAsia"/>
                <w:sz w:val="20"/>
                <w:szCs w:val="20"/>
                <w:lang w:bidi="ar"/>
              </w:rPr>
              <w:br/>
              <w:t xml:space="preserve">（5）系统提供开始录制、开始直播、暂停、音量调整、设置等常用功能。</w:t>
            </w:r>
            <w:r>
              <w:rPr>
                <w:rFonts w:hint="eastAsia" w:cs="宋体" w:asciiTheme="minorEastAsia" w:hAnsiTheme="minorEastAsia" w:eastAsiaTheme="minorEastAsia"/>
                <w:sz w:val="20"/>
                <w:szCs w:val="20"/>
                <w:lang w:bidi="ar"/>
              </w:rPr>
              <w:br/>
              <w:t xml:space="preserve">（6）视频画面全屏显示：系统支持任意一路视频画面进入和退出全屏显示。</w:t>
            </w:r>
            <w:r>
              <w:rPr>
                <w:rFonts w:hint="eastAsia" w:cs="宋体" w:asciiTheme="minorEastAsia" w:hAnsiTheme="minorEastAsia" w:eastAsiaTheme="minorEastAsia"/>
                <w:sz w:val="20"/>
                <w:szCs w:val="20"/>
                <w:lang w:bidi="ar"/>
              </w:rPr>
              <w:br/>
              <w:t xml:space="preserve">（7）系统支持一键切换手动导播和自动导播。</w:t>
            </w:r>
            <w:r>
              <w:rPr>
                <w:rFonts w:hint="eastAsia" w:cs="宋体" w:asciiTheme="minorEastAsia" w:hAnsiTheme="minorEastAsia" w:eastAsiaTheme="minorEastAsia"/>
                <w:sz w:val="20"/>
                <w:szCs w:val="20"/>
                <w:lang w:bidi="ar"/>
              </w:rPr>
              <w:br/>
              <w:t xml:space="preserve">（8）系统支持对摄像机云台的上下左右控制、变焦控制、转动速度快慢的调整。</w:t>
            </w:r>
            <w:r>
              <w:rPr>
                <w:rFonts w:hint="eastAsia" w:cs="宋体" w:asciiTheme="minorEastAsia" w:hAnsiTheme="minorEastAsia" w:eastAsiaTheme="minorEastAsia"/>
                <w:sz w:val="20"/>
                <w:szCs w:val="20"/>
                <w:lang w:bidi="ar"/>
              </w:rPr>
              <w:br/>
              <w:t xml:space="preserve">（9）系统支持摄像机预制位设置及预制位的快速调用。</w:t>
            </w:r>
            <w:r>
              <w:rPr>
                <w:rFonts w:hint="eastAsia" w:cs="宋体" w:asciiTheme="minorEastAsia" w:hAnsiTheme="minorEastAsia" w:eastAsiaTheme="minorEastAsia"/>
                <w:sz w:val="20"/>
                <w:szCs w:val="20"/>
                <w:lang w:bidi="ar"/>
              </w:rPr>
              <w:br/>
              <w:t xml:space="preserve">（10）系统支持不少于十种画面切换特效供用户一键调用，同时可对各特效的切换时间进行自定义设置。</w:t>
            </w:r>
            <w:r>
              <w:rPr>
                <w:rFonts w:hint="eastAsia" w:cs="宋体" w:asciiTheme="minorEastAsia" w:hAnsiTheme="minorEastAsia" w:eastAsiaTheme="minorEastAsia"/>
                <w:sz w:val="20"/>
                <w:szCs w:val="20"/>
                <w:lang w:bidi="ar"/>
              </w:rPr>
              <w:br/>
              <w:t xml:space="preserve">（11）系统支持录制模式选择，用户可根据需要选择仅录制电影模式，也可以选择电影模式和资源模式同时录制。</w:t>
            </w:r>
            <w:r>
              <w:rPr>
                <w:rFonts w:hint="eastAsia" w:cs="宋体" w:asciiTheme="minorEastAsia" w:hAnsiTheme="minorEastAsia" w:eastAsiaTheme="minorEastAsia"/>
                <w:sz w:val="20"/>
                <w:szCs w:val="20"/>
                <w:lang w:bidi="ar"/>
              </w:rPr>
              <w:br/>
              <w:t xml:space="preserve">（12）系统支持用户一键启用和停用预设的水印和台标。</w:t>
            </w:r>
            <w:r>
              <w:rPr>
                <w:rFonts w:hint="eastAsia" w:cs="宋体" w:asciiTheme="minorEastAsia" w:hAnsiTheme="minorEastAsia" w:eastAsiaTheme="minorEastAsia"/>
                <w:sz w:val="20"/>
                <w:szCs w:val="20"/>
                <w:lang w:bidi="ar"/>
              </w:rPr>
              <w:br/>
              <w:t xml:space="preserve">（13）系统支持隐藏和显示各路视频通道。</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174"/>
        </w:trPr>
        <w:tc>
          <w:tcPr>
            <w:tcBorders>
              <w:top w:val="single" w:color="000000" w:sz="4" w:space="0"/>
              <w:left w:val="single" w:color="000000" w:sz="4" w:space="0"/>
              <w:right w:val="single" w:color="000000" w:sz="4" w:space="0"/>
            </w:tcBorders>
            <w:tcW w:w="28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录播主机</w:t>
            </w:r>
            <w:r/>
          </w:p>
        </w:tc>
        <w:tc>
          <w:tcPr>
            <w:gridSpan w:val="2"/>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软件功能</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二、文件管理</w:t>
            </w:r>
            <w:r>
              <w:rPr>
                <w:rFonts w:hint="eastAsia" w:cs="宋体" w:asciiTheme="minorEastAsia" w:hAnsiTheme="minorEastAsia" w:eastAsiaTheme="minorEastAsia"/>
                <w:sz w:val="20"/>
                <w:szCs w:val="20"/>
                <w:lang w:bidi="ar"/>
              </w:rPr>
              <w:br/>
              <w:t xml:space="preserve">在文件管理中提供所有已录制视频文件的管理功能。</w:t>
            </w:r>
            <w:r>
              <w:rPr>
                <w:rFonts w:hint="eastAsia" w:cs="宋体" w:asciiTheme="minorEastAsia" w:hAnsiTheme="minorEastAsia" w:eastAsiaTheme="minorEastAsia"/>
                <w:sz w:val="20"/>
                <w:szCs w:val="20"/>
                <w:lang w:bidi="ar"/>
              </w:rPr>
              <w:br/>
              <w:t xml:space="preserve">（1）用户可根据视频文件的名称或老师姓名等对已录制的文件进行模糊检索。</w:t>
            </w:r>
            <w:r>
              <w:rPr>
                <w:rFonts w:hint="eastAsia" w:cs="宋体" w:asciiTheme="minorEastAsia" w:hAnsiTheme="minorEastAsia" w:eastAsiaTheme="minorEastAsia"/>
                <w:sz w:val="20"/>
                <w:szCs w:val="20"/>
                <w:lang w:bidi="ar"/>
              </w:rPr>
              <w:br/>
              <w:t xml:space="preserve">（2）列表显示已录制的文件时，至少显示出文件名、时间、文件大小等属性。</w:t>
            </w:r>
            <w:r>
              <w:rPr>
                <w:rFonts w:hint="eastAsia" w:cs="宋体" w:asciiTheme="minorEastAsia" w:hAnsiTheme="minorEastAsia" w:eastAsiaTheme="minorEastAsia"/>
                <w:sz w:val="20"/>
                <w:szCs w:val="20"/>
                <w:lang w:bidi="ar"/>
              </w:rPr>
              <w:br/>
              <w:t xml:space="preserve">（3）用户可选择删除或导出视频文件。</w:t>
            </w:r>
            <w:r>
              <w:rPr>
                <w:rFonts w:hint="eastAsia" w:cs="宋体" w:asciiTheme="minorEastAsia" w:hAnsiTheme="minorEastAsia" w:eastAsiaTheme="minorEastAsia"/>
                <w:sz w:val="20"/>
                <w:szCs w:val="20"/>
                <w:lang w:bidi="ar"/>
              </w:rPr>
              <w:br/>
              <w:t xml:space="preserve">三、设备管理</w:t>
            </w:r>
            <w:r>
              <w:rPr>
                <w:rFonts w:hint="eastAsia" w:cs="宋体" w:asciiTheme="minorEastAsia" w:hAnsiTheme="minorEastAsia" w:eastAsiaTheme="minorEastAsia"/>
                <w:sz w:val="20"/>
                <w:szCs w:val="20"/>
                <w:lang w:bidi="ar"/>
              </w:rPr>
              <w:br/>
              <w:t xml:space="preserve">设备管理模块实现对录播模块各类参数的设置和管理功能，包括导播设置、跟踪设置、水印台标设置、上传设置、通道设置、推流设置等。</w:t>
            </w:r>
            <w:r>
              <w:rPr>
                <w:rFonts w:hint="eastAsia" w:cs="宋体" w:asciiTheme="minorEastAsia" w:hAnsiTheme="minorEastAsia" w:eastAsiaTheme="minorEastAsia"/>
                <w:sz w:val="20"/>
                <w:szCs w:val="20"/>
                <w:lang w:bidi="ar"/>
              </w:rPr>
              <w:br/>
              <w:t xml:space="preserve">（1）导播设置：支持用户自定义导播切换规则。默认规则如下：</w:t>
            </w:r>
            <w:r>
              <w:rPr>
                <w:rFonts w:hint="eastAsia" w:cs="宋体" w:asciiTheme="minorEastAsia" w:hAnsiTheme="minorEastAsia" w:eastAsiaTheme="minorEastAsia"/>
                <w:sz w:val="20"/>
                <w:szCs w:val="20"/>
                <w:lang w:bidi="ar"/>
              </w:rPr>
              <w:br/>
              <w:t xml:space="preserve">①当老师书写板书时自动切换到板书特写画面；</w:t>
            </w:r>
            <w:r>
              <w:rPr>
                <w:rFonts w:hint="eastAsia" w:cs="宋体" w:asciiTheme="minorEastAsia" w:hAnsiTheme="minorEastAsia" w:eastAsiaTheme="minorEastAsia"/>
                <w:sz w:val="20"/>
                <w:szCs w:val="20"/>
                <w:lang w:bidi="ar"/>
              </w:rPr>
              <w:br/>
              <w:t xml:space="preserve">②当老师切换PPT时自动切换到授课电脑画面；</w:t>
            </w:r>
            <w:r>
              <w:rPr>
                <w:rFonts w:hint="eastAsia" w:cs="宋体" w:asciiTheme="minorEastAsia" w:hAnsiTheme="minorEastAsia" w:eastAsiaTheme="minorEastAsia"/>
                <w:sz w:val="20"/>
                <w:szCs w:val="20"/>
                <w:lang w:bidi="ar"/>
              </w:rPr>
              <w:br/>
              <w:t xml:space="preserve">③当教师在讲台区域移动时自动切换到教师全景画面；</w:t>
            </w:r>
            <w:r>
              <w:rPr>
                <w:rFonts w:hint="eastAsia" w:cs="宋体" w:asciiTheme="minorEastAsia" w:hAnsiTheme="minorEastAsia" w:eastAsiaTheme="minorEastAsia"/>
                <w:sz w:val="20"/>
                <w:szCs w:val="20"/>
                <w:lang w:bidi="ar"/>
              </w:rPr>
              <w:br/>
              <w:t xml:space="preserve">④当教师在讲台区域相对静止时自动切换到教师特写画面；</w:t>
            </w:r>
            <w:r>
              <w:rPr>
                <w:rFonts w:hint="eastAsia" w:cs="宋体" w:asciiTheme="minorEastAsia" w:hAnsiTheme="minorEastAsia" w:eastAsiaTheme="minorEastAsia"/>
                <w:sz w:val="20"/>
                <w:szCs w:val="20"/>
                <w:lang w:bidi="ar"/>
              </w:rPr>
              <w:br/>
              <w:t xml:space="preserve">⑤当老师走下讲台进入学生区域时自动切换到学生全景画面；</w:t>
            </w:r>
            <w:r>
              <w:rPr>
                <w:rFonts w:hint="eastAsia" w:cs="宋体" w:asciiTheme="minorEastAsia" w:hAnsiTheme="minorEastAsia" w:eastAsiaTheme="minorEastAsia"/>
                <w:sz w:val="20"/>
                <w:szCs w:val="20"/>
                <w:lang w:bidi="ar"/>
              </w:rPr>
              <w:br/>
              <w:t xml:space="preserve">⑥当学生起立回答问题时自动实现对学生的特写跟踪，并切换到学生特写画面；</w:t>
            </w:r>
            <w:r>
              <w:rPr>
                <w:rFonts w:hint="eastAsia" w:cs="宋体" w:asciiTheme="minorEastAsia" w:hAnsiTheme="minorEastAsia" w:eastAsiaTheme="minorEastAsia"/>
                <w:sz w:val="20"/>
                <w:szCs w:val="20"/>
                <w:lang w:bidi="ar"/>
              </w:rPr>
              <w:br/>
              <w:t xml:space="preserve">⑦当多名学生起立回答问题时自动切换到学生全景画面；</w:t>
            </w:r>
            <w:r>
              <w:rPr>
                <w:rFonts w:hint="eastAsia" w:cs="宋体" w:asciiTheme="minorEastAsia" w:hAnsiTheme="minorEastAsia" w:eastAsiaTheme="minorEastAsia"/>
                <w:sz w:val="20"/>
                <w:szCs w:val="20"/>
                <w:lang w:bidi="ar"/>
              </w:rPr>
              <w:br/>
              <w:t xml:space="preserve">（2）跟踪设置：系统支持对老师摄像机和学生摄像机的跟踪进行设置；</w:t>
            </w:r>
            <w:r>
              <w:rPr>
                <w:rFonts w:hint="eastAsia" w:cs="宋体" w:asciiTheme="minorEastAsia" w:hAnsiTheme="minorEastAsia" w:eastAsiaTheme="minorEastAsia"/>
                <w:sz w:val="20"/>
                <w:szCs w:val="20"/>
                <w:lang w:bidi="ar"/>
              </w:rPr>
              <w:br/>
              <w:t xml:space="preserve">（3）上传设置：系统支持ftp上传录制好的视频文件，并可根据用户需要选择上传的视频文件种类（电影模式、资源模式）及上传策略（闲时上传、定时长传、实时上传、不上传）</w:t>
            </w:r>
            <w:r>
              <w:rPr>
                <w:rFonts w:hint="eastAsia" w:cs="宋体" w:asciiTheme="minorEastAsia" w:hAnsiTheme="minorEastAsia" w:eastAsiaTheme="minorEastAsia"/>
                <w:sz w:val="20"/>
                <w:szCs w:val="20"/>
                <w:lang w:bidi="ar"/>
              </w:rPr>
              <w:br/>
              <w:t xml:space="preserve">（4）通道设置：系统支持对各视频通道加载的视频信号进行统一管理；</w:t>
            </w:r>
            <w:r>
              <w:rPr>
                <w:rFonts w:hint="eastAsia" w:cs="宋体" w:asciiTheme="minorEastAsia" w:hAnsiTheme="minorEastAsia" w:eastAsiaTheme="minorEastAsia"/>
                <w:sz w:val="20"/>
                <w:szCs w:val="20"/>
                <w:lang w:bidi="ar"/>
              </w:rPr>
              <w:br/>
              <w:t xml:space="preserve">（5）推流设置：系统支持对直播服务器地址进行配置管理；至少可同时推送3路不同的视频流至直播服务器供直播观看。</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42"/>
        </w:trPr>
        <w:tc>
          <w:tcPr>
            <w:tcBorders>
              <w:left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电源适配器</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输入电压</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220V</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4"/>
        </w:trPr>
        <w:tc>
          <w:tcPr>
            <w:tcBorders>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输出电压</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54V</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086"/>
        </w:trPr>
        <w:tc>
          <w:tcPr>
            <w:tcBorders>
              <w:top w:val="single" w:color="000000" w:sz="4" w:space="0"/>
              <w:left w:val="single" w:color="000000" w:sz="4" w:space="0"/>
              <w:bottom w:val="single" w:color="000000" w:sz="4" w:space="0"/>
              <w:right w:val="single" w:color="000000" w:sz="4" w:space="0"/>
            </w:tcBorders>
            <w:tcW w:w="284"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演示实验摄像机</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72mm×60mm×130mm</w:t>
            </w:r>
            <w:r/>
          </w:p>
        </w:tc>
        <w:tc>
          <w:tcPr>
            <w:tcBorders>
              <w:left w:val="single" w:color="000000" w:sz="4" w:space="0"/>
              <w:right w:val="single" w:color="000000" w:sz="4" w:space="0"/>
            </w:tcBorders>
            <w:tcW w:w="602" w:type="pct"/>
            <w:vAlign w:val="bottom"/>
            <w:vMerge w:val="continue"/>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传感器</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1/2.8英寸, CMOS, 有效像素：846万</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镜头</w:t>
            </w:r>
            <w:r/>
          </w:p>
        </w:tc>
        <w:tc>
          <w:tcPr>
            <w:shd w:val="clear" w:color="auto" w:fill="ffffff"/>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采用4K镜头，同时支持ePTZ控制；水平视场角：42°；焦距：f=7.2mm；</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数字变焦</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支持8倍数字变焦</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最低照度</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0.5Lux @ (F1.8, AGC ON)</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白平衡</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自动，室内，室外，一键式，手动，指定色温</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数字降噪</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2D&amp;3D数字降噪</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 3G-SDI接口。支持SDI、网络、USB三路同时输出；支持自动对焦；支持POC和POE一线通功能，即一条网线同时实现供电、控制、视频、音频信号传输，从而简化接线安装；</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网络特性</w:t>
            </w:r>
            <w:r/>
          </w:p>
        </w:tc>
        <w:tc>
          <w:tcPr>
            <w:tcBorders>
              <w:top w:val="single" w:color="000000" w:sz="4" w:space="0"/>
              <w:left w:val="single" w:color="000000" w:sz="4" w:space="0"/>
              <w:bottom w:val="single" w:color="000000" w:sz="4" w:space="0"/>
              <w:right w:val="single" w:color="000000" w:sz="4" w:space="0"/>
            </w:tcBorders>
            <w:tcW w:w="631" w:type="pct"/>
            <w:vAlign w:val="bottom"/>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视频编码标准</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H.265 / H.264 / MJPEG</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视频码流</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第一路码流、第二路码流 第三路码流、第四路码流</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视频码率</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32kbps~16384kbps</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码率控制</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可变码率，固定码率</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音频压缩标准</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AAC、G711A</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支持协议</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SRT,TCP/IP, HTTP, RTSP, RTMP(S), Onvif, DHCP,</w:t>
            </w:r>
            <w:r>
              <w:rPr>
                <w:rFonts w:hint="eastAsia" w:cs="宋体" w:asciiTheme="minorEastAsia" w:hAnsiTheme="minorEastAsia" w:eastAsiaTheme="minorEastAsia"/>
                <w:sz w:val="20"/>
                <w:szCs w:val="20"/>
                <w:lang w:bidi="ar"/>
              </w:rPr>
              <w:br/>
              <w:t xml:space="preserve">组播等</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音频码率</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96Kbps，128Kbps，256Kbps</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输入输出接口</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高清输出</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1×3G-SDI: BNC类型, 800mVp-p, 75Ω, 遵循 SMPTE 424M标准，支持PoC</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网络接口</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1×RJ45:10M/100M/1000M自适应以太网，支持</w:t>
            </w:r>
            <w:r>
              <w:rPr>
                <w:rFonts w:hint="eastAsia" w:cs="宋体" w:asciiTheme="minorEastAsia" w:hAnsiTheme="minorEastAsia" w:eastAsiaTheme="minorEastAsia"/>
                <w:sz w:val="20"/>
                <w:szCs w:val="20"/>
                <w:lang w:bidi="ar"/>
              </w:rPr>
              <w:br/>
              <w:t xml:space="preserve">PoE</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USB接口</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1×USB 2.0</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音频接口</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1×Line In，3芯凤凰口</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控制接口</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1×RS485: 2芯凤凰口, 最大距离: 1200米, </w:t>
            </w:r>
            <w:r>
              <w:rPr>
                <w:rFonts w:hint="eastAsia" w:cs="宋体" w:asciiTheme="minorEastAsia" w:hAnsiTheme="minorEastAsia" w:eastAsiaTheme="minorEastAsia"/>
                <w:sz w:val="20"/>
                <w:szCs w:val="20"/>
                <w:lang w:bidi="ar"/>
              </w:rPr>
              <w:br/>
              <w:t xml:space="preserve">VISCA/Pelco-D/Pelco-P协议</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电源接口</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DC005类型（DC12V）</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一般规范</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输入电压</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DC 12V / PoC / POE (802.3af)</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输入电流</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0.5A（最大）</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工作温度</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-10°C ~ 40°C</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储藏温度</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-40°C ~ 60°C</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功耗</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6W（max）</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Borders>
              <w:top w:val="single" w:color="000000" w:sz="4" w:space="0"/>
              <w:left w:val="single" w:color="000000" w:sz="4" w:space="0"/>
              <w:bottom w:val="single" w:color="000000" w:sz="4" w:space="0"/>
              <w:right w:val="single" w:color="000000" w:sz="4" w:space="0"/>
            </w:tcBorders>
            <w:tcW w:w="284"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297"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净重</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0.37kg</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76"/>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拾音麦克风</w:t>
            </w:r>
            <w:r/>
          </w:p>
        </w:tc>
        <w:tc>
          <w:tcPr>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318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170*170*30mm</w:t>
            </w:r>
            <w:r/>
          </w:p>
        </w:tc>
        <w:tc>
          <w:tcPr>
            <w:tcBorders>
              <w:left w:val="single" w:color="000000" w:sz="4" w:space="0"/>
              <w:right w:val="single" w:color="000000" w:sz="4" w:space="0"/>
            </w:tcBorders>
            <w:tcW w:w="602" w:type="pct"/>
            <w:vAlign w:val="bottom"/>
            <w:vMerge w:val="continue"/>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59"/>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配置</w:t>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设备供电：DC 24V</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59"/>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最大模拟增益：51dB</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59"/>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幻象供电：48V</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59"/>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输入输出量化：48KHz/24bit</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59"/>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数模动态范围（A计权）：120dB</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59"/>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输入共模抑制：80dB@+24dBu@60Hz</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59"/>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输入阻抗：20kΩbalance，10kΩunbalance</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59"/>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最大输入：18dBu</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59"/>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模数动态范围（A计权）：114dB</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59"/>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通道隔离度：104dB@1kHz，4dBu</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59"/>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频率响应：20Hz～20kHz(±0.25dB)</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总谐波失真(THD+N)：≤0.003%@1k，4dBu</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59"/>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1)全面混音功能，24bit/48KHz取样频率，高性能A/DD/A转换器和32-bit浮点DSP处理器；</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59"/>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2)内置麦克风阵列，拾音距离3-5米捕捉声源，可通过该内置的麦克风阵列同步进行本地扩声，本地音源的录制以及远程互动；</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59"/>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3)预留3路模拟音源输入，可支持幻象供电的麦克输入，阵列式麦克风输入，或者多媒体线路模拟音频输入。</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4)支持2路数字输出，2路模拟输出。数字输出可以直接联动数字音箱接码输出，延时低于10ms。模拟输出可以外接多媒体音箱完成扩声输出。</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5)输入每通道：前级放大、信号发生器、扩展器、压缩器、5段参量均衡；输出每通道：31段图示均衡、延时器、分频器、限幅器</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6)反馈抑制（AFC）：全数字化自动反馈抑制算法，自动适应声学环境，无需调试，快速校正功能，声压级提升幅度≥10-15dB。</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7)自适应背景降噪（ANS）：可根据室内环境智能学习噪声，并抑制，降噪幅度≥15dB。</w:t>
            </w:r>
            <w:r/>
          </w:p>
        </w:tc>
        <w:tc>
          <w:tcPr>
            <w:tcBorders>
              <w:left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58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3186" w:type="pct"/>
            <w:vAlign w:val="bottom"/>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8)自动增益控制（AGC）：自动根据发音距离远近调节话筒增益，音量大小稳定输。增益控制幅度：-20dB-+20dB。</w:t>
            </w:r>
            <w:r/>
          </w:p>
        </w:tc>
        <w:tc>
          <w:tcPr>
            <w:tcBorders>
              <w:left w:val="single" w:color="000000" w:sz="4" w:space="0"/>
              <w:bottom w:val="single" w:color="000000" w:sz="4" w:space="0"/>
              <w:right w:val="single" w:color="000000" w:sz="4" w:space="0"/>
            </w:tcBorders>
            <w:tcW w:w="602"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094"/>
        </w:trPr>
        <w:tc>
          <w:tcPr>
            <w:gridSpan w:val="3"/>
            <w:tcBorders>
              <w:top w:val="single" w:color="000000" w:sz="4" w:space="0"/>
              <w:left w:val="single" w:color="000000" w:sz="4" w:space="0"/>
              <w:bottom w:val="single" w:color="000000" w:sz="4" w:space="0"/>
              <w:right w:val="single" w:color="000000" w:sz="4" w:space="0"/>
            </w:tcBorders>
            <w:tcW w:w="1212"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整体概述</w:t>
            </w:r>
            <w:r/>
          </w:p>
        </w:tc>
        <w:tc>
          <w:tcPr>
            <w:gridSpan w:val="2"/>
            <w:tcBorders>
              <w:top w:val="single" w:color="000000" w:sz="4" w:space="0"/>
              <w:left w:val="single" w:color="000000" w:sz="4" w:space="0"/>
              <w:bottom w:val="single" w:color="000000" w:sz="4" w:space="0"/>
              <w:right w:val="single" w:color="000000" w:sz="4" w:space="0"/>
            </w:tcBorders>
            <w:tcW w:w="3788"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 实现课程录制功能、直播功能、点播功能、智能编辑功能；</w:t>
            </w:r>
            <w:r>
              <w:rPr>
                <w:rFonts w:hint="eastAsia" w:cs="宋体" w:asciiTheme="minorEastAsia" w:hAnsiTheme="minorEastAsia" w:eastAsiaTheme="minorEastAsia"/>
                <w:sz w:val="20"/>
                <w:szCs w:val="20"/>
                <w:lang w:bidi="ar"/>
              </w:rPr>
              <w:br/>
              <w:t xml:space="preserve">2. 录播系统为成套设备：壁挂录播主机、演示摄像机、吊麦、辅材等。</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物联控制终端</w:t>
      </w:r>
      <w:r/>
    </w:p>
    <w:tbl>
      <w:tblPr>
        <w:tblW w:w="4961" w:type="pct"/>
        <w:tblLook w:val="0000" w:firstRow="0" w:lastRow="0" w:firstColumn="0" w:lastColumn="0" w:noHBand="0" w:noVBand="0"/>
      </w:tblPr>
      <w:tblGrid>
        <w:gridCol w:w="549"/>
        <w:gridCol w:w="888"/>
        <w:gridCol w:w="848"/>
        <w:gridCol w:w="1274"/>
        <w:gridCol w:w="5764"/>
        <w:gridCol w:w="1276"/>
      </w:tblGrid>
      <w:tr>
        <w:trPr>
          <w:trHeight w:val="427"/>
          <w:tblHeader/>
        </w:trPr>
        <w:tc>
          <w:tcPr>
            <w:gridSpan w:val="3"/>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t xml:space="preserve">数量</w:t>
            </w:r>
            <w:r/>
          </w:p>
        </w:tc>
      </w:tr>
      <w:tr>
        <w:trPr>
          <w:trHeight w:val="604"/>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智能触屏控制终端</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88mm×88mm×45mm</w:t>
            </w:r>
            <w:r/>
          </w:p>
        </w:tc>
        <w:tc>
          <w:tcPr>
            <w:tcBorders>
              <w:top w:val="single" w:color="000000" w:sz="4" w:space="0"/>
              <w:left w:val="single" w:color="000000" w:sz="4" w:space="0"/>
              <w:right w:val="single" w:color="000000" w:sz="4" w:space="0"/>
            </w:tcBorders>
            <w:tcW w:w="602" w:type="pct"/>
            <w:vAlign w:val="center"/>
            <w:vMerge w:val="restart"/>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t xml:space="preserve">3</w:t>
            </w:r>
            <w:r>
              <w:rPr>
                <w:rFonts w:hint="eastAsia" w:cs="宋体" w:asciiTheme="minorEastAsia" w:hAnsiTheme="minorEastAsia" w:eastAsiaTheme="minorEastAsia"/>
                <w:b/>
                <w:bCs/>
                <w:sz w:val="20"/>
                <w:szCs w:val="20"/>
              </w:rPr>
              <w:t xml:space="preserve">套</w:t>
            </w:r>
            <w:r/>
          </w:p>
        </w:tc>
      </w:tr>
      <w:tr>
        <w:trPr>
          <w:trHeight w:val="567"/>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基本功能</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阻燃ABS</w:t>
            </w:r>
            <w:r/>
          </w:p>
        </w:tc>
        <w:tc>
          <w:tcPr>
            <w:tcBorders>
              <w:left w:val="single" w:color="000000" w:sz="4" w:space="0"/>
              <w:right w:val="single" w:color="000000" w:sz="4" w:space="0"/>
            </w:tcBorders>
            <w:tcW w:w="602"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567"/>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外观</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黑色+银色</w:t>
            </w:r>
            <w:r/>
          </w:p>
        </w:tc>
        <w:tc>
          <w:tcPr>
            <w:tcBorders>
              <w:left w:val="single" w:color="000000" w:sz="4" w:space="0"/>
              <w:right w:val="single" w:color="000000" w:sz="4" w:space="0"/>
            </w:tcBorders>
            <w:tcW w:w="602"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567"/>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屏幕</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≥4英寸多点触控彩屏；分辨率≥480*480</w:t>
            </w:r>
            <w:r/>
          </w:p>
        </w:tc>
        <w:tc>
          <w:tcPr>
            <w:tcBorders>
              <w:left w:val="single" w:color="000000" w:sz="4" w:space="0"/>
              <w:right w:val="single" w:color="000000" w:sz="4" w:space="0"/>
            </w:tcBorders>
            <w:tcW w:w="602"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567"/>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工作温度</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-10℃~40℃</w:t>
            </w:r>
            <w:r/>
          </w:p>
        </w:tc>
        <w:tc>
          <w:tcPr>
            <w:tcBorders>
              <w:left w:val="single" w:color="000000" w:sz="4" w:space="0"/>
              <w:right w:val="single" w:color="000000" w:sz="4" w:space="0"/>
            </w:tcBorders>
            <w:tcW w:w="602"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567"/>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工作湿度</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5%~90%RH无冷凝</w:t>
            </w:r>
            <w:r/>
          </w:p>
        </w:tc>
        <w:tc>
          <w:tcPr>
            <w:tcBorders>
              <w:left w:val="single" w:color="000000" w:sz="4" w:space="0"/>
              <w:right w:val="single" w:color="000000" w:sz="4" w:space="0"/>
            </w:tcBorders>
            <w:tcW w:w="602"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567"/>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场景配置</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≥4场景配置功能，至少包括上课，投影，课间，放学。</w:t>
            </w:r>
            <w:r/>
          </w:p>
        </w:tc>
        <w:tc>
          <w:tcPr>
            <w:tcBorders>
              <w:left w:val="single" w:color="000000" w:sz="4" w:space="0"/>
              <w:right w:val="single" w:color="000000" w:sz="4" w:space="0"/>
            </w:tcBorders>
            <w:tcW w:w="602"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567"/>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功率</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&lt;5W</w:t>
            </w:r>
            <w:r/>
          </w:p>
        </w:tc>
        <w:tc>
          <w:tcPr>
            <w:tcBorders>
              <w:left w:val="single" w:color="000000" w:sz="4" w:space="0"/>
              <w:right w:val="single" w:color="000000" w:sz="4" w:space="0"/>
            </w:tcBorders>
            <w:tcW w:w="602"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567"/>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电压</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~220V/50Hz</w:t>
            </w:r>
            <w:r/>
          </w:p>
        </w:tc>
        <w:tc>
          <w:tcPr>
            <w:tcBorders>
              <w:left w:val="single" w:color="000000" w:sz="4" w:space="0"/>
              <w:right w:val="single" w:color="000000" w:sz="4" w:space="0"/>
            </w:tcBorders>
            <w:tcW w:w="602"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567"/>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安装方式</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标准86盒，内嵌式安装。</w:t>
            </w:r>
            <w:r/>
          </w:p>
        </w:tc>
        <w:tc>
          <w:tcPr>
            <w:tcBorders>
              <w:left w:val="single" w:color="000000" w:sz="4" w:space="0"/>
              <w:right w:val="single" w:color="000000" w:sz="4" w:space="0"/>
            </w:tcBorders>
            <w:tcW w:w="602"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567"/>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通讯方式</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无线通讯，支持自组网。</w:t>
            </w:r>
            <w:r/>
          </w:p>
        </w:tc>
        <w:tc>
          <w:tcPr>
            <w:tcBorders>
              <w:left w:val="single" w:color="000000" w:sz="4" w:space="0"/>
              <w:right w:val="single" w:color="000000" w:sz="4" w:space="0"/>
            </w:tcBorders>
            <w:tcW w:w="602"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604"/>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照明物联终端</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88mm×88mm×45mm</w:t>
            </w:r>
            <w:r/>
          </w:p>
        </w:tc>
        <w:tc>
          <w:tcPr>
            <w:tcBorders>
              <w:left w:val="single" w:color="000000" w:sz="4" w:space="0"/>
              <w:right w:val="single" w:color="000000" w:sz="4" w:space="0"/>
            </w:tcBorders>
            <w:tcW w:w="602" w:type="pct"/>
            <w:vAlign w:val="bottom"/>
            <w:vMerge w:val="continue"/>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52"/>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基本参数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继电器要求</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四路继电器开关，每路最大负载400W，负载电压最大250VAC。</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4"/>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额定供电</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AC220V</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4"/>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额定频率</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50Hz</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01"/>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基本功能</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面板采用钢化玻璃触控面板材质，不小于四个按钮，清晰提示工作状态，美观安全。</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61"/>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安全功能</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无电源直接接触，安全可靠。</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34"/>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控制要求</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支持4路照明设备控制，每一路照明设备可独立控制，满足分区照明的需求。</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52"/>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物联要求</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支持移动设备（手机）设备APP控制，如开和关。</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4"/>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空调设备</w:t>
            </w:r>
            <w:r>
              <w:rPr>
                <w:rFonts w:hint="eastAsia" w:cs="宋体" w:asciiTheme="minorEastAsia" w:hAnsiTheme="minorEastAsia" w:eastAsiaTheme="minorEastAsia"/>
                <w:sz w:val="20"/>
                <w:szCs w:val="20"/>
                <w:lang w:bidi="ar"/>
              </w:rPr>
              <w:t xml:space="preserve">控制终端</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84mm×84mm×38mm</w:t>
            </w:r>
            <w:r/>
          </w:p>
        </w:tc>
        <w:tc>
          <w:tcPr>
            <w:tcBorders>
              <w:left w:val="single" w:color="000000" w:sz="4" w:space="0"/>
              <w:right w:val="single" w:color="000000" w:sz="4" w:space="0"/>
            </w:tcBorders>
            <w:tcW w:w="602" w:type="pct"/>
            <w:vAlign w:val="center"/>
            <w:vMerge w:val="continue"/>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4"/>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基本参数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设备功能</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管控1路设备</w:t>
            </w:r>
            <w:r/>
          </w:p>
        </w:tc>
        <w:tc>
          <w:tcPr>
            <w:tcBorders>
              <w:left w:val="single" w:color="000000" w:sz="4" w:space="0"/>
              <w:right w:val="single" w:color="000000" w:sz="4" w:space="0"/>
            </w:tcBorders>
            <w:tcW w:w="60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4"/>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基本功能</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材质和外观</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阻燃ABS、白色</w:t>
            </w:r>
            <w:r/>
          </w:p>
        </w:tc>
        <w:tc>
          <w:tcPr>
            <w:tcBorders>
              <w:left w:val="single" w:color="000000" w:sz="4" w:space="0"/>
              <w:right w:val="single" w:color="000000" w:sz="4" w:space="0"/>
            </w:tcBorders>
            <w:tcW w:w="60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4"/>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实时检测空调工作状态；支持多场景空调管理模式。</w:t>
            </w:r>
            <w:r/>
          </w:p>
        </w:tc>
        <w:tc>
          <w:tcPr>
            <w:tcBorders>
              <w:left w:val="single" w:color="000000" w:sz="4" w:space="0"/>
              <w:right w:val="single" w:color="000000" w:sz="4" w:space="0"/>
            </w:tcBorders>
            <w:tcW w:w="60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4"/>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开关智能控制</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制冷制热模式设置，温度设置等。</w:t>
            </w:r>
            <w:r/>
          </w:p>
        </w:tc>
        <w:tc>
          <w:tcPr>
            <w:tcBorders>
              <w:left w:val="single" w:color="000000" w:sz="4" w:space="0"/>
              <w:right w:val="single" w:color="000000" w:sz="4" w:space="0"/>
            </w:tcBorders>
            <w:tcW w:w="60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4"/>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物联要求</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通过拨码开关简单操作，完成现场网络和设备地址配置。</w:t>
            </w:r>
            <w:r/>
          </w:p>
        </w:tc>
        <w:tc>
          <w:tcPr>
            <w:tcBorders>
              <w:left w:val="single" w:color="000000" w:sz="4" w:space="0"/>
              <w:right w:val="single" w:color="000000" w:sz="4" w:space="0"/>
            </w:tcBorders>
            <w:tcW w:w="60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4"/>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大屏智能控制模块</w:t>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110mm×61mm×28mm。</w:t>
            </w:r>
            <w:r/>
          </w:p>
        </w:tc>
        <w:tc>
          <w:tcPr>
            <w:tcBorders>
              <w:left w:val="single" w:color="000000" w:sz="4" w:space="0"/>
              <w:right w:val="single" w:color="000000" w:sz="4" w:space="0"/>
            </w:tcBorders>
            <w:tcW w:w="602" w:type="pct"/>
            <w:vAlign w:val="bottom"/>
            <w:vMerge w:val="continue"/>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4"/>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基本参数</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设备功能</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管控1路设备。</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07"/>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基本功能</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外观</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灰白色。</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01"/>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在线选择不同串口控制的交互一体机设备的管理及预设教学场景自动联动及远程开、关交互一体机。</w:t>
            </w:r>
            <w:r/>
          </w:p>
        </w:tc>
        <w:tc>
          <w:tcPr>
            <w:tcBorders>
              <w:left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4"/>
        </w:trPr>
        <w:tc>
          <w:tcPr>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物联要求</w:t>
            </w:r>
            <w:r/>
          </w:p>
        </w:tc>
        <w:tc>
          <w:tcPr>
            <w:gridSpan w:val="2"/>
            <w:tcBorders>
              <w:top w:val="single" w:color="000000" w:sz="4" w:space="0"/>
              <w:left w:val="single" w:color="000000" w:sz="4" w:space="0"/>
              <w:bottom w:val="single" w:color="000000" w:sz="4" w:space="0"/>
              <w:right w:val="single" w:color="000000" w:sz="4" w:space="0"/>
            </w:tcBorders>
            <w:tcW w:w="332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Zigbee无线通讯，自组网。</w:t>
            </w:r>
            <w:r/>
          </w:p>
        </w:tc>
        <w:tc>
          <w:tcPr>
            <w:tcBorders>
              <w:left w:val="single" w:color="000000" w:sz="4" w:space="0"/>
              <w:bottom w:val="single" w:color="000000" w:sz="4" w:space="0"/>
              <w:right w:val="single" w:color="000000" w:sz="4" w:space="0"/>
            </w:tcBorders>
            <w:tcW w:w="602" w:type="pct"/>
            <w:vAlign w:val="bottom"/>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99"/>
        </w:trPr>
        <w:tc>
          <w:tcPr>
            <w:gridSpan w:val="4"/>
            <w:tcBorders>
              <w:top w:val="single" w:color="000000" w:sz="4" w:space="0"/>
              <w:left w:val="single" w:color="000000" w:sz="4" w:space="0"/>
              <w:bottom w:val="single" w:color="000000" w:sz="4" w:space="0"/>
              <w:right w:val="single" w:color="000000" w:sz="4" w:space="0"/>
            </w:tcBorders>
            <w:tcW w:w="167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Borders>
              <w:top w:val="single" w:color="000000" w:sz="4" w:space="0"/>
              <w:left w:val="single" w:color="000000" w:sz="4" w:space="0"/>
              <w:bottom w:val="single" w:color="000000" w:sz="4" w:space="0"/>
              <w:right w:val="single" w:color="000000" w:sz="4" w:space="0"/>
            </w:tcBorders>
            <w:tcW w:w="3321"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1、功能：多媒体设备控制、照明和窗帘控制、教学设备电源管理、课件展示、视频和音频播放、教学资源整合与调用、课堂提问与反馈、小组协作支持；</w:t>
            </w:r>
            <w:r>
              <w:rPr>
                <w:rFonts w:hint="eastAsia" w:cs="宋体" w:asciiTheme="minorEastAsia" w:hAnsiTheme="minorEastAsia" w:eastAsiaTheme="minorEastAsia"/>
                <w:sz w:val="20"/>
                <w:szCs w:val="20"/>
                <w:lang w:bidi="ar"/>
              </w:rPr>
              <w:br/>
              <w:t xml:space="preserve">2、主要包括：智能触屏控制终端、照明物联终端、空调设备控制终端、大屏智能控制模块。</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基础装修（型号一）</w:t>
      </w:r>
      <w:r/>
    </w:p>
    <w:tbl>
      <w:tblPr>
        <w:tblW w:w="496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05"/>
        <w:gridCol w:w="967"/>
        <w:gridCol w:w="1492"/>
        <w:gridCol w:w="6459"/>
        <w:gridCol w:w="1276"/>
      </w:tblGrid>
      <w:tr>
        <w:trPr>
          <w:trHeight w:val="469"/>
          <w:tblHeader/>
        </w:trPr>
        <w:tc>
          <w:tcPr>
            <w:gridSpan w:val="3"/>
            <w:tcW w:w="135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3047" w:type="pct"/>
            <w:vAlign w:val="center"/>
            <w:textDirection w:val="lrTb"/>
            <w:noWrap/>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W w:w="602"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510"/>
        </w:trPr>
        <w:tc>
          <w:tcPr>
            <w:tcW w:w="191"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教室墙面出新</w:t>
            </w:r>
            <w:r/>
          </w:p>
        </w:tc>
        <w:tc>
          <w:tcPr>
            <w:tcW w:w="45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腻子（2遍）</w:t>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安全等级</w:t>
            </w:r>
            <w:r/>
          </w:p>
        </w:tc>
        <w:tc>
          <w:tcPr>
            <w:tcW w:w="3047" w:type="pc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通过儿童安全级产品认证以及绿色建材三星认证。</w:t>
            </w:r>
            <w:r/>
          </w:p>
        </w:tc>
        <w:tc>
          <w:tcPr>
            <w:tcW w:w="602" w:type="pct"/>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700㎡</w:t>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粘结度</w:t>
            </w:r>
            <w:r/>
          </w:p>
        </w:tc>
        <w:tc>
          <w:tcPr>
            <w:tcW w:w="3047" w:type="pc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≥0.3Mpa</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耐水性</w:t>
            </w:r>
            <w:r/>
          </w:p>
        </w:tc>
        <w:tc>
          <w:tcPr>
            <w:tcW w:w="3047" w:type="pc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通过浸泡实验的检测</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干燥时间</w:t>
            </w:r>
            <w:r/>
          </w:p>
        </w:tc>
        <w:tc>
          <w:tcPr>
            <w:tcW w:w="3047" w:type="pc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表干时间2-4h，实干时间：24h-48h，符合GB/T 1728-2020《漆膜、腻子膜干燥时间测定法》。</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初期干燥抗裂性3h</w:t>
            </w:r>
            <w:r/>
          </w:p>
        </w:tc>
        <w:tc>
          <w:tcPr>
            <w:tcW w:w="3047" w:type="pc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无裂纹</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有害物质限量</w:t>
            </w:r>
            <w:r/>
          </w:p>
        </w:tc>
        <w:tc>
          <w:tcPr>
            <w:tcW w:w="3047" w:type="pc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苯、甲苯、乙苯、二甲苯等苯系检测物总和≤100mg/kg，挥发性有机化合物（VOC）＜10,其中甲醛含量＜100mg/kg。</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打磨性标准</w:t>
            </w:r>
            <w:r/>
          </w:p>
        </w:tc>
        <w:tc>
          <w:tcPr>
            <w:tcW w:w="3047" w:type="pc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符合手工可打磨标准。</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放射性物质</w:t>
            </w:r>
            <w:r/>
          </w:p>
        </w:tc>
        <w:tc>
          <w:tcPr>
            <w:tcW w:w="3047" w:type="pc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镭-226、钍 - 232、钾 - 40的含量不超过国家标准。</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行业标准</w:t>
            </w:r>
            <w:r/>
          </w:p>
        </w:tc>
        <w:tc>
          <w:tcPr>
            <w:tcW w:w="3047" w:type="pc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满足JG/T 298-2010《建筑室内用腻子》、JG/T 157-2009《建筑外墙用腻子》</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有害物质限量标准</w:t>
            </w:r>
            <w:r/>
          </w:p>
        </w:tc>
        <w:tc>
          <w:tcPr>
            <w:tcW w:w="3047" w:type="pc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满足GB 18582-2020《建筑用墙面涂料中有害物质限量》</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打磨性标准</w:t>
            </w:r>
            <w:r/>
          </w:p>
        </w:tc>
        <w:tc>
          <w:tcPr>
            <w:tcW w:w="3047" w:type="pc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满足GB/T 1770-2008《涂膜、腻子膜打磨性测定法》</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乳胶漆（2遍）</w:t>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干燥时间（表干）</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≤2h</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对比率（白色和浅色）</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≥0.90</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耐碱性</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24小时内无异常</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耐洗衣刷次数</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有害物质限量</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挥发性有机化合物（VOC）≤120g/L,苯、甲苯、乙苯、二甲苯等苯系检测物总和≤300mg/kg,其中甲醛含量＜100mg/kg</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3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可溶性金属含量</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铅Pb≤90mg/kg、镉（Cd）≤75mg/kg、铬（Cr）≤60mg/kg、汞（Hg）≤60mg/kg</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符合行业标准</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GB/T9756-2001、GB18582-2008</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86"/>
        </w:trPr>
        <w:tc>
          <w:tcPr>
            <w:tcW w:w="191"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地胶垫</w:t>
            </w:r>
            <w:r/>
          </w:p>
        </w:tc>
        <w:tc>
          <w:tcPr>
            <w:tcW w:w="45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2.0mm水泥基自流平砂浆</w:t>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初始流动度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≥130mm</w:t>
            </w:r>
            <w:r/>
          </w:p>
        </w:tc>
        <w:tc>
          <w:tcPr>
            <w:tcW w:w="602" w:type="pct"/>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w:t>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凝结时间</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初凝时间：2-5h，终凝时间：6-12h</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28"/>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抗压强度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24h抗压强度≥6.0MPa.垫层产品28d抗压强度能满足最低C16，面层产品28d抗压强度能满足最低28MPa</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拉伸粘结强度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面层≥1.5MPa，垫层≥1.0MPa</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28"/>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抗折强度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满足《地面用水泥基自流平砂浆》JC/T985-2005要求，水泥基自流平24小时抗折强度≥2.0MPa</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尺寸变化率</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垫层在-0.15%~+0.15%之间，面层满足在-0.10%~+0.10%之间</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25"/>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耐磨性</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面层≤400mm³ ，垫层≤800mm³</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PH值</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24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符合行业标准</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《地面用水泥基自流平砂浆》JC/T985-2005、《自流平地面工程技术标准》JGJ／T 175-2018、《建筑地面工程施工质量验收规范》GB 50209</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71"/>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PVC卷材</w:t>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2.0mm*20m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68"/>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摩擦起电电压</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50V</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加热质量损失率</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0.0014</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加热尺寸变化率</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0.001</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残余凹陷度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0.08</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燃烧长度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撕裂强度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350-500MPa,直角撕裂强度≥50N/mm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304"/>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有害物质含量</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铅Pb：3.4mg/kg、镉（Cd）≤2mg/kg、铬（Cr）≤2mg/kg、汞（Hg）≤2mg/kg，多溴联苯及其醚等有害物质每一项分别≤5mg/kg，甲醛释放量0.1mg/l</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67"/>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耐磨性</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0.002</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54"/>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燃烧性能</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B1级</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摩擦系数</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0.56</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54"/>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阻燃性</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一级</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3"/>
        </w:trPr>
        <w:tc>
          <w:tcPr>
            <w:tcW w:w="191"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布线系统-地下</w:t>
            </w:r>
            <w:r/>
          </w:p>
        </w:tc>
        <w:tc>
          <w:tcPr>
            <w:tcW w:w="45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阻燃BV电线</w:t>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2.5平方、4平方、6平方</w:t>
            </w:r>
            <w:r/>
          </w:p>
        </w:tc>
        <w:tc>
          <w:tcPr>
            <w:tcW w:w="602" w:type="pct"/>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2项</w:t>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印刷标志标准</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印有制造商、产品型号（连续标记，最大间隔275mm）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20℃导体电阻</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7.24Ω/km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70℃绝缘电阻</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≥0.01MΩ/km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成品电压试验</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交流2500V持续5min不击穿</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绝缘厚度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0.9mm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绝缘最薄处厚度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0.82mm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28"/>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绝缘老化前抗张强度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15.1N/mm2</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ZB</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PVC线管</w:t>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De20及De25</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1.5mm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耐电压性能</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承受的电压范围2000-5000V,保持5min</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绝缘电阻</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≥100MΩ·m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0.03</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燃烧性能</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B1级</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六类非屏蔽网线</w:t>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导体直流电阻</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0.5mm线芯≤9.5Ω/100m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绝缘介电强度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导屏间2.5kV、屏屏间1.0kV</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近端串音值</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≥74.3－15×lg(f)</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耐温性</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-20℃至+75℃</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特性阻抗</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100±15Ω</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网络布线</w:t>
            </w:r>
            <w:r/>
          </w:p>
        </w:tc>
        <w:tc>
          <w:tcPr>
            <w:gridSpan w:val="2"/>
            <w:tcW w:w="375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教室讲台、学生演示设备、实验准备台网线预留</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W w:w="191"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给排水系统-地下</w:t>
            </w:r>
            <w:r/>
          </w:p>
        </w:tc>
        <w:tc>
          <w:tcPr>
            <w:tcW w:w="45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优质PPR(给水)管</w:t>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φ25㎜</w:t>
            </w:r>
            <w:r/>
          </w:p>
        </w:tc>
        <w:tc>
          <w:tcPr>
            <w:tcW w:w="602" w:type="pct"/>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2项</w:t>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标志</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每件有标签，标签有厂家型号</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28"/>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静液压强度（20℃/1h）</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在实验压力6.40Mpa下无破裂，无渗漏</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氧化诱导时间</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在210℃，≥20min</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透光率</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234"/>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0℃落锤冲击试验</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在环境温度23±5℃，湿度50±5%，调节时间48h，将样品放入0℃±1℃冷冻箱后4h取出，15秒内管件经8kg·m落锤冲击试验，无破损。</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PVC(排水)管</w:t>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φ50㎜</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管材平均壁厚</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2.3mm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维卡软化温度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83.3VST/℃</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0.018</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落锤冲击试验</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≤10，分布于A区</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需要符合的行业标准</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GB/T5836.1-2006</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矿棉板吊</w:t>
            </w:r>
            <w:r>
              <w:rPr>
                <w:rFonts w:hint="eastAsia" w:cs="宋体" w:asciiTheme="minorEastAsia" w:hAnsiTheme="minorEastAsia" w:eastAsiaTheme="minorEastAsia"/>
                <w:sz w:val="20"/>
                <w:szCs w:val="20"/>
                <w:lang w:bidi="ar"/>
              </w:rPr>
              <w:t xml:space="preserve">顶</w:t>
            </w:r>
            <w:r/>
          </w:p>
        </w:tc>
        <w:tc>
          <w:tcPr>
            <w:tcW w:w="45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矿棉板</w:t>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600*600*12mm</w:t>
            </w:r>
            <w:r/>
          </w:p>
        </w:tc>
        <w:tc>
          <w:tcPr>
            <w:tcW w:w="60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w:t>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含水率</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抗压强度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0.5MPA</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导热系数</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0.038-0.045W/（m·k）</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烟密度等级</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≤75</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B1级</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轻钢龙骨</w:t>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主龙骨规格</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C38,高度38mm，宽度12mm，主龙骨间距900mm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次龙骨规格</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T型龙骨24*38mm，龙骨间距600mm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横撑龙骨间距</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600mm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边龙骨</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20*20*3000mm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A级</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吊杆</w:t>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直径8mm钢筋，吊杆间距900mm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螺母</w:t>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M8</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挂件</w:t>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铁镀锌材质，厚度0.6mm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铝合金踢脚线</w:t>
            </w:r>
            <w:r/>
          </w:p>
        </w:tc>
        <w:tc>
          <w:tcPr>
            <w:tcW w:w="45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铝合金踢脚线</w:t>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80mm</w:t>
            </w:r>
            <w:r/>
          </w:p>
        </w:tc>
        <w:tc>
          <w:tcPr>
            <w:tcW w:w="602" w:type="pct"/>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80m</w:t>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1.0mm厚</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长度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3.0m（阴角阳角为90°）</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表面处理</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阳极氧化处理，氧化膜厚度20微米</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安装方式</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卡扣式，卡槽宽度12mm</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2"/>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维氏硬度测试</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15HW</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耐腐蚀性</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至少48-72小时的盐雾腐蚀</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6"/>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A级不燃</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83"/>
        </w:trPr>
        <w:tc>
          <w:tcPr>
            <w:tcW w:w="191"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学科文化布置</w:t>
            </w:r>
            <w:r/>
          </w:p>
        </w:tc>
        <w:tc>
          <w:tcPr>
            <w:tcW w:w="45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背景墙费PVC板</w:t>
            </w:r>
            <w:r/>
          </w:p>
        </w:tc>
        <w:tc>
          <w:tcPr>
            <w:tcW w:w="70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5mm*1000*2000mm</w:t>
            </w:r>
            <w:r/>
          </w:p>
        </w:tc>
        <w:tc>
          <w:tcPr>
            <w:tcW w:w="602" w:type="pct"/>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2室</w:t>
            </w:r>
            <w:r/>
          </w:p>
        </w:tc>
      </w:tr>
      <w:tr>
        <w:trPr>
          <w:trHeight w:val="283"/>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面积</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83"/>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比重</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1.58-1.60g/cm3</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83"/>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拉伸强度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50MPa</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83"/>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弯曲强度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89MPa</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83"/>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冲击强度</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2.9KJ/m2</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83"/>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维卡软化点</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79℃</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83"/>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70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变化率%腐蚀度g/m2 60±2℃  5h</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30%NAOH溶液、30%NACL溶液、20%H2SO4溶液、25%HCL溶液腐蚀度检测符合要求</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234"/>
        </w:trPr>
        <w:tc>
          <w:tcPr>
            <w:tcW w:w="191"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5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窗帘</w:t>
            </w:r>
            <w:r/>
          </w:p>
        </w:tc>
        <w:tc>
          <w:tcPr>
            <w:tcW w:w="70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结合学科色彩和图案设计，需达到使实验室既具实用性又富有艺术性，营造学科氛围，能辅助教学提升孩子的学习兴趣</w:t>
            </w:r>
            <w:r/>
          </w:p>
        </w:tc>
        <w:tc>
          <w:tcPr>
            <w:tcW w:w="602"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237"/>
        </w:trPr>
        <w:tc>
          <w:tcPr>
            <w:tcW w:w="1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灭火器</w:t>
            </w:r>
            <w:r/>
          </w:p>
        </w:tc>
        <w:tc>
          <w:tcPr>
            <w:tcW w:w="45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灭火器</w:t>
            </w:r>
            <w:r/>
          </w:p>
        </w:tc>
        <w:tc>
          <w:tcPr>
            <w:tcW w:w="70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灭火器</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手提式七氟丙烷灭火</w:t>
            </w:r>
            <w:r/>
          </w:p>
        </w:tc>
        <w:tc>
          <w:tcPr>
            <w:tcW w:w="602"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2个</w:t>
            </w:r>
            <w:r/>
          </w:p>
        </w:tc>
      </w:tr>
      <w:tr>
        <w:trPr>
          <w:trHeight w:val="1846"/>
        </w:trPr>
        <w:tc>
          <w:tcPr>
            <w:tcW w:w="19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拆除垃圾清运</w:t>
            </w:r>
            <w:r/>
          </w:p>
        </w:tc>
        <w:tc>
          <w:tcPr>
            <w:tcW w:w="45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拆除+垃圾清运</w:t>
            </w:r>
            <w:r/>
          </w:p>
        </w:tc>
        <w:tc>
          <w:tcPr>
            <w:tcW w:w="70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要求</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装修所有垃圾清除（含建筑垃圾）,搬运到学校指定地点</w:t>
            </w:r>
            <w:r/>
          </w:p>
        </w:tc>
        <w:tc>
          <w:tcPr>
            <w:tcW w:w="602"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2项</w:t>
            </w:r>
            <w:r/>
          </w:p>
        </w:tc>
      </w:tr>
      <w:tr>
        <w:trPr>
          <w:trHeight w:val="2064"/>
        </w:trPr>
        <w:tc>
          <w:tcPr>
            <w:tcW w:w="191"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水电安装调试</w:t>
            </w:r>
            <w:r/>
          </w:p>
        </w:tc>
        <w:tc>
          <w:tcPr>
            <w:gridSpan w:val="2"/>
            <w:tcW w:w="116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水电安装调试</w:t>
            </w:r>
            <w:r/>
          </w:p>
        </w:tc>
        <w:tc>
          <w:tcPr>
            <w:tcW w:w="3047"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化学上通风实验室、物理力学实验室、生物创新实验室水电安装调试</w:t>
            </w:r>
            <w:r/>
          </w:p>
        </w:tc>
        <w:tc>
          <w:tcPr>
            <w:tcW w:w="60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1项</w:t>
            </w:r>
            <w:r/>
          </w:p>
        </w:tc>
      </w:tr>
      <w:tr>
        <w:trPr>
          <w:trHeight w:val="2734"/>
        </w:trPr>
        <w:tc>
          <w:tcPr>
            <w:gridSpan w:val="3"/>
            <w:tcW w:w="135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W w:w="364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实现功能：（1）地面的防滑耐腐蚀处理保证学生实验的安全性；（2）窗帘的多元化设计确保学生的视觉感受，提升学生的学习兴趣；（3）通风系统可以及时排出这些有害气体，使室内空气质量符合安全标准；（4）节能灯具的使用确保学生在明亮的环境中实验，远离近视。</w:t>
            </w:r>
            <w:r>
              <w:rPr>
                <w:rFonts w:hint="eastAsia" w:cs="宋体" w:asciiTheme="minorEastAsia" w:hAnsiTheme="minorEastAsia" w:eastAsiaTheme="minorEastAsia"/>
                <w:sz w:val="20"/>
                <w:szCs w:val="20"/>
                <w:lang w:bidi="ar"/>
              </w:rPr>
              <w:br/>
              <w:t xml:space="preserve">2、装饰装修包括：安全防护设备、布线系统、给排水系统、学科文化、墙面出新、卷帘布置、灯具布置、PVC地胶、踢脚线、黑板灯、吊顶及垃圾清运。</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基础装修（型号二）</w:t>
      </w:r>
      <w:r/>
    </w:p>
    <w:tbl>
      <w:tblPr>
        <w:tblW w:w="0" w:type="auto"/>
        <w:tblLook w:val="0000" w:firstRow="0" w:lastRow="0" w:firstColumn="0" w:lastColumn="0" w:noHBand="0" w:noVBand="0"/>
      </w:tblPr>
      <w:tblGrid>
        <w:gridCol w:w="685"/>
        <w:gridCol w:w="1137"/>
        <w:gridCol w:w="1302"/>
        <w:gridCol w:w="6707"/>
        <w:gridCol w:w="851"/>
      </w:tblGrid>
      <w:tr>
        <w:trPr>
          <w:trHeight w:val="321"/>
          <w:tblHeader/>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351"/>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教室墙面出新</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腻子（2遍）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安全等级</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通过儿童安全级产品认证以及绿色建材三星认证。</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315㎡</w:t>
            </w:r>
            <w:r/>
          </w:p>
        </w:tc>
      </w:tr>
      <w:tr>
        <w:trPr>
          <w:trHeight w:val="3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粘结度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≥0.3Mpa</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耐水性</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通过浸泡实验的检测</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干燥时间</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表干时间2-4h，实干时间：24h-48h，符合GB/T 1728-2020《漆膜、腻子膜干燥时间测定法》。</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初期干燥抗裂性3h</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无裂纹</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有害物质限量</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苯、甲苯、乙苯、二甲苯等苯系检测物总和≤100mg/kg，挥发性有机化合物（VOC）＜10,其中甲醛含量＜100mg/kg。</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打磨性标准</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符合手工可打磨标准。</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5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放射性物质</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镭-226、钍 - 232、钾 - 40的含量不超过国家标准。</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行业标准</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满足JG/T 298-2010《建筑室内用腻子》、JG/T 157-2009《建筑外墙用腻子》。</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有害物质限量标准</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满足GB 18582-2020《建筑用墙面涂料中有害物质限量》。</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5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打磨性标准</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满足GB/T 1770-2008《涂膜、腻子膜打磨性测定法》。</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乳胶漆（2遍）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干燥时间（表干）</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≤2h</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对比率（白色和浅色）</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≥0.90</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耐碱性</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24小时内无异常</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耐洗衣刷次数</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2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有害物质限量</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挥发性有机化合物（VOC）≤120g/L,苯、甲苯、乙苯、二甲苯等苯系检测物总和≤300mg/kg,其中甲醛含量＜100mg/kg。</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可溶性金属含量</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铅Pb≤90mg/kg、镉（Cd）≤75mg/kg、铬（Cr）≤60mg/kg、汞（Hg）≤60mg/kg</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符合行业标准</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GB/T9756-2001、GB18582-2008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08"/>
        </w:trPr>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地胶垫</w:t>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2.0mm水泥基自流平砂浆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初始流动度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≥130mm</w:t>
            </w: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321"/>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凝结时间</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初凝时间：2-5h，终凝时间：6-12h</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抗压强度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24h抗压强度≥6.0MPa.垫层产品28d抗压强度能满足最低C16，面层产品28d抗压强度能满足最低28MPa</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拉伸粘结强度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面层≥1.5MPa，垫层≥1.0MPa</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抗折强度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满足《地面用水泥基自流平砂浆》JC/T985-2005要求，水泥基自流平24小时抗折强度≥2.0MPa</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地胶垫</w:t>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2.0mm水泥基自流平砂浆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尺寸变化率</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垫层在-0.15%~+0.15%之间，面层满足在-0.10%~+0.10%之间</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耐磨性</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面层≤400mm³ ，垫层≤800mm³</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PH值</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符合行业标</w:t>
            </w:r>
            <w:r>
              <w:rPr>
                <w:rFonts w:hint="eastAsia" w:cs="宋体" w:asciiTheme="minorEastAsia" w:hAnsiTheme="minorEastAsia" w:eastAsiaTheme="minorEastAsia"/>
                <w:sz w:val="20"/>
                <w:szCs w:val="20"/>
                <w:lang w:bidi="ar"/>
              </w:rPr>
              <w:t xml:space="preserve">准</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《地面用水泥基自流平砂浆》JC/T985-2005、《自流平地面工程技术标</w:t>
            </w:r>
            <w:r>
              <w:rPr>
                <w:rFonts w:hint="eastAsia" w:cs="宋体" w:asciiTheme="minorEastAsia" w:hAnsiTheme="minorEastAsia" w:eastAsiaTheme="minorEastAsia"/>
                <w:sz w:val="20"/>
                <w:szCs w:val="20"/>
                <w:lang w:bidi="ar"/>
              </w:rPr>
              <w:t xml:space="preserve">准》JGJ／T 175-2018、《建筑地面工程施工质量验收规范》GB 50209</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PVC卷材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2.0mm*20m</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摩擦起电电压</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50V</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加热质量损失率</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0.0014</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加热尺寸变化率</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0.001</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残余凹陷度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0.08</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燃烧长度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30mm</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撕裂强度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350-500MPa,直角撕裂强度≥50N/mm</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有害物质含量</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铅Pb：3.4mg/kg、镉（Cd）≤2mg/kg、铬（Cr）≤2mg/kg、汞（Hg）≤2mg/kg，多溴联苯及其醚等有害物质每一项分别≤5mg/kg，甲醛释放量0.1mg/l</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耐磨性</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0.002</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燃烧性能</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B1级</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摩擦系数</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0.56</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阻燃性</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一级</w:t>
            </w: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布线系统-地下</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阻燃BV电线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2.5平方、4平方、6平方</w:t>
            </w: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rPr>
                <w:rFonts w:hint="eastAsia" w:cs="宋体" w:asciiTheme="minorEastAsia" w:hAnsiTheme="minorEastAsia" w:eastAsiaTheme="minorEastAsia"/>
                <w:sz w:val="20"/>
                <w:szCs w:val="20"/>
                <w:lang w:bidi="ar"/>
              </w:rPr>
              <w:t xml:space="preserve">项</w:t>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印刷标志标准</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印有制造商、产品型号（连续标记，最大间隔275mm）</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20℃导体电阻</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7.24Ω/km</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70℃绝缘电阻</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≥0.01MΩ/km</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成品电压试验</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交流2500V持续5min不击穿</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绝缘厚度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0.9mm</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绝缘最薄处厚度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0.82mm</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绝缘老化前抗张强度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15.1N/mm2</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ZB</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PVC线管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De20及De25</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1.5mm</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3"/>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耐电压性能</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承受的电压范围2000-5000V,保持5min</w:t>
            </w: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布线系统-地下</w:t>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PVC线管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绝缘电阻</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≥100MΩ·m</w:t>
            </w: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1项</w:t>
            </w:r>
            <w:r/>
          </w:p>
        </w:tc>
      </w:tr>
      <w:tr>
        <w:trPr>
          <w:trHeight w:val="321"/>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0.03</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燃烧性能</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B1级</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六类非屏蔽网线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导体直流电阻</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0.5mm线芯≤9.5Ω/100m</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绝缘介电强度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导屏间2.5kV、屏屏间1.0kV</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近端串音值</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≥74.3－15×lg(f)</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耐温性</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-20℃至+75℃</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left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特性阻抗</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100±15Ω</w:t>
            </w:r>
            <w:r/>
          </w:p>
        </w:tc>
        <w:tc>
          <w:tcPr>
            <w:tcBorders>
              <w:left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网络布线</w:t>
            </w:r>
            <w:r/>
          </w:p>
        </w:tc>
        <w:tc>
          <w:tcPr>
            <w:gridSpan w:val="2"/>
            <w:tcBorders>
              <w:top w:val="single" w:color="000000" w:sz="4" w:space="0"/>
              <w:left w:val="single" w:color="000000" w:sz="4" w:space="0"/>
              <w:bottom w:val="single" w:color="000000" w:sz="4" w:space="0"/>
              <w:right w:val="single" w:color="000000" w:sz="4" w:space="0"/>
            </w:tcBorders>
            <w:tcW w:w="800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教室讲台、学生演示设备、实验准备台网线预留</w:t>
            </w: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08"/>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给排水系</w:t>
            </w:r>
            <w:r>
              <w:rPr>
                <w:rFonts w:hint="eastAsia" w:cs="宋体" w:asciiTheme="minorEastAsia" w:hAnsiTheme="minorEastAsia" w:eastAsiaTheme="minorEastAsia"/>
                <w:sz w:val="20"/>
                <w:szCs w:val="20"/>
                <w:lang w:bidi="ar"/>
              </w:rPr>
              <w:t xml:space="preserve">统-地下</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优质PPR(给水)</w:t>
            </w:r>
            <w:r>
              <w:rPr>
                <w:rFonts w:hint="eastAsia" w:cs="宋体" w:asciiTheme="minorEastAsia" w:hAnsiTheme="minorEastAsia" w:eastAsiaTheme="minorEastAsia"/>
                <w:sz w:val="20"/>
                <w:szCs w:val="20"/>
                <w:lang w:bidi="ar"/>
              </w:rPr>
              <w:t xml:space="preserve">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φ25㎜</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rPr>
                <w:rFonts w:hint="eastAsia" w:cs="宋体" w:asciiTheme="minorEastAsia" w:hAnsiTheme="minorEastAsia" w:eastAsiaTheme="minorEastAsia"/>
                <w:sz w:val="20"/>
                <w:szCs w:val="20"/>
                <w:lang w:bidi="ar"/>
              </w:rPr>
              <w:t xml:space="preserve">项</w:t>
            </w:r>
            <w:r/>
          </w:p>
        </w:tc>
      </w:tr>
      <w:tr>
        <w:trPr>
          <w:trHeight w:val="3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标志</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每件有标签，标签有厂家型号</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静液压强度（20℃/1h）</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在实验压力6.40Mpa下无破裂，无渗漏</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氧化诱导时间</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在210℃，≥20min</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透光率</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2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0℃落锤冲击试验</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在环境温度23±5℃，湿度50±5%，调节时间48h，将样品放入0℃±1℃冷冻箱后4h取出，15秒内管件经8kg·m落锤冲击试验，无破损。</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PVC(排水)管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φ50㎜</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管材平均壁厚</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2.3mm</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维卡软化温度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83.3VST/℃</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落锤冲击试验</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≤10，分布于A区</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需要符合的行业标准</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GB/T5836.1-2006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铝合金踢脚线</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铝合金踢脚线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80mm</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40m</w:t>
            </w:r>
            <w:r/>
          </w:p>
        </w:tc>
      </w:tr>
      <w:tr>
        <w:trPr>
          <w:trHeight w:val="3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1.0mm厚</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长度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3.0m（阴角阳角为90°）</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表面处理</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阳极氧化处理，氧化膜厚度20微米</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安装方式</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卡扣式，卡槽宽度12mm</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维氏硬度测试</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15HW</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耐腐蚀性</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至少48-72小时的盐雾腐蚀</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A级不燃</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学科文化布置</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背景墙费PVC板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5mm*1000*2000mm</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rPr>
                <w:rFonts w:hint="eastAsia" w:cs="宋体" w:asciiTheme="minorEastAsia" w:hAnsiTheme="minorEastAsia" w:eastAsiaTheme="minorEastAsia"/>
                <w:sz w:val="20"/>
                <w:szCs w:val="20"/>
                <w:lang w:bidi="ar"/>
              </w:rPr>
              <w:t xml:space="preserve">室</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面积</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比重</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1.58-1.60g/cm3</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拉伸强度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50MPa</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弯曲强度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89MPa</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冲击强度</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2.9KJ/m2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维卡软化点</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变化率%腐蚀度g/m2 60±2℃  5h</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30%NAOH溶液、30%NACL溶液、20%H2SO4溶液、25%HCL溶液腐蚀度检测符合要求。</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6边形文化展示柜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 ENF 级密度板，甲醛释放量极低，环保性能优越，保障室内空气质量。</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特色</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独特六边形造型，打破常规，极具视觉吸引力，轻松融入各类空间。上部展示区，配备玻璃或开放式组件，适配陈列珍藏、艺术品；下部储物区，</w:t>
            </w:r>
            <w:r>
              <w:rPr>
                <w:rFonts w:hint="eastAsia" w:cs="宋体" w:asciiTheme="minorEastAsia" w:hAnsiTheme="minorEastAsia" w:eastAsiaTheme="minorEastAsia"/>
                <w:sz w:val="20"/>
                <w:szCs w:val="20"/>
                <w:lang w:bidi="ar"/>
              </w:rPr>
              <w:t xml:space="preserve">抽屉与封闭格搭配，高效收纳衣物、文件等杂物。</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工艺</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经精细烤漆处理，柜体表面光滑亮泽，兼具耐磨、耐刮与耐腐蚀性，日常使用与清洁维护便捷。</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窗帘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结合学科色彩和图案设计，需达到使实验室既具实用性又富有艺术性，营造学科氛围，能辅助教学提升孩子的学习兴趣。</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灭火器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灭火器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灭火器</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手提式七氟丙烷灭火。</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rPr>
                <w:rFonts w:hint="eastAsia" w:cs="宋体" w:asciiTheme="minorEastAsia" w:hAnsiTheme="minorEastAsia" w:eastAsiaTheme="minorEastAsia"/>
                <w:sz w:val="20"/>
                <w:szCs w:val="20"/>
                <w:lang w:bidi="ar"/>
              </w:rPr>
              <w:t xml:space="preserve">个</w:t>
            </w:r>
            <w:r/>
          </w:p>
        </w:tc>
      </w:tr>
      <w:tr>
        <w:trPr>
          <w:trHeight w:val="5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拆除+垃圾清运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拆除+垃圾清运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要求</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装修所有垃圾清除（含建筑垃圾）,搬运到学校指定地点。</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rPr>
                <w:rFonts w:hint="eastAsia" w:cs="宋体" w:asciiTheme="minorEastAsia" w:hAnsiTheme="minorEastAsia" w:eastAsiaTheme="minorEastAsia"/>
                <w:sz w:val="20"/>
                <w:szCs w:val="20"/>
                <w:lang w:bidi="ar"/>
              </w:rPr>
              <w:t xml:space="preserve">项</w:t>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木饰面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木工板基层，外贴木饰面；</w:t>
            </w:r>
            <w:r>
              <w:rPr>
                <w:rFonts w:hint="eastAsia" w:cs="宋体" w:asciiTheme="minorEastAsia" w:hAnsiTheme="minorEastAsia" w:eastAsiaTheme="minorEastAsia"/>
                <w:sz w:val="20"/>
                <w:szCs w:val="20"/>
                <w:lang w:bidi="ar"/>
              </w:rPr>
              <w:br/>
              <w:t xml:space="preserve">规格20cm*20cm。</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rPr>
                <w:rFonts w:hint="eastAsia" w:cs="宋体" w:asciiTheme="minorEastAsia" w:hAnsiTheme="minorEastAsia" w:eastAsiaTheme="minorEastAsia"/>
                <w:sz w:val="18"/>
                <w:szCs w:val="18"/>
                <w:lang w:bidi="ar"/>
              </w:rPr>
              <w:t xml:space="preserve">㎡</w:t>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创意吊顶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石膏板走边，中间位置上翻10cm，石膏板吊顶，20cm灯槽（含灯）加铝方通吊顶。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rPr>
                <w:rFonts w:hint="eastAsia" w:cs="宋体" w:asciiTheme="minorEastAsia" w:hAnsiTheme="minorEastAsia" w:eastAsiaTheme="minorEastAsia"/>
                <w:sz w:val="18"/>
                <w:szCs w:val="18"/>
                <w:lang w:bidi="ar"/>
              </w:rPr>
              <w:t xml:space="preserve">㎡</w:t>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水电安装调试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水电安装调试</w:t>
            </w:r>
            <w:r/>
          </w:p>
        </w:tc>
        <w:tc>
          <w:tcPr>
            <w:tcBorders>
              <w:top w:val="single" w:color="000000" w:sz="4" w:space="0"/>
              <w:left w:val="single" w:color="000000" w:sz="4" w:space="0"/>
              <w:bottom w:val="single" w:color="000000" w:sz="4" w:space="0"/>
              <w:right w:val="single" w:color="000000" w:sz="4" w:space="0"/>
            </w:tcBorders>
            <w:tcW w:w="6707"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化学上通风实验室、物理力学实验室、生物创新实验室水电安装调试</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rPr>
                <w:rFonts w:hint="eastAsia" w:cs="宋体" w:asciiTheme="minorEastAsia" w:hAnsiTheme="minorEastAsia" w:eastAsiaTheme="minorEastAsia"/>
                <w:sz w:val="20"/>
                <w:szCs w:val="20"/>
                <w:lang w:bidi="ar"/>
              </w:rPr>
              <w:t xml:space="preserve">项</w:t>
            </w:r>
            <w:r/>
          </w:p>
        </w:tc>
      </w:tr>
      <w:tr>
        <w:trPr>
          <w:trHeight w:val="2456"/>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Borders>
              <w:top w:val="single" w:color="000000" w:sz="4" w:space="0"/>
              <w:left w:val="single" w:color="000000" w:sz="4" w:space="0"/>
              <w:bottom w:val="single" w:color="000000" w:sz="4" w:space="0"/>
              <w:right w:val="single" w:color="000000" w:sz="4" w:space="0"/>
            </w:tcBorders>
            <w:tcW w:w="7558"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实现功能：（1）地面的防滑耐腐蚀处理保证学生实验的安全性；（2）窗帘的多元化设计确保学生的视觉感受，提升学生的学习兴趣；（3）通风系统可以及时排出这些有害气体，使室内空气质量符合安全标准；（4）节能灯具的使用确保学生在明亮的环境中实验，远离近视。</w:t>
            </w:r>
            <w:r>
              <w:rPr>
                <w:rFonts w:hint="eastAsia" w:cs="宋体" w:asciiTheme="minorEastAsia" w:hAnsiTheme="minorEastAsia" w:eastAsiaTheme="minorEastAsia"/>
                <w:sz w:val="20"/>
                <w:szCs w:val="20"/>
                <w:lang w:bidi="ar"/>
              </w:rPr>
              <w:br/>
              <w:t xml:space="preserve">2、装饰装修包括：安全防护设备、布线系统、给排水系统、学科文化、墙面出新、卷帘布置、灯具布置、PVC地胶、踢脚线、黑板灯、吊顶及垃圾清运。</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基础装修（型号三）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47"/>
        <w:gridCol w:w="1024"/>
        <w:gridCol w:w="6849"/>
        <w:gridCol w:w="1266"/>
      </w:tblGrid>
      <w:tr>
        <w:trPr>
          <w:trHeight w:val="386"/>
          <w:tblHeader/>
        </w:trPr>
        <w:tc>
          <w:tcPr>
            <w:gridSpan w:val="3"/>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6849" w:type="dxa"/>
            <w:vAlign w:val="center"/>
            <w:textDirection w:val="lrTb"/>
            <w:noWrap/>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W w:w="1266" w:type="dxa"/>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57"/>
        </w:trPr>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布线系统-地下</w:t>
            </w:r>
            <w:r/>
          </w:p>
        </w:tc>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阻燃BV电线</w:t>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2.5平方、4平方、6平方</w:t>
            </w:r>
            <w:r/>
          </w:p>
        </w:tc>
        <w:tc>
          <w:tcPr>
            <w:tcW w:w="1266"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2项</w:t>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印刷标志标准</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印有制造商、产品型号（连续标记，最大间隔275mm）</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20℃导体电阻</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7.24Ω/km</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70℃绝缘电阻</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≥0.01MΩ/km</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成品电压试验</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交流2500V持续5min不击穿</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绝缘厚度</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0.9mm</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绝缘最薄处厚度</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0.82mm</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绝缘老化前抗张强度</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15.1N/mm2</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ZB</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PVC线管</w:t>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De20及De25</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1.5mm</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耐电压性能</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承受的电压范围2000-5000V,保持5min</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绝缘电阻</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≥100MΩ·m</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0.03</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燃烧性能</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B1级</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1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六类非屏蔽网线</w:t>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导体直流电阻</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0.5mm线芯≤9.5Ω/100m</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绝缘介电强度</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导屏间2.5kV、屏屏间1.0kV</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近端串音值</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≥74.3－15×lg(f)</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耐温性</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-20℃至+75℃</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特性阻抗</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100±15Ω</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41"/>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网络布线</w:t>
            </w:r>
            <w:r/>
          </w:p>
        </w:tc>
        <w:tc>
          <w:tcPr>
            <w:gridSpan w:val="2"/>
            <w:tcW w:w="7873"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教室讲台、学生演示设备、实验准备台网线预留</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给排水系统-地下</w:t>
            </w:r>
            <w:r/>
          </w:p>
        </w:tc>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优质PPR(给水)管</w:t>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φ25㎜</w:t>
            </w:r>
            <w:r/>
          </w:p>
        </w:tc>
        <w:tc>
          <w:tcPr>
            <w:tcW w:w="1266"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2项</w:t>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标志</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每件有标签，标签有厂家型号</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静液压强度（20℃/1h）</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在实验压力6.40Mpa下无破裂，无渗漏</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76"/>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氧化诱导时间</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在210℃，≥20min</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97"/>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透光率</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71"/>
        </w:trPr>
        <w:tc>
          <w:tcPr>
            <w:tcW w:w="0" w:type="auto"/>
            <w:vAlign w:val="center"/>
            <w:vMerge w:val="restart"/>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给排水系统-</w:t>
            </w:r>
            <w:r>
              <w:rPr>
                <w:rFonts w:hint="eastAsia" w:cs="宋体" w:asciiTheme="minorEastAsia" w:hAnsiTheme="minorEastAsia" w:eastAsiaTheme="minorEastAsia"/>
                <w:sz w:val="20"/>
                <w:szCs w:val="20"/>
                <w:lang w:bidi="ar"/>
              </w:rPr>
              <w:t xml:space="preserve">地下</w:t>
            </w:r>
            <w:r/>
          </w:p>
        </w:tc>
        <w:tc>
          <w:tcPr>
            <w:tcW w:w="0" w:type="auto"/>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优质PPR(给水)管</w:t>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0℃落锤冲击试验</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在环境温度23±5℃，湿度50±5%，调节时间48h，将样品放入0℃±1℃冷冻箱后4h取出，15秒内管件经8kg·m落锤冲击试验，无破损。</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01"/>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PVC(排</w:t>
            </w:r>
            <w:r>
              <w:rPr>
                <w:rFonts w:hint="eastAsia" w:cs="宋体" w:asciiTheme="minorEastAsia" w:hAnsiTheme="minorEastAsia" w:eastAsiaTheme="minorEastAsia"/>
                <w:sz w:val="20"/>
                <w:szCs w:val="20"/>
                <w:lang w:bidi="ar"/>
              </w:rPr>
              <w:t xml:space="preserve">水)管</w:t>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φ50㎜</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9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管材平均壁厚</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2.3mm</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9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维卡软化温度</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83.3VST/℃</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01"/>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0.018</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9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落锤冲击试验</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≤10，分布于A区</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93"/>
        </w:trPr>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需要符合的行业标准</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GB/T5836.1-2006</w:t>
            </w:r>
            <w:r/>
          </w:p>
        </w:tc>
        <w:tc>
          <w:tcPr>
            <w:tcW w:w="1266" w:type="dxa"/>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051"/>
        </w:trPr>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拆除+垃圾清运</w:t>
            </w:r>
            <w:r/>
          </w:p>
        </w:tc>
        <w:tc>
          <w:tcPr>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拆除+垃圾清运</w:t>
            </w:r>
            <w:r/>
          </w:p>
        </w:tc>
        <w:tc>
          <w:tcPr>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要求</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装修所有垃圾清除（含建筑垃圾）,搬运到学校指定地点</w:t>
            </w:r>
            <w:r/>
          </w:p>
        </w:tc>
        <w:tc>
          <w:tcPr>
            <w:tcW w:w="126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2项</w:t>
            </w:r>
            <w:r/>
          </w:p>
        </w:tc>
      </w:tr>
      <w:tr>
        <w:trPr>
          <w:trHeight w:val="593"/>
        </w:trPr>
        <w:tc>
          <w:tcPr>
            <w:gridSpan w:val="3"/>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设备及调试</w:t>
            </w:r>
            <w:r/>
          </w:p>
        </w:tc>
        <w:tc>
          <w:tcPr>
            <w:tcW w:w="6849"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设备安装及调试等，必须按JY/T0385-2006《中小学理科教室装备规范》有关规定执行。</w:t>
            </w:r>
            <w:r/>
          </w:p>
        </w:tc>
        <w:tc>
          <w:tcPr>
            <w:tcW w:w="1266"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2项</w:t>
            </w:r>
            <w:r/>
          </w:p>
        </w:tc>
      </w:tr>
      <w:tr>
        <w:trPr>
          <w:trHeight w:val="2352"/>
        </w:trPr>
        <w:tc>
          <w:tcPr>
            <w:gridSpan w:val="3"/>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W w:w="8115" w:type="dxa"/>
            <w:vAlign w:val="center"/>
            <w:textDirection w:val="lrTb"/>
            <w:noWrap w:val="false"/>
          </w:tcPr>
          <w:p>
            <w:pPr>
              <w:pStyle w:val="1160"/>
              <w:numPr>
                <w:ilvl w:val="0"/>
                <w:numId w:val="67"/>
              </w:num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实现功能：（1）地面的防滑耐腐蚀处理保证学生实验的安全性；（2）窗帘的多元化设计确保学生的视觉感受，提升学生的学习兴趣；（3）通风系统可以及时排出这些有害气体，使室内空气质量符合安全标准；（4）节能灯具的使用确保学生在明亮的环境中实验，远离近视。</w:t>
            </w:r>
            <w:r/>
          </w:p>
          <w:p>
            <w:pPr>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br/>
              <w:t xml:space="preserve">2、装饰装修包括：安全防护设备、布线系统、给排水系统、学科文化、墙面出新、卷帘布置、灯具布置、PVC地胶、踢脚线、黑板灯、吊顶及垃圾清运。</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基础装修（型号四）</w:t>
      </w:r>
      <w:r/>
    </w:p>
    <w:tbl>
      <w:tblPr>
        <w:tblW w:w="4894" w:type="pct"/>
        <w:tblLook w:val="0000" w:firstRow="0" w:lastRow="0" w:firstColumn="0" w:lastColumn="0" w:noHBand="0" w:noVBand="0"/>
      </w:tblPr>
      <w:tblGrid>
        <w:gridCol w:w="497"/>
        <w:gridCol w:w="853"/>
        <w:gridCol w:w="1803"/>
        <w:gridCol w:w="5178"/>
        <w:gridCol w:w="2125"/>
      </w:tblGrid>
      <w:tr>
        <w:trPr>
          <w:trHeight w:val="256"/>
          <w:tblHeader/>
        </w:trPr>
        <w:tc>
          <w:tcPr>
            <w:gridSpan w:val="3"/>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轻钢龙骨石膏板隔墙</w:t>
            </w:r>
            <w:r/>
          </w:p>
        </w:tc>
        <w:tc>
          <w:tcPr>
            <w:tcBorders>
              <w:top w:val="single" w:color="000000" w:sz="4" w:space="0"/>
              <w:left w:val="single" w:color="000000" w:sz="4" w:space="0"/>
              <w:bottom w:val="single" w:color="000000" w:sz="4" w:space="0"/>
              <w:right w:val="single" w:color="000000" w:sz="4" w:space="0"/>
            </w:tcBorders>
            <w:tcW w:w="40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主龙骨</w:t>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型号</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C 型</w:t>
            </w:r>
            <w:r/>
          </w:p>
        </w:tc>
        <w:tc>
          <w:tcPr>
            <w:tcBorders>
              <w:top w:val="single" w:color="000000" w:sz="4" w:space="0"/>
              <w:left w:val="single" w:color="000000" w:sz="4" w:space="0"/>
              <w:bottom w:val="single" w:color="000000" w:sz="4" w:space="0"/>
              <w:right w:val="single" w:color="000000" w:sz="4" w:space="0"/>
            </w:tcBorders>
            <w:tcW w:w="1017" w:type="pct"/>
            <w:vAlign w:val="center"/>
            <w:vMerge w:val="restart"/>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1项</w:t>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宽度</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75mm</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高度</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40mm</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0.8mm</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副龙骨</w:t>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型号</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C 型</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宽度</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50mm</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高度</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19mm</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0.5mm</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天地龙骨</w:t>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型号</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U 型</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宽度</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75mm</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高度</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40mm</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0.8mm</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主龙骨间距</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1200mm</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gridSpan w:val="2"/>
            <w:tcBorders>
              <w:top w:val="single" w:color="000000" w:sz="4" w:space="0"/>
              <w:left w:val="single" w:color="000000" w:sz="4" w:space="0"/>
              <w:bottom w:val="single" w:color="000000" w:sz="4" w:space="0"/>
              <w:right w:val="single" w:color="000000" w:sz="4" w:space="0"/>
            </w:tcBorders>
            <w:tcW w:w="127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副龙骨间距</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600mm</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石膏板</w:t>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12mm纸面石膏板</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板材规格</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1200*2400mm</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防火性能</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B1 级（难燃级）</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岩棉</w:t>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纤维直径</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4 - 7μm</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容重</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100kg/m³</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导热系数</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满足0.038 - 0.045W/(m</w:t>
            </w:r>
            <w:r>
              <w:rPr>
                <w:rFonts w:hint="eastAsia" w:ascii="MS Gothic" w:hAnsi="MS Gothic" w:eastAsia="MS Gothic" w:cs="MS Gothic"/>
                <w:sz w:val="20"/>
                <w:szCs w:val="20"/>
                <w:lang w:bidi="ar"/>
              </w:rPr>
              <w:t xml:space="preserve">・</w:t>
            </w:r>
            <w:r>
              <w:rPr>
                <w:rFonts w:hint="eastAsia" w:cs="宋体" w:asciiTheme="minorEastAsia" w:hAnsiTheme="minorEastAsia" w:eastAsiaTheme="minorEastAsia"/>
                <w:sz w:val="20"/>
                <w:szCs w:val="20"/>
                <w:lang w:bidi="ar"/>
              </w:rPr>
              <w:t xml:space="preserve">K)</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防火性能</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 级不燃材料</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填充厚度</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60mm</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right w:val="single" w:color="000000" w:sz="4" w:space="0"/>
            </w:tcBorders>
            <w:tcW w:w="23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布线系统-地下</w:t>
            </w:r>
            <w:r/>
          </w:p>
        </w:tc>
        <w:tc>
          <w:tcPr>
            <w:tcBorders>
              <w:top w:val="single" w:color="000000" w:sz="4" w:space="0"/>
              <w:left w:val="single" w:color="000000" w:sz="4" w:space="0"/>
              <w:bottom w:val="single" w:color="000000" w:sz="4" w:space="0"/>
              <w:right w:val="single" w:color="000000" w:sz="4" w:space="0"/>
            </w:tcBorders>
            <w:tcW w:w="40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阻燃BV电线</w:t>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2.5平方、4平方、6平方</w:t>
            </w:r>
            <w:r/>
          </w:p>
        </w:tc>
        <w:tc>
          <w:tcPr>
            <w:tcBorders>
              <w:top w:val="single" w:color="000000" w:sz="4" w:space="0"/>
              <w:left w:val="single" w:color="000000" w:sz="4" w:space="0"/>
              <w:right w:val="single" w:color="000000" w:sz="4" w:space="0"/>
            </w:tcBorders>
            <w:tcW w:w="1017" w:type="pct"/>
            <w:vAlign w:val="center"/>
            <w:vMerge w:val="restart"/>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1项</w:t>
            </w:r>
            <w:r/>
          </w:p>
        </w:tc>
      </w:tr>
      <w:tr>
        <w:trPr>
          <w:trHeight w:val="48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印刷标志标准</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印有制造商、产品型号（连续标记，最大间隔275mm）</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20℃导体电阻</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7.24Ω/km</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70℃绝缘电阻</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≥0.01MΩ/km</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成品电压试验</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交流2500V持续5min不击穿</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绝缘厚度</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0.9mm</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绝缘最薄处厚度</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0.82mm</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8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绝缘老化前抗张强度</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15.1N/mm2</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燃烧等级</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ZB</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PVC线管</w:t>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De20及De25</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1.5mm</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耐电压性能</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承受的电压范围2000-5000V,保持5min</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绝缘电阻</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≥100MΩ·m</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0.03</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燃烧性能</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B1级</w:t>
            </w:r>
            <w:r/>
          </w:p>
        </w:tc>
        <w:tc>
          <w:tcPr>
            <w:tcBorders>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right w:val="single" w:color="000000" w:sz="4" w:space="0"/>
            </w:tcBorders>
            <w:tcW w:w="23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布线系统-地下</w:t>
            </w:r>
            <w:r/>
          </w:p>
        </w:tc>
        <w:tc>
          <w:tcPr>
            <w:tcBorders>
              <w:top w:val="single" w:color="000000" w:sz="4" w:space="0"/>
              <w:left w:val="single" w:color="000000" w:sz="4" w:space="0"/>
              <w:bottom w:val="single" w:color="000000" w:sz="4" w:space="0"/>
              <w:right w:val="single" w:color="000000" w:sz="4" w:space="0"/>
            </w:tcBorders>
            <w:tcW w:w="40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六类非屏蔽网线</w:t>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导体直流电阻</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0.5mm线芯≤9.5Ω/100m</w:t>
            </w:r>
            <w:r/>
          </w:p>
        </w:tc>
        <w:tc>
          <w:tcPr>
            <w:tcBorders>
              <w:top w:val="single" w:color="000000" w:sz="4" w:space="0"/>
              <w:left w:val="single" w:color="000000" w:sz="4" w:space="0"/>
              <w:right w:val="single" w:color="000000" w:sz="4" w:space="0"/>
            </w:tcBorders>
            <w:tcW w:w="1017" w:type="pct"/>
            <w:vAlign w:val="center"/>
            <w:vMerge w:val="restart"/>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1项</w:t>
            </w:r>
            <w:r/>
          </w:p>
        </w:tc>
      </w:tr>
      <w:tr>
        <w:trPr>
          <w:trHeight w:val="27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绝缘介电强度</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导屏间2.5kV、屏屏间1.0kV</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近端串音值</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≥74.3－15×lg(f)</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耐温性</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-20℃至+75℃</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left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特性阻抗</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100±15Ω</w:t>
            </w:r>
            <w:r/>
          </w:p>
        </w:tc>
        <w:tc>
          <w:tcPr>
            <w:tcBorders>
              <w:left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网络布线</w:t>
            </w:r>
            <w:r/>
          </w:p>
        </w:tc>
        <w:tc>
          <w:tcPr>
            <w:gridSpan w:val="2"/>
            <w:tcBorders>
              <w:top w:val="single" w:color="000000" w:sz="4" w:space="0"/>
              <w:left w:val="single" w:color="000000" w:sz="4" w:space="0"/>
              <w:bottom w:val="single" w:color="000000" w:sz="4" w:space="0"/>
              <w:right w:val="single" w:color="000000" w:sz="4" w:space="0"/>
            </w:tcBorders>
            <w:tcW w:w="333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教室讲台、学生演示设备、实验准备台网线预留</w:t>
            </w:r>
            <w:r/>
          </w:p>
        </w:tc>
        <w:tc>
          <w:tcPr>
            <w:tcBorders>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给排水系统</w:t>
            </w:r>
            <w:r>
              <w:rPr>
                <w:rFonts w:hint="eastAsia" w:cs="宋体" w:asciiTheme="minorEastAsia" w:hAnsiTheme="minorEastAsia" w:eastAsiaTheme="minorEastAsia"/>
                <w:sz w:val="20"/>
                <w:szCs w:val="20"/>
                <w:lang w:bidi="ar"/>
              </w:rPr>
              <w:t xml:space="preserve">-地下</w:t>
            </w:r>
            <w:r/>
          </w:p>
        </w:tc>
        <w:tc>
          <w:tcPr>
            <w:tcBorders>
              <w:top w:val="single" w:color="000000" w:sz="4" w:space="0"/>
              <w:left w:val="single" w:color="000000" w:sz="4" w:space="0"/>
              <w:bottom w:val="single" w:color="000000" w:sz="4" w:space="0"/>
              <w:right w:val="single" w:color="000000" w:sz="4" w:space="0"/>
            </w:tcBorders>
            <w:tcW w:w="40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优质PPR(给水)管</w:t>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φ25㎜</w:t>
            </w:r>
            <w:r/>
          </w:p>
        </w:tc>
        <w:tc>
          <w:tcPr>
            <w:tcBorders>
              <w:top w:val="single" w:color="000000" w:sz="4" w:space="0"/>
              <w:left w:val="single" w:color="000000" w:sz="4" w:space="0"/>
              <w:bottom w:val="single" w:color="000000" w:sz="4" w:space="0"/>
              <w:right w:val="single" w:color="000000" w:sz="4" w:space="0"/>
            </w:tcBorders>
            <w:tcW w:w="1017" w:type="pct"/>
            <w:vAlign w:val="center"/>
            <w:vMerge w:val="restart"/>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1项</w:t>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标志</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每件有标签，标签有厂家型号</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静液压强度（20℃/1h）</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在实验压力6.40Mpa下无破裂，无渗漏</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氧化诱导时间</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在210℃，≥20min</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透光率</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0℃落锤冲击试验</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在环境温度23±5℃，湿度50±5%，调节时间48h，将样品放入0℃±1℃冷冻箱后4h取出，15秒内管件经8kg·m落锤冲击试验，无破损。</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PVC(排水)管</w:t>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φ50㎜</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管材平均壁厚</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2.3mm</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维卡软化温度</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83.3VST/℃</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纵向回收率</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0.018</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落锤冲击试验</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≤10，分布于A区</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0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需要符合的行业标准</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GB/T5836.1-2006</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拆除+垃圾清运</w:t>
            </w:r>
            <w:r/>
          </w:p>
        </w:tc>
        <w:tc>
          <w:tcPr>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拆除+垃圾清运</w:t>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要求</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装修所有垃圾清除（含建筑垃圾）,搬运到学校指定地点</w:t>
            </w:r>
            <w:r/>
          </w:p>
        </w:tc>
        <w:tc>
          <w:tcPr>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1项</w:t>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布线系统-地上</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DN25mm阻燃线管；2.5平方国标线材，符合国家标准。</w:t>
            </w:r>
            <w:r/>
          </w:p>
        </w:tc>
        <w:tc>
          <w:tcPr>
            <w:tcBorders>
              <w:top w:val="single" w:color="000000" w:sz="4" w:space="0"/>
              <w:left w:val="single" w:color="000000" w:sz="4" w:space="0"/>
              <w:bottom w:val="single" w:color="000000" w:sz="4" w:space="0"/>
              <w:right w:val="single" w:color="000000" w:sz="4" w:space="0"/>
            </w:tcBorders>
            <w:tcW w:w="1017" w:type="pct"/>
            <w:vAlign w:val="center"/>
            <w:vMerge w:val="restart"/>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1项</w:t>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给排水系统-地上</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给水采用￠20PPR管，热熔连接。排水采用￠50PVC管，PVC专用胶水连接。</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设备安装及调试</w:t>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要求</w:t>
            </w:r>
            <w:r/>
          </w:p>
        </w:tc>
        <w:tc>
          <w:tcPr>
            <w:tcBorders>
              <w:top w:val="single" w:color="000000" w:sz="4" w:space="0"/>
              <w:left w:val="single" w:color="000000" w:sz="4" w:space="0"/>
              <w:bottom w:val="single" w:color="000000" w:sz="4" w:space="0"/>
              <w:right w:val="single" w:color="000000" w:sz="4" w:space="0"/>
            </w:tcBorders>
            <w:tcW w:w="247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设备安装及调试等，必须按JY/T0385-2006《中小学理科教室装备规范》有关规定执行。</w:t>
            </w:r>
            <w:r/>
          </w:p>
        </w:tc>
        <w:tc>
          <w:tcPr>
            <w:tcBorders>
              <w:top w:val="single" w:color="000000" w:sz="4" w:space="0"/>
              <w:left w:val="single" w:color="000000" w:sz="4" w:space="0"/>
              <w:bottom w:val="single" w:color="000000" w:sz="4" w:space="0"/>
              <w:right w:val="single" w:color="000000" w:sz="4" w:space="0"/>
            </w:tcBorders>
            <w:tcW w:w="1017" w:type="pct"/>
            <w:vAlign w:val="bottom"/>
            <w:vMerge w:val="continue"/>
            <w:textDirection w:val="lrTb"/>
            <w:noWrap/>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gridSpan w:val="2"/>
            <w:tcBorders>
              <w:top w:val="single" w:color="000000" w:sz="4" w:space="0"/>
              <w:left w:val="single" w:color="000000" w:sz="4" w:space="0"/>
              <w:bottom w:val="single" w:color="000000" w:sz="4" w:space="0"/>
              <w:right w:val="single" w:color="000000" w:sz="4" w:space="0"/>
            </w:tcBorders>
            <w:tcW w:w="3492"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功能：隔开功能区域起到隔音防火功能</w:t>
            </w:r>
            <w:r>
              <w:rPr>
                <w:rFonts w:hint="eastAsia" w:cs="宋体" w:asciiTheme="minorEastAsia" w:hAnsiTheme="minorEastAsia" w:eastAsiaTheme="minorEastAsia"/>
                <w:sz w:val="20"/>
                <w:szCs w:val="20"/>
                <w:lang w:bidi="ar"/>
              </w:rPr>
              <w:br/>
              <w:t xml:space="preserve">包括：75系列轻钢龙骨、12mm石膏板、填充岩棉</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425" w:equalWidth="1"/>
          <w:docGrid w:linePitch="360"/>
        </w:sect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教师演示设备，数量：3</w:t>
      </w:r>
      <w:r/>
    </w:p>
    <w:tbl>
      <w:tblPr>
        <w:tblW w:w="496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134"/>
        <w:gridCol w:w="8507"/>
      </w:tblGrid>
      <w:tr>
        <w:trPr>
          <w:trHeight w:val="420"/>
          <w:tblHeader/>
        </w:trPr>
        <w:tc>
          <w:tcPr>
            <w:gridSpan w:val="2"/>
            <w:tcW w:w="98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4013"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r>
      <w:tr>
        <w:trPr>
          <w:trHeight w:val="315"/>
        </w:trPr>
        <w:tc>
          <w:tcPr>
            <w:tcW w:w="45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规格：≥2800×700×850mm</w:t>
            </w:r>
            <w:r/>
          </w:p>
        </w:tc>
      </w:tr>
      <w:tr>
        <w:trPr>
          <w:trHeight w:val="315"/>
        </w:trPr>
        <w:tc>
          <w:tcPr>
            <w:tcW w:w="452" w:type="pct"/>
            <w:vAlign w:val="center"/>
            <w:vMerge w:val="continue"/>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冷轧钢板（纳米陶瓷镀膜防锈处理）</w:t>
            </w:r>
            <w:r/>
          </w:p>
        </w:tc>
      </w:tr>
      <w:tr>
        <w:trPr>
          <w:trHeight w:val="315"/>
        </w:trPr>
        <w:tc>
          <w:tcPr>
            <w:tcBorders>
              <w:bottom w:val="single" w:color="auto" w:sz="4" w:space="0"/>
            </w:tcBorders>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≥0.9mm</w:t>
            </w:r>
            <w:r/>
          </w:p>
        </w:tc>
      </w:tr>
      <w:tr>
        <w:trPr>
          <w:trHeight w:val="315"/>
        </w:trPr>
        <w:tc>
          <w:tcPr>
            <w:tcBorders>
              <w:top w:val="single" w:color="auto" w:sz="4" w:space="0"/>
            </w:tcBorders>
            <w:tcW w:w="45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rPr>
                <w:rFonts w:hint="eastAsia" w:cs="宋体" w:asciiTheme="minorEastAsia" w:hAnsiTheme="minorEastAsia" w:eastAsiaTheme="minorEastAsia"/>
                <w:bCs/>
                <w:sz w:val="20"/>
                <w:szCs w:val="20"/>
                <w:lang w:bidi="ar"/>
              </w:rPr>
              <w:t xml:space="preserve">操作区平面</w:t>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双面实芯理化板台面</w:t>
            </w:r>
            <w:r/>
          </w:p>
        </w:tc>
      </w:tr>
      <w:tr>
        <w:trPr>
          <w:trHeight w:val="620"/>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≥12.7mm</w:t>
            </w:r>
            <w:r/>
          </w:p>
        </w:tc>
      </w:tr>
      <w:tr>
        <w:trPr>
          <w:trHeight w:val="620"/>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边缘厚</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25mm</w:t>
            </w:r>
            <w:r/>
          </w:p>
        </w:tc>
      </w:tr>
      <w:tr>
        <w:trPr>
          <w:trHeight w:val="1534"/>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耐腐蚀</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化学性能检测：参照GB/T 17657-2022标准对台面板正反两面进行硫酸（98%）、氢氟酸（48%）、硝酸（65%）、四氯化碳、氢氧化钠（40%）、氨水(28%)、氯化镁(10%)、三氯化铁(10%)、乙酰丙酮、三氯乙酸、三氯乙烯、异丙醇、异辛烷等不少于139项化学试剂及有机溶液检测。</w:t>
            </w:r>
            <w:r/>
          </w:p>
        </w:tc>
      </w:tr>
      <w:tr>
        <w:trPr>
          <w:trHeight w:val="1114"/>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pStyle w:val="1095"/>
              <w:rPr>
                <w:rFonts w:hint="eastAsia" w:cs="宋体" w:asciiTheme="minorEastAsia" w:hAnsiTheme="minorEastAsia"/>
              </w:rPr>
            </w:pPr>
            <w:r>
              <w:rPr>
                <w:rFonts w:hint="eastAsia" w:cs="宋体" w:asciiTheme="minorEastAsia" w:hAnsiTheme="minorEastAsia"/>
              </w:rPr>
              <w:t xml:space="preserve">阻燃性能检测</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参照GB 8624-2012《建筑材料及制品燃烧性能分级》等标准，燃烧性等级达到B1级；水平燃烧符合HB级，垂直燃烧符合V-0级，烟气毒性等级符合t1级要求。</w:t>
            </w:r>
            <w:r/>
          </w:p>
        </w:tc>
      </w:tr>
      <w:tr>
        <w:trPr>
          <w:trHeight w:val="2471"/>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抗霉菌性能</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抗霉菌性能检测：参照JC/T 2039-2010等标准，黑曲霉、土曲霉、宛氏拟青霉、绳状青霉、出芽短梗霉、球毛壳霉、长枝木霉等7种霉菌检测，等级为0级；</w:t>
            </w:r>
            <w:r>
              <w:rPr>
                <w:rFonts w:hint="eastAsia" w:cs="宋体" w:asciiTheme="minorEastAsia" w:hAnsiTheme="minorEastAsia" w:eastAsiaTheme="minorEastAsia"/>
                <w:sz w:val="20"/>
                <w:szCs w:val="20"/>
                <w:lang w:bidi="ar"/>
              </w:rPr>
              <w:br/>
              <w:t xml:space="preserve">抗细菌性能检测：参照JC/T 2039-2010等标准，大肠埃希氏菌、金黄色葡萄球菌、白色念珠菌、白色葡萄球菌、铜绿假单胞菌、肺炎克雷伯氏菌、鼠伤寒沙门氏菌、甲型溶血性链球群、枯草芽孢杆菌、表皮葡萄球菌、耐甲氧西林金黄色葡萄球菌、肠沙门氏菌肠亚种、粪肠球菌、宋氏志贺氏菌、变异库克菌等不少于14种菌种检测，抗菌率≥99.99%。</w:t>
            </w:r>
            <w:r/>
          </w:p>
        </w:tc>
      </w:tr>
      <w:tr>
        <w:trPr>
          <w:trHeight w:val="2268"/>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环保要求</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环保性能检测：环保性能检测：参照GB/T 39600-2021等标准，甲醛释放量满足E0级技术指标要求，释放量检测结果值≤0.006mg/m³;参照GB18584-2001等标准，满足4种重金属含量检测：可溶性铅≤0.4mg/kg，可溶性镉：未检出，可溶性铬≤0.7mg/kg，可溶性汞：未检出；参照QB/T 2761-2006等标准，检测甲醛、甲苯去除率,检测结果为甲醛去除率达60%，甲苯去除率达15%。</w:t>
            </w:r>
            <w:r>
              <w:rPr>
                <w:rFonts w:hint="eastAsia" w:cs="宋体" w:asciiTheme="minorEastAsia" w:hAnsiTheme="minorEastAsia" w:eastAsiaTheme="minorEastAsia"/>
                <w:sz w:val="20"/>
                <w:szCs w:val="20"/>
                <w:lang w:bidi="ar"/>
              </w:rPr>
              <w:br/>
              <w:t xml:space="preserve">TVOC释放量检测：参照HJ571-2010《环境标志产品技术要求 人造板及其制品》标准，总挥发性有机化合物TVOC释放量为未检出。</w:t>
            </w:r>
            <w:r/>
          </w:p>
        </w:tc>
      </w:tr>
      <w:tr>
        <w:trPr>
          <w:trHeight w:val="315"/>
        </w:trPr>
        <w:tc>
          <w:tcPr>
            <w:tcW w:w="45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主体结构</w:t>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冷轧钢板（纳米陶瓷镀膜防锈处理）</w:t>
            </w:r>
            <w:r/>
          </w:p>
        </w:tc>
      </w:tr>
      <w:tr>
        <w:trPr>
          <w:trHeight w:val="315"/>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≥0.9mm</w:t>
            </w:r>
            <w:r/>
          </w:p>
        </w:tc>
      </w:tr>
      <w:tr>
        <w:trPr>
          <w:trHeight w:val="315"/>
        </w:trPr>
        <w:tc>
          <w:tcPr>
            <w:tcW w:w="45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门板</w:t>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冷轧钢板（纳米陶瓷镀膜防锈处理）</w:t>
            </w:r>
            <w:r/>
          </w:p>
        </w:tc>
      </w:tr>
      <w:tr>
        <w:trPr>
          <w:trHeight w:val="315"/>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≥0.9mm</w:t>
            </w:r>
            <w:r/>
          </w:p>
        </w:tc>
      </w:tr>
      <w:tr>
        <w:trPr>
          <w:trHeight w:val="315"/>
        </w:trPr>
        <w:tc>
          <w:tcPr>
            <w:tcW w:w="45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侧、背、隔板</w:t>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冷轧钢板（纳米陶瓷镀膜防锈处理）</w:t>
            </w:r>
            <w:r/>
          </w:p>
        </w:tc>
      </w:tr>
      <w:tr>
        <w:trPr>
          <w:trHeight w:val="315"/>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≥0.9mm</w:t>
            </w:r>
            <w:r/>
          </w:p>
        </w:tc>
      </w:tr>
      <w:tr>
        <w:trPr>
          <w:trHeight w:val="315"/>
        </w:trPr>
        <w:tc>
          <w:tcPr>
            <w:tcW w:w="45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三节承重式滚珠滑道</w:t>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钢制</w:t>
            </w:r>
            <w:r/>
          </w:p>
        </w:tc>
      </w:tr>
      <w:tr>
        <w:trPr>
          <w:trHeight w:val="315"/>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三节承重式滚珠滑道</w:t>
            </w:r>
            <w:r/>
          </w:p>
        </w:tc>
      </w:tr>
      <w:tr>
        <w:trPr>
          <w:trHeight w:val="315"/>
        </w:trPr>
        <w:tc>
          <w:tcPr>
            <w:tcW w:w="45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铰链</w:t>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钢制</w:t>
            </w:r>
            <w:r/>
          </w:p>
        </w:tc>
      </w:tr>
      <w:tr>
        <w:trPr>
          <w:trHeight w:val="470"/>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质量要求</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开合十万次不变形</w:t>
            </w:r>
            <w:r/>
          </w:p>
        </w:tc>
      </w:tr>
      <w:tr>
        <w:trPr>
          <w:trHeight w:val="620"/>
        </w:trPr>
        <w:tc>
          <w:tcPr>
            <w:tcW w:w="45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▲教师教学电源</w:t>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外观材质</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铁制机箱，机械抽屉式。（其中</w:t>
            </w:r>
            <w:r>
              <w:rPr>
                <w:rFonts w:hint="eastAsia" w:cs="宋体" w:asciiTheme="minorEastAsia" w:hAnsiTheme="minorEastAsia" w:eastAsiaTheme="minorEastAsia"/>
              </w:rPr>
              <w:t xml:space="preserve">主机需要铁制机箱、提升式设计，可内置教室演示设备抽屉。</w:t>
            </w:r>
            <w:r>
              <w:rPr>
                <w:rFonts w:hint="eastAsia" w:cs="宋体" w:asciiTheme="minorEastAsia" w:hAnsiTheme="minorEastAsia" w:eastAsiaTheme="minorEastAsia"/>
                <w:sz w:val="20"/>
                <w:szCs w:val="20"/>
                <w:lang w:bidi="ar"/>
              </w:rPr>
              <w:t xml:space="preserve">）</w:t>
            </w:r>
            <w:r/>
          </w:p>
        </w:tc>
      </w:tr>
      <w:tr>
        <w:trPr>
          <w:trHeight w:val="620"/>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vMerge w:val="restart"/>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电源输出</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需要不少于1组5孔220V交流电源输出插座和USB 低压5V输出、额定电流≤1A,同时带有输出指示灯。</w:t>
            </w:r>
            <w:r/>
          </w:p>
        </w:tc>
      </w:tr>
      <w:tr>
        <w:trPr>
          <w:trHeight w:val="924"/>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013" w:type="pct"/>
            <w:vAlign w:val="center"/>
            <w:textDirection w:val="lrTb"/>
            <w:noWrap w:val="false"/>
          </w:tcPr>
          <w:p>
            <w:pPr>
              <w:pStyle w:val="1095"/>
              <w:ind w:firstLine="400"/>
              <w:rPr>
                <w:rFonts w:hint="eastAsia" w:cs="宋体" w:asciiTheme="minorEastAsia" w:hAnsiTheme="minorEastAsia"/>
              </w:rPr>
            </w:pPr>
            <w:r>
              <w:rPr>
                <w:rFonts w:hint="eastAsia" w:cs="宋体" w:asciiTheme="minorEastAsia" w:hAnsiTheme="minorEastAsia"/>
                <w:sz w:val="20"/>
                <w:szCs w:val="20"/>
                <w:lang w:bidi="ar"/>
              </w:rPr>
              <w:t xml:space="preserve">通过教师控制界面可设置</w:t>
            </w:r>
            <w:r>
              <w:rPr>
                <w:rFonts w:hint="eastAsia" w:cs="宋体" w:asciiTheme="minorEastAsia" w:hAnsiTheme="minorEastAsia"/>
              </w:rPr>
              <w:t xml:space="preserve">直流1.5-30V分辨率0.1V,交流1-30V分辨率1V</w:t>
            </w:r>
            <w:r>
              <w:rPr>
                <w:rFonts w:hint="eastAsia" w:cs="宋体" w:asciiTheme="minorEastAsia" w:hAnsiTheme="minorEastAsia"/>
                <w:sz w:val="20"/>
                <w:szCs w:val="20"/>
                <w:lang w:bidi="ar"/>
              </w:rPr>
              <w:t xml:space="preserve">，具备过载保护点智能侦测功能，电流高于过载保护功点则自动保护，电流低于过载保护点则自动恢复至设定值。</w:t>
            </w:r>
            <w:r/>
          </w:p>
        </w:tc>
      </w:tr>
      <w:tr>
        <w:trPr>
          <w:trHeight w:val="315"/>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直流高压240、300V两档100mA</w:t>
            </w:r>
            <w:r/>
          </w:p>
        </w:tc>
      </w:tr>
      <w:tr>
        <w:trPr>
          <w:trHeight w:val="416"/>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网络接口</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以太网接口（RJ - 45）</w:t>
            </w:r>
            <w:r/>
          </w:p>
        </w:tc>
      </w:tr>
      <w:tr>
        <w:trPr>
          <w:trHeight w:val="1030"/>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vMerge w:val="restart"/>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系统具备漏电保护功能；</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bCs/>
                <w:sz w:val="20"/>
                <w:szCs w:val="20"/>
                <w:lang w:bidi="ar"/>
              </w:rPr>
              <w:t xml:space="preserve">电源主控台与主体结构形成一体化</w:t>
            </w:r>
            <w:r>
              <w:rPr>
                <w:rFonts w:hint="eastAsia" w:cs="宋体" w:asciiTheme="minorEastAsia" w:hAnsiTheme="minorEastAsia" w:eastAsiaTheme="minorEastAsia"/>
                <w:sz w:val="20"/>
                <w:szCs w:val="20"/>
                <w:lang w:bidi="ar"/>
              </w:rPr>
              <w:t xml:space="preserve">；</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控制显示具有液晶真彩触摸屏和数据显示一体化功能。</w:t>
            </w:r>
            <w:r/>
          </w:p>
        </w:tc>
      </w:tr>
      <w:tr>
        <w:trPr>
          <w:trHeight w:val="1730"/>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1、具有密码控制功能，经过教师操作后方可启动实验电源的控制系统（教师可自定密码），对电源控制台进行操作防误操作方便教师合理安排实验。密码可根据需要自行设置，出厂时默认无密码状态。</w:t>
            </w:r>
            <w:r>
              <w:rPr>
                <w:rFonts w:hint="eastAsia" w:cs="宋体" w:asciiTheme="minorEastAsia" w:hAnsiTheme="minorEastAsia" w:eastAsiaTheme="minorEastAsia"/>
                <w:sz w:val="20"/>
                <w:szCs w:val="20"/>
                <w:lang w:bidi="ar"/>
              </w:rPr>
              <w:br/>
              <w:t xml:space="preserve">2、教师主控可实现对学生低压交直流电压的设置和分组控制，学生的锁定。多媒体为拓展功能。</w:t>
            </w:r>
            <w:r/>
          </w:p>
        </w:tc>
      </w:tr>
      <w:tr>
        <w:trPr>
          <w:trHeight w:val="620"/>
        </w:trPr>
        <w:tc>
          <w:tcPr>
            <w:tcW w:w="45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水槽</w:t>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外径尺寸</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≥550×450×310mm</w:t>
            </w:r>
            <w:r/>
          </w:p>
        </w:tc>
      </w:tr>
      <w:tr>
        <w:trPr>
          <w:trHeight w:val="620"/>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内径尺寸</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rPr>
                <w:rFonts w:hint="eastAsia" w:cs="宋体" w:asciiTheme="minorEastAsia" w:hAnsiTheme="minorEastAsia" w:eastAsiaTheme="minorEastAsia"/>
              </w:rPr>
              <w:t xml:space="preserve">480×380×270</w:t>
            </w:r>
            <w:r/>
          </w:p>
        </w:tc>
      </w:tr>
      <w:tr>
        <w:trPr>
          <w:trHeight w:val="409"/>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环保型PP材料一次性注塑成型，耐强酸碱及有机溶剂</w:t>
            </w:r>
            <w:r/>
          </w:p>
        </w:tc>
      </w:tr>
      <w:tr>
        <w:trPr>
          <w:trHeight w:val="471"/>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壁厚6mm</w:t>
            </w:r>
            <w:r/>
          </w:p>
        </w:tc>
      </w:tr>
      <w:tr>
        <w:trPr>
          <w:trHeight w:val="442"/>
        </w:trPr>
        <w:tc>
          <w:tcPr>
            <w:tcW w:w="45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★三联水嘴</w:t>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整体材质</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铜质表面烤漆处理</w:t>
            </w:r>
            <w:r/>
          </w:p>
        </w:tc>
      </w:tr>
      <w:tr>
        <w:trPr>
          <w:trHeight w:val="367"/>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阀芯</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陶瓷阀芯90°旋转</w:t>
            </w:r>
            <w:r/>
          </w:p>
        </w:tc>
      </w:tr>
      <w:tr>
        <w:trPr>
          <w:trHeight w:val="410"/>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鹅颈管</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可360度旋转</w:t>
            </w:r>
            <w:r/>
          </w:p>
        </w:tc>
      </w:tr>
      <w:tr>
        <w:trPr>
          <w:trHeight w:val="315"/>
        </w:trPr>
        <w:tc>
          <w:tcPr>
            <w:tcW w:w="452"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洗眼器</w:t>
            </w:r>
            <w:r/>
          </w:p>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主体采用环保型PP材料一次性注塑成型</w:t>
            </w:r>
            <w:r/>
          </w:p>
        </w:tc>
      </w:tr>
      <w:tr>
        <w:trPr>
          <w:trHeight w:val="268"/>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工作压力</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0.2-0.4MPa</w:t>
            </w:r>
            <w:r/>
          </w:p>
        </w:tc>
      </w:tr>
      <w:tr>
        <w:trPr>
          <w:trHeight w:val="404"/>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洗眼器喷头流量</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12升/分钟</w:t>
            </w:r>
            <w:r/>
          </w:p>
        </w:tc>
      </w:tr>
      <w:tr>
        <w:trPr>
          <w:trHeight w:val="924"/>
        </w:trPr>
        <w:tc>
          <w:tcPr>
            <w:tcW w:w="452"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阀门可自动关闭，密封可靠</w:t>
            </w:r>
            <w:r>
              <w:rPr>
                <w:rFonts w:hint="eastAsia" w:cs="宋体" w:asciiTheme="minorEastAsia" w:hAnsiTheme="minorEastAsia" w:eastAsiaTheme="minorEastAsia"/>
                <w:sz w:val="20"/>
                <w:szCs w:val="20"/>
                <w:lang w:bidi="ar"/>
              </w:rPr>
              <w:br/>
              <w:t xml:space="preserve">洗眼盆头，出水经缓压处理呈泡沫状水柱，防止冲伤眼睛，设有防尘盖，使用时可自动被水冲开</w:t>
            </w:r>
            <w:r/>
          </w:p>
        </w:tc>
      </w:tr>
      <w:tr>
        <w:trPr>
          <w:trHeight w:val="3058"/>
        </w:trPr>
        <w:tc>
          <w:tcPr>
            <w:gridSpan w:val="2"/>
            <w:tcW w:w="98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其他要求</w:t>
            </w:r>
            <w:r/>
          </w:p>
        </w:tc>
        <w:tc>
          <w:tcPr>
            <w:tcW w:w="4013" w:type="pct"/>
            <w:vAlign w:val="center"/>
            <w:textDirection w:val="lrTb"/>
            <w:noWrap w:val="false"/>
          </w:tcPr>
          <w:p>
            <w:pPr>
              <w:jc w:val="left"/>
              <w:widowControl/>
              <w:rPr>
                <w:rFonts w:hint="eastAsia" w:cs="宋体" w:asciiTheme="minorEastAsia" w:hAnsiTheme="minorEastAsia" w:eastAsiaTheme="minorEastAsia"/>
              </w:rPr>
            </w:pPr>
            <w:r>
              <w:rPr>
                <w:rFonts w:hint="eastAsia" w:cs="宋体" w:asciiTheme="minorEastAsia" w:hAnsiTheme="minorEastAsia" w:eastAsiaTheme="minorEastAsia"/>
                <w:sz w:val="20"/>
                <w:szCs w:val="20"/>
                <w:lang w:bidi="ar"/>
              </w:rPr>
              <w:t xml:space="preserve">▲（1）</w:t>
            </w:r>
            <w:r>
              <w:rPr>
                <w:rFonts w:hint="eastAsia" w:cs="宋体" w:asciiTheme="minorEastAsia" w:hAnsiTheme="minorEastAsia" w:eastAsiaTheme="minorEastAsia"/>
                <w:bCs/>
                <w:sz w:val="20"/>
                <w:szCs w:val="20"/>
                <w:lang w:bidi="ar"/>
              </w:rPr>
              <w:t xml:space="preserve">操作区平面</w:t>
            </w:r>
            <w:r>
              <w:rPr>
                <w:rFonts w:hint="eastAsia" w:cs="宋体" w:asciiTheme="minorEastAsia" w:hAnsiTheme="minorEastAsia" w:eastAsiaTheme="minorEastAsia"/>
                <w:sz w:val="20"/>
                <w:szCs w:val="20"/>
                <w:lang w:bidi="ar"/>
              </w:rPr>
              <w:t xml:space="preserve">：提供由经国家认证委认证的第三方检测机构出具的检测报告（检测报告上须含有“CMA”或“CNAS”标志），检测报告必须满足上述关于台面的化学性能、环保性能、TVOC释放量、物理性能、阻燃性能、氙灯老化性能、放射性参数、抗霉菌性能、抗细菌性能的要求；</w:t>
            </w:r>
            <w:r>
              <w:rPr>
                <w:rFonts w:hint="eastAsia" w:cs="宋体" w:asciiTheme="minorEastAsia" w:hAnsiTheme="minorEastAsia" w:eastAsiaTheme="minorEastAsia"/>
                <w:sz w:val="20"/>
                <w:szCs w:val="20"/>
                <w:lang w:bidi="ar"/>
              </w:rPr>
              <w:br/>
              <w:t xml:space="preserve">▲（2）主控电源：必须满足GB4793.1-2007《测量、控制和实验室用电气设备的安全要求 第1部分：通用要求》。提供由经国家认证委认证的第三方检测机构出具的检测报告（检测报告上须含有“CMA”或“CNAS”标志）。</w:t>
            </w:r>
            <w:r>
              <w:rPr>
                <w:rFonts w:hint="eastAsia" w:cs="宋体" w:asciiTheme="minorEastAsia" w:hAnsiTheme="minorEastAsia" w:eastAsiaTheme="minorEastAsia"/>
                <w:sz w:val="20"/>
                <w:szCs w:val="20"/>
                <w:lang w:bidi="ar"/>
              </w:rPr>
              <w:br/>
              <w:t xml:space="preserve">★（3）三联水嘴：</w:t>
            </w:r>
            <w:r>
              <w:rPr>
                <w:rFonts w:cs="宋体" w:asciiTheme="minorEastAsia" w:hAnsiTheme="minorEastAsia" w:eastAsiaTheme="minorEastAsia"/>
                <w:color w:val="000000"/>
                <w:sz w:val="20"/>
              </w:rPr>
              <w:t xml:space="preserve">提供国家确定的认证机构出具的、处于有效期之内的节能产品认证证书</w:t>
            </w:r>
            <w:r>
              <w:rPr>
                <w:rFonts w:hint="eastAsia" w:cs="宋体" w:asciiTheme="minorEastAsia" w:hAnsiTheme="minorEastAsia" w:eastAsiaTheme="minorEastAsia"/>
                <w:bCs/>
                <w:sz w:val="20"/>
                <w:szCs w:val="20"/>
                <w:lang w:bidi="ar"/>
              </w:rPr>
              <w:t xml:space="preserve">。</w:t>
            </w:r>
            <w:r/>
          </w:p>
          <w:p>
            <w:pPr>
              <w:jc w:val="left"/>
              <w:widowControl/>
              <w:rPr>
                <w:rFonts w:hint="eastAsia" w:cs="宋体" w:asciiTheme="minorEastAsia" w:hAnsiTheme="minorEastAsia" w:eastAsiaTheme="minorEastAsia"/>
              </w:rPr>
            </w:pPr>
            <w:r>
              <w:rPr>
                <w:rFonts w:hint="eastAsia" w:cs="宋体" w:asciiTheme="minorEastAsia" w:hAnsiTheme="minorEastAsia" w:eastAsiaTheme="minorEastAsia"/>
                <w:sz w:val="20"/>
                <w:szCs w:val="20"/>
                <w:lang w:bidi="ar"/>
              </w:rPr>
              <w:t xml:space="preserve">▲（4）教师演示设备：晶粒度:≥5级；维氏硬度HV1:≥100；多元素含量的测定：C、Si、Mn、P、S、Cr等均合格；试验Ka:盐雾连续喷雾200h，应无锈蚀、腐蚀斑点、起泡、开裂等现象；产品有害物质：铅Pb、镉Cd、铬Cr、汞Hg、锑Sb、钡Ba、硒Se、砷AS等均未检出；氨释放量：≤0.1mg/L。须提供由经国家认证委认证的第三方检测机构出具的检测报告（检测报</w:t>
            </w:r>
            <w:r>
              <w:rPr>
                <w:rFonts w:hint="eastAsia" w:cs="宋体" w:asciiTheme="minorEastAsia" w:hAnsiTheme="minorEastAsia" w:eastAsiaTheme="minorEastAsia"/>
                <w:sz w:val="20"/>
                <w:szCs w:val="20"/>
                <w:lang w:bidi="ar"/>
              </w:rPr>
              <w:t xml:space="preserve">告上须含有“CMA”或“CNAS”标志）。</w:t>
            </w:r>
            <w:r/>
          </w:p>
        </w:tc>
      </w:tr>
      <w:tr>
        <w:trPr>
          <w:trHeight w:val="1839"/>
        </w:trPr>
        <w:tc>
          <w:tcPr>
            <w:gridSpan w:val="2"/>
            <w:tcW w:w="987"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整体概述</w:t>
            </w:r>
            <w:r/>
          </w:p>
        </w:tc>
        <w:tc>
          <w:tcPr>
            <w:tcW w:w="4013"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1.提供教师实验教学、演示设备，通水、电、网络，实现对学生端电源集中控制。</w:t>
            </w:r>
            <w:r>
              <w:rPr>
                <w:rFonts w:hint="eastAsia" w:cs="宋体" w:asciiTheme="minorEastAsia" w:hAnsiTheme="minorEastAsia" w:eastAsiaTheme="minorEastAsia"/>
                <w:sz w:val="20"/>
                <w:szCs w:val="20"/>
                <w:lang w:bidi="ar"/>
              </w:rPr>
              <w:br/>
              <w:t xml:space="preserve">2.为成套设备：</w:t>
            </w:r>
            <w:r>
              <w:rPr>
                <w:rFonts w:hint="eastAsia" w:cs="宋体" w:asciiTheme="minorEastAsia" w:hAnsiTheme="minorEastAsia" w:eastAsiaTheme="minorEastAsia"/>
                <w:bCs/>
                <w:sz w:val="20"/>
                <w:szCs w:val="20"/>
                <w:lang w:bidi="ar"/>
              </w:rPr>
              <w:t xml:space="preserve">操作区平面</w:t>
            </w:r>
            <w:r>
              <w:rPr>
                <w:rFonts w:hint="eastAsia" w:cs="宋体" w:asciiTheme="minorEastAsia" w:hAnsiTheme="minorEastAsia" w:eastAsiaTheme="minorEastAsia"/>
                <w:sz w:val="20"/>
                <w:szCs w:val="20"/>
                <w:lang w:bidi="ar"/>
              </w:rPr>
              <w:t xml:space="preserve">为实验操作、展示区，预留电脑屏显区域；预留设备（主机标准机箱、24寸显示器、中控、功放、24口交换机*2）等放置空间, 需要有储物功能；配备水、电、网络供给与控制系统；配备洗眼器及其他相关配套设施。</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学生实验设备（一），数量：56</w:t>
      </w:r>
      <w:r/>
    </w:p>
    <w:tbl>
      <w:tblPr>
        <w:tblW w:w="48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4"/>
        <w:gridCol w:w="1332"/>
        <w:gridCol w:w="8080"/>
      </w:tblGrid>
      <w:tr>
        <w:trPr>
          <w:trHeight w:val="459"/>
          <w:tblHeader/>
        </w:trPr>
        <w:tc>
          <w:tcPr>
            <w:gridSpan w:val="2"/>
            <w:tcW w:w="1136"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386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r>
      <w:tr>
        <w:trPr>
          <w:trHeight w:val="454"/>
        </w:trPr>
        <w:tc>
          <w:tcPr>
            <w:tcW w:w="49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W w:w="63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≥1200×600×780mm</w:t>
            </w:r>
            <w:r/>
          </w:p>
        </w:tc>
      </w:tr>
      <w:tr>
        <w:trPr>
          <w:trHeight w:val="454"/>
        </w:trPr>
        <w:tc>
          <w:tcPr>
            <w:tcW w:w="49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Cs/>
                <w:sz w:val="20"/>
                <w:szCs w:val="20"/>
                <w:lang w:bidi="ar"/>
              </w:rPr>
              <w:t xml:space="preserve">操作区平面</w:t>
            </w:r>
            <w:r/>
          </w:p>
        </w:tc>
        <w:tc>
          <w:tcPr>
            <w:tcW w:w="63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双面膜耐腐蚀实芯理化板</w:t>
            </w:r>
            <w:r/>
          </w:p>
        </w:tc>
      </w:tr>
      <w:tr>
        <w:trPr>
          <w:trHeight w:val="454"/>
        </w:trPr>
        <w:tc>
          <w:tcPr>
            <w:tcW w:w="49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12.7mm（前端两角倒R20圆角）</w:t>
            </w:r>
            <w:r/>
          </w:p>
        </w:tc>
      </w:tr>
      <w:tr>
        <w:trPr>
          <w:trHeight w:val="667"/>
        </w:trPr>
        <w:tc>
          <w:tcPr>
            <w:tcW w:w="49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前挡板参数</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前挡板整体采用厚1.0mm挤出成型铝合金，尺寸：≥</w:t>
            </w:r>
            <w:r>
              <w:rPr>
                <w:rFonts w:hint="eastAsia" w:cs="宋体" w:asciiTheme="minorEastAsia" w:hAnsiTheme="minorEastAsia" w:eastAsiaTheme="minorEastAsia"/>
              </w:rPr>
              <w:t xml:space="preserve">1070*28*98mm</w:t>
            </w:r>
            <w:r>
              <w:rPr>
                <w:rFonts w:hint="eastAsia" w:cs="宋体" w:asciiTheme="minorEastAsia" w:hAnsiTheme="minorEastAsia" w:eastAsiaTheme="minorEastAsia"/>
                <w:sz w:val="20"/>
                <w:szCs w:val="20"/>
                <w:lang w:bidi="ar"/>
              </w:rPr>
              <w:t xml:space="preserve">，金属表面经高温塑粉烤漆处理。</w:t>
            </w:r>
            <w:r/>
          </w:p>
        </w:tc>
      </w:tr>
      <w:tr>
        <w:trPr>
          <w:trHeight w:val="667"/>
        </w:trPr>
        <w:tc>
          <w:tcPr>
            <w:tcW w:w="49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左右侧挡板</w:t>
            </w:r>
            <w:r/>
          </w:p>
        </w:tc>
        <w:tc>
          <w:tcPr>
            <w:tcW w:w="3864" w:type="pct"/>
            <w:vAlign w:val="center"/>
            <w:textDirection w:val="lrTb"/>
            <w:noWrap w:val="false"/>
          </w:tcPr>
          <w:p>
            <w:pPr>
              <w:pStyle w:val="1095"/>
              <w:ind w:firstLine="400"/>
              <w:rPr>
                <w:rFonts w:hint="eastAsia" w:cs="宋体" w:asciiTheme="minorEastAsia" w:hAnsiTheme="minorEastAsia"/>
              </w:rPr>
            </w:pPr>
            <w:r>
              <w:rPr>
                <w:rFonts w:hint="eastAsia" w:cs="宋体" w:asciiTheme="minorEastAsia" w:hAnsiTheme="minorEastAsia"/>
                <w:sz w:val="20"/>
                <w:szCs w:val="20"/>
                <w:lang w:bidi="ar"/>
              </w:rPr>
              <w:t xml:space="preserve">左右两侧设有挡板，采用ABS工程塑料一体成型，</w:t>
            </w:r>
            <w:r>
              <w:rPr>
                <w:rFonts w:hint="eastAsia" w:cs="宋体" w:asciiTheme="minorEastAsia" w:hAnsiTheme="minorEastAsia"/>
              </w:rPr>
              <w:t xml:space="preserve">尺寸：215*75*98±2mm，</w:t>
            </w:r>
            <w:r>
              <w:rPr>
                <w:rFonts w:hint="eastAsia" w:cs="宋体" w:asciiTheme="minorEastAsia" w:hAnsiTheme="minorEastAsia"/>
                <w:sz w:val="20"/>
                <w:szCs w:val="20"/>
                <w:lang w:bidi="ar"/>
              </w:rPr>
              <w:t xml:space="preserve">易碰撞处全部采用倒圆角处理。</w:t>
            </w:r>
            <w:r/>
          </w:p>
        </w:tc>
      </w:tr>
      <w:tr>
        <w:trPr>
          <w:trHeight w:val="454"/>
        </w:trPr>
        <w:tc>
          <w:tcPr>
            <w:tcW w:w="49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Cs/>
                <w:sz w:val="20"/>
                <w:szCs w:val="20"/>
                <w:lang w:bidi="ar"/>
              </w:rPr>
              <w:t xml:space="preserve">支撑架</w:t>
            </w:r>
            <w:r/>
          </w:p>
        </w:tc>
        <w:tc>
          <w:tcPr>
            <w:tcW w:w="63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塑钢结构</w:t>
            </w:r>
            <w:r/>
          </w:p>
        </w:tc>
      </w:tr>
      <w:tr>
        <w:trPr>
          <w:trHeight w:val="454"/>
        </w:trPr>
        <w:tc>
          <w:tcPr>
            <w:tcW w:w="49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造型</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“Z"型</w:t>
            </w:r>
            <w:r/>
          </w:p>
        </w:tc>
      </w:tr>
      <w:tr>
        <w:trPr>
          <w:trHeight w:val="454"/>
        </w:trPr>
        <w:tc>
          <w:tcPr>
            <w:tcW w:w="49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Cs/>
                <w:sz w:val="20"/>
                <w:szCs w:val="20"/>
                <w:lang w:bidi="ar"/>
              </w:rPr>
              <w:t xml:space="preserve">支撑主体</w:t>
            </w:r>
            <w:r/>
          </w:p>
        </w:tc>
        <w:tc>
          <w:tcPr>
            <w:tcW w:w="63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金属方管</w:t>
            </w:r>
            <w:r/>
          </w:p>
        </w:tc>
      </w:tr>
      <w:tr>
        <w:trPr>
          <w:trHeight w:val="667"/>
        </w:trPr>
        <w:tc>
          <w:tcPr>
            <w:tcW w:w="49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864" w:type="pct"/>
            <w:vAlign w:val="center"/>
            <w:textDirection w:val="lrTb"/>
            <w:noWrap w:val="false"/>
          </w:tcPr>
          <w:p>
            <w:pPr>
              <w:pStyle w:val="1095"/>
              <w:ind w:firstLine="400"/>
              <w:rPr>
                <w:rFonts w:hint="eastAsia" w:cs="宋体" w:asciiTheme="minorEastAsia" w:hAnsiTheme="minorEastAsia"/>
                <w:sz w:val="20"/>
                <w:szCs w:val="20"/>
              </w:rPr>
            </w:pPr>
            <w:r>
              <w:rPr>
                <w:rFonts w:hint="eastAsia" w:cs="宋体" w:asciiTheme="minorEastAsia" w:hAnsiTheme="minorEastAsia"/>
                <w:sz w:val="20"/>
                <w:szCs w:val="20"/>
                <w:lang w:bidi="ar"/>
              </w:rPr>
              <w:t xml:space="preserve">支撑固定方管尺寸:≥30*30*厚1.5mm；</w:t>
            </w:r>
            <w:r>
              <w:rPr>
                <w:rFonts w:hint="eastAsia" w:cs="宋体" w:asciiTheme="minorEastAsia" w:hAnsiTheme="minorEastAsia"/>
              </w:rPr>
              <w:t xml:space="preserve">左右侧边支管加强连接件金属尺寸：198*71*32*厚3mm</w:t>
            </w:r>
            <w:r/>
          </w:p>
        </w:tc>
      </w:tr>
      <w:tr>
        <w:trPr>
          <w:trHeight w:val="349"/>
        </w:trPr>
        <w:tc>
          <w:tcPr>
            <w:tcW w:w="49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左右侧边支管立管及中间横杆椭圆管</w:t>
            </w:r>
            <w:r/>
          </w:p>
        </w:tc>
        <w:tc>
          <w:tcPr>
            <w:tcW w:w="63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钢制</w:t>
            </w:r>
            <w:r/>
          </w:p>
        </w:tc>
      </w:tr>
      <w:tr>
        <w:trPr>
          <w:trHeight w:val="1303"/>
        </w:trPr>
        <w:tc>
          <w:tcPr>
            <w:tcW w:w="49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rPr>
              <w:t xml:space="preserve">左右侧边支管椭圆管尺寸：80*40厚2.0mm；下拉杆椭圆管尺寸：80*40厚1.2mm</w:t>
            </w:r>
            <w:r>
              <w:rPr>
                <w:rFonts w:hint="eastAsia" w:cs="宋体" w:asciiTheme="minorEastAsia" w:hAnsiTheme="minorEastAsia" w:eastAsiaTheme="minorEastAsia"/>
                <w:sz w:val="20"/>
                <w:szCs w:val="20"/>
                <w:lang w:bidi="ar"/>
              </w:rPr>
              <w:t xml:space="preserve">；桌脚外侧安装ABS工程塑料护套，外观流线简洁美观，易碰撞处全部采用倒圆角处理，整体设计美观、合理、安全、牢固、耐用。</w:t>
            </w:r>
            <w:r/>
          </w:p>
        </w:tc>
      </w:tr>
      <w:tr>
        <w:trPr>
          <w:trHeight w:val="454"/>
        </w:trPr>
        <w:tc>
          <w:tcPr>
            <w:tcW w:w="49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书包斗</w:t>
            </w:r>
            <w:r/>
          </w:p>
        </w:tc>
        <w:tc>
          <w:tcPr>
            <w:tcW w:w="63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环保型ABS工程塑料</w:t>
            </w:r>
            <w:r/>
          </w:p>
        </w:tc>
      </w:tr>
      <w:tr>
        <w:trPr>
          <w:trHeight w:val="454"/>
        </w:trPr>
        <w:tc>
          <w:tcPr>
            <w:tcW w:w="49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6"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规格要求</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≥4.6mm、有挂凳口，一次性注塑成型</w:t>
            </w:r>
            <w:r/>
          </w:p>
        </w:tc>
      </w:tr>
      <w:tr>
        <w:trPr>
          <w:trHeight w:val="454"/>
        </w:trPr>
        <w:tc>
          <w:tcPr>
            <w:tcW w:w="49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箱体</w:t>
            </w:r>
            <w:r/>
          </w:p>
        </w:tc>
        <w:tc>
          <w:tcPr>
            <w:tcW w:w="63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环保型ABS工程塑料</w:t>
            </w:r>
            <w:r/>
          </w:p>
        </w:tc>
      </w:tr>
      <w:tr>
        <w:trPr>
          <w:trHeight w:val="833"/>
        </w:trPr>
        <w:tc>
          <w:tcPr>
            <w:tcW w:w="49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规格要求</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rPr>
                <w:rFonts w:hint="eastAsia" w:cs="宋体" w:asciiTheme="minorEastAsia" w:hAnsiTheme="minorEastAsia" w:eastAsiaTheme="minorEastAsia"/>
              </w:rPr>
              <w:t xml:space="preserve">380X220X730±2mm</w:t>
            </w:r>
            <w:r>
              <w:rPr>
                <w:rFonts w:hint="eastAsia" w:cs="宋体" w:asciiTheme="minorEastAsia" w:hAnsiTheme="minorEastAsia" w:eastAsiaTheme="minorEastAsia"/>
                <w:sz w:val="20"/>
                <w:szCs w:val="20"/>
                <w:lang w:bidi="ar"/>
              </w:rPr>
              <w:t xml:space="preserve">，壁厚3.0mm，采用环保型ABS工程塑料一次性注塑成型。</w:t>
            </w:r>
            <w:r/>
          </w:p>
        </w:tc>
      </w:tr>
      <w:tr>
        <w:trPr>
          <w:trHeight w:val="510"/>
        </w:trPr>
        <w:tc>
          <w:tcPr>
            <w:tcW w:w="499"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▲学生电源</w:t>
            </w:r>
            <w:r/>
          </w:p>
        </w:tc>
        <w:tc>
          <w:tcPr>
            <w:tcW w:w="63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位置</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中间位置固定</w:t>
            </w:r>
            <w:r/>
          </w:p>
        </w:tc>
      </w:tr>
      <w:tr>
        <w:trPr>
          <w:trHeight w:val="985"/>
        </w:trPr>
        <w:tc>
          <w:tcPr>
            <w:tcW w:w="49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电源输出（物理、化学）</w:t>
            </w:r>
            <w:r/>
          </w:p>
        </w:tc>
        <w:tc>
          <w:tcPr>
            <w:tcW w:w="3864" w:type="pct"/>
            <w:vAlign w:val="center"/>
            <w:textDirection w:val="lrTb"/>
            <w:noWrap w:val="false"/>
          </w:tcPr>
          <w:p>
            <w:pPr>
              <w:pStyle w:val="1095"/>
              <w:ind w:firstLine="400"/>
              <w:rPr>
                <w:rFonts w:hint="eastAsia" w:cs="宋体" w:asciiTheme="minorEastAsia" w:hAnsiTheme="minorEastAsia"/>
              </w:rPr>
            </w:pPr>
            <w:r>
              <w:rPr>
                <w:rFonts w:hint="eastAsia" w:cs="宋体" w:asciiTheme="minorEastAsia" w:hAnsiTheme="minorEastAsia"/>
                <w:sz w:val="20"/>
                <w:szCs w:val="20"/>
                <w:lang w:bidi="ar"/>
              </w:rPr>
              <w:t xml:space="preserve">学生电源的低压交流电压分两档，</w:t>
            </w:r>
            <w:r>
              <w:rPr>
                <w:rFonts w:hint="eastAsia" w:cs="宋体" w:asciiTheme="minorEastAsia" w:hAnsiTheme="minorEastAsia"/>
              </w:rPr>
              <w:t xml:space="preserve">即1V-18V/3A、19V-30V/2A，分辨率1V</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分辨率1V，具备自动智能侦测过载保护功能，电流高于过载保护点则自动保护、电流低于过载保护点则自动恢复至设定值。</w:t>
            </w:r>
            <w:r/>
          </w:p>
        </w:tc>
      </w:tr>
      <w:tr>
        <w:trPr>
          <w:trHeight w:val="1303"/>
        </w:trPr>
        <w:tc>
          <w:tcPr>
            <w:tcW w:w="49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学生电源的低压直流电压分两档，即1.5V-16V/2A、16V-24V/1A，分辨率为0.1V，分辨率为0.1V。具备自动智能侦测过载保护功能，电流高于过载保护点则自动保护、电流低于过载保护点则自动恢复至设定值。</w:t>
            </w:r>
            <w:r/>
          </w:p>
        </w:tc>
      </w:tr>
      <w:tr>
        <w:trPr>
          <w:trHeight w:val="667"/>
        </w:trPr>
        <w:tc>
          <w:tcPr>
            <w:tcW w:w="49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具有不少于2组5孔220V交流电源输出插座。可通过教师单独控制其电源的输出</w:t>
            </w:r>
            <w:r/>
          </w:p>
        </w:tc>
      </w:tr>
      <w:tr>
        <w:trPr>
          <w:trHeight w:val="667"/>
        </w:trPr>
        <w:tc>
          <w:tcPr>
            <w:tcW w:w="49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6" w:type="pct"/>
            <w:vAlign w:val="center"/>
            <w:vMerge w:val="restart"/>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通过教师数字化键盘控制学生电源低压交流电压值和直流电压值，分别显示交直流电压值。学生操控时伴有按键提示音。</w:t>
            </w:r>
            <w:r/>
          </w:p>
        </w:tc>
      </w:tr>
      <w:tr>
        <w:trPr>
          <w:trHeight w:val="510"/>
        </w:trPr>
        <w:tc>
          <w:tcPr>
            <w:tcW w:w="49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具备短路、过载保护功能。并带有交流220V输出显示功能。</w:t>
            </w:r>
            <w:r/>
          </w:p>
        </w:tc>
      </w:tr>
      <w:tr>
        <w:trPr>
          <w:trHeight w:val="510"/>
        </w:trPr>
        <w:tc>
          <w:tcPr>
            <w:tcW w:w="499"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6" w:type="pct"/>
            <w:vAlign w:val="center"/>
            <w:vMerge w:val="continue"/>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864" w:type="pct"/>
            <w:vAlign w:val="center"/>
            <w:textDirection w:val="lrTb"/>
            <w:noWrap w:val="false"/>
          </w:tcPr>
          <w:p>
            <w:pPr>
              <w:pStyle w:val="1095"/>
              <w:rPr>
                <w:rFonts w:hint="eastAsia" w:cs="宋体" w:asciiTheme="minorEastAsia" w:hAnsiTheme="minorEastAsia"/>
                <w:sz w:val="20"/>
                <w:szCs w:val="20"/>
              </w:rPr>
            </w:pPr>
            <w:r>
              <w:rPr>
                <w:rFonts w:hint="eastAsia" w:cs="宋体" w:asciiTheme="minorEastAsia" w:hAnsiTheme="minorEastAsia"/>
              </w:rPr>
              <w:t xml:space="preserve">每个学生电源自带一个独立变压器。</w:t>
            </w:r>
            <w:r/>
          </w:p>
        </w:tc>
      </w:tr>
      <w:tr>
        <w:trPr>
          <w:trHeight w:val="4767"/>
        </w:trPr>
        <w:tc>
          <w:tcPr>
            <w:gridSpan w:val="2"/>
            <w:tcW w:w="1136"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2"/>
                <w:lang w:bidi="ar"/>
              </w:rPr>
              <w:t xml:space="preserve">其他要求</w:t>
            </w:r>
            <w:r/>
          </w:p>
        </w:tc>
        <w:tc>
          <w:tcPr>
            <w:tcW w:w="3864" w:type="pct"/>
            <w:vAlign w:val="center"/>
            <w:textDirection w:val="lrTb"/>
            <w:noWrap w:val="false"/>
          </w:tcPr>
          <w:p>
            <w:pPr>
              <w:pStyle w:val="2043"/>
              <w:jc w:val="left"/>
              <w:rPr>
                <w:rFonts w:hint="eastAsia" w:cs="宋体" w:asciiTheme="minorEastAsia" w:hAnsiTheme="minorEastAsia" w:eastAsiaTheme="minorEastAsia"/>
              </w:rPr>
            </w:pPr>
            <w:r>
              <w:rPr>
                <w:rFonts w:hint="eastAsia" w:cs="宋体" w:asciiTheme="minorEastAsia" w:hAnsiTheme="minorEastAsia" w:eastAsiaTheme="minorEastAsia"/>
                <w:bCs/>
                <w:sz w:val="20"/>
                <w:szCs w:val="20"/>
                <w:lang w:bidi="ar"/>
              </w:rPr>
              <w:t xml:space="preserve">▲学生实验设备：无晶间腐蚀；孔隙率（铁试剂法）：≤3个孔/cm²；多元素含量的测定：Si、Fe、Cu、Mn、Mg等均合格；力学性能：抗拉强度Rm≥200N/mm2；规定非比例延伸强度R</w:t>
            </w:r>
            <w:r>
              <w:rPr>
                <w:rFonts w:hint="eastAsia" w:cs="宋体" w:asciiTheme="minorEastAsia" w:hAnsiTheme="minorEastAsia" w:eastAsiaTheme="minorEastAsia"/>
                <w:bCs/>
                <w:sz w:val="20"/>
                <w:szCs w:val="20"/>
                <w:vertAlign w:val="subscript"/>
                <w:lang w:bidi="ar"/>
              </w:rPr>
              <w:t xml:space="preserve">P0.2</w:t>
            </w:r>
            <w:r>
              <w:rPr>
                <w:rFonts w:hint="eastAsia" w:cs="宋体" w:asciiTheme="minorEastAsia" w:hAnsiTheme="minorEastAsia" w:eastAsiaTheme="minorEastAsia"/>
                <w:bCs/>
                <w:sz w:val="20"/>
                <w:szCs w:val="20"/>
                <w:lang w:bidi="ar"/>
              </w:rPr>
              <w:t xml:space="preserve">≥150N/mm2；断后伸长率A</w:t>
            </w:r>
            <w:r>
              <w:rPr>
                <w:rFonts w:hint="eastAsia" w:cs="宋体" w:asciiTheme="minorEastAsia" w:hAnsiTheme="minorEastAsia" w:eastAsiaTheme="minorEastAsia"/>
                <w:bCs/>
                <w:sz w:val="20"/>
                <w:szCs w:val="20"/>
                <w:vertAlign w:val="subscript"/>
                <w:lang w:bidi="ar"/>
              </w:rPr>
              <w:t xml:space="preserve">50mm</w:t>
            </w:r>
            <w:r>
              <w:rPr>
                <w:rFonts w:hint="eastAsia" w:cs="宋体" w:asciiTheme="minorEastAsia" w:hAnsiTheme="minorEastAsia" w:eastAsiaTheme="minorEastAsia"/>
                <w:bCs/>
                <w:sz w:val="20"/>
                <w:szCs w:val="20"/>
                <w:lang w:bidi="ar"/>
              </w:rPr>
              <w:t xml:space="preserve">≥5%；韦氏硬度≥10；产品有害物质：铅Pb、镉Cd、铬Cr、汞Hg、锑Sb、钡Ba、硒Se、砷AS等均未检出；磁粉检测：未发现超标缺陷，评定为1级。须提供由经国家认证委认证的第三方检测机构出具的检测报告（检测报告上须含有“CMA”或“CNAS”标志）</w:t>
            </w:r>
            <w:r/>
          </w:p>
          <w:p>
            <w:pPr>
              <w:pStyle w:val="2043"/>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bCs/>
                <w:sz w:val="20"/>
                <w:szCs w:val="20"/>
                <w:lang w:bidi="ar"/>
              </w:rPr>
              <w:t xml:space="preserve">▲书包斗：符合GB 28481-2012 塑料家具中有害物质限量要求；邻苯二甲酸酯：DBP、BBP、DEHP、DNOP均≤0.001%；DINP、DIDP均≤0.005%；重金属：可溶性镉、可溶性铬、可溶性铅均≤5mg/kg、可溶性汞≤2mg/kg；多环芳烃：苯并[a]芘、16种多环芳烃（PAH）总量均未检出。须提供由经国家认证委认证的第三方检测机构出具的检测报告（检测报告上须含有“CMA”或“CNAS”标志）</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▲学生电源:满足：GB4793.1-2007《测量、控制和实验室用电气设备的安全要求 第1部分：通用要求》。提供由经国家认证委认证的第三方检测机构出具的检测报告（检测报告上须含有“CMA”或“CNAS”标志）。</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★三联水嘴：</w:t>
            </w:r>
            <w:r>
              <w:rPr>
                <w:rFonts w:cs="宋体" w:asciiTheme="minorEastAsia" w:hAnsiTheme="minorEastAsia" w:eastAsiaTheme="minorEastAsia"/>
                <w:color w:val="000000"/>
                <w:sz w:val="20"/>
              </w:rPr>
              <w:t xml:space="preserve">提供国家确定的认证机构出具的、处于有效期之内的节能产品认证证书</w:t>
            </w:r>
            <w:r>
              <w:rPr>
                <w:rFonts w:hint="eastAsia" w:cs="宋体" w:asciiTheme="minorEastAsia" w:hAnsiTheme="minorEastAsia" w:eastAsiaTheme="minorEastAsia"/>
                <w:bCs/>
                <w:sz w:val="20"/>
                <w:szCs w:val="20"/>
                <w:lang w:bidi="ar"/>
              </w:rPr>
              <w:t xml:space="preserve">。</w:t>
            </w:r>
            <w:r/>
          </w:p>
        </w:tc>
      </w:tr>
      <w:tr>
        <w:trPr>
          <w:trHeight w:val="1622"/>
        </w:trPr>
        <w:tc>
          <w:tcPr>
            <w:gridSpan w:val="2"/>
            <w:tcW w:w="1136" w:type="pct"/>
            <w:vAlign w:val="center"/>
            <w:textDirection w:val="lrTb"/>
            <w:noWrap w:val="false"/>
          </w:tcPr>
          <w:p>
            <w:pPr>
              <w:jc w:val="left"/>
              <w:widowControl/>
              <w:rPr>
                <w:rFonts w:hint="eastAsia" w:cs="宋体" w:asciiTheme="minorEastAsia" w:hAnsiTheme="minorEastAsia" w:eastAsiaTheme="minorEastAsia"/>
                <w:sz w:val="22"/>
              </w:rPr>
            </w:pPr>
            <w:r>
              <w:rPr>
                <w:rFonts w:hint="eastAsia" w:cs="宋体" w:asciiTheme="minorEastAsia" w:hAnsiTheme="minorEastAsia" w:eastAsiaTheme="minorEastAsia"/>
                <w:sz w:val="20"/>
                <w:szCs w:val="20"/>
                <w:lang w:bidi="ar"/>
              </w:rPr>
              <w:t xml:space="preserve">整体概述</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1.提供学生实验操作、学习区，</w:t>
            </w:r>
            <w:r>
              <w:rPr>
                <w:rFonts w:hint="eastAsia" w:cs="宋体" w:asciiTheme="minorEastAsia" w:hAnsiTheme="minorEastAsia" w:eastAsiaTheme="minorEastAsia"/>
                <w:bCs/>
                <w:sz w:val="20"/>
                <w:szCs w:val="20"/>
                <w:lang w:bidi="ar"/>
              </w:rPr>
              <w:t xml:space="preserve">每个演示设备具备</w:t>
            </w:r>
            <w:r>
              <w:rPr>
                <w:rFonts w:hint="eastAsia" w:cs="宋体" w:asciiTheme="minorEastAsia" w:hAnsiTheme="minorEastAsia" w:eastAsiaTheme="minorEastAsia"/>
                <w:sz w:val="20"/>
                <w:szCs w:val="20"/>
                <w:lang w:bidi="ar"/>
              </w:rPr>
              <w:t xml:space="preserve">2个学生位，电源受教师端集中控制。</w:t>
            </w:r>
            <w:r>
              <w:rPr>
                <w:rFonts w:hint="eastAsia" w:cs="宋体" w:asciiTheme="minorEastAsia" w:hAnsiTheme="minorEastAsia" w:eastAsiaTheme="minorEastAsia"/>
                <w:sz w:val="20"/>
                <w:szCs w:val="20"/>
                <w:lang w:bidi="ar"/>
              </w:rPr>
              <w:br/>
              <w:t xml:space="preserve">2.学生演示设备</w:t>
            </w:r>
            <w:r>
              <w:rPr>
                <w:rFonts w:hint="eastAsia" w:cs="宋体" w:asciiTheme="minorEastAsia" w:hAnsiTheme="minorEastAsia" w:eastAsiaTheme="minorEastAsia"/>
                <w:bCs/>
                <w:sz w:val="20"/>
                <w:szCs w:val="20"/>
                <w:lang w:bidi="ar"/>
              </w:rPr>
              <w:t xml:space="preserve">、水槽等</w:t>
            </w:r>
            <w:r>
              <w:rPr>
                <w:rFonts w:hint="eastAsia" w:cs="宋体" w:asciiTheme="minorEastAsia" w:hAnsiTheme="minorEastAsia" w:eastAsiaTheme="minorEastAsia"/>
                <w:sz w:val="20"/>
                <w:szCs w:val="20"/>
                <w:lang w:bidi="ar"/>
              </w:rPr>
              <w:t xml:space="preserve">为成套设备：演示设备</w:t>
            </w:r>
            <w:r>
              <w:rPr>
                <w:rFonts w:hint="eastAsia" w:cs="宋体" w:asciiTheme="minorEastAsia" w:hAnsiTheme="minorEastAsia" w:eastAsiaTheme="minorEastAsia"/>
                <w:bCs/>
                <w:sz w:val="20"/>
                <w:szCs w:val="20"/>
                <w:lang w:bidi="ar"/>
              </w:rPr>
              <w:t xml:space="preserve">平</w:t>
            </w:r>
            <w:r>
              <w:rPr>
                <w:rFonts w:hint="eastAsia" w:cs="宋体" w:asciiTheme="minorEastAsia" w:hAnsiTheme="minorEastAsia" w:eastAsiaTheme="minorEastAsia"/>
                <w:sz w:val="20"/>
                <w:szCs w:val="20"/>
                <w:lang w:bidi="ar"/>
              </w:rPr>
              <w:t xml:space="preserve">面为实验操作、学习区，配备书包斗；箱体、水槽提供水、电、网络系统及其他相关配套设施。</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425" w:equalWidth="1"/>
          <w:docGrid w:linePitch="360"/>
        </w:sectPr>
      </w:pPr>
      <w:r>
        <w:rPr>
          <w:rFonts w:hint="eastAsia" w:cs="宋体" w:asciiTheme="minorEastAsia" w:hAnsiTheme="minorEastAsia" w:eastAsiaTheme="minorEastAsia"/>
        </w:rPr>
      </w:r>
      <w:r/>
    </w:p>
    <w:p>
      <w:pPr>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学生实验设备</w:t>
      </w:r>
      <w:r>
        <w:rPr>
          <w:rFonts w:hint="eastAsia" w:cs="宋体" w:asciiTheme="minorEastAsia" w:hAnsiTheme="minorEastAsia" w:eastAsiaTheme="minorEastAsia"/>
          <w:b/>
          <w:sz w:val="24"/>
          <w:lang w:bidi="ar"/>
        </w:rPr>
        <w:t xml:space="preserve">（一）水槽、三联水嘴</w:t>
      </w:r>
      <w:r>
        <w:rPr>
          <w:rFonts w:hint="eastAsia" w:cs="宋体" w:asciiTheme="minorEastAsia" w:hAnsiTheme="minorEastAsia" w:eastAsiaTheme="minorEastAsia"/>
          <w:b/>
          <w:sz w:val="24"/>
        </w:rPr>
        <w:t xml:space="preserve">，数量：14</w:t>
      </w:r>
      <w:r/>
    </w:p>
    <w:tbl>
      <w:tblPr>
        <w:tblW w:w="482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9"/>
        <w:gridCol w:w="1296"/>
        <w:gridCol w:w="7940"/>
      </w:tblGrid>
      <w:tr>
        <w:trPr>
          <w:trHeight w:val="313"/>
          <w:tblHeader/>
        </w:trPr>
        <w:tc>
          <w:tcPr>
            <w:gridSpan w:val="2"/>
            <w:tcW w:w="1151"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849"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r>
      <w:tr>
        <w:trPr>
          <w:trHeight w:val="528"/>
        </w:trPr>
        <w:tc>
          <w:tcPr>
            <w:tcW w:w="523" w:type="pct"/>
            <w:vAlign w:val="center"/>
            <w:vMerge w:val="restart"/>
            <w:textDirection w:val="lrTb"/>
            <w:noWrap w:val="false"/>
          </w:tcPr>
          <w:p>
            <w:pPr>
              <w:pStyle w:val="2043"/>
              <w:rPr>
                <w:rFonts w:hint="eastAsia" w:cs="宋体" w:asciiTheme="minorEastAsia" w:hAnsiTheme="minorEastAsia" w:eastAsiaTheme="minorEastAsia"/>
                <w:b/>
                <w:bCs/>
                <w:sz w:val="20"/>
                <w:szCs w:val="20"/>
              </w:rPr>
            </w:pPr>
            <w:r>
              <w:rPr>
                <w:rFonts w:hint="eastAsia" w:cs="宋体" w:asciiTheme="minorEastAsia" w:hAnsiTheme="minorEastAsia" w:eastAsiaTheme="minorEastAsia"/>
                <w:sz w:val="20"/>
                <w:szCs w:val="20"/>
                <w:lang w:bidi="ar"/>
              </w:rPr>
              <w:t xml:space="preserve">水槽</w:t>
            </w:r>
            <w:r/>
          </w:p>
        </w:tc>
        <w:tc>
          <w:tcPr>
            <w:tcW w:w="6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外观尺寸</w:t>
            </w:r>
            <w:r/>
          </w:p>
        </w:tc>
        <w:tc>
          <w:tcPr>
            <w:tcW w:w="384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≥500×600×820mm</w:t>
            </w:r>
            <w:r/>
          </w:p>
        </w:tc>
      </w:tr>
      <w:tr>
        <w:trPr>
          <w:trHeight w:val="528"/>
        </w:trPr>
        <w:tc>
          <w:tcPr>
            <w:tcW w:w="52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水槽尺寸</w:t>
            </w:r>
            <w:r/>
          </w:p>
        </w:tc>
        <w:tc>
          <w:tcPr>
            <w:tcW w:w="3849" w:type="pct"/>
            <w:vAlign w:val="center"/>
            <w:textDirection w:val="lrTb"/>
            <w:noWrap w:val="false"/>
          </w:tcPr>
          <w:p>
            <w:pPr>
              <w:pStyle w:val="1095"/>
              <w:ind w:firstLine="400"/>
              <w:rPr>
                <w:rFonts w:hint="eastAsia" w:cs="宋体" w:asciiTheme="minorEastAsia" w:hAnsiTheme="minorEastAsia"/>
                <w:sz w:val="20"/>
                <w:szCs w:val="20"/>
              </w:rPr>
            </w:pPr>
            <w:r>
              <w:rPr>
                <w:rFonts w:hint="eastAsia" w:cs="宋体" w:asciiTheme="minorEastAsia" w:hAnsiTheme="minorEastAsia"/>
                <w:sz w:val="20"/>
                <w:szCs w:val="20"/>
                <w:lang w:bidi="ar"/>
              </w:rPr>
              <w:t xml:space="preserve">≥</w:t>
            </w:r>
            <w:r>
              <w:rPr>
                <w:rFonts w:hint="eastAsia" w:cs="宋体" w:asciiTheme="minorEastAsia" w:hAnsiTheme="minorEastAsia"/>
              </w:rPr>
              <w:t xml:space="preserve">外径规格：495×595×295±5mm</w:t>
            </w:r>
            <w:r>
              <w:rPr>
                <w:rFonts w:hint="eastAsia" w:cs="宋体" w:asciiTheme="minorEastAsia" w:hAnsiTheme="minorEastAsia"/>
                <w:sz w:val="20"/>
                <w:szCs w:val="20"/>
                <w:lang w:bidi="ar"/>
              </w:rPr>
              <w:t xml:space="preserve">（内径）</w:t>
            </w:r>
            <w:r/>
          </w:p>
        </w:tc>
      </w:tr>
      <w:tr>
        <w:trPr>
          <w:trHeight w:val="902"/>
        </w:trPr>
        <w:tc>
          <w:tcPr>
            <w:tcW w:w="52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4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采用环保型ABS工程塑料一次性注塑成型，表面木纹与光面项结合处理</w:t>
            </w:r>
            <w:r/>
          </w:p>
        </w:tc>
      </w:tr>
      <w:tr>
        <w:trPr>
          <w:trHeight w:val="528"/>
        </w:trPr>
        <w:tc>
          <w:tcPr>
            <w:tcW w:w="52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w:t>
            </w:r>
            <w:r/>
          </w:p>
        </w:tc>
        <w:tc>
          <w:tcPr>
            <w:tcW w:w="384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水槽壁厚6mm</w:t>
            </w:r>
            <w:r/>
          </w:p>
        </w:tc>
      </w:tr>
      <w:tr>
        <w:trPr>
          <w:trHeight w:val="1299"/>
        </w:trPr>
        <w:tc>
          <w:tcPr>
            <w:tcW w:w="52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w:t>
            </w:r>
            <w:r/>
          </w:p>
        </w:tc>
        <w:tc>
          <w:tcPr>
            <w:tcW w:w="384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前部凸起榫卯连接结构并合理布局加强筋，安装时不用胶水粘结，不用任何金属螺丝，能够通过自身力量相互连接，实现不变形，不扭曲</w:t>
            </w:r>
            <w:r/>
          </w:p>
        </w:tc>
      </w:tr>
      <w:tr>
        <w:trPr>
          <w:trHeight w:val="528"/>
        </w:trPr>
        <w:tc>
          <w:tcPr>
            <w:tcW w:w="523"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sz w:val="20"/>
                <w:szCs w:val="20"/>
                <w:lang w:bidi="ar"/>
              </w:rPr>
              <w:t xml:space="preserve">★三联水嘴</w:t>
            </w:r>
            <w:r/>
          </w:p>
        </w:tc>
        <w:tc>
          <w:tcPr>
            <w:tcW w:w="6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整体材质</w:t>
            </w:r>
            <w:r/>
          </w:p>
        </w:tc>
        <w:tc>
          <w:tcPr>
            <w:tcW w:w="384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铜质表面烤漆处理</w:t>
            </w:r>
            <w:r/>
          </w:p>
        </w:tc>
      </w:tr>
      <w:tr>
        <w:trPr>
          <w:trHeight w:val="528"/>
        </w:trPr>
        <w:tc>
          <w:tcPr>
            <w:tcW w:w="52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阀芯</w:t>
            </w:r>
            <w:r/>
          </w:p>
        </w:tc>
        <w:tc>
          <w:tcPr>
            <w:tcW w:w="384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陶瓷阀芯</w:t>
            </w:r>
            <w:r/>
          </w:p>
        </w:tc>
      </w:tr>
      <w:tr>
        <w:trPr>
          <w:trHeight w:val="633"/>
        </w:trPr>
        <w:tc>
          <w:tcPr>
            <w:tcW w:w="523"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2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鹅颈管</w:t>
            </w:r>
            <w:r/>
          </w:p>
        </w:tc>
        <w:tc>
          <w:tcPr>
            <w:tcW w:w="3849"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可360度旋转</w:t>
            </w:r>
            <w:r/>
          </w:p>
        </w:tc>
      </w:tr>
      <w:tr>
        <w:trPr>
          <w:trHeight w:val="583"/>
        </w:trPr>
        <w:tc>
          <w:tcPr>
            <w:gridSpan w:val="2"/>
            <w:tcW w:w="1151" w:type="pct"/>
            <w:vAlign w:val="center"/>
            <w:textDirection w:val="lrTb"/>
            <w:noWrap w:val="false"/>
          </w:tcPr>
          <w:p>
            <w:pPr>
              <w:pStyle w:val="2043"/>
              <w:rPr>
                <w:rFonts w:hint="eastAsia" w:cs="宋体" w:asciiTheme="minorEastAsia" w:hAnsiTheme="minorEastAsia" w:eastAsiaTheme="minorEastAsia"/>
                <w:bCs/>
                <w:sz w:val="20"/>
                <w:szCs w:val="20"/>
              </w:rPr>
            </w:pPr>
            <w:r>
              <w:rPr>
                <w:rFonts w:cs="宋体" w:asciiTheme="minorEastAsia" w:hAnsiTheme="minorEastAsia" w:eastAsiaTheme="minorEastAsia"/>
                <w:bCs/>
                <w:sz w:val="20"/>
                <w:szCs w:val="20"/>
                <w:lang w:bidi="ar"/>
              </w:rPr>
              <w:t xml:space="preserve">其他要求</w:t>
            </w:r>
            <w:r/>
          </w:p>
        </w:tc>
        <w:tc>
          <w:tcPr>
            <w:tcW w:w="3849" w:type="pct"/>
            <w:vAlign w:val="center"/>
            <w:textDirection w:val="lrTb"/>
            <w:noWrap w:val="false"/>
          </w:tcPr>
          <w:p>
            <w:pPr>
              <w:pStyle w:val="2043"/>
              <w:jc w:val="left"/>
              <w:rPr>
                <w:rFonts w:hint="eastAsia" w:cs="宋体" w:asciiTheme="minorEastAsia" w:hAnsiTheme="minorEastAsia" w:eastAsiaTheme="minorEastAsia"/>
                <w:bCs/>
                <w:sz w:val="20"/>
                <w:szCs w:val="20"/>
              </w:rPr>
            </w:pPr>
            <w:r>
              <w:rPr>
                <w:rFonts w:hint="eastAsia" w:cs="宋体" w:asciiTheme="minorEastAsia" w:hAnsiTheme="minorEastAsia" w:eastAsiaTheme="minorEastAsia"/>
              </w:rPr>
              <w:t xml:space="preserve">只有生物化学有</w:t>
            </w:r>
            <w:r/>
          </w:p>
        </w:tc>
      </w:tr>
    </w:tbl>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rPr>
        <w:t xml:space="preserve">学生实验设备</w:t>
      </w:r>
      <w:r>
        <w:rPr>
          <w:rFonts w:hint="eastAsia" w:cs="宋体" w:asciiTheme="minorEastAsia" w:hAnsiTheme="minorEastAsia" w:eastAsiaTheme="minorEastAsia"/>
          <w:lang w:bidi="ar"/>
        </w:rPr>
        <w:t xml:space="preserve">（二），数量：28</w:t>
      </w:r>
      <w:r/>
    </w:p>
    <w:tbl>
      <w:tblPr>
        <w:tblW w:w="48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9"/>
        <w:gridCol w:w="1317"/>
        <w:gridCol w:w="8080"/>
      </w:tblGrid>
      <w:tr>
        <w:trPr>
          <w:trHeight w:val="442"/>
          <w:tblHeader/>
        </w:trPr>
        <w:tc>
          <w:tcPr>
            <w:gridSpan w:val="2"/>
            <w:tcW w:w="1136"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386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r>
      <w:tr>
        <w:trPr>
          <w:trHeight w:val="454"/>
        </w:trPr>
        <w:tc>
          <w:tcPr>
            <w:tcW w:w="50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≥1200×600×780mm</w:t>
            </w:r>
            <w:r/>
          </w:p>
        </w:tc>
      </w:tr>
      <w:tr>
        <w:trPr>
          <w:trHeight w:val="454"/>
        </w:trPr>
        <w:tc>
          <w:tcPr>
            <w:tcW w:w="50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Cs/>
                <w:sz w:val="20"/>
                <w:szCs w:val="20"/>
                <w:lang w:bidi="ar"/>
              </w:rPr>
              <w:t xml:space="preserve">操作区平面</w:t>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双面膜耐腐蚀实芯理化板</w:t>
            </w:r>
            <w:r/>
          </w:p>
        </w:tc>
      </w:tr>
      <w:tr>
        <w:trPr>
          <w:trHeight w:val="454"/>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12.7mm（前端两角倒R20圆角）</w:t>
            </w:r>
            <w:r/>
          </w:p>
        </w:tc>
      </w:tr>
      <w:tr>
        <w:trPr>
          <w:trHeight w:val="651"/>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前挡板参数</w:t>
            </w:r>
            <w:r/>
          </w:p>
        </w:tc>
        <w:tc>
          <w:tcPr>
            <w:tcW w:w="3864" w:type="pct"/>
            <w:vAlign w:val="center"/>
            <w:textDirection w:val="lrTb"/>
            <w:noWrap w:val="false"/>
          </w:tcPr>
          <w:p>
            <w:pPr>
              <w:pStyle w:val="1095"/>
              <w:ind w:firstLine="400"/>
              <w:rPr>
                <w:rFonts w:hint="eastAsia" w:cs="宋体" w:asciiTheme="minorEastAsia" w:hAnsiTheme="minorEastAsia"/>
              </w:rPr>
            </w:pPr>
            <w:r>
              <w:rPr>
                <w:rFonts w:hint="eastAsia" w:cs="宋体" w:asciiTheme="minorEastAsia" w:hAnsiTheme="minorEastAsia"/>
                <w:sz w:val="20"/>
                <w:szCs w:val="20"/>
                <w:lang w:bidi="ar"/>
              </w:rPr>
              <w:t xml:space="preserve">前挡板整体采用厚</w:t>
            </w:r>
            <w:r>
              <w:rPr>
                <w:rFonts w:hint="eastAsia" w:cs="宋体" w:asciiTheme="minorEastAsia" w:hAnsiTheme="minorEastAsia"/>
              </w:rPr>
              <w:t xml:space="preserve">台面前挡板整体采用厚1.0mm挤出成型铝合金，尺寸：1070*28*98mm金属表面经高温塑粉烤漆处理</w:t>
            </w:r>
            <w:r>
              <w:rPr>
                <w:rFonts w:hint="eastAsia" w:cs="宋体" w:asciiTheme="minorEastAsia" w:hAnsiTheme="minorEastAsia"/>
                <w:sz w:val="20"/>
                <w:szCs w:val="20"/>
                <w:lang w:bidi="ar"/>
              </w:rPr>
              <w:t xml:space="preserve">，金属表面经高温塑粉烤漆处理。</w:t>
            </w:r>
            <w:r/>
          </w:p>
        </w:tc>
      </w:tr>
      <w:tr>
        <w:trPr>
          <w:trHeight w:val="651"/>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左右侧挡板</w:t>
            </w:r>
            <w:r/>
          </w:p>
        </w:tc>
        <w:tc>
          <w:tcPr>
            <w:tcW w:w="3864" w:type="pct"/>
            <w:vAlign w:val="center"/>
            <w:textDirection w:val="lrTb"/>
            <w:noWrap w:val="false"/>
          </w:tcPr>
          <w:p>
            <w:pPr>
              <w:pStyle w:val="1095"/>
              <w:ind w:firstLine="400"/>
              <w:rPr>
                <w:rFonts w:hint="eastAsia" w:cs="宋体" w:asciiTheme="minorEastAsia" w:hAnsiTheme="minorEastAsia"/>
              </w:rPr>
            </w:pPr>
            <w:r>
              <w:rPr>
                <w:rFonts w:hint="eastAsia" w:cs="宋体" w:asciiTheme="minorEastAsia" w:hAnsiTheme="minorEastAsia"/>
                <w:sz w:val="20"/>
                <w:szCs w:val="20"/>
                <w:lang w:bidi="ar"/>
              </w:rPr>
              <w:t xml:space="preserve">左右两侧设有挡板，采用ABS工程塑料一体成型，</w:t>
            </w:r>
            <w:r>
              <w:rPr>
                <w:rFonts w:hint="eastAsia" w:cs="宋体" w:asciiTheme="minorEastAsia" w:hAnsiTheme="minorEastAsia"/>
              </w:rPr>
              <w:t xml:space="preserve">尺寸：215*75*98±2mm；</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易碰撞处全部采用倒圆角处理</w:t>
            </w:r>
            <w:r/>
          </w:p>
        </w:tc>
      </w:tr>
      <w:tr>
        <w:trPr>
          <w:trHeight w:val="397"/>
        </w:trPr>
        <w:tc>
          <w:tcPr>
            <w:tcW w:w="50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支撑架</w:t>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塑钢结构</w:t>
            </w:r>
            <w:r/>
          </w:p>
        </w:tc>
      </w:tr>
      <w:tr>
        <w:trPr>
          <w:trHeight w:val="397"/>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造型</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“Z"型</w:t>
            </w:r>
            <w:r/>
          </w:p>
        </w:tc>
      </w:tr>
      <w:tr>
        <w:trPr>
          <w:trHeight w:val="397"/>
        </w:trPr>
        <w:tc>
          <w:tcPr>
            <w:tcW w:w="50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bCs/>
                <w:sz w:val="20"/>
                <w:szCs w:val="20"/>
                <w:lang w:bidi="ar"/>
              </w:rPr>
              <w:t xml:space="preserve">支撑主体</w:t>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金属方管</w:t>
            </w:r>
            <w:r/>
          </w:p>
        </w:tc>
      </w:tr>
      <w:tr>
        <w:trPr>
          <w:trHeight w:val="651"/>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864" w:type="pct"/>
            <w:vAlign w:val="center"/>
            <w:textDirection w:val="lrTb"/>
            <w:noWrap w:val="false"/>
          </w:tcPr>
          <w:p>
            <w:pPr>
              <w:pStyle w:val="1095"/>
              <w:ind w:firstLine="400"/>
              <w:rPr>
                <w:rFonts w:hint="eastAsia" w:cs="宋体" w:asciiTheme="minorEastAsia" w:hAnsiTheme="minorEastAsia"/>
                <w:sz w:val="20"/>
                <w:szCs w:val="20"/>
              </w:rPr>
            </w:pPr>
            <w:r>
              <w:rPr>
                <w:rFonts w:hint="eastAsia" w:cs="宋体" w:asciiTheme="minorEastAsia" w:hAnsiTheme="minorEastAsia"/>
                <w:sz w:val="20"/>
                <w:szCs w:val="20"/>
                <w:lang w:bidi="ar"/>
              </w:rPr>
              <w:t xml:space="preserve">支撑固定方管尺寸:≥30*30*厚1.5mm；</w:t>
            </w:r>
            <w:r>
              <w:rPr>
                <w:rFonts w:cs="宋体" w:asciiTheme="minorEastAsia" w:hAnsiTheme="minorEastAsia"/>
              </w:rPr>
              <w:t xml:space="preserve">左右侧边支管加强连接件金属尺寸：198*71*32*厚3mm；</w:t>
            </w:r>
            <w:r/>
          </w:p>
        </w:tc>
      </w:tr>
      <w:tr>
        <w:trPr>
          <w:trHeight w:val="454"/>
        </w:trPr>
        <w:tc>
          <w:tcPr>
            <w:tcW w:w="50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左右侧边支管立管及中间横杆椭圆管</w:t>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钢制</w:t>
            </w:r>
            <w:r/>
          </w:p>
        </w:tc>
      </w:tr>
      <w:tr>
        <w:trPr>
          <w:trHeight w:val="1293"/>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3864" w:type="pct"/>
            <w:vAlign w:val="center"/>
            <w:textDirection w:val="lrTb"/>
            <w:noWrap w:val="false"/>
          </w:tcPr>
          <w:p>
            <w:pPr>
              <w:pStyle w:val="1095"/>
              <w:ind w:firstLine="400"/>
              <w:rPr>
                <w:rFonts w:hint="eastAsia" w:cs="宋体" w:asciiTheme="minorEastAsia" w:hAnsiTheme="minorEastAsia"/>
                <w:sz w:val="20"/>
                <w:szCs w:val="20"/>
              </w:rPr>
            </w:pPr>
            <w:r>
              <w:rPr>
                <w:rFonts w:hint="eastAsia" w:cs="宋体" w:asciiTheme="minorEastAsia" w:hAnsiTheme="minorEastAsia"/>
                <w:sz w:val="20"/>
                <w:szCs w:val="20"/>
              </w:rPr>
              <w:t xml:space="preserve">左右侧边支管椭圆管尺寸：80*40厚2.0mm；下拉杆椭圆管尺寸：80*40厚1.2mm；左右侧边支杆底管尺寸：60*30*厚1.8mm</w:t>
            </w:r>
            <w:r>
              <w:rPr>
                <w:rFonts w:hint="eastAsia" w:cs="宋体" w:asciiTheme="minorEastAsia" w:hAnsiTheme="minorEastAsia"/>
                <w:sz w:val="20"/>
                <w:szCs w:val="20"/>
                <w:lang w:bidi="ar"/>
              </w:rPr>
              <w:t xml:space="preserve">；桌脚外侧安装ABS工程塑料护套，外观流线简洁美观，易碰撞处全部采用倒圆角处理，整体设计美观、合理、安全、牢固、耐用。</w:t>
            </w:r>
            <w:r/>
          </w:p>
        </w:tc>
      </w:tr>
      <w:tr>
        <w:trPr>
          <w:trHeight w:val="454"/>
        </w:trPr>
        <w:tc>
          <w:tcPr>
            <w:tcW w:w="50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书包斗</w:t>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环保型ABS工程塑料</w:t>
            </w:r>
            <w:r/>
          </w:p>
        </w:tc>
      </w:tr>
      <w:tr>
        <w:trPr>
          <w:trHeight w:val="454"/>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规格要求</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≥4.6mm、有挂凳口，一次性注塑成型</w:t>
            </w:r>
            <w:r/>
          </w:p>
        </w:tc>
      </w:tr>
      <w:tr>
        <w:trPr>
          <w:trHeight w:val="454"/>
        </w:trPr>
        <w:tc>
          <w:tcPr>
            <w:tcW w:w="50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箱体</w:t>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环保型ABS工程塑料</w:t>
            </w:r>
            <w:r/>
          </w:p>
        </w:tc>
      </w:tr>
      <w:tr>
        <w:trPr>
          <w:trHeight w:val="676"/>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规格要求</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rPr>
              <w:t xml:space="preserve">380X220X730±2mm</w:t>
            </w:r>
            <w:r>
              <w:rPr>
                <w:rFonts w:hint="eastAsia" w:cs="宋体" w:asciiTheme="minorEastAsia" w:hAnsiTheme="minorEastAsia" w:eastAsiaTheme="minorEastAsia"/>
                <w:sz w:val="20"/>
                <w:szCs w:val="20"/>
                <w:lang w:bidi="ar"/>
              </w:rPr>
              <w:t xml:space="preserve">，壁厚3.0mm，采用环保型ABS工程塑料一次性注塑成型。</w:t>
            </w:r>
            <w:r/>
          </w:p>
        </w:tc>
      </w:tr>
      <w:tr>
        <w:trPr>
          <w:trHeight w:val="454"/>
        </w:trPr>
        <w:tc>
          <w:tcPr>
            <w:tcW w:w="50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▲学生电源</w:t>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位置</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中间位置固定</w:t>
            </w:r>
            <w:r/>
          </w:p>
        </w:tc>
      </w:tr>
      <w:tr>
        <w:trPr>
          <w:trHeight w:val="1191"/>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vMerge w:val="restart"/>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电源输出（物理、化学）</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学生电源的低压交流电压分两档，即1V-18V/2A、19V-24V/1A，分辨率1V，具备自动智能侦测过载保护功能，电流高于过载保护点则自动保护、电流低于过载保护点则自动恢复至设定值。</w:t>
            </w:r>
            <w:r/>
          </w:p>
        </w:tc>
      </w:tr>
      <w:tr>
        <w:trPr>
          <w:trHeight w:val="1293"/>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864" w:type="pct"/>
            <w:vAlign w:val="center"/>
            <w:textDirection w:val="lrTb"/>
            <w:noWrap w:val="false"/>
          </w:tcPr>
          <w:p>
            <w:pPr>
              <w:pStyle w:val="1095"/>
              <w:ind w:firstLine="400"/>
              <w:rPr>
                <w:rFonts w:hint="eastAsia" w:cs="宋体" w:asciiTheme="minorEastAsia" w:hAnsiTheme="minorEastAsia"/>
                <w:sz w:val="20"/>
                <w:szCs w:val="20"/>
              </w:rPr>
            </w:pPr>
            <w:r>
              <w:rPr>
                <w:rFonts w:hint="eastAsia" w:cs="宋体" w:asciiTheme="minorEastAsia" w:hAnsiTheme="minorEastAsia"/>
                <w:sz w:val="20"/>
                <w:szCs w:val="20"/>
                <w:lang w:bidi="ar"/>
              </w:rPr>
              <w:t xml:space="preserve">学生电源的低压直流电压分两档，即1.5V-16V/2A、</w:t>
            </w:r>
            <w:r>
              <w:rPr>
                <w:rFonts w:hint="eastAsia" w:cs="宋体" w:asciiTheme="minorEastAsia" w:hAnsiTheme="minorEastAsia"/>
                <w:sz w:val="20"/>
                <w:szCs w:val="20"/>
              </w:rPr>
              <w:t xml:space="preserve">16.1V-30V</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/1A，分辨率为0.1V。具备自动智能侦测过载保护功能，电流高于过载保护点则自动保护、电流低于过载保护点则自动恢复至设定值。</w:t>
            </w:r>
            <w:r/>
          </w:p>
        </w:tc>
      </w:tr>
      <w:tr>
        <w:trPr>
          <w:trHeight w:val="651"/>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具有不少于2组5孔220V交流电源输出插座。可通过教师单独控制其电源的输出。</w:t>
            </w:r>
            <w:r/>
          </w:p>
        </w:tc>
      </w:tr>
      <w:tr>
        <w:trPr>
          <w:trHeight w:val="868"/>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vMerge w:val="restart"/>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通过教师数字化键盘控制学生电源低压交流电压值和直流电压值，分别显示交直流电压值。学生操控时伴有按键提示音。</w:t>
            </w:r>
            <w:r/>
          </w:p>
        </w:tc>
      </w:tr>
      <w:tr>
        <w:trPr>
          <w:trHeight w:val="510"/>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具备短路、过载保护功能。并带有交流220V输出显示功能。</w:t>
            </w:r>
            <w:r/>
          </w:p>
        </w:tc>
      </w:tr>
      <w:tr>
        <w:trPr>
          <w:trHeight w:val="510"/>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学生电源被教师控制及锁定后不能自主操作。</w:t>
            </w:r>
            <w:r/>
          </w:p>
        </w:tc>
      </w:tr>
      <w:tr>
        <w:trPr>
          <w:trHeight w:val="331"/>
        </w:trPr>
        <w:tc>
          <w:tcPr>
            <w:tcW w:w="50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生物台灯</w:t>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安装位置</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生物实验室配置（演示设备）</w:t>
            </w:r>
            <w:r/>
          </w:p>
        </w:tc>
      </w:tr>
      <w:tr>
        <w:trPr>
          <w:trHeight w:val="331"/>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约400×180mm</w:t>
            </w:r>
            <w:r/>
          </w:p>
        </w:tc>
      </w:tr>
      <w:tr>
        <w:trPr>
          <w:trHeight w:val="331"/>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电压</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AC86V-AC220V</w:t>
            </w:r>
            <w:r/>
          </w:p>
        </w:tc>
      </w:tr>
      <w:tr>
        <w:trPr>
          <w:trHeight w:val="331"/>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功率</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约5W</w:t>
            </w:r>
            <w:r/>
          </w:p>
        </w:tc>
      </w:tr>
      <w:tr>
        <w:trPr>
          <w:trHeight w:val="331"/>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优质不锈钢材+亚克力</w:t>
            </w:r>
            <w:r/>
          </w:p>
        </w:tc>
      </w:tr>
      <w:tr>
        <w:trPr>
          <w:trHeight w:val="331"/>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发光颜色</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正白光</w:t>
            </w:r>
            <w:r/>
          </w:p>
        </w:tc>
      </w:tr>
      <w:tr>
        <w:trPr>
          <w:trHeight w:val="331"/>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投射角度</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180度</w:t>
            </w:r>
            <w:r/>
          </w:p>
        </w:tc>
      </w:tr>
      <w:tr>
        <w:trPr>
          <w:trHeight w:val="331"/>
        </w:trPr>
        <w:tc>
          <w:tcPr>
            <w:tcW w:w="50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3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环境温度</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-30-60 ℃</w:t>
            </w:r>
            <w:r/>
          </w:p>
        </w:tc>
      </w:tr>
      <w:tr>
        <w:trPr>
          <w:trHeight w:val="1613"/>
        </w:trPr>
        <w:tc>
          <w:tcPr>
            <w:gridSpan w:val="2"/>
            <w:tcW w:w="113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其他要求</w:t>
            </w:r>
            <w:r/>
          </w:p>
        </w:tc>
        <w:tc>
          <w:tcPr>
            <w:tcW w:w="3864" w:type="pct"/>
            <w:vAlign w:val="center"/>
            <w:textDirection w:val="lrTb"/>
            <w:noWrap w:val="false"/>
          </w:tcPr>
          <w:p>
            <w:pPr>
              <w:pStyle w:val="2043"/>
              <w:jc w:val="left"/>
              <w:rPr>
                <w:rFonts w:hint="eastAsia" w:cs="宋体" w:asciiTheme="minorEastAsia" w:hAnsiTheme="minorEastAsia" w:eastAsiaTheme="minorEastAsia"/>
              </w:rPr>
            </w:pPr>
            <w:r>
              <w:rPr>
                <w:rFonts w:hint="eastAsia" w:cs="宋体" w:asciiTheme="minorEastAsia" w:hAnsiTheme="minorEastAsia" w:eastAsiaTheme="minorEastAsia"/>
                <w:bCs/>
                <w:sz w:val="20"/>
                <w:szCs w:val="20"/>
                <w:lang w:bidi="ar"/>
              </w:rPr>
              <w:t xml:space="preserve">▲箱体：符合GB 28481-2012 塑料家具中有害物质限量要求；邻苯二甲酸酯：DBP、BBP、DEHP、DNOP均≤0.001%；DINP、DIDP均≤0.005%；重金属：可溶性镉、可溶性铬、可溶性铅均≤5mg/kg、可溶性汞≤2mg/kg；多环芳烃：苯并[a]芘≤0.05mg/kg；16种多环芳烃（PAH）总量未检出。须提供国家认可的第三方检测机构出具的检测报告（具备CMA或CNAS标志）复印件</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Cs/>
                <w:sz w:val="20"/>
                <w:szCs w:val="20"/>
                <w:lang w:bidi="ar"/>
              </w:rPr>
              <w:t xml:space="preserve">▲水槽：符合GB 28481-2012 塑料家具中有害物质限量要求；邻苯二甲酸酯：DBP、BBP、DEHP、DNOP均≤0.001%；DINP、DIDP均≤0.005%；重金属：可溶性镉、可溶性铬、可溶性铅均≤5mg/kg、可溶性汞≤2mg/kg；多环芳烃：苯并[a]芘、16种多环芳烃（PAH）总量均未检出。</w:t>
            </w:r>
            <w:r>
              <w:rPr>
                <w:rFonts w:hint="eastAsia" w:cs="宋体" w:asciiTheme="minorEastAsia" w:hAnsiTheme="minorEastAsia" w:eastAsiaTheme="minorEastAsia"/>
                <w:sz w:val="20"/>
                <w:szCs w:val="20"/>
                <w:lang w:bidi="ar"/>
              </w:rPr>
              <w:t xml:space="preserve">提供由经国家认证委认证的第三方检测机构出具的检测报告（检测报告上须含有“CMA”或“CNAS”标志）</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▲学生电源:满足：GB4793.1-2007《测量、控制和实验室用电气设备的安全要求 第1部分：通用要求》。提供由经国家认证委认证的第三方检测机构出具的检测报告（检测报告上须含有“CMA”或“CNAS”标志）</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★三联水嘴：</w:t>
            </w:r>
            <w:r>
              <w:rPr>
                <w:rFonts w:cs="宋体" w:asciiTheme="minorEastAsia" w:hAnsiTheme="minorEastAsia" w:eastAsiaTheme="minorEastAsia"/>
                <w:color w:val="000000"/>
                <w:sz w:val="20"/>
              </w:rPr>
              <w:t xml:space="preserve">提供国家确定的认证机构出具的、处于有效期之内的节能产品认证证书</w:t>
            </w:r>
            <w:r>
              <w:rPr>
                <w:rFonts w:hint="eastAsia" w:cs="宋体" w:asciiTheme="minorEastAsia" w:hAnsiTheme="minorEastAsia" w:eastAsiaTheme="minorEastAsia"/>
                <w:bCs/>
                <w:sz w:val="20"/>
                <w:szCs w:val="20"/>
                <w:lang w:bidi="ar"/>
              </w:rPr>
              <w:t xml:space="preserve">。</w:t>
            </w:r>
            <w:r/>
          </w:p>
        </w:tc>
      </w:tr>
      <w:tr>
        <w:trPr>
          <w:trHeight w:val="1613"/>
        </w:trPr>
        <w:tc>
          <w:tcPr>
            <w:gridSpan w:val="2"/>
            <w:tcW w:w="113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W w:w="3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1.提供学生实验操作、学习区，</w:t>
            </w:r>
            <w:r>
              <w:rPr>
                <w:rFonts w:hint="eastAsia" w:cs="宋体" w:asciiTheme="minorEastAsia" w:hAnsiTheme="minorEastAsia" w:eastAsiaTheme="minorEastAsia"/>
                <w:bCs/>
                <w:sz w:val="20"/>
                <w:szCs w:val="20"/>
                <w:lang w:bidi="ar"/>
              </w:rPr>
              <w:t xml:space="preserve">每个演示设备具备</w:t>
            </w:r>
            <w:r>
              <w:rPr>
                <w:rFonts w:hint="eastAsia" w:cs="宋体" w:asciiTheme="minorEastAsia" w:hAnsiTheme="minorEastAsia" w:eastAsiaTheme="minorEastAsia"/>
                <w:sz w:val="20"/>
                <w:szCs w:val="20"/>
                <w:lang w:bidi="ar"/>
              </w:rPr>
              <w:t xml:space="preserve">2个学生位，电源受教师端集中控制。</w:t>
            </w:r>
            <w:r>
              <w:rPr>
                <w:rFonts w:hint="eastAsia" w:cs="宋体" w:asciiTheme="minorEastAsia" w:hAnsiTheme="minorEastAsia" w:eastAsiaTheme="minorEastAsia"/>
                <w:sz w:val="20"/>
                <w:szCs w:val="20"/>
                <w:lang w:bidi="ar"/>
              </w:rPr>
              <w:br/>
              <w:t xml:space="preserve">2.学生演示设备</w:t>
            </w:r>
            <w:r>
              <w:rPr>
                <w:rFonts w:hint="eastAsia" w:cs="宋体" w:asciiTheme="minorEastAsia" w:hAnsiTheme="minorEastAsia" w:eastAsiaTheme="minorEastAsia"/>
                <w:bCs/>
                <w:sz w:val="20"/>
                <w:szCs w:val="20"/>
                <w:lang w:bidi="ar"/>
              </w:rPr>
              <w:t xml:space="preserve">、水槽等</w:t>
            </w:r>
            <w:r>
              <w:rPr>
                <w:rFonts w:hint="eastAsia" w:cs="宋体" w:asciiTheme="minorEastAsia" w:hAnsiTheme="minorEastAsia" w:eastAsiaTheme="minorEastAsia"/>
                <w:sz w:val="20"/>
                <w:szCs w:val="20"/>
                <w:lang w:bidi="ar"/>
              </w:rPr>
              <w:t xml:space="preserve">为成套设备：演示设备</w:t>
            </w:r>
            <w:r>
              <w:rPr>
                <w:rFonts w:hint="eastAsia" w:cs="宋体" w:asciiTheme="minorEastAsia" w:hAnsiTheme="minorEastAsia" w:eastAsiaTheme="minorEastAsia"/>
                <w:bCs/>
                <w:sz w:val="20"/>
                <w:szCs w:val="20"/>
                <w:lang w:bidi="ar"/>
              </w:rPr>
              <w:t xml:space="preserve">平</w:t>
            </w:r>
            <w:r>
              <w:rPr>
                <w:rFonts w:hint="eastAsia" w:cs="宋体" w:asciiTheme="minorEastAsia" w:hAnsiTheme="minorEastAsia" w:eastAsiaTheme="minorEastAsia"/>
                <w:sz w:val="20"/>
                <w:szCs w:val="20"/>
                <w:lang w:bidi="ar"/>
              </w:rPr>
              <w:t xml:space="preserve">面为实验操作、学习区，配备书包斗；箱体、水槽提供水。</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425" w:equalWidth="1"/>
          <w:docGrid w:linePitch="360"/>
        </w:sectPr>
      </w:pPr>
      <w:r>
        <w:rPr>
          <w:rFonts w:hint="eastAsia" w:cs="宋体" w:asciiTheme="minorEastAsia" w:hAnsiTheme="minorEastAsia" w:eastAsiaTheme="minorEastAsia"/>
        </w:rPr>
      </w:r>
      <w:r/>
    </w:p>
    <w:p>
      <w:pPr>
        <w:pStyle w:val="1160"/>
        <w:ind w:firstLine="0"/>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学生实验设备</w:t>
      </w:r>
      <w:r>
        <w:rPr>
          <w:rFonts w:hint="eastAsia" w:cs="宋体" w:asciiTheme="minorEastAsia" w:hAnsiTheme="minorEastAsia" w:eastAsiaTheme="minorEastAsia"/>
          <w:b/>
          <w:sz w:val="24"/>
          <w:lang w:bidi="ar"/>
        </w:rPr>
        <w:t xml:space="preserve">（二）水槽、三联水嘴</w:t>
      </w:r>
      <w:r>
        <w:rPr>
          <w:rFonts w:hint="eastAsia" w:cs="宋体" w:asciiTheme="minorEastAsia" w:hAnsiTheme="minorEastAsia" w:eastAsiaTheme="minorEastAsia"/>
          <w:b/>
          <w:sz w:val="24"/>
        </w:rPr>
        <w:t xml:space="preserve">，数量：14</w:t>
      </w:r>
      <w:r/>
    </w:p>
    <w:tbl>
      <w:tblPr>
        <w:tblW w:w="48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0"/>
        <w:gridCol w:w="1294"/>
        <w:gridCol w:w="8082"/>
      </w:tblGrid>
      <w:tr>
        <w:trPr>
          <w:trHeight w:val="313"/>
          <w:tblHeader/>
        </w:trPr>
        <w:tc>
          <w:tcPr>
            <w:gridSpan w:val="2"/>
            <w:tcW w:w="1135"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参数名称</w:t>
            </w:r>
            <w:r/>
          </w:p>
        </w:tc>
        <w:tc>
          <w:tcPr>
            <w:tcW w:w="3865" w:type="pct"/>
            <w:vAlign w:val="center"/>
            <w:textDirection w:val="lrTb"/>
            <w:noWrap w:val="false"/>
          </w:tcPr>
          <w:p>
            <w:pPr>
              <w:pStyle w:val="2043"/>
              <w:rPr>
                <w:rFonts w:hint="eastAsia" w:cs="宋体" w:asciiTheme="minorEastAsia" w:hAnsiTheme="minorEastAsia" w:eastAsiaTheme="minorEastAsia"/>
                <w:b/>
                <w:sz w:val="20"/>
                <w:szCs w:val="20"/>
              </w:rPr>
            </w:pPr>
            <w:r>
              <w:rPr>
                <w:rFonts w:hint="eastAsia" w:cs="宋体" w:asciiTheme="minorEastAsia" w:hAnsiTheme="minorEastAsia" w:eastAsiaTheme="minorEastAsia"/>
                <w:b/>
                <w:sz w:val="20"/>
                <w:szCs w:val="20"/>
                <w:lang w:bidi="ar"/>
              </w:rPr>
              <w:t xml:space="preserve">参数要求</w:t>
            </w:r>
            <w:r/>
          </w:p>
        </w:tc>
      </w:tr>
      <w:tr>
        <w:trPr>
          <w:trHeight w:val="528"/>
        </w:trPr>
        <w:tc>
          <w:tcPr>
            <w:tcW w:w="516" w:type="pct"/>
            <w:vAlign w:val="center"/>
            <w:vMerge w:val="restart"/>
            <w:textDirection w:val="lrTb"/>
            <w:noWrap w:val="false"/>
          </w:tcPr>
          <w:p>
            <w:pPr>
              <w:pStyle w:val="2043"/>
              <w:rPr>
                <w:rFonts w:hint="eastAsia" w:cs="宋体" w:asciiTheme="minorEastAsia" w:hAnsiTheme="minorEastAsia" w:eastAsiaTheme="minorEastAsia"/>
                <w:b/>
                <w:bCs/>
                <w:sz w:val="20"/>
                <w:szCs w:val="20"/>
              </w:rPr>
            </w:pPr>
            <w:r>
              <w:rPr>
                <w:rFonts w:hint="eastAsia" w:cs="宋体" w:asciiTheme="minorEastAsia" w:hAnsiTheme="minorEastAsia" w:eastAsiaTheme="minorEastAsia"/>
                <w:sz w:val="20"/>
                <w:szCs w:val="20"/>
                <w:lang w:bidi="ar"/>
              </w:rPr>
              <w:t xml:space="preserve">水槽</w:t>
            </w:r>
            <w:r/>
          </w:p>
        </w:tc>
        <w:tc>
          <w:tcPr>
            <w:tcW w:w="619"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外观尺寸</w:t>
            </w:r>
            <w:r/>
          </w:p>
        </w:tc>
        <w:tc>
          <w:tcPr>
            <w:tcW w:w="386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≥500×600×820mm</w:t>
            </w:r>
            <w:r/>
          </w:p>
        </w:tc>
      </w:tr>
      <w:tr>
        <w:trPr>
          <w:trHeight w:val="528"/>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水槽尺寸</w:t>
            </w:r>
            <w:r/>
          </w:p>
        </w:tc>
        <w:tc>
          <w:tcPr>
            <w:tcW w:w="386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≥400×370×250mm（内径）</w:t>
            </w:r>
            <w:r/>
          </w:p>
        </w:tc>
      </w:tr>
      <w:tr>
        <w:trPr>
          <w:trHeight w:val="902"/>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6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采用环保型ABS工程塑料一次性注塑成型，表面木纹与光面项结合处理</w:t>
            </w:r>
            <w:r/>
          </w:p>
        </w:tc>
      </w:tr>
      <w:tr>
        <w:trPr>
          <w:trHeight w:val="528"/>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w:t>
            </w:r>
            <w:r/>
          </w:p>
        </w:tc>
        <w:tc>
          <w:tcPr>
            <w:tcW w:w="386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水槽壁厚6mm</w:t>
            </w:r>
            <w:r/>
          </w:p>
        </w:tc>
      </w:tr>
      <w:tr>
        <w:trPr>
          <w:trHeight w:val="1299"/>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w:t>
            </w:r>
            <w:r/>
          </w:p>
        </w:tc>
        <w:tc>
          <w:tcPr>
            <w:tcW w:w="386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前部凸起榫卯连接结构并合理布局加强筋，安装时不用胶水粘结，不用任何金属螺丝，能够通过自身力量相互连接，实现不变形，不扭曲</w:t>
            </w:r>
            <w:r/>
          </w:p>
        </w:tc>
      </w:tr>
      <w:tr>
        <w:trPr>
          <w:trHeight w:val="528"/>
        </w:trPr>
        <w:tc>
          <w:tcPr>
            <w:tcW w:w="516" w:type="pct"/>
            <w:vAlign w:val="center"/>
            <w:vMerge w:val="restart"/>
            <w:textDirection w:val="lrTb"/>
            <w:noWrap w:val="false"/>
          </w:tcPr>
          <w:p>
            <w:pPr>
              <w:pStyle w:val="2043"/>
              <w:rPr>
                <w:rFonts w:hint="eastAsia" w:cs="宋体" w:asciiTheme="minorEastAsia" w:hAnsiTheme="minorEastAsia" w:eastAsiaTheme="minorEastAsia"/>
                <w:bCs/>
                <w:sz w:val="20"/>
                <w:szCs w:val="20"/>
              </w:rPr>
            </w:pPr>
            <w:r>
              <w:rPr>
                <w:rFonts w:hint="eastAsia" w:cs="宋体" w:asciiTheme="minorEastAsia" w:hAnsiTheme="minorEastAsia" w:eastAsiaTheme="minorEastAsia"/>
                <w:sz w:val="20"/>
                <w:szCs w:val="20"/>
                <w:lang w:bidi="ar"/>
              </w:rPr>
              <w:t xml:space="preserve">★三联水嘴</w:t>
            </w:r>
            <w:r/>
          </w:p>
        </w:tc>
        <w:tc>
          <w:tcPr>
            <w:tcW w:w="619"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整体材质</w:t>
            </w:r>
            <w:r/>
          </w:p>
        </w:tc>
        <w:tc>
          <w:tcPr>
            <w:tcW w:w="386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铜质表面烤漆处理</w:t>
            </w:r>
            <w:r/>
          </w:p>
        </w:tc>
      </w:tr>
      <w:tr>
        <w:trPr>
          <w:trHeight w:val="528"/>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阀芯</w:t>
            </w:r>
            <w:r/>
          </w:p>
        </w:tc>
        <w:tc>
          <w:tcPr>
            <w:tcW w:w="386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陶瓷阀芯</w:t>
            </w:r>
            <w:r/>
          </w:p>
        </w:tc>
      </w:tr>
      <w:tr>
        <w:trPr>
          <w:trHeight w:val="633"/>
        </w:trPr>
        <w:tc>
          <w:tcPr>
            <w:tcW w:w="516" w:type="pct"/>
            <w:vAlign w:val="center"/>
            <w:vMerge w:val="continue"/>
            <w:textDirection w:val="lrTb"/>
            <w:noWrap w:val="false"/>
          </w:tcPr>
          <w:p>
            <w:pPr>
              <w:pStyle w:val="2043"/>
              <w:rPr>
                <w:rFonts w:hint="eastAsia" w:asciiTheme="minorEastAsia" w:hAnsiTheme="minorEastAsia" w:eastAsiaTheme="minorEastAsia"/>
                <w:bCs/>
                <w:sz w:val="20"/>
                <w:szCs w:val="20"/>
                <w:lang w:bidi="ar"/>
              </w:rPr>
            </w:pPr>
            <w:r>
              <w:rPr>
                <w:rFonts w:hint="eastAsia" w:asciiTheme="minorEastAsia" w:hAnsiTheme="minorEastAsia" w:eastAsiaTheme="minorEastAsia"/>
                <w:bCs/>
                <w:sz w:val="20"/>
                <w:szCs w:val="20"/>
                <w:lang w:bidi="ar"/>
              </w:rPr>
            </w:r>
            <w:r/>
          </w:p>
        </w:tc>
        <w:tc>
          <w:tcPr>
            <w:tcW w:w="619"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鹅颈管</w:t>
            </w:r>
            <w:r/>
          </w:p>
        </w:tc>
        <w:tc>
          <w:tcPr>
            <w:tcW w:w="386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可360度旋转</w:t>
            </w:r>
            <w:r/>
          </w:p>
        </w:tc>
      </w:tr>
    </w:tbl>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实验准备设备，数量：2</w:t>
      </w:r>
      <w:r/>
    </w:p>
    <w:tbl>
      <w:tblPr>
        <w:tblW w:w="496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0"/>
        <w:gridCol w:w="1314"/>
        <w:gridCol w:w="8255"/>
      </w:tblGrid>
      <w:tr>
        <w:trPr>
          <w:trHeight w:val="302"/>
          <w:tblHeader/>
        </w:trPr>
        <w:tc>
          <w:tcPr>
            <w:gridSpan w:val="2"/>
            <w:tcW w:w="1106"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389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r>
      <w:tr>
        <w:trPr>
          <w:trHeight w:val="302"/>
        </w:trPr>
        <w:tc>
          <w:tcPr>
            <w:tcW w:w="48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3894" w:type="pct"/>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≥2400*1200*780mm（含水槽台长3000mm）</w:t>
            </w:r>
            <w:r/>
          </w:p>
        </w:tc>
      </w:tr>
      <w:tr>
        <w:trPr>
          <w:trHeight w:val="302"/>
        </w:trPr>
        <w:tc>
          <w:tcPr>
            <w:tcW w:w="48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t>
            </w:r>
            <w:r>
              <w:rPr>
                <w:rFonts w:hint="eastAsia" w:cs="宋体" w:asciiTheme="minorEastAsia" w:hAnsiTheme="minorEastAsia" w:eastAsiaTheme="minorEastAsia"/>
                <w:bCs/>
                <w:sz w:val="20"/>
                <w:szCs w:val="20"/>
                <w:lang w:bidi="ar"/>
              </w:rPr>
              <w:t xml:space="preserve">操作区平面</w:t>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94" w:type="pct"/>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双面膜实芯理化板</w:t>
            </w:r>
            <w:r/>
          </w:p>
        </w:tc>
      </w:tr>
      <w:tr>
        <w:trPr>
          <w:trHeight w:val="302"/>
        </w:trPr>
        <w:tc>
          <w:tcPr>
            <w:tcW w:w="48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W w:w="3894" w:type="pct"/>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≥12.7mm</w:t>
            </w:r>
            <w:r/>
          </w:p>
        </w:tc>
      </w:tr>
      <w:tr>
        <w:trPr>
          <w:trHeight w:val="1148"/>
        </w:trPr>
        <w:tc>
          <w:tcPr>
            <w:tcW w:w="48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环保要求</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符合甲醛释放量&lt;0.005 mg/M3；同时参照GB 18584-2001《室内装饰装修材料木家具中有害物质限量》标准，符合4种重金属含量mg/kg（可溶性铅≤2.8、镉：≤0.1、铬≤0.2、汞：未检出）</w:t>
            </w:r>
            <w:r/>
          </w:p>
        </w:tc>
      </w:tr>
      <w:tr>
        <w:trPr>
          <w:trHeight w:val="402"/>
        </w:trPr>
        <w:tc>
          <w:tcPr>
            <w:tcW w:w="48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Cs/>
                <w:sz w:val="20"/>
                <w:szCs w:val="20"/>
                <w:lang w:bidi="ar"/>
              </w:rPr>
              <w:t xml:space="preserve">主体构造</w:t>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材质(含喷涂)</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铝合金金属表面经环氧树脂粉末喷涂高温固化处理</w:t>
            </w:r>
            <w:r/>
          </w:p>
        </w:tc>
      </w:tr>
      <w:tr>
        <w:trPr>
          <w:trHeight w:val="302"/>
        </w:trPr>
        <w:tc>
          <w:tcPr>
            <w:tcW w:w="48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新型铝塑结构</w:t>
            </w:r>
            <w:r/>
          </w:p>
        </w:tc>
      </w:tr>
      <w:tr>
        <w:trPr>
          <w:trHeight w:val="302"/>
        </w:trPr>
        <w:tc>
          <w:tcPr>
            <w:tcW w:w="48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书包斗</w:t>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整体ABS工程塑料一次性注塑成型</w:t>
            </w:r>
            <w:r/>
          </w:p>
        </w:tc>
      </w:tr>
      <w:tr>
        <w:trPr>
          <w:trHeight w:val="302"/>
        </w:trPr>
        <w:tc>
          <w:tcPr>
            <w:tcW w:w="48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规格尺寸</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≥400*260*110mm</w:t>
            </w:r>
            <w:r/>
          </w:p>
        </w:tc>
      </w:tr>
      <w:tr>
        <w:trPr>
          <w:trHeight w:val="302"/>
        </w:trPr>
        <w:tc>
          <w:tcPr>
            <w:tcW w:w="48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Cs/>
                <w:sz w:val="20"/>
                <w:szCs w:val="20"/>
                <w:lang w:bidi="ar"/>
              </w:rPr>
              <w:t xml:space="preserve">支撑脚</w:t>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三段式高强度铝合金结构(上脚+立柱支撑+下脚)</w:t>
            </w:r>
            <w:r/>
          </w:p>
        </w:tc>
      </w:tr>
      <w:tr>
        <w:trPr>
          <w:trHeight w:val="864"/>
        </w:trPr>
        <w:tc>
          <w:tcPr>
            <w:tcW w:w="48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规格尺寸</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整体规格≥500*760mm,中立柱≥100*50mm*1.2mm厚承重型铝合金型材微倾斜式设计，同一侧面两只工型腿上部采用一条≥66*25mm铝合金型材连成一个整体</w:t>
            </w:r>
            <w:r/>
          </w:p>
        </w:tc>
      </w:tr>
      <w:tr>
        <w:trPr>
          <w:trHeight w:val="302"/>
        </w:trPr>
        <w:tc>
          <w:tcPr>
            <w:tcW w:w="486" w:type="pct"/>
            <w:vAlign w:val="center"/>
            <w:vMerge w:val="restart"/>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Cs/>
                <w:sz w:val="20"/>
                <w:szCs w:val="20"/>
                <w:lang w:bidi="ar"/>
              </w:rPr>
              <w:t xml:space="preserve">水槽</w:t>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外观尺寸</w:t>
            </w:r>
            <w:r/>
          </w:p>
        </w:tc>
        <w:tc>
          <w:tcPr>
            <w:tcW w:w="3894" w:type="pct"/>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≥450*600*800mm</w:t>
            </w:r>
            <w:r/>
          </w:p>
        </w:tc>
      </w:tr>
      <w:tr>
        <w:trPr>
          <w:trHeight w:val="302"/>
        </w:trPr>
        <w:tc>
          <w:tcPr>
            <w:tcW w:w="486"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水槽尺寸</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360*310*230mm</w:t>
            </w:r>
            <w:r/>
          </w:p>
        </w:tc>
      </w:tr>
      <w:tr>
        <w:trPr>
          <w:trHeight w:val="302"/>
        </w:trPr>
        <w:tc>
          <w:tcPr>
            <w:tcW w:w="486"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w:t>
            </w:r>
            <w:r/>
          </w:p>
        </w:tc>
      </w:tr>
      <w:tr>
        <w:trPr>
          <w:trHeight w:val="302"/>
        </w:trPr>
        <w:tc>
          <w:tcPr>
            <w:tcW w:w="486"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壁厚</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6mm</w:t>
            </w:r>
            <w:r/>
          </w:p>
        </w:tc>
      </w:tr>
      <w:tr>
        <w:trPr>
          <w:trHeight w:val="302"/>
        </w:trPr>
        <w:tc>
          <w:tcPr>
            <w:tcW w:w="486" w:type="pct"/>
            <w:vAlign w:val="center"/>
            <w:vMerge w:val="restart"/>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★三联水嘴</w:t>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整体材质</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铜喷塑</w:t>
            </w:r>
            <w:r/>
          </w:p>
        </w:tc>
      </w:tr>
      <w:tr>
        <w:trPr>
          <w:trHeight w:val="302"/>
        </w:trPr>
        <w:tc>
          <w:tcPr>
            <w:tcW w:w="486"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阀芯</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铜质瓷芯</w:t>
            </w:r>
            <w:r/>
          </w:p>
        </w:tc>
      </w:tr>
      <w:tr>
        <w:trPr>
          <w:trHeight w:val="302"/>
        </w:trPr>
        <w:tc>
          <w:tcPr>
            <w:tcW w:w="48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洗眼器</w:t>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主体采用环保型PP材料一次性注塑成型</w:t>
            </w:r>
            <w:r/>
          </w:p>
        </w:tc>
      </w:tr>
      <w:tr>
        <w:trPr>
          <w:trHeight w:val="302"/>
        </w:trPr>
        <w:tc>
          <w:tcPr>
            <w:tcW w:w="48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工作压力</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0.2-0.4MPa</w:t>
            </w:r>
            <w:r/>
          </w:p>
        </w:tc>
      </w:tr>
      <w:tr>
        <w:trPr>
          <w:trHeight w:val="504"/>
        </w:trPr>
        <w:tc>
          <w:tcPr>
            <w:tcW w:w="48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洗眼器喷头流量</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12升/分钟</w:t>
            </w:r>
            <w:r/>
          </w:p>
        </w:tc>
      </w:tr>
      <w:tr>
        <w:trPr>
          <w:trHeight w:val="864"/>
        </w:trPr>
        <w:tc>
          <w:tcPr>
            <w:tcW w:w="48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阀门可自动关闭，密封可靠</w:t>
            </w:r>
            <w:r>
              <w:rPr>
                <w:rFonts w:hint="eastAsia" w:cs="宋体" w:asciiTheme="minorEastAsia" w:hAnsiTheme="minorEastAsia" w:eastAsiaTheme="minorEastAsia"/>
                <w:sz w:val="20"/>
                <w:szCs w:val="20"/>
                <w:lang w:bidi="ar"/>
              </w:rPr>
              <w:br/>
              <w:t xml:space="preserve">洗眼盆头，出水经缓压处理呈泡沫状水柱，防止冲伤眼睛，设有防尘盖，使用时可自动被水冲开</w:t>
            </w:r>
            <w:r/>
          </w:p>
        </w:tc>
      </w:tr>
      <w:tr>
        <w:trPr>
          <w:trHeight w:val="302"/>
        </w:trPr>
        <w:tc>
          <w:tcPr>
            <w:tcW w:w="486" w:type="pct"/>
            <w:vAlign w:val="center"/>
            <w:vMerge w:val="restart"/>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试剂架</w:t>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≥2400*300*750mm</w:t>
            </w:r>
            <w:r/>
          </w:p>
        </w:tc>
      </w:tr>
      <w:tr>
        <w:trPr>
          <w:trHeight w:val="302"/>
        </w:trPr>
        <w:tc>
          <w:tcPr>
            <w:tcW w:w="486"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框架材质</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铝玻试剂架（双面双层），可分两段，上下可调节</w:t>
            </w:r>
            <w:r/>
          </w:p>
        </w:tc>
      </w:tr>
      <w:tr>
        <w:trPr>
          <w:trHeight w:val="568"/>
        </w:trPr>
        <w:tc>
          <w:tcPr>
            <w:tcW w:w="486"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立柱（规格/厚度）</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≥42mm*90mm，厚度1.25mm（±0.2mm）</w:t>
            </w:r>
            <w:r/>
          </w:p>
        </w:tc>
      </w:tr>
      <w:tr>
        <w:trPr>
          <w:trHeight w:val="579"/>
        </w:trPr>
        <w:tc>
          <w:tcPr>
            <w:tcW w:w="486"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护栏</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优质铝材一体挤压成型，规格≥15mm*40mm，厚度1.2mm（±0.2mm）</w:t>
            </w:r>
            <w:r/>
          </w:p>
        </w:tc>
      </w:tr>
      <w:tr>
        <w:trPr>
          <w:trHeight w:val="864"/>
        </w:trPr>
        <w:tc>
          <w:tcPr>
            <w:tcW w:w="486"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挂板</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中央台挂板规格≥300mm，采用高性能钢铁冲压成型，材料表面经过防腐氧化处理和纯环氧树脂塑粉高温固化处理，具有较强的耐蚀性及承重性</w:t>
            </w:r>
            <w:r/>
          </w:p>
        </w:tc>
      </w:tr>
      <w:tr>
        <w:trPr>
          <w:trHeight w:val="579"/>
        </w:trPr>
        <w:tc>
          <w:tcPr>
            <w:tcW w:w="486"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立柱底座</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≥1.0mm厚镀锌冷轧钢冲压成U字型，底部和侧面均有预留螺丝孔位用于固定桌面和立柱</w:t>
            </w:r>
            <w:r/>
          </w:p>
        </w:tc>
      </w:tr>
      <w:tr>
        <w:trPr>
          <w:trHeight w:val="302"/>
        </w:trPr>
        <w:tc>
          <w:tcPr>
            <w:tcW w:w="486"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立柱堵头</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全新料注塑成型</w:t>
            </w:r>
            <w:r/>
          </w:p>
        </w:tc>
      </w:tr>
      <w:tr>
        <w:trPr>
          <w:trHeight w:val="302"/>
        </w:trPr>
        <w:tc>
          <w:tcPr>
            <w:tcW w:w="486"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8mm厚的钢化玻璃，四周磨砂安全角</w:t>
            </w:r>
            <w:r/>
          </w:p>
        </w:tc>
      </w:tr>
      <w:tr>
        <w:trPr>
          <w:trHeight w:val="378"/>
        </w:trPr>
        <w:tc>
          <w:tcPr>
            <w:tcW w:w="486"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w:t>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位置</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中间位置固定学生电源盒</w:t>
            </w:r>
            <w:r/>
          </w:p>
        </w:tc>
      </w:tr>
      <w:tr>
        <w:trPr>
          <w:trHeight w:val="302"/>
        </w:trPr>
        <w:tc>
          <w:tcPr>
            <w:tcW w:w="48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vMerge w:val="restart"/>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电源输出</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零火供电方式，负载功率高。</w:t>
            </w:r>
            <w:r/>
          </w:p>
        </w:tc>
      </w:tr>
      <w:tr>
        <w:trPr>
          <w:trHeight w:val="302"/>
        </w:trPr>
        <w:tc>
          <w:tcPr>
            <w:tcW w:w="48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vMerge w:val="continue"/>
            <w:textDirection w:val="lrTb"/>
            <w:noWrap w:val="false"/>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具备1个220V交流电源输出插座</w:t>
            </w:r>
            <w:r/>
          </w:p>
        </w:tc>
      </w:tr>
      <w:tr>
        <w:trPr>
          <w:trHeight w:val="302"/>
        </w:trPr>
        <w:tc>
          <w:tcPr>
            <w:tcW w:w="48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网络接口</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预留网线（以太网接口（RJ - 45））</w:t>
            </w:r>
            <w:r/>
          </w:p>
        </w:tc>
      </w:tr>
      <w:tr>
        <w:trPr>
          <w:trHeight w:val="302"/>
        </w:trPr>
        <w:tc>
          <w:tcPr>
            <w:tcW w:w="486"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620"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具备短路、过载保护功能。并带有交流220V输出显示功能。</w:t>
            </w:r>
            <w:r/>
          </w:p>
        </w:tc>
      </w:tr>
      <w:tr>
        <w:trPr>
          <w:trHeight w:val="1263"/>
        </w:trPr>
        <w:tc>
          <w:tcPr>
            <w:gridSpan w:val="2"/>
            <w:tcW w:w="110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其他要求</w:t>
            </w:r>
            <w:r/>
          </w:p>
        </w:tc>
        <w:tc>
          <w:tcPr>
            <w:tcW w:w="3894" w:type="pct"/>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rPr>
                <w:rFonts w:hint="eastAsia" w:cs="宋体" w:asciiTheme="minorEastAsia" w:hAnsiTheme="minorEastAsia" w:eastAsiaTheme="minorEastAsia"/>
                <w:bCs/>
                <w:sz w:val="20"/>
                <w:szCs w:val="20"/>
                <w:lang w:bidi="ar"/>
              </w:rPr>
              <w:t xml:space="preserve">操作区平面</w:t>
            </w:r>
            <w:r>
              <w:rPr>
                <w:rFonts w:hint="eastAsia" w:cs="宋体" w:asciiTheme="minorEastAsia" w:hAnsiTheme="minorEastAsia" w:eastAsiaTheme="minorEastAsia"/>
                <w:sz w:val="20"/>
                <w:szCs w:val="20"/>
                <w:lang w:bidi="ar"/>
              </w:rPr>
              <w:t xml:space="preserve">：提供由经国家认证委认证的第三方检测机构出具的检测报告（检测报告上须含有“CMA”或“CNAS”标志），检测报告必须满足上述关于台面的环保性能的要求；                                    </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★（2）三联水嘴：</w:t>
            </w:r>
            <w:r>
              <w:rPr>
                <w:rFonts w:cs="宋体" w:asciiTheme="minorEastAsia" w:hAnsiTheme="minorEastAsia" w:eastAsiaTheme="minorEastAsia"/>
                <w:color w:val="000000"/>
                <w:sz w:val="20"/>
              </w:rPr>
              <w:t xml:space="preserve">提供国家确定的认证机构出具的、处于有效期之内的节能产品认证证书</w:t>
            </w:r>
            <w:r>
              <w:rPr>
                <w:rFonts w:hint="eastAsia" w:cs="宋体" w:asciiTheme="minorEastAsia" w:hAnsiTheme="minorEastAsia" w:eastAsiaTheme="minorEastAsia"/>
                <w:bCs/>
                <w:sz w:val="20"/>
                <w:szCs w:val="20"/>
                <w:lang w:bidi="ar"/>
              </w:rPr>
              <w:t xml:space="preserve">。</w:t>
            </w:r>
            <w:r>
              <w:rPr>
                <w:rFonts w:hint="eastAsia" w:cs="宋体" w:asciiTheme="minorEastAsia" w:hAnsiTheme="minorEastAsia" w:eastAsiaTheme="minorEastAsia"/>
                <w:sz w:val="20"/>
                <w:szCs w:val="20"/>
                <w:lang w:bidi="ar"/>
              </w:rPr>
              <w:t xml:space="preserve">   </w:t>
            </w:r>
            <w:r/>
          </w:p>
        </w:tc>
      </w:tr>
      <w:tr>
        <w:trPr>
          <w:trHeight w:val="903"/>
        </w:trPr>
        <w:tc>
          <w:tcPr>
            <w:gridSpan w:val="2"/>
            <w:tcW w:w="110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W w:w="389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1.实验准备操作区域，通水、电、网络。</w:t>
            </w:r>
            <w:r>
              <w:rPr>
                <w:rFonts w:hint="eastAsia" w:cs="宋体" w:asciiTheme="minorEastAsia" w:hAnsiTheme="minorEastAsia" w:eastAsiaTheme="minorEastAsia"/>
                <w:sz w:val="20"/>
                <w:szCs w:val="20"/>
                <w:lang w:bidi="ar"/>
              </w:rPr>
              <w:br/>
              <w:t xml:space="preserve">2.为成套设备，化学准备实验设备配备试剂架、洗眼器及其他相关配套设施。</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通风处理设备，数量：1</w:t>
      </w:r>
      <w:r/>
    </w:p>
    <w:tbl>
      <w:tblPr>
        <w:tblW w:w="48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7"/>
        <w:gridCol w:w="1113"/>
        <w:gridCol w:w="7926"/>
      </w:tblGrid>
      <w:tr>
        <w:trPr>
          <w:trHeight w:val="452"/>
          <w:tblHeader/>
        </w:trPr>
        <w:tc>
          <w:tcPr>
            <w:gridSpan w:val="2"/>
            <w:tcW w:w="1210"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3790"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r>
      <w:tr>
        <w:trPr>
          <w:trHeight w:val="343"/>
        </w:trPr>
        <w:tc>
          <w:tcPr>
            <w:shd w:val="clear" w:color="auto" w:fill="ffffff"/>
            <w:tcW w:w="678" w:type="pct"/>
            <w:vAlign w:val="center"/>
            <w:vMerge w:val="restart"/>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规格尺寸</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W1200*D850*H2350mm</w:t>
            </w:r>
            <w:r/>
          </w:p>
        </w:tc>
      </w:tr>
      <w:tr>
        <w:trPr>
          <w:trHeight w:val="1316"/>
        </w:trPr>
        <w:tc>
          <w:tcPr>
            <w:shd w:val="clear" w:color="auto" w:fill="ffffff"/>
            <w:tcW w:w="678"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框架左右旁板、前钢板、下柜体均采用（裸板）1.2mm厚钢板，德国进口2000W全自动数控激光切割机下料，折弯采用全自动数控折弯机一次性一体折弯成型，表面经环氧树脂粉末静电流水线自动化喷涂及高温固化。</w:t>
            </w:r>
            <w:r/>
          </w:p>
        </w:tc>
      </w:tr>
      <w:tr>
        <w:trPr>
          <w:trHeight w:val="454"/>
        </w:trPr>
        <w:tc>
          <w:tcPr>
            <w:tcW w:w="67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顶板</w:t>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7mm厚实芯抗倍特板，具有良好的防腐蚀、化学抗性</w:t>
            </w:r>
            <w:r/>
          </w:p>
        </w:tc>
      </w:tr>
      <w:tr>
        <w:trPr>
          <w:trHeight w:val="454"/>
        </w:trPr>
        <w:tc>
          <w:tcPr>
            <w:tcW w:w="67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内衬板</w:t>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4mm厚实芯抗倍特板具有良好的防腐蚀、化学抗性</w:t>
            </w:r>
            <w:r/>
          </w:p>
        </w:tc>
      </w:tr>
      <w:tr>
        <w:trPr>
          <w:trHeight w:val="454"/>
        </w:trPr>
        <w:tc>
          <w:tcPr>
            <w:shd w:val="clear" w:color="auto" w:fill="ffffff"/>
            <w:tcW w:w="678" w:type="pct"/>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导流板</w:t>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4mm厚实芯抗倍特板具有良好的防腐蚀、化学抗性，</w:t>
            </w:r>
            <w:r/>
          </w:p>
        </w:tc>
      </w:tr>
      <w:tr>
        <w:trPr>
          <w:trHeight w:val="454"/>
        </w:trPr>
        <w:tc>
          <w:tcPr>
            <w:shd w:val="clear" w:color="auto" w:fill="ffffff"/>
            <w:tcW w:w="678" w:type="pct"/>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导流板为三段式结构，导流板固定件使用PP优质材质制作一体成</w:t>
            </w:r>
            <w:r/>
          </w:p>
        </w:tc>
      </w:tr>
      <w:tr>
        <w:trPr>
          <w:trHeight w:val="454"/>
        </w:trPr>
        <w:tc>
          <w:tcPr>
            <w:tcW w:w="67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后背板</w:t>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4mm厚实芯抗倍特板具有良好的防腐蚀、化学抗性</w:t>
            </w:r>
            <w:r/>
          </w:p>
        </w:tc>
      </w:tr>
      <w:tr>
        <w:trPr>
          <w:trHeight w:val="454"/>
        </w:trPr>
        <w:tc>
          <w:tcPr>
            <w:tcW w:w="67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移动视窗门框及拉手材质</w:t>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铝合金型材，表面经环氧树脂粉末静电流水线自动化喷涂及高温固化</w:t>
            </w:r>
            <w:r/>
          </w:p>
        </w:tc>
      </w:tr>
      <w:tr>
        <w:trPr>
          <w:trHeight w:val="454"/>
        </w:trPr>
        <w:tc>
          <w:tcPr>
            <w:tcW w:w="678" w:type="pct"/>
            <w:vAlign w:val="center"/>
            <w:vMerge w:val="restart"/>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主体结构</w:t>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4mm钢化玻璃</w:t>
            </w:r>
            <w:r/>
          </w:p>
        </w:tc>
      </w:tr>
      <w:tr>
        <w:trPr>
          <w:trHeight w:val="454"/>
        </w:trPr>
        <w:tc>
          <w:tcPr>
            <w:tcW w:w="678"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开启高度</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740m</w:t>
            </w:r>
            <w:r/>
          </w:p>
        </w:tc>
      </w:tr>
      <w:tr>
        <w:trPr>
          <w:trHeight w:val="992"/>
        </w:trPr>
        <w:tc>
          <w:tcPr>
            <w:tcW w:w="678"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自由升降，移门上下滑动装置采用同步轴轮皮带式结构，无级任意停留，移门导向装置由抗腐蚀的聚氯乙稀材质构成。</w:t>
            </w:r>
            <w:r/>
          </w:p>
        </w:tc>
      </w:tr>
      <w:tr>
        <w:trPr>
          <w:trHeight w:val="343"/>
        </w:trPr>
        <w:tc>
          <w:tcPr>
            <w:shd w:val="clear" w:color="auto" w:fill="ffffff"/>
            <w:tcW w:w="678" w:type="pct"/>
            <w:vAlign w:val="center"/>
            <w:vMerge w:val="restart"/>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平面</w:t>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（国产）实芯理化板（12.7mm厚）</w:t>
            </w:r>
            <w:r/>
          </w:p>
        </w:tc>
      </w:tr>
      <w:tr>
        <w:trPr>
          <w:trHeight w:val="343"/>
        </w:trPr>
        <w:tc>
          <w:tcPr>
            <w:shd w:val="clear" w:color="auto" w:fill="ffffff"/>
            <w:tcW w:w="678" w:type="pct"/>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环保要求</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耐酸碱，耐冲击，耐腐蚀，甲醛达到E1级别标准</w:t>
            </w:r>
            <w:r/>
          </w:p>
        </w:tc>
      </w:tr>
      <w:tr>
        <w:trPr>
          <w:trHeight w:val="1316"/>
        </w:trPr>
        <w:tc>
          <w:tcPr>
            <w:tcW w:w="678"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内部连接件</w:t>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要求</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连接部分所有的内部连接装置都需隐藏布置和抗腐蚀，没有外露的螺钉，外部连接装置都抗化学腐蚀的不锈钢部件与非金属材料。排气出口采用PP集气罩模具一体成型，出风口直径250mm圆孔，套管连接，减少气体扰流。</w:t>
            </w:r>
            <w:r/>
          </w:p>
        </w:tc>
      </w:tr>
      <w:tr>
        <w:trPr>
          <w:trHeight w:val="1316"/>
        </w:trPr>
        <w:tc>
          <w:tcPr>
            <w:tcW w:w="678"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配件</w:t>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要求</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水路配有进口一次性成型壁式PP小杯槽，耐酸碱、耐腐蚀。壁式单口水龙头由黄铜构成并安装在通风设备内左侧默认无蓝色边框（水为选配项，默认为壁式水，可根据需求改为桌面式水）</w:t>
            </w:r>
            <w:r/>
          </w:p>
        </w:tc>
      </w:tr>
      <w:tr>
        <w:trPr>
          <w:trHeight w:val="1316"/>
        </w:trPr>
        <w:tc>
          <w:tcPr>
            <w:tcW w:w="678"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电路控制面板</w:t>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要求</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液晶显示屏面板（可设置快慢自由调节，可适应市场上大部分类似产品，支持电动风阀6秒快开）8个按键电源、设置、确定、照明、备用、风机、风阀+\-键。照明LED白光灯快速启动类型，安装置通风设备顶部，使用寿命长。</w:t>
            </w:r>
            <w:r/>
          </w:p>
        </w:tc>
      </w:tr>
      <w:tr>
        <w:trPr>
          <w:trHeight w:val="1316"/>
        </w:trPr>
        <w:tc>
          <w:tcPr>
            <w:tcW w:w="678"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插座</w:t>
            </w:r>
            <w:r/>
          </w:p>
        </w:tc>
        <w:tc>
          <w:tcPr>
            <w:tcW w:w="532"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要求</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配有四个10A 220V五孔多功能插座。线路使用正泰2.5平方铜芯电线。总开关德力西品牌32A漏电保护断路器。其它上柜内右侧预留检修窗，方便故障检修，左右旁板各预留2个孔方便加装考克等设施</w:t>
            </w:r>
            <w:r/>
          </w:p>
        </w:tc>
      </w:tr>
      <w:tr>
        <w:trPr>
          <w:trHeight w:val="1730"/>
        </w:trPr>
        <w:tc>
          <w:tcPr>
            <w:gridSpan w:val="2"/>
            <w:tcW w:w="1210"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W w:w="3790"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全钢的通风处理设备是一种常用的实验室设备，具有通风、过滤、吸附等功能。对于实验室安全和实验结果的准确性都有重要作用。</w:t>
            </w:r>
            <w:r>
              <w:rPr>
                <w:rFonts w:hint="eastAsia" w:cs="宋体" w:asciiTheme="minorEastAsia" w:hAnsiTheme="minorEastAsia" w:eastAsiaTheme="minorEastAsia"/>
                <w:sz w:val="20"/>
                <w:szCs w:val="20"/>
                <w:lang w:bidi="ar"/>
              </w:rPr>
              <w:br/>
              <w:t xml:space="preserve">通风处理设备整体由顶板，内衬板，导流板、后背板、柜门等组成，主体框架左右旁板、前钢板、下区域均采用（裸板）1.2mm厚钢板，顶板、内衬板等为厚实芯抗倍特板。</w:t>
            </w:r>
            <w:r/>
          </w:p>
        </w:tc>
      </w:tr>
    </w:tbl>
    <w:p>
      <w:pPr>
        <w:pStyle w:val="921"/>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425" w:equalWidth="1"/>
          <w:docGrid w:linePitch="360"/>
        </w:sectPr>
      </w:pPr>
      <w:r>
        <w:rPr>
          <w:rFonts w:hint="eastAsia" w:cs="宋体" w:asciiTheme="minorEastAsia" w:hAnsiTheme="minorEastAsia" w:eastAsiaTheme="minorEastAsia"/>
        </w:rPr>
      </w:r>
      <w:r/>
    </w:p>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仪器</w:t>
      </w:r>
      <w:r>
        <w:rPr>
          <w:rFonts w:hint="eastAsia" w:cs="宋体" w:asciiTheme="minorEastAsia" w:hAnsiTheme="minorEastAsia" w:eastAsiaTheme="minorEastAsia"/>
        </w:rPr>
        <w:t xml:space="preserve">储存设备</w:t>
      </w:r>
      <w:r>
        <w:rPr>
          <w:rFonts w:hint="eastAsia" w:cs="宋体" w:asciiTheme="minorEastAsia" w:hAnsiTheme="minorEastAsia" w:eastAsiaTheme="minorEastAsia"/>
          <w:lang w:bidi="ar"/>
        </w:rPr>
        <w:t xml:space="preserve">，数量：16</w:t>
      </w:r>
      <w:r/>
    </w:p>
    <w:tbl>
      <w:tblPr>
        <w:tblW w:w="0" w:type="auto"/>
        <w:tblLook w:val="04A0" w:firstRow="1" w:lastRow="0" w:firstColumn="1" w:lastColumn="0" w:noHBand="0" w:noVBand="1"/>
      </w:tblPr>
      <w:tblGrid>
        <w:gridCol w:w="1101"/>
        <w:gridCol w:w="992"/>
        <w:gridCol w:w="8221"/>
      </w:tblGrid>
      <w:tr>
        <w:trPr>
          <w:trHeight w:val="259"/>
          <w:tblHeader/>
        </w:trPr>
        <w:tc>
          <w:tcPr>
            <w:gridSpan w:val="2"/>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r>
      <w:tr>
        <w:trPr>
          <w:trHeight w:val="509"/>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1000*500*2000</w:t>
            </w:r>
            <w:r/>
          </w:p>
        </w:tc>
      </w:tr>
      <w:tr>
        <w:trPr>
          <w:trHeight w:val="259"/>
        </w:trPr>
        <w:tc>
          <w:tcPr>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侧板</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环保PP料注塑成型</w:t>
            </w:r>
            <w:r/>
          </w:p>
        </w:tc>
      </w:tr>
      <w:tr>
        <w:trPr>
          <w:trHeight w:val="259"/>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整体4cm,壁厚4mm</w:t>
            </w:r>
            <w:r/>
          </w:p>
        </w:tc>
      </w:tr>
      <w:tr>
        <w:trPr>
          <w:trHeight w:val="259"/>
        </w:trPr>
        <w:tc>
          <w:tcPr>
            <w:tcBorders>
              <w:top w:val="single" w:color="000000" w:sz="4" w:space="0"/>
              <w:left w:val="single" w:color="000000" w:sz="4" w:space="0"/>
              <w:bottom w:val="single" w:color="000000" w:sz="4" w:space="0"/>
              <w:right w:val="single" w:color="000000" w:sz="4" w:space="0"/>
            </w:tcBorders>
            <w:tcW w:w="1101"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层板</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工程塑料挤出成型</w:t>
            </w:r>
            <w:r/>
          </w:p>
        </w:tc>
      </w:tr>
      <w:tr>
        <w:trPr>
          <w:trHeight w:val="259"/>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23mm</w:t>
            </w:r>
            <w:r/>
          </w:p>
        </w:tc>
      </w:tr>
      <w:tr>
        <w:trPr>
          <w:trHeight w:val="759"/>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加强筋参数</w:t>
            </w:r>
            <w:r/>
          </w:p>
        </w:tc>
        <w:tc>
          <w:tcPr>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层板内设14条加强筋并内置30*15mm钢管2条，可承重100kg左右</w:t>
            </w:r>
            <w:r/>
          </w:p>
        </w:tc>
      </w:tr>
      <w:tr>
        <w:trPr>
          <w:trHeight w:val="509"/>
        </w:trPr>
        <w:tc>
          <w:tcPr>
            <w:tcBorders>
              <w:top w:val="single" w:color="000000" w:sz="4" w:space="0"/>
              <w:left w:val="single" w:color="000000" w:sz="4" w:space="0"/>
              <w:bottom w:val="single" w:color="000000" w:sz="4" w:space="0"/>
              <w:right w:val="single" w:color="000000" w:sz="4" w:space="0"/>
            </w:tcBorders>
            <w:tcW w:w="1101"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层板可以随意抽取，自由组合各层空间</w:t>
            </w:r>
            <w:r/>
          </w:p>
        </w:tc>
      </w:tr>
      <w:tr>
        <w:trPr>
          <w:trHeight w:val="1259"/>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储物</w:t>
            </w:r>
            <w:r>
              <w:rPr>
                <w:rFonts w:hint="eastAsia" w:cs="宋体" w:asciiTheme="minorEastAsia" w:hAnsiTheme="minorEastAsia" w:eastAsiaTheme="minorEastAsia"/>
                <w:lang w:bidi="ar"/>
              </w:rPr>
              <w:t xml:space="preserve">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上储物</w:t>
            </w:r>
            <w:r>
              <w:rPr>
                <w:rFonts w:hint="eastAsia" w:cs="宋体" w:asciiTheme="minorEastAsia" w:hAnsiTheme="minorEastAsia" w:eastAsiaTheme="minorEastAsia"/>
                <w:lang w:bidi="ar"/>
              </w:rPr>
              <w:t xml:space="preserve">区</w:t>
            </w:r>
            <w:r>
              <w:rPr>
                <w:rFonts w:hint="eastAsia" w:cs="宋体" w:asciiTheme="minorEastAsia" w:hAnsiTheme="minorEastAsia" w:eastAsiaTheme="minorEastAsia"/>
                <w:sz w:val="20"/>
                <w:szCs w:val="20"/>
                <w:lang w:bidi="ar"/>
              </w:rPr>
              <w:t xml:space="preserve">：采用增强型PP材质一体注塑成型镶嵌4mm±0.5mm钢化烤漆玻璃,中间玻璃做镂空处理，透明可视。</w:t>
            </w:r>
            <w:r>
              <w:rPr>
                <w:rFonts w:hint="eastAsia" w:cs="宋体" w:asciiTheme="minorEastAsia" w:hAnsiTheme="minorEastAsia" w:eastAsiaTheme="minorEastAsia"/>
                <w:sz w:val="20"/>
                <w:szCs w:val="20"/>
                <w:lang w:bidi="ar"/>
              </w:rPr>
              <w:br/>
              <w:t xml:space="preserve">下储物</w:t>
            </w:r>
            <w:r>
              <w:rPr>
                <w:rFonts w:hint="eastAsia" w:cs="宋体" w:asciiTheme="minorEastAsia" w:hAnsiTheme="minorEastAsia" w:eastAsiaTheme="minorEastAsia"/>
                <w:lang w:bidi="ar"/>
              </w:rPr>
              <w:t xml:space="preserve">区</w:t>
            </w:r>
            <w:r>
              <w:rPr>
                <w:rFonts w:hint="eastAsia" w:cs="宋体" w:asciiTheme="minorEastAsia" w:hAnsiTheme="minorEastAsia" w:eastAsiaTheme="minorEastAsia"/>
                <w:sz w:val="20"/>
                <w:szCs w:val="20"/>
                <w:lang w:bidi="ar"/>
              </w:rPr>
              <w:t xml:space="preserve">：采用增强型PP材质一体注塑成型镶嵌4mm±0.5mm钢化烤漆玻璃；实验室全塑仪器柜门使用玻璃主要是基于其透明度、安全性、易清洁和维护以及多功能性等优点。</w:t>
            </w:r>
            <w:r/>
          </w:p>
        </w:tc>
      </w:tr>
      <w:tr>
        <w:trPr>
          <w:trHeight w:val="509"/>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门把手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采用增强型PP材质一次注塑成型，安装于两门的门缝处，凹凸配套，增加内部的气密性</w:t>
            </w:r>
            <w:r/>
          </w:p>
        </w:tc>
      </w:tr>
      <w:tr>
        <w:trPr>
          <w:trHeight w:val="509"/>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门铰链</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改性pp材料模具一次成型，伸缩式pp旋转门轴，内嵌隐藏方便安装，耐腐蚀</w:t>
            </w:r>
            <w:r/>
          </w:p>
        </w:tc>
      </w:tr>
      <w:tr>
        <w:trPr>
          <w:trHeight w:val="1009"/>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辅材</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材质与要求</w:t>
            </w:r>
            <w:r/>
          </w:p>
        </w:tc>
        <w:tc>
          <w:tcPr>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门铰链：用改性pp材料模具一次成型，伸缩式pp旋转门轴，内嵌隐藏方便安装，耐腐蚀。</w:t>
            </w:r>
            <w:r>
              <w:rPr>
                <w:rFonts w:hint="eastAsia" w:cs="宋体" w:asciiTheme="minorEastAsia" w:hAnsiTheme="minorEastAsia" w:eastAsiaTheme="minorEastAsia"/>
                <w:sz w:val="20"/>
                <w:szCs w:val="20"/>
                <w:lang w:bidi="ar"/>
              </w:rPr>
              <w:br/>
              <w:t xml:space="preserve">螺丝：柜门固定所需螺丝均采用304不锈钢（也可选配PP塑料螺丝），确保内部空间无裸露金属材料，确保耐腐蚀性。</w:t>
            </w:r>
            <w:r/>
          </w:p>
        </w:tc>
      </w:tr>
      <w:tr>
        <w:trPr>
          <w:trHeight w:val="2010"/>
        </w:trPr>
        <w:tc>
          <w:tcPr>
            <w:gridSpan w:val="2"/>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其他要求</w:t>
            </w:r>
            <w:r/>
          </w:p>
        </w:tc>
        <w:tc>
          <w:tcPr>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▲顶部和底部都预留通风系统接口，与通风管路连接；接口处配有手动调节装置，可以打开或关闭通风口。产品有害物质限量要求符合GB 28481-2012《塑料家具中有害物质限量》中相关要求，须提供由经国家认证委认证的第三方检测机构出具的检测报告（检测报告上须含有“CMA”或“CNAS”标志）。储存设备力学性能要符合标准GB/T 24820-2024《实验室家具通用技术条件》中储物设备力学性能的相关要求，须提供由经国家认证委认证的第三方检测机构出具的检测报告（检测报告上须含有“CMA”或“CNAS”标志）。</w:t>
            </w:r>
            <w:r/>
          </w:p>
        </w:tc>
      </w:tr>
      <w:tr>
        <w:trPr>
          <w:trHeight w:val="1259"/>
        </w:trPr>
        <w:tc>
          <w:tcPr>
            <w:gridSpan w:val="2"/>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Borders>
              <w:top w:val="single" w:color="000000" w:sz="4" w:space="0"/>
              <w:left w:val="single" w:color="000000" w:sz="4" w:space="0"/>
              <w:bottom w:val="single" w:color="000000" w:sz="4" w:space="0"/>
              <w:right w:val="single" w:color="000000" w:sz="4" w:space="0"/>
            </w:tcBorders>
            <w:tcW w:w="822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1、实验室准备展示区，实验室仪器储存设备为实验室的仪器和设备提供了一个安全的储存空间，能够有效避免仪器因碰撞、摔落或刮花而受损，同时降低了实验室事故的风险</w:t>
            </w:r>
            <w:r>
              <w:rPr>
                <w:rFonts w:hint="eastAsia" w:ascii="MS Gothic" w:hAnsi="MS Gothic" w:eastAsia="MS Gothic" w:cs="MS Gothic"/>
                <w:sz w:val="20"/>
                <w:szCs w:val="20"/>
                <w:lang w:bidi="ar"/>
              </w:rPr>
              <w:t xml:space="preserve">‌</w:t>
            </w:r>
            <w:r>
              <w:rPr>
                <w:rFonts w:cs="宋体" w:asciiTheme="minorEastAsia" w:hAnsiTheme="minorEastAsia" w:eastAsiaTheme="minorEastAsia"/>
                <w:sz w:val="20"/>
                <w:szCs w:val="20"/>
                <w:lang w:bidi="ar"/>
              </w:rPr>
              <w:t xml:space="preserve">。</w:t>
            </w:r>
            <w:r>
              <w:rPr>
                <w:rFonts w:hint="eastAsia" w:cs="宋体" w:asciiTheme="minorEastAsia" w:hAnsiTheme="minorEastAsia" w:eastAsiaTheme="minorEastAsia"/>
                <w:sz w:val="20"/>
                <w:szCs w:val="20"/>
                <w:lang w:bidi="ar"/>
              </w:rPr>
              <w:br/>
              <w:t xml:space="preserve">2、仪器储存设备整体由侧板，结构板，柜门，背板及层板等组成，整体是PP料注塑成型，层板是中空挤出而成，柜门PP料注塑成型镶嵌钢化玻璃。</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cs="宋体" w:asciiTheme="minorEastAsia" w:hAnsiTheme="minorEastAsia" w:eastAsiaTheme="minorEastAsia"/>
        </w:rPr>
        <w:br w:type="page" w:clear="all"/>
      </w:r>
      <w:r/>
    </w:p>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t xml:space="preserve">药品</w:t>
      </w:r>
      <w:r>
        <w:rPr>
          <w:rFonts w:hint="eastAsia" w:cs="宋体" w:asciiTheme="minorEastAsia" w:hAnsiTheme="minorEastAsia" w:eastAsiaTheme="minorEastAsia"/>
        </w:rPr>
        <w:t xml:space="preserve">储存设备</w:t>
      </w:r>
      <w:r>
        <w:rPr>
          <w:rFonts w:hint="eastAsia" w:cs="宋体" w:asciiTheme="minorEastAsia" w:hAnsiTheme="minorEastAsia" w:eastAsiaTheme="minorEastAsia"/>
          <w:lang w:bidi="ar"/>
        </w:rPr>
        <w:t xml:space="preserve">，数量：6</w:t>
      </w:r>
      <w:r/>
    </w:p>
    <w:tbl>
      <w:tblPr>
        <w:tblW w:w="0" w:type="auto"/>
        <w:tblLook w:val="04A0" w:firstRow="1" w:lastRow="0" w:firstColumn="1" w:lastColumn="0" w:noHBand="0" w:noVBand="1"/>
      </w:tblPr>
      <w:tblGrid>
        <w:gridCol w:w="1016"/>
        <w:gridCol w:w="2511"/>
        <w:gridCol w:w="1203"/>
        <w:gridCol w:w="5952"/>
      </w:tblGrid>
      <w:tr>
        <w:trPr>
          <w:trHeight w:val="292"/>
          <w:tblHeader/>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r>
      <w:tr>
        <w:trPr>
          <w:trHeight w:val="292"/>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1000*500*2000mm</w:t>
            </w:r>
            <w:r/>
          </w:p>
        </w:tc>
      </w:tr>
      <w:tr>
        <w:trPr>
          <w:trHeight w:val="292"/>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Cs/>
                <w:sz w:val="20"/>
                <w:szCs w:val="20"/>
                <w:lang w:bidi="ar"/>
              </w:rPr>
              <w:t xml:space="preserve">主体构造</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侧、背板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环保PP料注塑成型</w:t>
            </w:r>
            <w:r/>
          </w:p>
        </w:tc>
      </w:tr>
      <w:tr>
        <w:trPr>
          <w:trHeight w:val="85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整体4cm,壁厚4mm，榫卯连接结构并合理布局加强筋，配合专用塑料紧固件连接，顶板、中板和底板的底部镶嵌15*30mm钢管加强</w:t>
            </w:r>
            <w:r/>
          </w:p>
        </w:tc>
      </w:tr>
      <w:tr>
        <w:trPr>
          <w:trHeight w:val="29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层板（顶板、中板和底板）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工程塑料挤出成型</w:t>
            </w:r>
            <w:r/>
          </w:p>
        </w:tc>
      </w:tr>
      <w:tr>
        <w:trPr>
          <w:trHeight w:val="29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23mm</w:t>
            </w:r>
            <w:r/>
          </w:p>
        </w:tc>
      </w:tr>
      <w:tr>
        <w:trPr>
          <w:trHeight w:val="85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加强筋参数</w:t>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层板内设14条加强筋并内置30*15钢管2条，可承重100kg左右</w:t>
            </w:r>
            <w:r/>
          </w:p>
        </w:tc>
      </w:tr>
      <w:tr>
        <w:trPr>
          <w:trHeight w:val="57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上部配两块活动层板，下部配一块活动层板，层板可以随意抽取，自由组合各层空间并配有阶梯台阶</w:t>
            </w:r>
            <w:r/>
          </w:p>
        </w:tc>
      </w:tr>
      <w:tr>
        <w:trPr>
          <w:trHeight w:val="142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储物</w:t>
            </w:r>
            <w:r>
              <w:rPr>
                <w:rFonts w:hint="eastAsia" w:cs="宋体" w:asciiTheme="minorEastAsia" w:hAnsiTheme="minorEastAsia" w:eastAsiaTheme="minorEastAsia"/>
                <w:lang w:bidi="ar"/>
              </w:rPr>
              <w:t xml:space="preserve">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上储物</w:t>
            </w:r>
            <w:r>
              <w:rPr>
                <w:rFonts w:hint="eastAsia" w:cs="宋体" w:asciiTheme="minorEastAsia" w:hAnsiTheme="minorEastAsia" w:eastAsiaTheme="minorEastAsia"/>
                <w:lang w:bidi="ar"/>
              </w:rPr>
              <w:t xml:space="preserve">区</w:t>
            </w:r>
            <w:r>
              <w:rPr>
                <w:rFonts w:hint="eastAsia" w:cs="宋体" w:asciiTheme="minorEastAsia" w:hAnsiTheme="minorEastAsia" w:eastAsiaTheme="minorEastAsia"/>
                <w:sz w:val="20"/>
                <w:szCs w:val="20"/>
                <w:lang w:bidi="ar"/>
              </w:rPr>
              <w:t xml:space="preserve">：采用增强型PP材质一体注塑成型镶嵌4mm±0.5mm钢化烤漆玻璃,中间玻璃做镂空处理，透明可视。</w:t>
            </w:r>
            <w:r>
              <w:rPr>
                <w:rFonts w:hint="eastAsia" w:cs="宋体" w:asciiTheme="minorEastAsia" w:hAnsiTheme="minorEastAsia" w:eastAsiaTheme="minorEastAsia"/>
                <w:sz w:val="20"/>
                <w:szCs w:val="20"/>
                <w:lang w:bidi="ar"/>
              </w:rPr>
              <w:br/>
              <w:t xml:space="preserve">下储物</w:t>
            </w:r>
            <w:r>
              <w:rPr>
                <w:rFonts w:hint="eastAsia" w:cs="宋体" w:asciiTheme="minorEastAsia" w:hAnsiTheme="minorEastAsia" w:eastAsiaTheme="minorEastAsia"/>
                <w:lang w:bidi="ar"/>
              </w:rPr>
              <w:t xml:space="preserve">区</w:t>
            </w:r>
            <w:r>
              <w:rPr>
                <w:rFonts w:hint="eastAsia" w:cs="宋体" w:asciiTheme="minorEastAsia" w:hAnsiTheme="minorEastAsia" w:eastAsiaTheme="minorEastAsia"/>
                <w:sz w:val="20"/>
                <w:szCs w:val="20"/>
                <w:lang w:bidi="ar"/>
              </w:rPr>
              <w:t xml:space="preserve">：采用增强型PP材质一体注塑成型镶嵌4mm±0.5mm钢化烤漆玻璃；实验室全塑仪器储存设备门使用玻璃主要是基于其透明度、安全性、易清洁和维护以及多功能性等优点。</w:t>
            </w:r>
            <w:r/>
          </w:p>
        </w:tc>
      </w:tr>
      <w:tr>
        <w:trPr>
          <w:trHeight w:val="142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辅材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材质与要求</w:t>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门铰链：用改性pp材料模具一次成型，伸缩式pp旋转门轴，内嵌隐藏方便安装，耐腐蚀。</w:t>
            </w:r>
            <w:r>
              <w:rPr>
                <w:rFonts w:hint="eastAsia" w:cs="宋体" w:asciiTheme="minorEastAsia" w:hAnsiTheme="minorEastAsia" w:eastAsiaTheme="minorEastAsia"/>
                <w:sz w:val="20"/>
                <w:szCs w:val="20"/>
                <w:lang w:bidi="ar"/>
              </w:rPr>
              <w:br/>
              <w:t xml:space="preserve">螺丝：柜门固定所需螺丝均采用304不锈钢（也可选配PP塑料螺丝），确保内部空间无裸露金属材料，确保耐腐蚀性。</w:t>
            </w:r>
            <w:r/>
          </w:p>
        </w:tc>
      </w:tr>
      <w:tr>
        <w:trPr>
          <w:trHeight w:val="292"/>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通风系统</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风机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250单相轴流风机，220V110W</w:t>
            </w:r>
            <w:r/>
          </w:p>
        </w:tc>
      </w:tr>
      <w:tr>
        <w:trPr>
          <w:trHeight w:val="29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5952" w:type="dxa"/>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PP材质</w:t>
            </w:r>
            <w:r/>
          </w:p>
        </w:tc>
      </w:tr>
      <w:tr>
        <w:trPr>
          <w:trHeight w:val="57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Borders>
              <w:top w:val="single" w:color="000000" w:sz="4" w:space="0"/>
              <w:left w:val="single" w:color="000000" w:sz="4" w:space="0"/>
              <w:bottom w:val="single" w:color="000000" w:sz="4" w:space="0"/>
              <w:right w:val="single" w:color="000000" w:sz="4" w:space="0"/>
            </w:tcBorders>
            <w:tcW w:w="5952" w:type="dxa"/>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1850立方/小时、1450转/分</w:t>
            </w:r>
            <w:r/>
          </w:p>
        </w:tc>
      </w:tr>
      <w:tr>
        <w:trPr>
          <w:trHeight w:val="29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通风管道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Borders>
              <w:top w:val="single" w:color="000000" w:sz="4" w:space="0"/>
              <w:left w:val="single" w:color="000000" w:sz="4" w:space="0"/>
              <w:bottom w:val="single" w:color="000000" w:sz="4" w:space="0"/>
              <w:right w:val="single" w:color="000000" w:sz="4" w:space="0"/>
            </w:tcBorders>
            <w:tcW w:w="5952" w:type="dxa"/>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采用具有耐酸碱性能PVC</w:t>
            </w:r>
            <w:r/>
          </w:p>
        </w:tc>
      </w:tr>
      <w:tr>
        <w:trPr>
          <w:trHeight w:val="85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5952" w:type="dxa"/>
            <w:vAlign w:val="bottom"/>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主风管：Ф200㎜</w:t>
            </w:r>
            <w:r>
              <w:rPr>
                <w:rFonts w:hint="eastAsia" w:cs="宋体" w:asciiTheme="minorEastAsia" w:hAnsiTheme="minorEastAsia" w:eastAsiaTheme="minorEastAsia"/>
                <w:sz w:val="20"/>
                <w:szCs w:val="20"/>
                <w:lang w:bidi="ar"/>
              </w:rPr>
              <w:br/>
              <w:t xml:space="preserve">支分管：Ф160㎜</w:t>
            </w:r>
            <w:r>
              <w:rPr>
                <w:rFonts w:hint="eastAsia" w:cs="宋体" w:asciiTheme="minorEastAsia" w:hAnsiTheme="minorEastAsia" w:eastAsiaTheme="minorEastAsia"/>
                <w:sz w:val="20"/>
                <w:szCs w:val="20"/>
                <w:lang w:bidi="ar"/>
              </w:rPr>
              <w:br/>
              <w:t xml:space="preserve">立管采用Ф110mm</w:t>
            </w:r>
            <w:r/>
          </w:p>
        </w:tc>
      </w:tr>
      <w:tr>
        <w:trPr>
          <w:trHeight w:val="1988"/>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实验室准备展示区，实验室药品储存设备采用高强度、抗腐蚀的材料制成，具有良好的保温性能和密封性，以防止药品挥发污染环境。药品储存设备的功能如下：药品储存功能、安全防护功能、环境控制功能、药品管理功能；</w:t>
            </w:r>
            <w:r>
              <w:rPr>
                <w:rFonts w:hint="eastAsia" w:cs="宋体" w:asciiTheme="minorEastAsia" w:hAnsiTheme="minorEastAsia" w:eastAsiaTheme="minorEastAsia"/>
                <w:sz w:val="20"/>
                <w:szCs w:val="20"/>
                <w:lang w:bidi="ar"/>
              </w:rPr>
              <w:br/>
              <w:t xml:space="preserve">2、药品储存设备的组成：外壳、内衬材料、层板、</w:t>
            </w:r>
            <w:r>
              <w:rPr>
                <w:rFonts w:hint="eastAsia" w:cs="宋体" w:asciiTheme="minorEastAsia" w:hAnsiTheme="minorEastAsia" w:eastAsiaTheme="minorEastAsia"/>
                <w:bCs/>
                <w:sz w:val="20"/>
                <w:szCs w:val="20"/>
                <w:lang w:bidi="ar"/>
              </w:rPr>
              <w:t xml:space="preserve">面板</w:t>
            </w:r>
            <w:r>
              <w:rPr>
                <w:rFonts w:hint="eastAsia" w:cs="宋体" w:asciiTheme="minorEastAsia" w:hAnsiTheme="minorEastAsia" w:eastAsiaTheme="minorEastAsia"/>
                <w:sz w:val="20"/>
                <w:szCs w:val="20"/>
                <w:lang w:bidi="ar"/>
              </w:rPr>
              <w:t xml:space="preserve">材料、把手和锁具、</w:t>
            </w:r>
            <w:r>
              <w:rPr>
                <w:rFonts w:hint="eastAsia" w:cs="宋体" w:asciiTheme="minorEastAsia" w:hAnsiTheme="minorEastAsia" w:eastAsiaTheme="minorEastAsia"/>
                <w:bCs/>
                <w:sz w:val="20"/>
                <w:szCs w:val="20"/>
                <w:lang w:bidi="ar"/>
              </w:rPr>
              <w:t xml:space="preserve">密封件</w:t>
            </w:r>
            <w:r>
              <w:rPr>
                <w:rFonts w:hint="eastAsia" w:cs="宋体" w:asciiTheme="minorEastAsia" w:hAnsiTheme="minorEastAsia" w:eastAsiaTheme="minorEastAsia"/>
                <w:sz w:val="20"/>
                <w:szCs w:val="20"/>
                <w:lang w:bidi="ar"/>
              </w:rPr>
              <w:t xml:space="preserve">、通风口、通风设备、照明设备、防泄漏装置。</w:t>
            </w:r>
            <w:r/>
          </w:p>
        </w:tc>
      </w:tr>
    </w:tbl>
    <w:p>
      <w:pPr>
        <w:pStyle w:val="921"/>
        <w:rPr>
          <w:rFonts w:hint="eastAsia" w:cs="宋体" w:asciiTheme="minorEastAsia" w:hAnsiTheme="minorEastAsia" w:eastAsiaTheme="minorEastAsia"/>
        </w:rPr>
      </w:pPr>
      <w:r>
        <w:rPr>
          <w:rFonts w:hint="eastAsia" w:cs="宋体" w:asciiTheme="minorEastAsia" w:hAnsiTheme="minorEastAsia" w:eastAsiaTheme="minorEastAsia"/>
          <w:lang w:bidi="ar"/>
        </w:rPr>
        <w:br w:type="page" w:clear="all"/>
      </w:r>
      <w:r>
        <w:rPr>
          <w:rFonts w:hint="eastAsia" w:cs="宋体" w:asciiTheme="minorEastAsia" w:hAnsiTheme="minorEastAsia" w:eastAsiaTheme="minorEastAsia"/>
          <w:lang w:bidi="ar"/>
        </w:rPr>
        <w:t xml:space="preserve">易燃、易爆、耐腐蚀品储存设备，数量：1</w:t>
      </w:r>
      <w:r/>
    </w:p>
    <w:tbl>
      <w:tblPr>
        <w:tblW w:w="0" w:type="auto"/>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6"/>
        <w:gridCol w:w="1085"/>
        <w:gridCol w:w="1701"/>
        <w:gridCol w:w="7371"/>
      </w:tblGrid>
      <w:tr>
        <w:trPr>
          <w:trHeight w:val="464"/>
          <w:tblHeader/>
        </w:trPr>
        <w:tc>
          <w:tcPr>
            <w:gridSpan w:val="3"/>
            <w:tcW w:w="3202"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参数名称</w:t>
            </w:r>
            <w:r/>
          </w:p>
        </w:tc>
        <w:tc>
          <w:tcPr>
            <w:tcW w:w="7371" w:type="dxa"/>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参数要求</w:t>
            </w:r>
            <w:r/>
          </w:p>
        </w:tc>
      </w:tr>
      <w:tr>
        <w:trPr>
          <w:trHeight w:val="597"/>
        </w:trPr>
        <w:tc>
          <w:tcPr>
            <w:tcBorders>
              <w:top w:val="single" w:color="auto" w:sz="4" w:space="0"/>
              <w:left w:val="single" w:color="auto" w:sz="4" w:space="0"/>
              <w:bottom w:val="single" w:color="auto" w:sz="4" w:space="0"/>
              <w:right w:val="single" w:color="auto" w:sz="4" w:space="0"/>
            </w:tcBorders>
            <w:tcW w:w="416"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易燃存储设备</w:t>
            </w:r>
            <w:r/>
          </w:p>
        </w:tc>
        <w:tc>
          <w:tcPr>
            <w:tcBorders>
              <w:left w:val="single" w:color="auto" w:sz="4" w:space="0"/>
            </w:tcBorders>
            <w:tcW w:w="108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整体规格</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≥H1800*W900*D510mm</w:t>
            </w:r>
            <w:r/>
          </w:p>
        </w:tc>
      </w:tr>
      <w:tr>
        <w:trPr>
          <w:trHeight w:val="51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Cs/>
                <w:sz w:val="20"/>
                <w:szCs w:val="20"/>
                <w:lang w:bidi="ar"/>
              </w:rPr>
              <w:t xml:space="preserve">主体构造</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冷轧钢板</w:t>
            </w:r>
            <w:r/>
          </w:p>
        </w:tc>
      </w:tr>
      <w:tr>
        <w:trPr>
          <w:trHeight w:val="597"/>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壳体全部采用≥1.2mm 的一级冷轧钢板；</w:t>
            </w:r>
            <w:r>
              <w:rPr>
                <w:rFonts w:hint="eastAsia" w:cs="宋体" w:asciiTheme="minorEastAsia" w:hAnsiTheme="minorEastAsia" w:eastAsiaTheme="minorEastAsia"/>
                <w:sz w:val="20"/>
                <w:szCs w:val="20"/>
                <w:lang w:bidi="ar"/>
              </w:rPr>
              <w:br/>
              <w:t xml:space="preserve">底座采用≥2.0mm 的一级冷轧钢板。</w:t>
            </w:r>
            <w:r/>
          </w:p>
        </w:tc>
      </w:tr>
      <w:tr>
        <w:trPr>
          <w:trHeight w:val="89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Cs/>
                <w:sz w:val="20"/>
                <w:szCs w:val="20"/>
                <w:lang w:bidi="ar"/>
              </w:rPr>
              <w:t xml:space="preserve">内胆衬板</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pp（聚丙烯树脂）板</w:t>
            </w:r>
            <w:r/>
          </w:p>
        </w:tc>
      </w:tr>
      <w:tr>
        <w:trPr>
          <w:trHeight w:val="51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层板</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PP聚丙烯树脂</w:t>
            </w:r>
            <w:r/>
          </w:p>
        </w:tc>
      </w:tr>
      <w:tr>
        <w:trPr>
          <w:trHeight w:val="89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样式及数量</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3块瓷白色一体注塑阶梯式，层板底部做网状加强筋，并做包钢处理，内置加强钢管，确保承重不变型，隔板设有10mm的通气孔。</w:t>
            </w:r>
            <w:r/>
          </w:p>
        </w:tc>
      </w:tr>
      <w:tr>
        <w:trPr>
          <w:trHeight w:val="597"/>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通风口</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顶部中间有≥</w:t>
            </w:r>
            <w:r>
              <w:rPr>
                <w:rFonts w:cs="宋体" w:asciiTheme="minorEastAsia" w:hAnsiTheme="minorEastAsia" w:eastAsiaTheme="minorEastAsia"/>
                <w:sz w:val="20"/>
                <w:szCs w:val="20"/>
                <w:lang w:bidi="ar"/>
              </w:rPr>
              <w:t xml:space="preserve">φ</w:t>
            </w:r>
            <w:r>
              <w:rPr>
                <w:rFonts w:hint="eastAsia" w:cs="宋体" w:asciiTheme="minorEastAsia" w:hAnsiTheme="minorEastAsia" w:eastAsiaTheme="minorEastAsia"/>
                <w:sz w:val="20"/>
                <w:szCs w:val="20"/>
                <w:lang w:bidi="ar"/>
              </w:rPr>
              <w:t xml:space="preserve">150mm风口且风口中内置一个AC220V、50H、0.18A轴流风机。</w:t>
            </w:r>
            <w:r/>
          </w:p>
        </w:tc>
      </w:tr>
      <w:tr>
        <w:trPr>
          <w:trHeight w:val="51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铰链</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w:t>
            </w:r>
            <w:r/>
          </w:p>
        </w:tc>
      </w:tr>
      <w:tr>
        <w:trPr>
          <w:trHeight w:val="89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规格（要求）</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钢琴式铰链、能开180度</w:t>
            </w:r>
            <w:r/>
          </w:p>
        </w:tc>
      </w:tr>
      <w:tr>
        <w:trPr>
          <w:trHeight w:val="51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锁具</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数量</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双机械锁</w:t>
            </w:r>
            <w:r/>
          </w:p>
        </w:tc>
      </w:tr>
      <w:tr>
        <w:trPr>
          <w:trHeight w:val="51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等级</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B级</w:t>
            </w:r>
            <w:r/>
          </w:p>
        </w:tc>
      </w:tr>
      <w:tr>
        <w:trPr>
          <w:trHeight w:val="597"/>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符合《易制爆危险化学品储存场所治安防范要求》（GA1511-2018）</w:t>
            </w:r>
            <w:r/>
          </w:p>
        </w:tc>
      </w:tr>
      <w:tr>
        <w:trPr>
          <w:trHeight w:val="89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安全要求</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控制器</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顶部配置温湿度控制器，对内部相对温湿度实时监控，数字显示设定和测量值，内部的温湿度如超过设定的测量值即时报警提示。</w:t>
            </w:r>
            <w:r/>
          </w:p>
        </w:tc>
      </w:tr>
      <w:tr>
        <w:trPr>
          <w:trHeight w:val="89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时控开关</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配有微电脑时控开关，能根据用户设定的时间自动打开和关闭风机，电源开关指示灯指示风机是否正常工作，可自动或手动控制。</w:t>
            </w:r>
            <w:r/>
          </w:p>
        </w:tc>
      </w:tr>
      <w:tr>
        <w:trPr>
          <w:trHeight w:val="454"/>
        </w:trPr>
        <w:tc>
          <w:tcPr>
            <w:tcBorders>
              <w:top w:val="single" w:color="auto" w:sz="4" w:space="0"/>
              <w:left w:val="single" w:color="auto" w:sz="4" w:space="0"/>
              <w:bottom w:val="single" w:color="auto" w:sz="4" w:space="0"/>
              <w:right w:val="single" w:color="auto" w:sz="4" w:space="0"/>
            </w:tcBorders>
            <w:tcW w:w="416"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易爆存储设备</w:t>
            </w:r>
            <w:r/>
          </w:p>
        </w:tc>
        <w:tc>
          <w:tcPr>
            <w:tcBorders>
              <w:left w:val="single" w:color="auto" w:sz="4" w:space="0"/>
            </w:tcBorders>
            <w:tcW w:w="108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≥H1800*W900*D510mm</w:t>
            </w:r>
            <w:r/>
          </w:p>
        </w:tc>
      </w:tr>
      <w:tr>
        <w:trPr>
          <w:trHeight w:val="454"/>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Cs/>
                <w:sz w:val="20"/>
                <w:szCs w:val="20"/>
                <w:lang w:bidi="ar"/>
              </w:rPr>
              <w:t xml:space="preserve">主体构造</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冷轧钢板</w:t>
            </w:r>
            <w:r/>
          </w:p>
        </w:tc>
      </w:tr>
      <w:tr>
        <w:trPr>
          <w:trHeight w:val="737"/>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壳体全部采用≥1.2mm 的一级冷轧钢板；</w:t>
            </w:r>
            <w:r>
              <w:rPr>
                <w:rFonts w:hint="eastAsia" w:cs="宋体" w:asciiTheme="minorEastAsia" w:hAnsiTheme="minorEastAsia" w:eastAsiaTheme="minorEastAsia"/>
                <w:sz w:val="20"/>
                <w:szCs w:val="20"/>
                <w:lang w:bidi="ar"/>
              </w:rPr>
              <w:br/>
              <w:t xml:space="preserve">底座采用≥2.0mm 的一级冷轧钢板。</w:t>
            </w:r>
            <w:r/>
          </w:p>
        </w:tc>
      </w:tr>
      <w:tr>
        <w:trPr>
          <w:trHeight w:val="89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Cs/>
                <w:sz w:val="20"/>
                <w:szCs w:val="20"/>
                <w:lang w:bidi="ar"/>
              </w:rPr>
              <w:t xml:space="preserve">内胆衬板</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pp（聚丙烯树脂）板</w:t>
            </w:r>
            <w:r/>
          </w:p>
        </w:tc>
      </w:tr>
      <w:tr>
        <w:trPr>
          <w:trHeight w:val="51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层板</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PP聚丙烯树脂</w:t>
            </w:r>
            <w:r/>
          </w:p>
        </w:tc>
      </w:tr>
      <w:tr>
        <w:trPr>
          <w:trHeight w:val="89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样式及数量</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3块瓷白色一体注塑阶梯式，层板底部做网状加强筋，并做包钢处理，内置加强钢管，确保承重不变型，隔板设有10mm的通气孔。</w:t>
            </w:r>
            <w:r/>
          </w:p>
        </w:tc>
      </w:tr>
      <w:tr>
        <w:trPr>
          <w:trHeight w:val="567"/>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通风口</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顶部中间有≥</w:t>
            </w:r>
            <w:r>
              <w:rPr>
                <w:rFonts w:cs="宋体" w:asciiTheme="minorEastAsia" w:hAnsiTheme="minorEastAsia" w:eastAsiaTheme="minorEastAsia"/>
                <w:sz w:val="20"/>
                <w:szCs w:val="20"/>
                <w:lang w:bidi="ar"/>
              </w:rPr>
              <w:t xml:space="preserve">φ</w:t>
            </w:r>
            <w:r>
              <w:rPr>
                <w:rFonts w:hint="eastAsia" w:cs="宋体" w:asciiTheme="minorEastAsia" w:hAnsiTheme="minorEastAsia" w:eastAsiaTheme="minorEastAsia"/>
                <w:sz w:val="20"/>
                <w:szCs w:val="20"/>
                <w:lang w:bidi="ar"/>
              </w:rPr>
              <w:t xml:space="preserve">150mm风口且风口中内置一个AC220V、50H、0.18A轴流风机。</w:t>
            </w:r>
            <w:r/>
          </w:p>
        </w:tc>
      </w:tr>
      <w:tr>
        <w:trPr>
          <w:trHeight w:val="370"/>
        </w:trPr>
        <w:tc>
          <w:tcPr>
            <w:tcBorders>
              <w:top w:val="single" w:color="auto" w:sz="4" w:space="0"/>
            </w:tcBorders>
            <w:tcW w:w="416"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易爆存储设备</w:t>
            </w:r>
            <w:r/>
          </w:p>
        </w:tc>
        <w:tc>
          <w:tcPr>
            <w:tcW w:w="108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铰链</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w:t>
            </w:r>
            <w:r/>
          </w:p>
        </w:tc>
      </w:tr>
      <w:tr>
        <w:trPr>
          <w:trHeight w:val="890"/>
        </w:trPr>
        <w:tc>
          <w:tcPr>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规格（要求）</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钢琴式铰链、能开180度</w:t>
            </w:r>
            <w:r/>
          </w:p>
        </w:tc>
      </w:tr>
      <w:tr>
        <w:trPr>
          <w:trHeight w:val="303"/>
        </w:trPr>
        <w:tc>
          <w:tcPr>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08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锁具</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数量</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双机械锁</w:t>
            </w:r>
            <w:r/>
          </w:p>
        </w:tc>
      </w:tr>
      <w:tr>
        <w:trPr>
          <w:trHeight w:val="303"/>
        </w:trPr>
        <w:tc>
          <w:tcPr>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等级</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B级</w:t>
            </w:r>
            <w:r/>
          </w:p>
        </w:tc>
      </w:tr>
      <w:tr>
        <w:trPr>
          <w:trHeight w:val="597"/>
        </w:trPr>
        <w:tc>
          <w:tcPr>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功能要求</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符合《易制爆危险化学品储存场所治安防范要求》（GA1511-2018）。</w:t>
            </w:r>
            <w:r/>
          </w:p>
        </w:tc>
      </w:tr>
      <w:tr>
        <w:trPr>
          <w:trHeight w:val="890"/>
        </w:trPr>
        <w:tc>
          <w:tcPr>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08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安全要求</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控制器</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顶部配置温湿度控制器，对内部相对温湿度实时监控，数字显示设定和测量值，内部的温湿度如超过设定的测量值即时报警提示。</w:t>
            </w:r>
            <w:r/>
          </w:p>
        </w:tc>
      </w:tr>
      <w:tr>
        <w:trPr>
          <w:trHeight w:val="890"/>
        </w:trPr>
        <w:tc>
          <w:tcPr>
            <w:tcBorders>
              <w:bottom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时控开关</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配有微电脑时控开关，能根据用户设定的时间自动打开和关闭风机，电源开关指示灯指示风机是否正常工作，可自动或手动控制。</w:t>
            </w:r>
            <w:r/>
          </w:p>
        </w:tc>
      </w:tr>
      <w:tr>
        <w:trPr>
          <w:trHeight w:val="454"/>
        </w:trPr>
        <w:tc>
          <w:tcPr>
            <w:tcBorders>
              <w:top w:val="single" w:color="auto" w:sz="4" w:space="0"/>
              <w:left w:val="single" w:color="auto" w:sz="4" w:space="0"/>
              <w:bottom w:val="single" w:color="auto" w:sz="4" w:space="0"/>
              <w:right w:val="single" w:color="auto" w:sz="4" w:space="0"/>
            </w:tcBorders>
            <w:tcW w:w="416"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耐腐蚀品储存设备</w:t>
            </w:r>
            <w:r/>
          </w:p>
        </w:tc>
        <w:tc>
          <w:tcPr>
            <w:tcBorders>
              <w:left w:val="single" w:color="auto" w:sz="4" w:space="0"/>
            </w:tcBorders>
            <w:tcW w:w="1085"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尺寸</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W900*D450*H1800mm</w:t>
            </w:r>
            <w:r/>
          </w:p>
        </w:tc>
      </w:tr>
      <w:tr>
        <w:trPr>
          <w:trHeight w:val="454"/>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bCs/>
                <w:sz w:val="20"/>
                <w:szCs w:val="20"/>
                <w:lang w:bidi="ar"/>
              </w:rPr>
              <w:t xml:space="preserve">主体构造</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优质纯料PP(聚丙烯)板制作，具有耐强酸碱性能</w:t>
            </w:r>
            <w:r/>
          </w:p>
        </w:tc>
      </w:tr>
      <w:tr>
        <w:trPr>
          <w:trHeight w:val="454"/>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厚度</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8.0mm</w:t>
            </w:r>
            <w:r/>
          </w:p>
        </w:tc>
      </w:tr>
      <w:tr>
        <w:trPr>
          <w:trHeight w:val="89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连接部分</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所有的内部连接装置都需隐藏布置和抗腐蚀，没有外露的螺钉，外部连接装置都抗化；</w:t>
            </w:r>
            <w:r>
              <w:rPr>
                <w:rFonts w:hint="eastAsia" w:cs="宋体" w:asciiTheme="minorEastAsia" w:hAnsiTheme="minorEastAsia" w:eastAsiaTheme="minorEastAsia"/>
                <w:sz w:val="20"/>
                <w:szCs w:val="20"/>
                <w:lang w:bidi="ar"/>
              </w:rPr>
              <w:br/>
              <w:t xml:space="preserve">学腐蚀的不锈钢部件与非金属材料。</w:t>
            </w:r>
            <w:r/>
          </w:p>
        </w:tc>
      </w:tr>
      <w:tr>
        <w:trPr>
          <w:trHeight w:val="597"/>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上玻璃门</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5mm厚玻璃</w:t>
            </w:r>
            <w:r/>
          </w:p>
        </w:tc>
      </w:tr>
      <w:tr>
        <w:trPr>
          <w:trHeight w:val="89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下门板材质</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PP板</w:t>
            </w:r>
            <w:r/>
          </w:p>
        </w:tc>
      </w:tr>
      <w:tr>
        <w:trPr>
          <w:trHeight w:val="89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restart"/>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配件</w:t>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合页、碰珠、螺丝</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均采用PP材质耐强酸、强碱等良好性能，柜门开启角度180度。</w:t>
            </w:r>
            <w:r/>
          </w:p>
        </w:tc>
      </w:tr>
      <w:tr>
        <w:trPr>
          <w:trHeight w:val="510"/>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left w:val="single" w:color="auto" w:sz="4" w:space="0"/>
            </w:tcBorders>
            <w:tcW w:w="1085" w:type="dxa"/>
            <w:vAlign w:val="center"/>
            <w:vMerge w:val="continue"/>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W w:w="1701" w:type="dxa"/>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拉手</w:t>
            </w:r>
            <w:r/>
          </w:p>
        </w:tc>
        <w:tc>
          <w:tcPr>
            <w:tcW w:w="7371" w:type="dxa"/>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材料PP板制作成型，拉手为U型麻面</w:t>
            </w:r>
            <w:r/>
          </w:p>
        </w:tc>
      </w:tr>
      <w:tr>
        <w:trPr>
          <w:trHeight w:val="900"/>
        </w:trPr>
        <w:tc>
          <w:tcPr>
            <w:gridSpan w:val="3"/>
            <w:tcW w:w="3202" w:type="dxa"/>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整体概述</w:t>
            </w:r>
            <w:r/>
          </w:p>
        </w:tc>
        <w:tc>
          <w:tcPr>
            <w:tcW w:w="7371" w:type="dxa"/>
            <w:vAlign w:val="center"/>
            <w:textDirection w:val="lrTb"/>
            <w:noWrap w:val="false"/>
          </w:tcPr>
          <w:p>
            <w:pPr>
              <w:jc w:val="left"/>
              <w:rPr>
                <w:rFonts w:hint="eastAsia" w:cs="宋体" w:asciiTheme="minorEastAsia" w:hAnsiTheme="minorEastAsia" w:eastAsiaTheme="minorEastAsia"/>
                <w:sz w:val="22"/>
              </w:rPr>
            </w:pPr>
            <w:r>
              <w:rPr>
                <w:rFonts w:hint="eastAsia" w:cs="宋体" w:asciiTheme="minorEastAsia" w:hAnsiTheme="minorEastAsia" w:eastAsiaTheme="minorEastAsia"/>
                <w:sz w:val="20"/>
                <w:szCs w:val="20"/>
                <w:lang w:bidi="ar"/>
              </w:rPr>
              <w:t xml:space="preserve">危化品分类存储，具有通风功能，满足危化品管理相关要求。</w:t>
            </w:r>
            <w:r>
              <w:rPr>
                <w:rFonts w:hint="eastAsia" w:cs="宋体" w:asciiTheme="minorEastAsia" w:hAnsiTheme="minorEastAsia" w:eastAsiaTheme="minorEastAsia"/>
                <w:sz w:val="20"/>
                <w:szCs w:val="20"/>
                <w:lang w:bidi="ar"/>
              </w:rPr>
              <w:br/>
              <w:t xml:space="preserve">存放易制爆、易燃品、腐蚀品试剂。</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sectPr>
          <w:footnotePr/>
          <w:endnotePr/>
          <w:type w:val="nextPage"/>
          <w:pgSz w:w="11906" w:h="16838" w:orient="portrait"/>
          <w:pgMar w:top="720" w:right="720" w:bottom="720" w:left="720" w:header="851" w:footer="992" w:gutter="0"/>
          <w:cols w:num="1" w:sep="0" w:space="425" w:equalWidth="1"/>
          <w:docGrid w:linePitch="360"/>
        </w:sectPr>
      </w:pPr>
      <w:r>
        <w:rPr>
          <w:rFonts w:hint="eastAsia" w:cs="宋体" w:asciiTheme="minorEastAsia" w:hAnsiTheme="minorEastAsia" w:eastAsiaTheme="minorEastAsia"/>
        </w:rPr>
      </w:r>
      <w:r/>
    </w:p>
    <w:p>
      <w:pPr>
        <w:rPr>
          <w:rFonts w:hint="eastAsia" w:cs="宋体" w:asciiTheme="minorEastAsia" w:hAnsiTheme="minorEastAsia" w:eastAsiaTheme="minorEastAsia"/>
          <w:sz w:val="32"/>
        </w:rPr>
      </w:pPr>
      <w:r>
        <w:rPr>
          <w:rFonts w:hint="eastAsia" w:cs="宋体" w:asciiTheme="minorEastAsia" w:hAnsiTheme="minorEastAsia" w:eastAsiaTheme="minorEastAsia"/>
          <w:b/>
          <w:bCs/>
          <w:sz w:val="28"/>
          <w:szCs w:val="20"/>
          <w:lang w:bidi="ar"/>
        </w:rPr>
        <w:t xml:space="preserve">高中化学教学仪器配备</w:t>
      </w:r>
      <w:r/>
    </w:p>
    <w:tbl>
      <w:tblPr>
        <w:tblW w:w="0" w:type="auto"/>
        <w:tblLook w:val="0000" w:firstRow="0" w:lastRow="0" w:firstColumn="0" w:lastColumn="0" w:noHBand="0" w:noVBand="0"/>
      </w:tblPr>
      <w:tblGrid>
        <w:gridCol w:w="543"/>
        <w:gridCol w:w="2616"/>
        <w:gridCol w:w="9854"/>
        <w:gridCol w:w="617"/>
        <w:gridCol w:w="544"/>
      </w:tblGrid>
      <w:tr>
        <w:trPr>
          <w:trHeight w:val="559"/>
          <w:tblHeader/>
        </w:trPr>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序号</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产品名称</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技术参数</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单位</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钢制黑板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900mm×600mm，双面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打孔器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四件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打孔夹板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产品长不小于175mm，宽不小于40mm。2、上、下夹板应由脱脂干燥处理过的优质木材制成，表面平整。3、上夹板应备有直径为6mm，8mm，10mm，12mm直穿孔4个。4、紧固螺钉与下夹板紧固为一体，不得松动；紧固螺钉长度不小于80mm。上夹板上下高度可调，由蝴蝶螺母定位。5、上夹板、下夹板厚度不小于11mm，具有足够强度，正常情况下使用不得断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打孔器刮刀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1．本产品由壳体及油石组成。2．壳体钢材制。壳体在磨刀时应夹紧打孔器，且打孔器正好与油石靠牢。3．油石为白刚玉料。4．打孔器刮刀装配牢固，无松动现象。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手摇钻孔器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组成：仪器由旋转立柱、夹持固定装置、四个不同直径刀头及捅条组成；2、螺旋立柱应能通过手轮的转动向安装后的刀头稳定加压打孔；3、四支刀口外径分别为Φ12mm，Φ10mm，Φ8mm，Φ6mm，捅条直径不小于Φ4mm，刀口锋利，无卷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电动钻孔器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220V\50Hz,(手枪钻），可夹持钻头0.5mm-10mm。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仪器车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至少两层，上层带护栏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0r/min～3000r/min，10mL×6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离心沉淀器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手摇式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主机1台、搅拌子1只、电源线1根、镀铬立杆1根、镀铬十字节1只、橡胶夹头1只、胶大紧固螺钉2只；2、仪器使用电源：220V±10%，50Hz，整机功率：175W。其中电动功率25W;加热功率150W；3、调速：连续可调，调速范围0-2000转/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金属酒精灯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材质：不锈钢；容量：200mL。产品由酒精灯壶、灯芯柱、灭火盖组成。外形尺寸：直径85mm，高约95mm。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酒精喷灯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座式，铜制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电加热器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密封式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蒸馏水器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采用不锈钢制作精细，卫生；2、采用三线电源接地保护，安全可靠。使用电源：交流220V，50Hz。功率：3KW；3、外形尺寸：290×200×575mm；4、蒸馏水器由蒸发锅、冷凝器、电器装置三部分等组成。蒸发锅由不锈钢薄板制成，锅上有溢水口，顶盖中央有挡水帽，左侧有放水栓塞；冷凝器：由不锈钢薄板制成，结构为可拆式；加热部分：几只浸入式加热管装于蒸发锅内的底部。5、规格：出水量3升/小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蒸馏水器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采用不锈钢制作精细，卫生；2、采用三线电源接地保护，安全可靠。使用电源：交流220V，50Hz。功率：4.5KW；3、外形尺寸：350×250×700mm；4、蒸馏水器由蒸发锅、冷凝器、电器装置三部分等组成。蒸发锅由不锈钢薄板制成，锅上有溢水口，顶盖中央有挡水帽，左侧有放水栓塞；冷凝器：由不锈钢薄板制成，结构为可拆式；加热部分：几只浸入式加热管装于蒸发锅内的底部。5、规格：出水量5升/小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列管式烘干器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1、产品为列管烘干型式；外壳为不锈钢；列管为金属制，管上有直径3mm的孔12个，顶端为塑料帽，管长约170mm 2、电热部分应与外壳及经常接触部位进行安全隔离； 3、被干燥仪器每批均在11件；结构简单的仪器每批干燥时间约为30分钟；4、工作电压：220V，电机功率：20W，发热功率：260W。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烘干箱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温度控制器、电加热器及箱箱等组成。1.箱体为全金属制，外形尺寸：390mm×425mm×540mm，工作室尺寸：310mm×350mm×310mm，中间镀锌隔板一块。2.电源：220V，50Hz。额定功率：900W。工作温度范围：40℃～200℃。设定误差：±1.5%。3.温控电路及仪表设计在箱体的下方，自然对流通风式结构，设有观察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水浴锅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铜制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保温漏斗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铜制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试剂瓶托盘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1、本盘平时放于药品柜中，尺寸约300mm×200mm×55mm，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木制  可固定试管、试剂瓶等仪器，底部有抽屉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塑料水槽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250mm×180mm×100mm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碘升华凝华管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密封式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聚光小手电筒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中号：手提为可充电式。塑料外壳。前灯一个为圆形，直径55mm；侧灯12个为长方形，尺寸：60mm×20mm。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方座支架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由矩形底座、立杆、烧瓶夹、大小铁环、垂直夹（2只）、平行夹等组成。2．底座尺寸为210×135mm，立杆直径为Φ12mm，一端有M10×18mm螺纹，底座和立杆表面应作防锈处理。3．底座放置平稳，无明显晃动现象，支承夹持可靠。4．立杆与方座组装后应垂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万能夹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1、上下夹口应转动自如、灵活，最大开口不小于40mm，夹杆Φ7mm，下面夹口应分别配套有4个胶管。</w:t>
            </w:r>
            <w:r>
              <w:rPr>
                <w:rFonts w:hint="eastAsia" w:cs="宋体" w:asciiTheme="minorEastAsia" w:hAnsiTheme="minorEastAsia" w:eastAsiaTheme="minorEastAsia"/>
                <w:sz w:val="20"/>
                <w:szCs w:val="20"/>
                <w:lang w:bidi="ar"/>
              </w:rPr>
              <w:br/>
              <w:t xml:space="preserve">2、成型美观，表面无锈蚀，无损伤，应有可靠的强度和夹持能力。</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三脚架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1．由铁环和3只脚组成。2．铁环内径：73mm ，外径：90mm，厚度4mm。3．三只脚与铁环焊接紧固，脚距相等，立放台上时圆环应与台面平行，所支承的容器不得有滑动。脚高：155mm，直径6mm。4.三脚架须经烤漆防锈处理，漆层均匀、牢固。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9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泥三角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 产品由金属丝和套在其上的石棉筒组成。2． 金属丝用Φ1mm左右的钢丝接成等边三角形，三角形的单边长不小于50mm，钢丝接头绞合，绞合长度不小于20㎜。3． 石棉筒内径为Φ4mm，外径为Φ10mm。4． 石棉筒应不裂、不缺、坚固、圆滑。5． 金属丝应作防锈处理。6． 整体应平整、美观。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7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1、试管架为组装式，由底板1块、立杆4支、挡板1块组成。</w:t>
            </w:r>
            <w:r>
              <w:rPr>
                <w:rFonts w:hint="eastAsia" w:cs="宋体" w:asciiTheme="minorEastAsia" w:hAnsiTheme="minorEastAsia" w:eastAsiaTheme="minorEastAsia"/>
                <w:sz w:val="20"/>
                <w:szCs w:val="20"/>
                <w:lang w:bidi="ar"/>
              </w:rPr>
              <w:br/>
              <w:t xml:space="preserve">2、试管架用工程PP塑料制作，防腐性好。</w:t>
            </w:r>
            <w:r>
              <w:rPr>
                <w:rFonts w:hint="eastAsia" w:cs="宋体" w:asciiTheme="minorEastAsia" w:hAnsiTheme="minorEastAsia" w:eastAsiaTheme="minorEastAsia"/>
                <w:sz w:val="20"/>
                <w:szCs w:val="20"/>
                <w:lang w:bidi="ar"/>
              </w:rPr>
              <w:br/>
              <w:t xml:space="preserve">3、底座正面应有8个凹孔，8个凸柱。4角有4个固定立杆孔，外形尺寸不小于245X145X14mm，摆放平稳。</w:t>
            </w:r>
            <w:r>
              <w:rPr>
                <w:rFonts w:hint="eastAsia" w:cs="宋体" w:asciiTheme="minorEastAsia" w:hAnsiTheme="minorEastAsia" w:eastAsiaTheme="minorEastAsia"/>
                <w:sz w:val="20"/>
                <w:szCs w:val="20"/>
                <w:lang w:bidi="ar"/>
              </w:rPr>
              <w:br/>
              <w:t xml:space="preserve">4、立杆用优质PP材料制作，直径不小于14mm，有效高度不小于68mm，一端插入底座，另一端插入挡板应结实坚固，无歪扭现象。</w:t>
            </w:r>
            <w:r>
              <w:rPr>
                <w:rFonts w:hint="eastAsia" w:cs="宋体" w:asciiTheme="minorEastAsia" w:hAnsiTheme="minorEastAsia" w:eastAsiaTheme="minorEastAsia"/>
                <w:sz w:val="20"/>
                <w:szCs w:val="20"/>
                <w:lang w:bidi="ar"/>
              </w:rPr>
              <w:br/>
              <w:t xml:space="preserve">5、挡板用优质PP材料制作，规格尺寸不小于245X145X8mm，正面有16个直径不小于34mm的孔。</w:t>
            </w:r>
            <w:r>
              <w:rPr>
                <w:rFonts w:hint="eastAsia" w:cs="宋体" w:asciiTheme="minorEastAsia" w:hAnsiTheme="minorEastAsia" w:eastAsiaTheme="minorEastAsia"/>
                <w:sz w:val="20"/>
                <w:szCs w:val="20"/>
                <w:lang w:bidi="ar"/>
              </w:rPr>
              <w:br/>
              <w:t xml:space="preserve">6、组装后的试管架应能放置8支试管和可晾干8支试管。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漏斗架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全木制。1、漏斗架由漏斗板、支杆及底座三部分组成；2、漏斗板表面上有二个锥形孔。3、支杆为Φ15×230mm。4、底座为长方形：250mm×60mm×25mm，底座放置平稳；5、立杆与底座组装后应垂直，漏斗板组装后与立杆垂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滴定台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1、底座台面为大理石面，尺寸为300×150×18mm；2、立柱由Φ10mm圆钢制成，表面镀铬，置于工作台面上与台面垂直不大于5°；3、底座四脚有橡胶垫脚，放置平衡不晃动。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4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滴定夹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1、滴定夹产品为组装式，由固定块、固定螺钉、可调滑块、活动夹、弹簧组成。</w:t>
            </w:r>
            <w:r>
              <w:rPr>
                <w:rFonts w:hint="eastAsia" w:cs="宋体" w:asciiTheme="minorEastAsia" w:hAnsiTheme="minorEastAsia" w:eastAsiaTheme="minorEastAsia"/>
                <w:sz w:val="20"/>
                <w:szCs w:val="20"/>
                <w:lang w:bidi="ar"/>
              </w:rPr>
              <w:br/>
              <w:t xml:space="preserve">2、滴定夹用铝合金材料制作，表面作磨砂处理。</w:t>
            </w:r>
            <w:r>
              <w:rPr>
                <w:rFonts w:hint="eastAsia" w:cs="宋体" w:asciiTheme="minorEastAsia" w:hAnsiTheme="minorEastAsia" w:eastAsiaTheme="minorEastAsia"/>
                <w:sz w:val="20"/>
                <w:szCs w:val="20"/>
                <w:lang w:bidi="ar"/>
              </w:rPr>
              <w:br/>
              <w:t xml:space="preserve">3、固定块外形尺寸不小于90*30*38mm上面有直径13mm的凸出点，中间M6的螺纹孔，下面有V形固定凹槽。</w:t>
            </w:r>
            <w:r>
              <w:rPr>
                <w:rFonts w:hint="eastAsia" w:cs="宋体" w:asciiTheme="minorEastAsia" w:hAnsiTheme="minorEastAsia" w:eastAsiaTheme="minorEastAsia"/>
                <w:sz w:val="20"/>
                <w:szCs w:val="20"/>
                <w:lang w:bidi="ar"/>
              </w:rPr>
              <w:br/>
              <w:t xml:space="preserve">4、固定螺钉采用不锈钢材质，规格直径6*35mm，顶端手拧部位采用ABS工程塑料制作，手持部位尺寸不小于28*14*8mm，拧入固定块螺纹孔后，应结实坚固，无歪扭现象，上下拧动自如。</w:t>
            </w:r>
            <w:r>
              <w:rPr>
                <w:rFonts w:hint="eastAsia" w:cs="宋体" w:asciiTheme="minorEastAsia" w:hAnsiTheme="minorEastAsia" w:eastAsiaTheme="minorEastAsia"/>
                <w:sz w:val="20"/>
                <w:szCs w:val="20"/>
                <w:lang w:bidi="ar"/>
              </w:rPr>
              <w:br/>
              <w:t xml:space="preserve">5、可调滑块采用铝合金材料制作，规格不小于55*115*8mm，左右夹点高度不小于15mm。</w:t>
            </w:r>
            <w:r>
              <w:rPr>
                <w:rFonts w:hint="eastAsia" w:cs="宋体" w:asciiTheme="minorEastAsia" w:hAnsiTheme="minorEastAsia" w:eastAsiaTheme="minorEastAsia"/>
                <w:sz w:val="20"/>
                <w:szCs w:val="20"/>
                <w:lang w:bidi="ar"/>
              </w:rPr>
              <w:br/>
              <w:t xml:space="preserve">6、活动夹用铝合金制作，雌性和雄性各二个，雌性尺寸不小于95*22*12mm，夹点高度不小于15mm，雄性尺寸不小于95*20*8mm，夹点高度不小于15mm。</w:t>
            </w:r>
            <w:r>
              <w:rPr>
                <w:rFonts w:hint="eastAsia" w:cs="宋体" w:asciiTheme="minorEastAsia" w:hAnsiTheme="minorEastAsia" w:eastAsiaTheme="minorEastAsia"/>
                <w:sz w:val="20"/>
                <w:szCs w:val="20"/>
                <w:lang w:bidi="ar"/>
              </w:rPr>
              <w:br/>
              <w:t xml:space="preserve">7、弹簧采用优质钢丝制作，规格不小于直径14*6mm，钢丝直径不小于1mm。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多用滴管架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与塑料多用滴管配套使用。2、外形尺寸：滴管架分上下两层，每层10个插孔，孔径15mm，每层孔板的正下方有对应的穴板，穴内承接滴管的吸泡，可使滴管站直站牢。孔板、穴板和两侧的撑架都可拆卸和安装。3.外形尺寸：215mm×55mm×55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移液管架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产品采用厚度不小于3mm的优质透明塑料板材成型，可同时搁置8支移液器。产品外形尺寸约220×110×205mm。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比色管架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6孔,直径17mm。塑料制,尺寸：177×40×93mm，由上下二排管架组成。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组合式支架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产品由支座2个、滑道2根、滑块6个、金属杆3根、万向夹、烧瓶夹、铁环、托盘、吊钩、绝缘杆及定滑轮组成。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交流：2V～16V/3A，每2V一档    直流稳压：2V～16V/2A，每2V一档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高中教学电源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交流：2V～24V，每2V一档，2V～6V/12A，8V～12V/6A，14V～24V/3A；                  直流稳压：1V～25V分档连续可调，2V～6V/6A，8V～12V/4A，14V～24V/2A；            40A、8s自动关断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100g，0.1g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500g，0.5g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100g，0.1g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200g，0.001g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400g，0.1g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电子停表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0.1s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红液，0℃～100℃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水银，0℃～360℃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数字测温计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测量范围-30℃～+200℃，测量各种气体、液体等化学介质温度。可用于各类化学试验中的温度测量及其它学科中的温度测量。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直流电流表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2.5级，0.6A，3A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灵敏电流计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±300μA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指针式，不低于2.5级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密度计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密度＞1 g/cm3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密度计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密度＜1 g/cm3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酸度计(pH计)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测量范围：pH 0～14，分辨率：0.1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原电池实验器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1、供中学化学课学生分组进行原电池实验用。2、产品由容器、电极板（铜板、锌板、铝板）、电极卡、容器盖、接线柱组成。3、容器由透明塑料制成，内腔尺寸：60mm×30mm×75mm。4.电极板尺寸：60mm×15mm×1mm。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9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储气装置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出水管、贮水室、导气阀、贮气室、底座、乳胶管等组成。1.贮气装置用优质透明塑料和ABS工程塑料注塑成型、表面清晰、无划痕、气泡、飞边等现象。3、贮气装置外形尺寸：直径160mm,高200mm。表面标有刻度线，最小刻度200mL，容量3000mL。4、各焊接部位牢固、密封、无漏气现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高中微型化学实验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含微型蒸馏回馏装置，试剂用量较常规实验省90%。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4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溶液导电演示器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1、溶液导电演示器主要由以下配件组成：</w:t>
            </w:r>
            <w:r>
              <w:rPr>
                <w:rFonts w:hint="eastAsia" w:cs="宋体" w:asciiTheme="minorEastAsia" w:hAnsiTheme="minorEastAsia" w:eastAsiaTheme="minorEastAsia"/>
                <w:sz w:val="20"/>
                <w:szCs w:val="20"/>
                <w:lang w:bidi="ar"/>
              </w:rPr>
              <w:br/>
              <w:t xml:space="preserve">   1.2示教板  1套；</w:t>
            </w:r>
            <w:r>
              <w:rPr>
                <w:rFonts w:hint="eastAsia" w:cs="宋体" w:asciiTheme="minorEastAsia" w:hAnsiTheme="minorEastAsia" w:eastAsiaTheme="minorEastAsia"/>
                <w:sz w:val="20"/>
                <w:szCs w:val="20"/>
                <w:lang w:bidi="ar"/>
              </w:rPr>
              <w:br/>
              <w:t xml:space="preserve">   1.3支撑脚  2个；</w:t>
            </w:r>
            <w:r>
              <w:rPr>
                <w:rFonts w:hint="eastAsia" w:cs="宋体" w:asciiTheme="minorEastAsia" w:hAnsiTheme="minorEastAsia" w:eastAsiaTheme="minorEastAsia"/>
                <w:sz w:val="20"/>
                <w:szCs w:val="20"/>
                <w:lang w:bidi="ar"/>
              </w:rPr>
              <w:br/>
              <w:t xml:space="preserve">   1.4溶液槽  5个；</w:t>
            </w:r>
            <w:r>
              <w:rPr>
                <w:rFonts w:hint="eastAsia" w:cs="宋体" w:asciiTheme="minorEastAsia" w:hAnsiTheme="minorEastAsia" w:eastAsiaTheme="minorEastAsia"/>
                <w:sz w:val="20"/>
                <w:szCs w:val="20"/>
                <w:lang w:bidi="ar"/>
              </w:rPr>
              <w:br/>
              <w:t xml:space="preserve">2、演示器为电表式，工作电压DC6V。</w:t>
            </w:r>
            <w:r>
              <w:rPr>
                <w:rFonts w:hint="eastAsia" w:cs="宋体" w:asciiTheme="minorEastAsia" w:hAnsiTheme="minorEastAsia" w:eastAsiaTheme="minorEastAsia"/>
                <w:sz w:val="20"/>
                <w:szCs w:val="20"/>
                <w:lang w:bidi="ar"/>
              </w:rPr>
              <w:br/>
              <w:t xml:space="preserve">3、示教板采用优质工程塑料ABS制作，规格尺寸不小于295X255X25mm。</w:t>
            </w:r>
            <w:r>
              <w:rPr>
                <w:rFonts w:hint="eastAsia" w:cs="宋体" w:asciiTheme="minorEastAsia" w:hAnsiTheme="minorEastAsia" w:eastAsiaTheme="minorEastAsia"/>
                <w:sz w:val="20"/>
                <w:szCs w:val="20"/>
                <w:lang w:bidi="ar"/>
              </w:rPr>
              <w:br/>
              <w:t xml:space="preserve">   3.1示教左上方应安装调校开关，中间安装电表显示屏，右上方安装档位开关。</w:t>
            </w:r>
            <w:r>
              <w:rPr>
                <w:rFonts w:hint="eastAsia" w:cs="宋体" w:asciiTheme="minorEastAsia" w:hAnsiTheme="minorEastAsia" w:eastAsiaTheme="minorEastAsia"/>
                <w:sz w:val="20"/>
                <w:szCs w:val="20"/>
                <w:lang w:bidi="ar"/>
              </w:rPr>
              <w:br/>
              <w:t xml:space="preserve">   3.3.2调校开关应有高、低标注；电表应有电压和电流显示；档位开关应有1~7档标注。</w:t>
            </w:r>
            <w:r>
              <w:rPr>
                <w:rFonts w:hint="eastAsia" w:cs="宋体" w:asciiTheme="minorEastAsia" w:hAnsiTheme="minorEastAsia" w:eastAsiaTheme="minorEastAsia"/>
                <w:sz w:val="20"/>
                <w:szCs w:val="20"/>
                <w:lang w:bidi="ar"/>
              </w:rPr>
              <w:br/>
              <w:t xml:space="preserve">   3.3.3示教板中间装有5组插线装置和5组LED指示灯，右中间安装电流插孔，插线装置应1~5标注，电流插孔应有正、负极标注。</w:t>
            </w:r>
            <w:r>
              <w:rPr>
                <w:rFonts w:hint="eastAsia" w:cs="宋体" w:asciiTheme="minorEastAsia" w:hAnsiTheme="minorEastAsia" w:eastAsiaTheme="minorEastAsia"/>
                <w:sz w:val="20"/>
                <w:szCs w:val="20"/>
                <w:lang w:bidi="ar"/>
              </w:rPr>
              <w:br/>
              <w:t xml:space="preserve">   3.3.4示教板两侧开有飞机孔、便于支撑脚安装。</w:t>
            </w:r>
            <w:r>
              <w:rPr>
                <w:rFonts w:hint="eastAsia" w:cs="宋体" w:asciiTheme="minorEastAsia" w:hAnsiTheme="minorEastAsia" w:eastAsiaTheme="minorEastAsia"/>
                <w:sz w:val="20"/>
                <w:szCs w:val="20"/>
                <w:lang w:bidi="ar"/>
              </w:rPr>
              <w:br/>
              <w:t xml:space="preserve">4、支撑脚采用ABS工程塑料制作，有效尺寸不小于115X13X120mm。</w:t>
            </w:r>
            <w:r>
              <w:rPr>
                <w:rFonts w:hint="eastAsia" w:cs="宋体" w:asciiTheme="minorEastAsia" w:hAnsiTheme="minorEastAsia" w:eastAsiaTheme="minorEastAsia"/>
                <w:sz w:val="20"/>
                <w:szCs w:val="20"/>
                <w:lang w:bidi="ar"/>
              </w:rPr>
              <w:br/>
              <w:t xml:space="preserve">   4.1抱住示教板往上推到位后，应摆放平稳，无摇摆现象。</w:t>
            </w:r>
            <w:r>
              <w:rPr>
                <w:rFonts w:hint="eastAsia" w:cs="宋体" w:asciiTheme="minorEastAsia" w:hAnsiTheme="minorEastAsia" w:eastAsiaTheme="minorEastAsia"/>
                <w:sz w:val="20"/>
                <w:szCs w:val="20"/>
                <w:lang w:bidi="ar"/>
              </w:rPr>
              <w:br/>
              <w:t xml:space="preserve">5、溶液槽采用透明塑料制作，规格不小于57X36X61mm，容量不小于60ml。采用石墨电极通电，通电线应有鱼叉接口，通电线长度不小于250mm。</w:t>
            </w:r>
            <w:r>
              <w:rPr>
                <w:rFonts w:hint="eastAsia" w:cs="宋体" w:asciiTheme="minorEastAsia" w:hAnsiTheme="minorEastAsia" w:eastAsiaTheme="minorEastAsia"/>
                <w:sz w:val="20"/>
                <w:szCs w:val="20"/>
                <w:lang w:bidi="ar"/>
              </w:rPr>
              <w:br/>
              <w:t xml:space="preserve">6、电源连接线一端配有鱼叉，一端配有香蕉插，长度不小于400mm。</w:t>
            </w:r>
            <w:r>
              <w:rPr>
                <w:rFonts w:hint="eastAsia" w:cs="宋体" w:asciiTheme="minorEastAsia" w:hAnsiTheme="minorEastAsia" w:eastAsiaTheme="minorEastAsia"/>
                <w:sz w:val="20"/>
                <w:szCs w:val="20"/>
                <w:lang w:bidi="ar"/>
              </w:rPr>
              <w:br/>
              <w:t xml:space="preserve">7、组装后的溶液导电演示器应摆放平稳，通电后按教学要求演示，性能稳定、效果好、正确。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微型溶液导电实验器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笔式：由壳体、电极、5个红色发光管、开关、调节器等组成。1.壳体为塑料注塑成型，尺寸：120mm×35mm×17mm。2.电极为不锈钢材料制，直径2mm、长50mm。3.盒体内装2节5号电池。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中和热测定仪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产品由外筒、内筒、隔离泡沫、搅拌器、温度计及上盖组成。1.外筒为塑料制，直径98mm、高98mm。2.内筒为铝制，直径60mm，深73mm。3.搅拌器为直径2mm的铝丝绕制而成，附手柄套。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化学实验废液处理装置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验教学和废水处理兼用，单搅拌，每次处理的废水总量约12L。1.仪器由主机（含搅拌机）、400ml试剂瓶4个、洗瓶、专用电源、水管、活性炭包、刷子、滤纸、滤纸夹4个、防护手套、药匙等组成。2.电脑板控制速度，速度分为1-9数显。3.外形尺寸不小于365mm×370mm×550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气体实验微型装置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以微型玻璃仪器为主,能完成氧气、氢气、二氧化碳、一氧化碳、氯气、氨气、二氧化硫、硫化氢、一氧化氮、二氧化氮等十几种气体的制备和性质实验,反应容器一般不超过30mL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氢燃料电池演示器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两个质子交换膜电极，膜电极不小于33mm×33mm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氢燃料电池实验器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一个质子交换膜电极，膜电极不小于15mm×15mm，带电流、电压表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电解槽演示器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离子交换膜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离子交换柱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含玻璃纤维和离子交换树脂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电泳演示器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用于中学化学演示胶体的电泳现象，认识形成电泳的原因；仪器外形结构由底座电源装置，U形管、电极插座和开关等组成。1.主要技术参数：输入电压：AC12V；输出电压大于120V；输出电流80mA。2.U型管直径约18mm。3.底座为塑料制，尺寸：150mm×110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丁达尔现象实验器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1、由盒体，电池盒，集光电珠，方形试管等组成。2、盒体呈长方形，装有集光电珠的电池盒可以沿盒槽上下移动。3、通过盒体前端的观察窗，就能看见胶体的丁达尔现象。盒体外形尺寸：95mm×65mm×65mm。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二氧化氮球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玻璃制品。1.双球，成U型，内封NO2和N2O4。2.球体直径约28mm。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渗析实验器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利用本仪器可以达到分离、提纯某些物资。产品由不锈钢提把和一个由五个面构成的容器，仪器的二个面覆盖有一个圆形半透膜，以达到与溶液最大的接触效果。容器内尺寸：58mm×58mm×65mm。圆形半透膜直径37mm。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放电反应实验仪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通电两分钟之内即有氮气与氧气反应的现象，消耗功率不大于30W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光化学实验演示器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结构：由底座、闪光装置、安全防护罩、手控按钮、开关、指示灯、试管3支及滴管等组成。能做氢、氯混合气体闪光引爆实验，溴化银感光分解实验，甲烷氯气混合气体取代反应闪光爆鸣实验。底座外形尺寸：175mm×95mm×140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化学实验演示平台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带摄像头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炼铁高炉模型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产品为炼铁高炉缩小模型，能反映内部结构。2.它主要由炉喉、炉身、炉腹、炉缸等五个部分组成。3.有两个进口（进料口和进风口），三个出口（出铁口、出渣口和高炉煤气出口）。4.外形尺寸带底座：175mm×175mm×600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为球棍式，演示用，全塑料注塑成型。2．碳原子为黑色，直径22mm；四孔50个、五孔48个。3.氢原子为白色，直径15mm，共40个。4.氧原子为红色，直径22mm；二孔4个。5.氮原子为天蓝色，直径22mm，三孔7个。6.硫原子为黄色，直径22mm，六孔1个。7.氯原子草绿，直径22mm，一孔2个，六孔13个。8.钠原子为银灰，直径22mm，六孔14个。9.中键长约27mm：灰色100根、紫色75根；长键长约43mm，灰色40根、紫色30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r>
      <w:tr>
        <w:trPr>
          <w:trHeight w:val="96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分组用，可搭出各种版本新化学课本中所要求的无机分子和有机分子的模型40余种，球与棍应采用新型材料，结构元件：碳（黑色）、氧（红色）、氯（绿色）、氮（蓝色）、硫（黄色）、磷（紫色）、氢（白色）、金属（银灰色）、单键（银灰色）、单离子键（紫色）、双、三键（银灰色）、双离子键（紫色）等。防水纸盒外包装,规格：190×110×50mm，球Φ23mm，球棍组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金刚石结构模型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全塑料制，演示用。1.由Φ30mm的碳原子34个、连接键44根组成。2.碳原子为黑色，四孔；键为灰色，直径4mm，长42mm。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石墨结构模型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全塑料制，演示用。1.由Φ30mm的碳原子39个、中键45根、长键14根组成。2.碳原子为黑色，五孔；中键为白色、长键为灰色。中键直径4mm，长42mm。长键直径5mm，长61mm。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碳-60结构模型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全塑料制，演示用。1.由Φ30mm的碳原子60个、单中键60根、双中键30根组成。2.碳原子为黑色，三孔；单中键为灰色、双中键为紫色。键直径4mm，长42mm。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氯化钠晶体结构模型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全塑料制，演示用。1.由Φ30mm的氯原子13个、钠原子14个、长键54根组成。2.氯原子为绿色、钠原子为灰色。键直径5mm，长60mm。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碳的同素异形体结构模型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学生用，小型。1.可组装成金钢石、石墨、碳60三种结构模型。2.球体直径8mm，为黑色。3.连接管均为透明塑料管，管长约22mm，管孔与球体键配合适宜。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氯化铯晶体结构模型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产品由氯原子1个，直径约30mm（8孔）绿色球；铯原子8个直径约30mm（4孔）红色球；长键12根，长约110mm;短键8根，长约90mm；连接键由金属制成，表面电镀处理。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二氧化碳晶体结构模型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产品由碳原子14个（6孔6个和8孔8个）黑色球，直径约30mm；氧原子28个，蓝色球，直径约30mm；短键14根，长60mm,；中键24根，长90mm；长键12根，长130mm;连接键由金属制成，表面电镀处理。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二氧化硅晶体结构模型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全塑料制。产品由硅原子15个，直径约30mm，4孔红色球；氧原子16个，直径约22mm，2孔白色球；中键32根，紫色。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金属晶体结构模型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全塑料制。产品由面心立方堆积和面心立方晶胞构成。1.面心立方堆积由红色球20个，直径约30mm，短键18根，中键1根。2.面心立方晶胞由红色球14个，直径约30mm，中键12根，奶白，长键12根，金属电镀。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电子云杂化轨道模型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模型包括：S电子云及SP、SP2、SP3、Px、Py、Pz杂化轨道模型，共7件一套。模型的球体由聚乙烯塑料吸塑，连接杆由直径4mm铝棒制，底座为塑料注塑成型，直径100mm，高60mm。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气体摩尔体积模型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模型采用拆装式，由1气体摩尔体积正方体组成，1气体摩尔体积正方体规格为282×282×282mm，厚度为2mm的透明有机玻璃构成，再用专门设计的透明塑料角联结。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沸腾焙烧炉模型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化学教学模型，供中学化学讲解沸腾焙烧过程用，模型整体采用玻璃钢材质。结构：由外筒,炉膛,进出气口等组成。规格不小于：直径180mm、高500mm。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硫酸接触室模型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化学教学模型，供中学化学讲解硫酸接触过程用。玻璃钢材质，由气体进气口,热交接器,架板,花板组成。规格：不小于170×450mm。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氨合成塔模型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化学教学模型，供中学化学讲解氨合成过程用。玻璃钢材质，外筒.内件和电加热器组成。规格;不小于Φ170mm、高670mm。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炼钢转炉模型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化学教学模型，供中学化学讲解炼钢过程用。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金属矿物、金属及合金标本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各类不少于5种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原油常见馏分标本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不少于8种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不少于10种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氧化铝陶瓷、氮化硅陶瓷、光导纤维等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复合材料标本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不少于5种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元素周期表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有外围电子层排布，带轴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元素周期表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有外围电子层排布，不带轴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酸式，25mL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酸式，50mL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碱式，25mL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碱式，50mL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滴定管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聚四氟乙烯活塞，50mL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φ12mm×70mm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φ15mm×150mm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φ18mm×180mm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φ20mm×200mm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φ32mm×200mm，硬质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φ40mm×200mm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φ18mm×180mm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φ20mm×200mm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φ15mm×150mm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φ20mm×250mm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φ25mm×300mm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Y形试管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圆底，长颈，250mL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圆底，短颈，厚口 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圆底，长颈，500mL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平底，长颈，250mL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蒸馏烧瓶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三口烧瓶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酒精灯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150mL，单头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酒精灯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250mL，单头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酒精灯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250mL，双头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气体洗瓶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抽滤瓶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69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抽气管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1．高硼硅玻璃材质；</w:t>
            </w:r>
            <w:r>
              <w:rPr>
                <w:rFonts w:hint="eastAsia" w:cs="宋体" w:asciiTheme="minorEastAsia" w:hAnsiTheme="minorEastAsia" w:eastAsiaTheme="minorEastAsia"/>
                <w:sz w:val="20"/>
                <w:szCs w:val="20"/>
                <w:lang w:bidi="ar"/>
              </w:rPr>
              <w:br/>
              <w:t xml:space="preserve">2．灯工焊接牢固，喷水管应在球内中心位置，喷口对正下管孔，两孔间距不大于2．5</w:t>
            </w:r>
            <w:r>
              <w:rPr>
                <w:rFonts w:hint="eastAsia" w:cs="宋体" w:asciiTheme="minorEastAsia" w:hAnsiTheme="minorEastAsia" w:eastAsiaTheme="minorEastAsia"/>
                <w:sz w:val="20"/>
                <w:szCs w:val="20"/>
                <w:lang w:bidi="ar"/>
              </w:rPr>
              <w:br/>
              <w:t xml:space="preserve">mm；</w:t>
            </w:r>
            <w:r>
              <w:rPr>
                <w:rFonts w:hint="eastAsia" w:cs="宋体" w:asciiTheme="minorEastAsia" w:hAnsiTheme="minorEastAsia" w:eastAsiaTheme="minorEastAsia"/>
                <w:sz w:val="20"/>
                <w:szCs w:val="20"/>
                <w:lang w:bidi="ar"/>
              </w:rPr>
              <w:br/>
              <w:t xml:space="preserve">3．喷口切割磨平，不得有歪斜及小缺点；</w:t>
            </w:r>
            <w:r>
              <w:rPr>
                <w:rFonts w:hint="eastAsia" w:cs="宋体" w:asciiTheme="minorEastAsia" w:hAnsiTheme="minorEastAsia" w:eastAsiaTheme="minorEastAsia"/>
                <w:sz w:val="20"/>
                <w:szCs w:val="20"/>
                <w:lang w:bidi="ar"/>
              </w:rPr>
              <w:br/>
              <w:t xml:space="preserve">4．磨砂浮子必须活动自如，不得阻塞不动；</w:t>
            </w:r>
            <w:r>
              <w:rPr>
                <w:rFonts w:hint="eastAsia" w:cs="宋体" w:asciiTheme="minorEastAsia" w:hAnsiTheme="minorEastAsia" w:eastAsiaTheme="minorEastAsia"/>
                <w:sz w:val="20"/>
                <w:szCs w:val="20"/>
                <w:lang w:bidi="ar"/>
              </w:rPr>
              <w:br/>
              <w:t xml:space="preserve">5．当水压在1 kg/cm2的条件下，在5分钟内，要求水银柱抽至600 mm；</w:t>
            </w:r>
            <w:r>
              <w:rPr>
                <w:rFonts w:hint="eastAsia" w:cs="宋体" w:asciiTheme="minorEastAsia" w:hAnsiTheme="minorEastAsia" w:eastAsiaTheme="minorEastAsia"/>
                <w:sz w:val="20"/>
                <w:szCs w:val="20"/>
                <w:lang w:bidi="ar"/>
              </w:rPr>
              <w:br/>
              <w:t xml:space="preserve">6．产品应符合《玻璃仪器通用技术要求》。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气体发生器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冷凝器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直形，300mm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冷凝器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球形，300mm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牛角管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弯形，φ18mm×150mm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漏斗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漏斗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安全漏斗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安全漏斗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锥(梨)形，100mL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球形，50mL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布氏漏斗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瓷，80mm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T形管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φ7mm～8mm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Y形管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φ7mm～8mm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T形管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T形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Y形管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Y形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离心管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单球，150mm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U型，φ15mm×150mm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U型，φ20mm×200mm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U型，具支，φ15mm×150mm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比色管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活塞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活塞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T形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圆水槽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φ200mm×100mm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圆水槽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φ270mm×140mm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玻璃钟罩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φ150mm×280mm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钴玻璃片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集气瓶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125mL，附毛玻璃片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集气瓶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250mL，附毛玻璃片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集气瓶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500mL，附毛玻璃片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液封除毒气集气瓶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125mL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棕色，60mL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棕色，125mL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125mL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棕色，60mL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棕色，125mL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棕色，500mL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棕色，1000mL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棕色，3000mL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下口瓶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棕色，30mL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棕色，60mL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称量瓶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φ25mm×40mm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坩埚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瓷，30mL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坩埚钳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1．产品用厚度为2 ㎜的不锈钢板制造，总长度为300 ㎜，宽度为20 ㎜；</w:t>
            </w:r>
            <w:r>
              <w:rPr>
                <w:rFonts w:hint="eastAsia" w:cs="宋体" w:asciiTheme="minorEastAsia" w:hAnsiTheme="minorEastAsia" w:eastAsiaTheme="minorEastAsia"/>
                <w:sz w:val="20"/>
                <w:szCs w:val="20"/>
                <w:lang w:bidi="ar"/>
              </w:rPr>
              <w:br/>
              <w:t xml:space="preserve">2．产品制作应光滑、平整、无缺陷；</w:t>
            </w:r>
            <w:r>
              <w:rPr>
                <w:rFonts w:hint="eastAsia" w:cs="宋体" w:asciiTheme="minorEastAsia" w:hAnsiTheme="minorEastAsia" w:eastAsiaTheme="minorEastAsia"/>
                <w:sz w:val="20"/>
                <w:szCs w:val="20"/>
                <w:lang w:bidi="ar"/>
              </w:rPr>
              <w:br/>
              <w:t xml:space="preserve">3．产品的夹持端为菱形，吻合应一致。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镊子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不锈钢或不锈铁，125mm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1.产品为竹制品。2.长度170mm，宽度12mm，厚度7.5mm。3.试管夹弹簧有足够弹性，作防锈处理。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水止皮管夹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钢丝制成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螺旋皮管夹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用钢材制成。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石棉网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铁网及石棉，铁网尺寸不小于100mm×100mm。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隔热网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环保型，功能与石棉网相同，隔热材料不是石棉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二连球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由橡皮手捏充气球和橡皮贮气球及橡胶导气管相连接而成。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燃烧匙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1．产品由半圆面和金属丝结合制成。2．半圆面为铜材制造，直径Φ为20mm左右。3．金属丝约用Φ2mm的钢丝或铁丝制造，长度为240mm左右。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药匙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塑料，长度为100mm。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φ5mm～φ6mm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千克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φ7mm～φ8mm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千克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φ3mm～φ4mm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千克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φ5mm～φ6mm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千克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软胶塞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0号～12号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千克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橡胶制品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千克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乳胶管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乳胶制品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洗耳球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由金属丝和胶合在其上的猪鬃毛制成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烧瓶刷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由金属丝和胶合在其上的猪鬃毛制成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滴定管刷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由金属丝和胶合在其上的猪鬃毛制成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结晶皿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表面皿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表面皿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研钵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瓷，60mm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研钵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瓷，90mm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蒸发皿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瓷，60mm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蒸发皿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瓷，100mm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反应板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至少6穴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井穴板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9孔，0.7mL×9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井穴板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6孔，5mL×6，附带双导气管的井穴塞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塑料多用滴管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白金丝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φ0.5mm×50mm；具金属柄，可拆卸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石蕊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指示剂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酚酞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指示剂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品红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染料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甲基橙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指示剂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pH广范围试纸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蓝石蕊试纸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酸性溶液使蓝色试纸变红，80张/本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红石蕊试纸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碱性溶液使红色试纸变蓝，80张/本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淀粉碘化钾试纸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主要用于快速检测氧化物是否存在的一种试纸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高中化学实验材料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小刀、棉花、木炭、火柴、蜡烛、剪刀、焊锡、炭棒、导线、电灯泡、木板、电池、电珠、砂纸等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电极材料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石墨、铜、锌、镁、铁、锡等电极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中号，木制或塑料手柄，长度为160mm。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中号，木制或塑料手柄，长度为160mm。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尖嘴钳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木制手柄。长度为：250mm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三角锉刀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250mm带柄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剪刀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铁制品，塑料手柄,长约215mm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玻璃瓶盖开启器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产品由内丝旋套（塑料制）及塑料手柄带螺旋钢丝组成。供开启玻璃瓶口的软木塞。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玻璃管切割器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产品由切割头、手柄两大部分组成。总长160mm。切割头由金属架和金刚石刻刀组成，手柄为塑料制。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防酸碱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57</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护目镜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侧面完全遮挡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57</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防护面罩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可提供颈部和头部保护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防毒口罩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有活性炭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耐酸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一次性乳胶手套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57</w:t>
            </w:r>
            <w:r/>
          </w:p>
        </w:tc>
      </w:tr>
      <w:tr>
        <w:trPr>
          <w:trHeight w:val="12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洗眼器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1．主体：高密PP材质制造；</w:t>
            </w:r>
            <w:r>
              <w:rPr>
                <w:rFonts w:hint="eastAsia" w:cs="宋体" w:asciiTheme="minorEastAsia" w:hAnsiTheme="minorEastAsia" w:eastAsiaTheme="minorEastAsia"/>
                <w:sz w:val="20"/>
                <w:szCs w:val="20"/>
                <w:lang w:bidi="ar"/>
              </w:rPr>
              <w:br/>
              <w:t xml:space="preserve">2．阀门可自动关闭，密封可靠。喷头：洗眼盆头，出水经缓压处理呈泡沫状水柱，防止冲</w:t>
            </w:r>
            <w:r>
              <w:rPr>
                <w:rFonts w:hint="eastAsia" w:cs="宋体" w:asciiTheme="minorEastAsia" w:hAnsiTheme="minorEastAsia" w:eastAsiaTheme="minorEastAsia"/>
                <w:sz w:val="20"/>
                <w:szCs w:val="20"/>
                <w:lang w:bidi="ar"/>
              </w:rPr>
              <w:br/>
              <w:t xml:space="preserve">伤眼睛，设有防尘盖，使用时可自动被水冲开。功能：设有流量调节控制阀，可根据供水</w:t>
            </w:r>
            <w:r>
              <w:rPr>
                <w:rFonts w:hint="eastAsia" w:cs="宋体" w:asciiTheme="minorEastAsia" w:hAnsiTheme="minorEastAsia" w:eastAsiaTheme="minorEastAsia"/>
                <w:sz w:val="20"/>
                <w:szCs w:val="20"/>
                <w:lang w:bidi="ar"/>
              </w:rPr>
              <w:br/>
              <w:t xml:space="preserve">压力调整到眼睛最适宜的流量（使用压力：0．2MPa～0．6MPa）开关：水流开启，水流锁</w:t>
            </w:r>
            <w:r>
              <w:rPr>
                <w:rFonts w:hint="eastAsia" w:cs="宋体" w:asciiTheme="minorEastAsia" w:hAnsiTheme="minorEastAsia" w:eastAsiaTheme="minorEastAsia"/>
                <w:sz w:val="20"/>
                <w:szCs w:val="20"/>
                <w:lang w:bidi="ar"/>
              </w:rPr>
              <w:br/>
              <w:t xml:space="preserve">定功能一次完成，方便使用。软管：供水软管长度采用1．5米，PP软管，最大耐水压7Pa。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简易急救箱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铝合金药箱及常用器材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实验防护屏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1．产品为三片折叠式结构，由透明度好的有机玻璃制造。2.尺寸300mm×290mm一块，尺寸300mm×145mm二块，厚度不小于2mm。3．防护屏支撑牢靠，平稳。4．合叶与屏板连接牢靠，经多次开合不得脱落。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bl>
    <w:p>
      <w:pPr>
        <w:rPr>
          <w:rFonts w:hint="eastAsia" w:cs="宋体" w:asciiTheme="minorEastAsia" w:hAnsiTheme="minorEastAsia" w:eastAsiaTheme="minorEastAsia"/>
          <w:sz w:val="20"/>
          <w:szCs w:val="20"/>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cs="宋体" w:asciiTheme="minorEastAsia" w:hAnsiTheme="minorEastAsia" w:eastAsiaTheme="minorEastAsia"/>
          <w:sz w:val="20"/>
          <w:szCs w:val="20"/>
        </w:rPr>
      </w:r>
      <w:r/>
    </w:p>
    <w:p>
      <w:pPr>
        <w:rPr>
          <w:rFonts w:hint="eastAsia" w:cs="宋体" w:asciiTheme="minorEastAsia" w:hAnsiTheme="minorEastAsia" w:eastAsiaTheme="minorEastAsia"/>
          <w:sz w:val="32"/>
        </w:rPr>
      </w:pPr>
      <w:r>
        <w:rPr>
          <w:rFonts w:hint="eastAsia" w:cs="宋体" w:asciiTheme="minorEastAsia" w:hAnsiTheme="minorEastAsia" w:eastAsiaTheme="minorEastAsia"/>
          <w:b/>
          <w:bCs/>
          <w:sz w:val="28"/>
          <w:szCs w:val="20"/>
          <w:lang w:bidi="ar"/>
        </w:rPr>
        <w:t xml:space="preserve">高中物理教学仪器配备</w:t>
      </w:r>
      <w:r/>
    </w:p>
    <w:tbl>
      <w:tblPr>
        <w:tblW w:w="4889" w:type="pct"/>
        <w:tblLayout w:type="fixed"/>
        <w:tblLook w:val="0000" w:firstRow="0" w:lastRow="0" w:firstColumn="0" w:lastColumn="0" w:noHBand="0" w:noVBand="0"/>
      </w:tblPr>
      <w:tblGrid>
        <w:gridCol w:w="571"/>
        <w:gridCol w:w="2630"/>
        <w:gridCol w:w="8246"/>
        <w:gridCol w:w="1278"/>
        <w:gridCol w:w="1134"/>
      </w:tblGrid>
      <w:tr>
        <w:trPr>
          <w:trHeight w:val="559"/>
          <w:tblHeader/>
        </w:trPr>
        <w:tc>
          <w:tcPr>
            <w:shd w:val="clear" w:color="auto" w:fill="dce6f1"/>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序号</w:t>
            </w:r>
            <w:r/>
          </w:p>
        </w:tc>
        <w:tc>
          <w:tcPr>
            <w:shd w:val="clear" w:color="auto" w:fill="dce6f1"/>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产品名称</w:t>
            </w:r>
            <w:r/>
          </w:p>
        </w:tc>
        <w:tc>
          <w:tcPr>
            <w:shd w:val="clear" w:color="auto" w:fill="dce6f1"/>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技术参数</w:t>
            </w:r>
            <w:r/>
          </w:p>
        </w:tc>
        <w:tc>
          <w:tcPr>
            <w:shd w:val="clear" w:color="auto" w:fill="dce6f1"/>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单位</w:t>
            </w:r>
            <w:r/>
          </w:p>
        </w:tc>
        <w:tc>
          <w:tcPr>
            <w:shd w:val="clear" w:color="auto" w:fill="dce6f1"/>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计算器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函数型</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钢制黑板</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900mm×600mm，双面</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打孔器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四件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33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两用气筒</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1．供中学物理实验中作抽气、打气使用；</w:t>
            </w:r>
            <w:r>
              <w:rPr>
                <w:rFonts w:hint="eastAsia" w:cs="宋体" w:asciiTheme="minorEastAsia" w:hAnsiTheme="minorEastAsia" w:eastAsiaTheme="minorEastAsia"/>
                <w:sz w:val="20"/>
                <w:szCs w:val="20"/>
                <w:lang w:bidi="ar"/>
              </w:rPr>
              <w:br/>
              <w:t xml:space="preserve">2．极限抽气压力≤6．7×103Pa（50mmHg）；</w:t>
            </w:r>
            <w:r>
              <w:rPr>
                <w:rFonts w:hint="eastAsia" w:cs="宋体" w:asciiTheme="minorEastAsia" w:hAnsiTheme="minorEastAsia" w:eastAsiaTheme="minorEastAsia"/>
                <w:sz w:val="20"/>
                <w:szCs w:val="20"/>
                <w:lang w:bidi="ar"/>
              </w:rPr>
              <w:br/>
              <w:t xml:space="preserve">3．最低打气压力≥2．9×105Pa；</w:t>
            </w:r>
            <w:r>
              <w:rPr>
                <w:rFonts w:hint="eastAsia" w:cs="宋体" w:asciiTheme="minorEastAsia" w:hAnsiTheme="minorEastAsia" w:eastAsiaTheme="minorEastAsia"/>
                <w:sz w:val="20"/>
                <w:szCs w:val="20"/>
                <w:lang w:bidi="ar"/>
              </w:rPr>
              <w:br/>
              <w:t xml:space="preserve">4．气筒长200mm，内径Φ22．5mm；</w:t>
            </w:r>
            <w:r>
              <w:rPr>
                <w:rFonts w:hint="eastAsia" w:cs="宋体" w:asciiTheme="minorEastAsia" w:hAnsiTheme="minorEastAsia" w:eastAsiaTheme="minorEastAsia"/>
                <w:sz w:val="20"/>
                <w:szCs w:val="20"/>
                <w:lang w:bidi="ar"/>
              </w:rPr>
              <w:br/>
              <w:t xml:space="preserve">5．外形尺寸：约340mm×114mm×30mm；</w:t>
            </w:r>
            <w:r>
              <w:rPr>
                <w:rFonts w:hint="eastAsia" w:cs="宋体" w:asciiTheme="minorEastAsia" w:hAnsiTheme="minorEastAsia" w:eastAsiaTheme="minorEastAsia"/>
                <w:sz w:val="20"/>
                <w:szCs w:val="20"/>
                <w:lang w:bidi="ar"/>
              </w:rPr>
              <w:br/>
              <w:t xml:space="preserve">6．吸气和打气咀外径Φ9mm；</w:t>
            </w:r>
            <w:r>
              <w:rPr>
                <w:rFonts w:hint="eastAsia" w:cs="宋体" w:asciiTheme="minorEastAsia" w:hAnsiTheme="minorEastAsia" w:eastAsiaTheme="minorEastAsia"/>
                <w:sz w:val="20"/>
                <w:szCs w:val="20"/>
                <w:lang w:bidi="ar"/>
              </w:rPr>
              <w:br/>
              <w:t xml:space="preserve">7．当产品抽气压力达到6.7×103Pa时，放置30秒钟，其漏气引起的压力变化应小于2.6×102Pa；</w:t>
            </w:r>
            <w:r>
              <w:rPr>
                <w:rFonts w:hint="eastAsia" w:cs="宋体" w:asciiTheme="minorEastAsia" w:hAnsiTheme="minorEastAsia" w:eastAsiaTheme="minorEastAsia"/>
                <w:sz w:val="20"/>
                <w:szCs w:val="20"/>
                <w:lang w:bidi="ar"/>
              </w:rPr>
              <w:br/>
              <w:t xml:space="preserve">8．当产品打气压力达到2.9×105Pa时，放置30秒钟，其漏气引起的压力变化应小于9.8×102Pa；</w:t>
            </w:r>
            <w:r>
              <w:rPr>
                <w:rFonts w:hint="eastAsia" w:cs="宋体" w:asciiTheme="minorEastAsia" w:hAnsiTheme="minorEastAsia" w:eastAsiaTheme="minorEastAsia"/>
                <w:sz w:val="20"/>
                <w:szCs w:val="20"/>
                <w:lang w:bidi="ar"/>
              </w:rPr>
              <w:br/>
              <w:t xml:space="preserve">9．活塞应紧固、牢靠，在使用中不得产生松动现象；</w:t>
            </w:r>
            <w:r>
              <w:rPr>
                <w:rFonts w:hint="eastAsia" w:cs="宋体" w:asciiTheme="minorEastAsia" w:hAnsiTheme="minorEastAsia" w:eastAsiaTheme="minorEastAsia"/>
                <w:sz w:val="20"/>
                <w:szCs w:val="20"/>
                <w:lang w:bidi="ar"/>
              </w:rPr>
              <w:br/>
              <w:t xml:space="preserve">10．活塞碗要求材质挺实，碗外表面较柔软，耐磨密封性良好。</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抽气筒</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 极限抽气压力≤6.7×103 Pa。  2. 外观结构应符合JY0001第5.6章的有关要求。  3. 其余技术指标应符合JY223-87的有关要求。</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打气筒</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产品由气筒、踏脚、活塞、活塞杆、手柄、橡胶管、气针夹等组成。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抽气盘</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直径不小于180mm，附钟罩</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仪器车</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600mm×400mm×800mm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辆</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仪器车</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800mm×500mm×1100mm，车轮能制动，上面板有护栏，高度20mm～30mm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辆</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充磁器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 主要由螺线管、整流器、电源按钮开关、功能转换开关和外壳组成。   2. 对中学物理实验室配备的条形磁铁（D-CG-LT-180）、蹄形磁铁（D-CG-LU-63、D-CG-LU-80、D-CG-LU-100）、磁针等磁性材料具有充磁、退磁功能。　  3. 结构及外观的一般要求应分别符合JY 0001第4、5、6、7章的有关要求。  4. 应符合JY/T 0396-2007的有关要求。</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生物显微镜</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≥640倍</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望远镜</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双筒，7×35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酒精喷灯</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坐式</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透明盛液筒</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φ100mm×300mm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透明水槽</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400mm×80mm×100mm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物理支架</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大底座1300g 小底座900g</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16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方座支架</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 </w:t>
            </w:r>
            <w:r>
              <w:rPr>
                <w:rFonts w:hint="eastAsia" w:cs="宋体" w:asciiTheme="minorEastAsia" w:hAnsiTheme="minorEastAsia" w:eastAsiaTheme="minorEastAsia"/>
                <w:sz w:val="20"/>
                <w:szCs w:val="20"/>
                <w:lang w:bidi="ar"/>
              </w:rPr>
              <w:t xml:space="preserve">由矩形底座、立杆、烧瓶夹、大小铁环、垂直夹（2只）、平行夹等组成；2． 方座支架的底座尺寸为210mm×135mm，立杆直径为Φ12mm，立杆长度600mm， 底座和立杆表面应作防锈处理；质量大于1．5kg；3．大铁环内径Φ90mm，柄长125mm；小铁环内径Φ50mm，柄长105mm，环上开口中心与环柄成120°±5°夹角，开口宽20mm；烧瓶夹闭合间隙＜0.1mm，最大开口≥35mm，杆径Φ10mm；4．放置平稳、支承夹持可靠，立杆与底座间的垂直度不大于3mm，铁环组装后与立杆垂直，垂直度不大于4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多功能实验支架</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1、物理实验室通用仪器，可组装成垂直、平行、吊挂、夹持、放置等多种实验支架。2、有大小A型座各1个，立杆两支（500mm，Φ12mm ； 700mm，Φ12mm各一支）平行夹1只，垂直夹2只，烧瓶夹1只，万向夹1只，台边夹1只，大铁环1个，圆托盘1个，吊钩4只，吊钩杆1个，绝缘杆1支，滴定夹1个，漏斗架1个。</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升降台</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升降范围不小于150mm，载荷不小于10kg</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三脚架</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1．采用碳钢制造，表面经酸洗，磷化后喷塑；2．三脚均布，高度不小于156 mm，三脚内接圆直径不小于120 mm，上支承环平整，直径不小于100 mm，三脚及支承环钢材直径不小于6 mm；3．三只脚与铁环焊接紧固，焊点光滑、平整，脚距相等，立放台上时圆环应与台面平行，所支承的容器不得有滑动。</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高中学生电源</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交流：2V～16V/3A，每2V一档直流稳压：2V～16V/2A，每2V一档</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高中教学电源</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交流：2V～24V，每2V一档，2V～6V/12A，8V～12V/6A，14V～24V/3A；直流稳压：1V～25V分档连续可调，2V～6V/6A，8V～12V/4A，14V～24V/2A；40A、8s自动关断</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蓄电池</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6V，15Ah，阀控式</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调压变压器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2kVA，TDGC2系列</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电池盒</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4个一组，1号电池</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感应圈</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电子开关式</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直流高压电源</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输出电压：250V、300V、600V、1000V、1200V、1500V</w:t>
            </w:r>
            <w:r>
              <w:rPr>
                <w:rFonts w:hint="eastAsia" w:cs="宋体" w:asciiTheme="minorEastAsia" w:hAnsiTheme="minorEastAsia" w:eastAsiaTheme="minorEastAsia"/>
                <w:sz w:val="20"/>
                <w:szCs w:val="20"/>
                <w:lang w:bidi="ar"/>
              </w:rPr>
              <w:br/>
              <w:t xml:space="preserve">纹波电压：≤0.5V输出电流：≥0.1A(250V、300V时)，≥0.05A(600V、1000V、1200V、1500V时)；有过载保护</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电子起电机</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输入DC6V，输出电压范围：-17.5kV～+17.5kV，短路电流不大于500µA</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5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教学用铅酸蓄电池充电器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单充阀控式铅蓄电池或单充可调内阻电池或组合式</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木直尺</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钢直尺</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钢直尺</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钢卷尺</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盒</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游标卡尺</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150mm，0.02mm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游标卡尺</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150mm，0.05mm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外径千分尺</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0mm～25mm，0.01mm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150mm，0.01mm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物理天平</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500g0.02g</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学生天平</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200g，0.02g</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200g，0.2g</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100g，0.01g</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1000g，0.1g</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指针式体重计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0g～160kg，500g</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金属钩码</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50g×4，200g×2</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金属槽码</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2g×3，5g×2，10g×2，20g×2，50g×2，100g×2，200g×2，5g×1金属槽码盘和10g×1金属槽码盘</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机械停表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0.1s</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电子停表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0.01s</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单频率：0.02s，火花距离不小于10mm，平均电流不大于0.5mA</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电火花计时器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多频率：0.01s、0.02s、0.05s，有同步释放功能</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电磁打点计时器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本产品成套仪器应包括打点器、重锤、纸带、复写纸和弓形夹组成。1.工作电压：50Hz 8V交流电；2.连续工作时间不超过10分钟；3.打点周期稳定，周期相对误差不大于1%；4.重锤质量为300g；5.当纸带移动速度约3m/s时，点子长度不大于1.2mm，不小于0.3mm。6.纸带宽度为17.5mm。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数字计时器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四位及以上，数据存贮，显示：10个挡光间隔时间、10周振动、n次振动时间总和、加速度计时三个时间、自由落体时间不少于二个、二路光电门分别计二个挡光时间(对碰、追碰)，有光电门接口和电磁铁接口，统一接口</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频闪光源</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25Hz，50Hz，100Hz</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红液，0℃～100℃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水银，0℃～200℃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数字测温计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集成温度传感器，-50℃～+150℃，分辩率0.1℃</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电子体温计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量程35.0℃～41.0℃，分辨力0.1℃，在达到测量稳定值时应有提示或标志</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寒暑表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8"/>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由木质材料镶嵌玻璃棒芯组成。</w:t>
            </w:r>
            <w:r/>
          </w:p>
          <w:p>
            <w:pPr>
              <w:numPr>
                <w:ilvl w:val="0"/>
                <w:numId w:val="8"/>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采用摄氏（℃）和华氏（℉）木板双刻度，面板标有：摄氏 -30℃～50℃；华氏 -20℃～120℃的标志。</w:t>
            </w:r>
            <w:r/>
          </w:p>
          <w:p>
            <w:pPr>
              <w:numPr>
                <w:ilvl w:val="0"/>
                <w:numId w:val="8"/>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玻璃棒芯感温液，正面放大玻璃液读数。</w:t>
            </w:r>
            <w:r/>
          </w:p>
          <w:p>
            <w:pPr>
              <w:numPr>
                <w:ilvl w:val="0"/>
                <w:numId w:val="8"/>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温度准确度：±1℃（0℃～30℃）。</w:t>
            </w:r>
            <w:r/>
          </w:p>
          <w:p>
            <w:pPr>
              <w:numPr>
                <w:ilvl w:val="0"/>
                <w:numId w:val="8"/>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最小分度值：1℃。</w:t>
            </w:r>
            <w:r/>
          </w:p>
          <w:p>
            <w:pPr>
              <w:numPr>
                <w:ilvl w:val="0"/>
                <w:numId w:val="8"/>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储藏条件：-30℃～60℃。</w:t>
            </w:r>
            <w:r/>
          </w:p>
          <w:p>
            <w:pPr>
              <w:numPr>
                <w:ilvl w:val="0"/>
                <w:numId w:val="8"/>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参考尺寸：不小于250mm×49mm×9mm。</w:t>
            </w:r>
            <w:r/>
          </w:p>
          <w:p>
            <w:pPr>
              <w:numPr>
                <w:ilvl w:val="0"/>
                <w:numId w:val="8"/>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性能、结构、外观应符合JY0001第4、6、7的有关要求。</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10N</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5N</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2.5N</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圆盘测力计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5N</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拉压测力计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最大试验负荷10N，负荷分度值0．2N，最小负荷5．0N，示值误差±1%，最大试验力时主轴行程10mm，执行JY0127标准。</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双向测力计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1．产品主要由具有测量性能的耐疲劳弹簧、指针、调节器、分度板等组成；</w:t>
            </w:r>
            <w:r>
              <w:rPr>
                <w:rFonts w:hint="eastAsia" w:cs="宋体" w:asciiTheme="minorEastAsia" w:hAnsiTheme="minorEastAsia" w:eastAsiaTheme="minorEastAsia"/>
                <w:sz w:val="20"/>
                <w:szCs w:val="20"/>
                <w:lang w:bidi="ar"/>
              </w:rPr>
              <w:br/>
              <w:t xml:space="preserve">2．使用时指针在所测力的方向上（无负荷时）必要时对准零位；</w:t>
            </w:r>
            <w:r>
              <w:rPr>
                <w:rFonts w:hint="eastAsia" w:cs="宋体" w:asciiTheme="minorEastAsia" w:hAnsiTheme="minorEastAsia" w:eastAsiaTheme="minorEastAsia"/>
                <w:sz w:val="20"/>
                <w:szCs w:val="20"/>
                <w:lang w:bidi="ar"/>
              </w:rPr>
              <w:br/>
              <w:t xml:space="preserve">3．不在零位时，只要旋动两端的调节器，可使指针移向零位；</w:t>
            </w:r>
            <w:r>
              <w:rPr>
                <w:rFonts w:hint="eastAsia" w:cs="宋体" w:asciiTheme="minorEastAsia" w:hAnsiTheme="minorEastAsia" w:eastAsiaTheme="minorEastAsia"/>
                <w:sz w:val="20"/>
                <w:szCs w:val="20"/>
                <w:lang w:bidi="ar"/>
              </w:rPr>
              <w:br/>
              <w:t xml:space="preserve">4．将测力计固定在支架上或其他能固定的位置上，便可测量拉力或秤物等实验。</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演示数字测力计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量程2N，分辨率0.001N，误差≤0.2%满量程±1/2字，有调零、内置校准、记忆(能显示稳定值)功能，数字尺寸≥2.5cm×4cm。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绝缘电阻表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500V</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直流电流表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2.5级，0.6A，3A</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直流电流表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2.5级，200μA</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直流电压表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2.5级，3V，15V</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灵敏电流计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±300μA</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指针式，不低于2.5级</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数字式，3-1/2位，电压﹑电流﹑电阻﹑温度测试﹑电容﹑二极管测试</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多用电表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数字式，4-1/2位，电压﹑电流﹑电阻﹑温度测试﹑频率测试﹑电容﹑二极管测试</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交流电流表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2.5级，毫安级</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演示电流电压表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2.5级，检流</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演示微电流电阻表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微量直流检流，直流电压、电阻测量</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电阻箱</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四位9999Ω，0.5级</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电阻箱</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六位99999.9Ω，0.1级</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微电流放大器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多路输入档。一路为毫伏级，低阻抗输入，放大倍数约一千倍。两路用于传感器，分别为电流型放大输出和电压型放大输出。</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r>
      <w:tr>
        <w:trPr>
          <w:trHeight w:val="5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虚拟电子测试仪器系统</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示波器、信号源、频率计等。</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湿度计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指针式；测量范围湿度：10～95% 湿度：2．5%±1%RH 。</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空盒气压表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800hPa～1060hPa，1hPa；误差≤±2.0hPa</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露点测定器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用于测定空气中的相对湿度等实验。1.产品由玻璃瓶、橡胶塞、直角弯管玻璃管和直管玻璃管组成。2.玻璃瓶容积不小于125ml，橡胶塞与瓶口配合良好。3.玻璃管外径约6mm，长约130mm。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量角器(圆等分器)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制品、演示用，带手柄。量角器上部为直径500mm±2mm的半园环，下部为一宽50mm，长500mm的直尺，两者不可分离，应印有0~180°角度刻度线，在0°、90°、180°位置印有角度数值，90°刻度线与圆心应在一条直线上，垂直于下方的直尺，两边对称。</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3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惯性演示器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本仪器为工程塑料制作而成，由蓝色壳体、红色启动键、拉簧、红色绳线、金属挡片、玻璃球等组成。2、壳体为塑料制品，尺寸为：158mm×72mm×75mm。3、红色启动键为塑料制品，按键直径为13mm，滑杆长53mm，启动键装入壳体后，滑杆露出长度不小于3mm，启动键运行灵活、无阻滞现象。4、拉簧用弹簧钢丝制成，表面镀锌。5、金属球直径不小于19mm，外表作镀镍处理，光滑明亮。</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摩擦计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由木制摩擦板和摩擦块组成。摩擦板外形尺寸不小于500mm×44mm×8mm。摩擦块外形尺寸不小于100mm×38mm×28mm。上面有两个砝码孔，端面中心有挂钩。</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螺旋弹簧组</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1、由钢丝绕成的螺旋弹簧3种一组组成。2、3种螺旋弹簧拉力限量分别为：2N，1N，0.5N。表面镀镍防护，弹簧上端为园环，下端有三角片，杆勾，指针组成。3、2N钢丝直径0.8mm；1N钢丝直径0.6mm；0.5N钢丝直径0.5mm。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螺旋弹簧组</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1、由钢丝绕成的螺旋弹簧2种一组组成。2、2种螺旋弹簧拉力限量分别为：5N，3N。表面镀镍防护，弹簧上端为园环，下端有三角片，杆勾，指针组成。3、5N钢丝直径1mm；3N钢丝直径0.9mm。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36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帕斯卡球</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1．圆球由金属材料制成，直径Φ80mm，表面光洁度不低于▽5（半加工面，微见加工痕迹），圆球壁厚不小于3mm，容积约0．2升；</w:t>
            </w:r>
            <w:r>
              <w:rPr>
                <w:rFonts w:hint="eastAsia" w:cs="宋体" w:asciiTheme="minorEastAsia" w:hAnsiTheme="minorEastAsia" w:eastAsiaTheme="minorEastAsia"/>
                <w:sz w:val="20"/>
                <w:szCs w:val="20"/>
                <w:lang w:bidi="ar"/>
              </w:rPr>
              <w:br/>
              <w:t xml:space="preserve">2．气筒由合金铝管制成，直径Φ25mm，长度200mm，气筒盖滚花；气筒与气筒盖的表面进行防锈处理；</w:t>
            </w:r>
            <w:r>
              <w:rPr>
                <w:rFonts w:hint="eastAsia" w:cs="宋体" w:asciiTheme="minorEastAsia" w:hAnsiTheme="minorEastAsia" w:eastAsiaTheme="minorEastAsia"/>
                <w:sz w:val="20"/>
                <w:szCs w:val="20"/>
                <w:lang w:bidi="ar"/>
              </w:rPr>
              <w:br/>
              <w:t xml:space="preserve">3．活塞（牛皮碗或橡皮碗）应与气筒配套，松紧适当；活塞杆直径Φ6mm，长度250mm；表面镀铬，上端装有手柄；</w:t>
            </w:r>
            <w:r>
              <w:rPr>
                <w:rFonts w:hint="eastAsia" w:cs="宋体" w:asciiTheme="minorEastAsia" w:hAnsiTheme="minorEastAsia" w:eastAsiaTheme="minorEastAsia"/>
                <w:sz w:val="20"/>
                <w:szCs w:val="20"/>
                <w:lang w:bidi="ar"/>
              </w:rPr>
              <w:br/>
              <w:t xml:space="preserve">4．铜质喷嘴10个，喷嘴孔内径0．4～0．6mm，喷嘴分布在球体表面各个方向上；喷嘴外表面有沟槽，以便扎接薄膜；</w:t>
            </w:r>
            <w:r>
              <w:rPr>
                <w:rFonts w:hint="eastAsia" w:cs="宋体" w:asciiTheme="minorEastAsia" w:hAnsiTheme="minorEastAsia" w:eastAsiaTheme="minorEastAsia"/>
                <w:sz w:val="20"/>
                <w:szCs w:val="20"/>
                <w:lang w:bidi="ar"/>
              </w:rPr>
              <w:br/>
              <w:t xml:space="preserve">5．气筒与圆球同轴连接，连接处应加垫圈密封；</w:t>
            </w:r>
            <w:r>
              <w:rPr>
                <w:rFonts w:hint="eastAsia" w:cs="宋体" w:asciiTheme="minorEastAsia" w:hAnsiTheme="minorEastAsia" w:eastAsiaTheme="minorEastAsia"/>
                <w:sz w:val="20"/>
                <w:szCs w:val="20"/>
                <w:lang w:bidi="ar"/>
              </w:rPr>
              <w:br/>
              <w:t xml:space="preserve">6．圆球装满水后，推动活塞，各喷嘴的压力基本相同；</w:t>
            </w:r>
            <w:r>
              <w:rPr>
                <w:rFonts w:hint="eastAsia" w:cs="宋体" w:asciiTheme="minorEastAsia" w:hAnsiTheme="minorEastAsia" w:eastAsiaTheme="minorEastAsia"/>
                <w:sz w:val="20"/>
                <w:szCs w:val="20"/>
                <w:lang w:bidi="ar"/>
              </w:rPr>
              <w:br/>
              <w:t xml:space="preserve">7．气筒与球体、喷嘴与球体连接处、活塞与气筒壁接触处，不得漏水。</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摩擦力演示器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供中学物理教学演示滑动摩擦力、静摩擦力存在、大小决定因素等实验用。产品由主机、演示测力计2N、支撑架摩擦块等组成。1.工作电压：220V 50Hz；2.电机功率：50W；3.调速：无极调速；4.主机外壳采用冷轧板冲压成型，表面烤漆处理，外形尺寸：310mm×90mm×100mm。4.摩擦块为木质，中心有一沉孔，直径27mm，深10mm，外形尺寸：80mm×45mm×22mm。两边有限位。</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微小形变演示器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利用光杠杆原理。产品由半导体激光器、三脚架、平面镜、调节装置组成。激光器射出的为红色圆点；三脚架的钢丝弹性良好。演示效果明显。</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力的合成分解演示器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仪器由分度标盘、汇力环、测力计、调节器、滑轮、滑轮夹、主杆、底座组成。仪器的结构符合力系构成的实际条件，在一个分度的直角座标盘上，借助于挂线将三个力汇集在一个园环上，构成共点力的平衡力系，以此来演示力的合成与分解。1.分度座标盘应采用塑料注塑成型，表面光滑平整、无变形，直径不小于270mm；2.主杆为金属制品，直径12mm,长不小于400mm,一端有M10的外丝，表面镀铬处理。</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5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支杆定滑轮和桌边夹组</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每套带支杆单滑轮、尼龙线、桌边夹各 3 件，小铁环 1 件，支杆高度可调。</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19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高中静力学演示教具</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9"/>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组成：实验底板：工程塑料压制成形，单板面积:360mm×240mm,96个插孔，塑料三角板，塑料紧固销，塑料吊环，金属支承细杆：Φ4mm×80mm，塑料力矩盘：Φ270mm，色圈，螺旋弹簧，塑料小接插座，双向测力计：5N。加长杆，定位杆，小车，塑料小滑轮：Φ60mm，塑料大滑轮：Φ120mm，滑轮联杆，钢丝挂钩，重锤，双向插头，叉形金属调节杆，钢丝卡环，惯性块，车钩，滑轮挂钩，压簧：1N,5N，单向插头。</w:t>
            </w:r>
            <w:r/>
          </w:p>
          <w:p>
            <w:pPr>
              <w:numPr>
                <w:ilvl w:val="0"/>
                <w:numId w:val="9"/>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完成演示实验：47个。</w:t>
            </w:r>
            <w:r/>
          </w:p>
          <w:p>
            <w:pPr>
              <w:numPr>
                <w:ilvl w:val="0"/>
                <w:numId w:val="9"/>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演示实验可见距离：＞5m 。</w:t>
            </w:r>
            <w:r/>
          </w:p>
          <w:p>
            <w:pPr>
              <w:numPr>
                <w:ilvl w:val="0"/>
                <w:numId w:val="9"/>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定量实验误差：＜8%  ；</w:t>
            </w:r>
            <w:r/>
          </w:p>
          <w:p>
            <w:pPr>
              <w:ind w:left="100"/>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5、测力计示值误差和回零误差：不大于1个分度；将测力计倒置，示值误差和回零误差：不大于2个分度。</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6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高中力学演示板</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10"/>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为手提式组合教具，全部教具装于塑料箱内，箱体尺寸：540mm×440mm×140mm。仪器由实验底板4块、大三角支板4个、紧固销、塑料吊杯、支撑杆、平直导轨、双向测力计等36种配件组成。</w:t>
            </w:r>
            <w:r/>
          </w:p>
          <w:p>
            <w:pPr>
              <w:numPr>
                <w:ilvl w:val="0"/>
                <w:numId w:val="10"/>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完成高中物理力学“用弹簧称测力”、“弹簧的伸长跟所受的拉力成正比”、“二力平衡的条件”、“物体的惯性”、“摩擦”、“杠杆的作用和平衡条件”、“轮轴的作用和平衡条件”、“定滑轮、动滑轮和滑轮组的作用”、“功的原理”、“斜面”、“机械效率”、等52种实验项目。</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滚摆</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1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滚摆摆体（摆轮和摆轴）、悬线、支柱、横梁和底座组成。</w:t>
            </w:r>
            <w:r/>
          </w:p>
          <w:p>
            <w:pPr>
              <w:numPr>
                <w:ilvl w:val="0"/>
                <w:numId w:val="1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摆轮Φ115mm。摆轴Φ8mm，长160mm，轴上两个穿线孔距离140mm，穿线孔径Φ1.5mm。支柱高350mm，横梁长240mm。</w:t>
            </w:r>
            <w:r/>
          </w:p>
          <w:p>
            <w:pPr>
              <w:numPr>
                <w:ilvl w:val="0"/>
                <w:numId w:val="1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摆轴对摆轮的垂直度公差约0.5mm。</w:t>
            </w:r>
            <w:r/>
          </w:p>
          <w:p>
            <w:pPr>
              <w:numPr>
                <w:ilvl w:val="0"/>
                <w:numId w:val="1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摆轴应粗细均匀。轴上二穿线孔对于摆轮的对称公差约1mm。</w:t>
            </w:r>
            <w:r/>
          </w:p>
          <w:p>
            <w:pPr>
              <w:numPr>
                <w:ilvl w:val="0"/>
                <w:numId w:val="1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摆轴镀铬。底座应稳固，表面涂漆，支柱表面应作防锈处理。</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离心轨道</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12"/>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由钢球、环形轨道等组成。</w:t>
            </w:r>
            <w:r/>
          </w:p>
          <w:p>
            <w:pPr>
              <w:numPr>
                <w:ilvl w:val="0"/>
                <w:numId w:val="12"/>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钢球Φ22mm。</w:t>
            </w:r>
            <w:r/>
          </w:p>
          <w:p>
            <w:pPr>
              <w:numPr>
                <w:ilvl w:val="0"/>
                <w:numId w:val="12"/>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环形轨道采用Φ4mm金属丝绕制而成，表面烤漆处理。底座长：200mm，宽：65mm，高：10mm。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手摇离心转台</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产品由机座、主动轮（附摇手）和从动轮等组成。</w:t>
            </w:r>
            <w:r/>
          </w:p>
          <w:p>
            <w:pPr>
              <w:numPr>
                <w:ilvl w:val="0"/>
                <w:numId w:val="13"/>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外形尺寸：478mm×238mm×113mm。</w:t>
            </w:r>
            <w:r/>
          </w:p>
          <w:p>
            <w:pPr>
              <w:numPr>
                <w:ilvl w:val="0"/>
                <w:numId w:val="13"/>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机座材料为铸铁，平放、立放均平稳可靠。</w:t>
            </w:r>
            <w:r/>
          </w:p>
          <w:p>
            <w:pPr>
              <w:numPr>
                <w:ilvl w:val="0"/>
                <w:numId w:val="13"/>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主动轮直径为240mm,从动轮直径为39mm。</w:t>
            </w:r>
            <w:r/>
          </w:p>
          <w:p>
            <w:pPr>
              <w:numPr>
                <w:ilvl w:val="0"/>
                <w:numId w:val="13"/>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主动轮和从动轮转动灵活、平稳，转动时皮带来会脱落。</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5、各部件作防锈处理。</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电动离心转台</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产品由机箱、电机、调速器、支杆及连接套管等组成。</w:t>
            </w:r>
            <w:r/>
          </w:p>
          <w:p>
            <w:pPr>
              <w:numPr>
                <w:ilvl w:val="0"/>
                <w:numId w:val="14"/>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机箱采用冷轧板冲压成型，表面烤漆处理，外形尺寸：295mm×295mm×70mm。2.四脚采用橡胶吸盘、固定牢固可靠。</w:t>
            </w:r>
            <w:r/>
          </w:p>
          <w:p>
            <w:pPr>
              <w:numPr>
                <w:ilvl w:val="0"/>
                <w:numId w:val="14"/>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工作电压：220V，无极调速。</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4.支杆采用直径10mm、长150mm的圆钢制成，一端M10mm丝长30mm，表面电镀处理。</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毛钱管(牛顿管)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仪器用于验证一切轻重不同的物体，在真空中自由下落时，重力加速度都相同，物理演示实验用。仪器由：蝶阀、直管、金属片、羽毛片、磁铁组成。直管采用玻璃制成，直径约50mm，长950mm。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4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长度为1200mm，一端高度可连续升降，连接曲面光滑。由轨道、底板、标尺、小球、接球网、手轮、底脚螺丝、指示器2个组成。1、底板采用密度板，表面颜色为灰色，四周封边，外形尺寸：1200mm×230mm×12mm。底板右边有一滑槽，槽宽为6mm，长165mm，槽边印</w:t>
            </w:r>
            <w:r>
              <w:rPr>
                <w:rFonts w:hint="eastAsia" w:cs="宋体" w:asciiTheme="minorEastAsia" w:hAnsiTheme="minorEastAsia" w:eastAsiaTheme="minorEastAsia"/>
                <w:sz w:val="20"/>
                <w:szCs w:val="20"/>
                <w:lang w:bidi="ar"/>
              </w:rPr>
              <w:t xml:space="preserve">有0－15度的刻线。2、轨道采用软塑拉制而成，槽宽（内空）12mm－1mm，槽深7mm，右端印有20－70mm的刻线，轨道长1200mm。轨道底部两端为工字槽并带滑槽的铝型材，长度分别为380mm和550mm。3、小球直径19mm，表面镀铬处理一。4、接球网框架为直径2mm不锈钢丝绕制而成，尺寸：145mm×45mm，网兜为鱼网，角度可调。5、手轮为塑料制品，可在滑槽内连续升降，并可靠的固定轨道。6、指示器采用厚1mm冷轧板冲压成型，表面电镀处理，指示器上应有红色刻线，指示器可在右端铝轨上任意滑动。    </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1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运动合成分解演示器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产品由底座、面板、小车、画板、画笔、X向传动装置、Y向传动装置、控制系统部分、电源接线等组成。底座及面板采用厚度1mm的钢板制作，面板尺寸为395×315mm，</w:t>
            </w:r>
            <w:r>
              <w:rPr>
                <w:rFonts w:hint="eastAsia" w:cs="宋体" w:asciiTheme="minorEastAsia" w:hAnsiTheme="minorEastAsia" w:eastAsiaTheme="minorEastAsia"/>
                <w:sz w:val="20"/>
                <w:szCs w:val="20"/>
                <w:lang w:bidi="ar"/>
              </w:rPr>
              <w:t xml:space="preserve">底座尺寸为395×120×10mm；小车尺寸约80×50×15mm，车轮采用金属材料制作；画板尺寸为240×180mm；笔尖与画板的间距可通过调节螺母调节；X向传动装置及Y向传动装置均采用小电机带动皮带轮传动。大皮带轮采用工程塑料制作，尺寸为Φ39×5mm，小皮带轮采用铜棒制作，直径为Φ8mm，皮带采用Φ42mm的橡胶皮带；控制系统部分包括：X向换向开关、Y向换向开关、Y向调速旋钮、X向运动按键、Y向运动按键、合运动操作键等。仪器使用电源电压：DC3～6V。可用于演示匀速-匀速、匀速-匀加速运动合成等实验。</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演示轨道小车</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轨道、小车、固定架、释放装置、砝码桶、滑轮等组成。1.轨道为铝型材，表面化学抛光处理，长1200mm，轨道两内尺寸：49mm。2.小车车体为塑料，总质量为200g±6g。3.砝码桶为塑料，质量为5g±1g。4.滑轮为塑料，外径28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轨道小车</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车拖纸带打点式。产品由轨道、小车、砝码桶、固定架、释放装置、、滑轮及小车捕捉器等组成。1.轨道长900mm，小车轨道外边宽度54mm。2.小车质量200g，放砝码槽尺寸57*51*18mm。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演示斜面小车</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用，仪器由斜面板、底板、小车、摩擦块、砝码桶、支撑杆、角度指示器、滑轮及支架等组成。1.斜面板采用优质木材，经脱脂干燥处理加工，全长1200mm。2.底板采用优质木材，经脱脂干燥处理加工，全长800mm。3.斜面板与底板采用绞链连接，用支撑杆来调整斜面板的角度。</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14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斜面小车</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斜面板、小车、支撑杆、摩擦块、砝码桶组成。1.斜面板外形尺寸：815×100×20mm；档条宽15mm、高14mm。2.标尺全长800mm、累计误差不超过2mm、最小分度值10mm，其“0”位与挡条内侧边线齐平，刻线和数字清晰。3.安装支撑杆孔直径为6mm，深30－40mm，孔与支撑杆配合松紧适度。4.滑轮倾角可调，应能承受0.25N·m的转动力矩而不滑动。5.支撑杆总长150mm。6.摩擦块外形尺寸：100mm×80mm×40mm，摩擦面分别有2个和4个圆孔。</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26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气垫导轨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导轨、导轨支座、滑行器及有关实验附件组成。导轨采用铝合金型材制作，导轨工作面长度1200mm，导轨工作面夹角：90°，导轨一侧斜面筋上设有刻度尺，刻度尺全长1200mm，最小分度值为1mm，每10mm标注刻度数字。导轨脚距：700mm，导轨进气口外径：Φ30mm，导轨底部设有两个支座、一个支座为单脚支座，高度不可调，另一个为双脚支座，双脚</w:t>
            </w:r>
            <w:r>
              <w:rPr>
                <w:rFonts w:hint="eastAsia" w:cs="宋体" w:asciiTheme="minorEastAsia" w:hAnsiTheme="minorEastAsia" w:eastAsiaTheme="minorEastAsia"/>
                <w:sz w:val="20"/>
                <w:szCs w:val="20"/>
                <w:lang w:bidi="ar"/>
              </w:rPr>
              <w:t xml:space="preserve">支座上设有两只调节螺钉，用来调节导轨的纵向水平及横向水平；滑行器采用铝合金制作，长度120mm。实验附件包括：挡光片（100mm,50mm,30mm各2片）6片、挡光条（5mm）2个、紧固螺钉（M4×10mm）17只、滑轮2个、滑轮架1个、加重砝码（50g±0.5g，100g±1g各4个）、U形弹射器2个、圆形弹射器2个、挂钩架2个、牵引线3米、座架4个、橡皮泥1块、三定律弹射器1个、砝码桶1个、振子弹簧2个、光电门架2个、起始板1个、钢丝针（Φ0.5mm）2根、固定螺钉（M4×25mm）2个、橡皮筋4根。</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小型气源</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本产品为中学物理演示实验用气垫导轨的配套仪器。气压不小于5kPa，低噪声。供气垫导轨使用。</w:t>
            </w:r>
            <w:r/>
          </w:p>
          <w:p>
            <w:pPr>
              <w:numPr>
                <w:ilvl w:val="0"/>
                <w:numId w:val="15"/>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工作电压：220V 50Hz；</w:t>
            </w:r>
            <w:r/>
          </w:p>
          <w:p>
            <w:pPr>
              <w:numPr>
                <w:ilvl w:val="0"/>
                <w:numId w:val="15"/>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波纹管内径为30mm，长不小于1500mm。</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3.接口配合紧密。其它符合JY0001－2003《教学仪器一般质量要求》的有关规定。</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自由落体实验仪</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供基础力学教学演示和分组实验，进行定性观测和定量研究物体在自由降落状态下的运动规律，主体高度：1.2m，钢球D=18mm，便携式支架，两个光电门；电磁铁电源DC6V。</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牛顿第二定律演示仪</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产品为二层结构轨道形式。</w:t>
            </w:r>
            <w:r/>
          </w:p>
          <w:p>
            <w:pPr>
              <w:numPr>
                <w:ilvl w:val="0"/>
                <w:numId w:val="16"/>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由轨道、小车两辆、刹车装置、滑轮、塑料小桶2个等组成。</w:t>
            </w:r>
            <w:r/>
          </w:p>
          <w:p>
            <w:pPr>
              <w:numPr>
                <w:ilvl w:val="0"/>
                <w:numId w:val="16"/>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轨道为铝型材，表面化学抛光处理，长900mm和850mm，轨道两内尺寸：49mm，并装有调平装置。</w:t>
            </w:r>
            <w:r/>
          </w:p>
          <w:p>
            <w:pPr>
              <w:numPr>
                <w:ilvl w:val="0"/>
                <w:numId w:val="16"/>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小车车体为塑料，总质量为200g±6g。</w:t>
            </w:r>
            <w:r/>
          </w:p>
          <w:p>
            <w:pPr>
              <w:numPr>
                <w:ilvl w:val="0"/>
                <w:numId w:val="16"/>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砝码桶为塑料，质量为5g±1g。</w:t>
            </w:r>
            <w:r/>
          </w:p>
          <w:p>
            <w:pPr>
              <w:numPr>
                <w:ilvl w:val="0"/>
                <w:numId w:val="16"/>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滑轮为塑料，外径28mm。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牛顿第二定律实验仪</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产品为二层结构轨道形式。</w:t>
            </w:r>
            <w:r/>
          </w:p>
          <w:p>
            <w:pPr>
              <w:numPr>
                <w:ilvl w:val="0"/>
                <w:numId w:val="17"/>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由轨道、小车两辆、刹车装置、滑轮、塑料小桶2个等组成。</w:t>
            </w:r>
            <w:r/>
          </w:p>
          <w:p>
            <w:pPr>
              <w:numPr>
                <w:ilvl w:val="0"/>
                <w:numId w:val="17"/>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轨道为铝型材，表面化学抛光处理，长900mm和850mm，轨道两内尺寸：49mm，并装有调平装置。</w:t>
            </w:r>
            <w:r/>
          </w:p>
          <w:p>
            <w:pPr>
              <w:numPr>
                <w:ilvl w:val="0"/>
                <w:numId w:val="17"/>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小车车体为塑料，总质量为200g±6g。</w:t>
            </w:r>
            <w:r/>
          </w:p>
          <w:p>
            <w:pPr>
              <w:numPr>
                <w:ilvl w:val="0"/>
                <w:numId w:val="17"/>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砝码桶为塑料，质量为5g±1g。</w:t>
            </w:r>
            <w:r/>
          </w:p>
          <w:p>
            <w:pPr>
              <w:numPr>
                <w:ilvl w:val="0"/>
                <w:numId w:val="17"/>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滑轮为塑料，外径28mm。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反冲运动演示器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产品由车体、酒精槽、钢管及橡皮塞构成。</w:t>
            </w:r>
            <w:r/>
          </w:p>
          <w:p>
            <w:pPr>
              <w:numPr>
                <w:ilvl w:val="0"/>
                <w:numId w:val="18"/>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车体为金属制，表面烤漆处理，尺寸：95×65×23mm。</w:t>
            </w:r>
            <w:r/>
          </w:p>
          <w:p>
            <w:pPr>
              <w:numPr>
                <w:ilvl w:val="0"/>
                <w:numId w:val="18"/>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酒精槽为铝制，直径30mm，槽深18mm。</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3.钢管外径16mm，长85mm，表面电镀处理。</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产品由可升降的指针式圆盘测力计、导轨、定滑轮、传动索、桌边夹及支架组成。1.测力计极限为2N，最小分度值为0.02N。圆盘直径160mm。</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2.支杆为金属制，表面防锈处理，直径11mm，长1000mm（两根连接）。</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超重失重演示器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产品由可升降的指针式圆盘测力计、导轨、定滑轮、传动索、桌边夹及支架组成。1.测力计极限为2N，最小分度值为0.02N。圆盘直径160mm。</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2.支杆为金属制，表面防锈处理，直径11mm，长1000mm（两根连接）。</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动能势能演示器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产品由底座带支脚、面板、轨道和钢球等组成。</w:t>
            </w:r>
            <w:r/>
          </w:p>
          <w:p>
            <w:pPr>
              <w:numPr>
                <w:ilvl w:val="0"/>
                <w:numId w:val="19"/>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底座采用空心铝型材制成，两端面为封闭式，底部有支脚，可调节面板的垂直方向。</w:t>
            </w:r>
            <w:r/>
          </w:p>
          <w:p>
            <w:pPr>
              <w:numPr>
                <w:ilvl w:val="0"/>
                <w:numId w:val="19"/>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面板采用冷轧板成型，表面烤白漆，面板正面印刷7条刻线，线间距20mm，面板尺寸：500mm*170mm*1mm。</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3.轨道采用PVC塑料制成，成弧形状，两端用支架固定，槽宽12mm。4.钢球直径19mm。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平抛竖落仪</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仪器能被固定在物理支架上使用，也可放置在桌边使用。产品由仪器主体、释球板、撞击器和两颗钢球组成。</w:t>
            </w:r>
            <w:r/>
          </w:p>
          <w:p>
            <w:pPr>
              <w:numPr>
                <w:ilvl w:val="0"/>
                <w:numId w:val="20"/>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主体采用塑料注塑成型，外形的长宽高尺寸分别为133mm×70mm×180mm。</w:t>
            </w:r>
            <w:r/>
          </w:p>
          <w:p>
            <w:pPr>
              <w:numPr>
                <w:ilvl w:val="0"/>
                <w:numId w:val="20"/>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释放板为T型、塑料注塑成型，两只钢球可放在T型板的两边。</w:t>
            </w:r>
            <w:r/>
          </w:p>
          <w:p>
            <w:pPr>
              <w:numPr>
                <w:ilvl w:val="0"/>
                <w:numId w:val="20"/>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撞击器为机械式，有释放撞杆开关、撞杆及弹簧等构成。</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4、钢球Φ19mm。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平抛运动实验器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产品由铝制导轨、钢球、重锤、接球槽、演示板组成。</w:t>
            </w:r>
            <w:r/>
          </w:p>
          <w:p>
            <w:pPr>
              <w:numPr>
                <w:ilvl w:val="0"/>
                <w:numId w:val="21"/>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底座和面板均采用冷轧板制成，面板烤白漆、底座烤黑漆，面板尺寸不小于325mm×240mm×1mm，底座尺寸不小于250mm×100mm×10mm，并有调平螺丝；</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2.钢球和直径为16mm；3.接球槽可上下移动，能停留在任一位置。</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4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平抛和碰撞实验器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产品由铝制导轨、钢球、玻璃球、重锤、接球槽、支球总成和演示板组成。</w:t>
            </w:r>
            <w:r/>
          </w:p>
          <w:p>
            <w:pPr>
              <w:numPr>
                <w:ilvl w:val="0"/>
                <w:numId w:val="22"/>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底座和面板均采用冷轧板制成，面板烤白漆、底座烤黑漆，面板尺寸不小于325mm×240mm×1mm，底座尺寸不小于250mm×100mm×10mm，并有调平螺丝；</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2.钢球和玻璃球直径为16mm；3.接球槽可上下移动，能停留在任一位置。</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碰撞实验器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供高中物理教学验证动量守恒定律等学生分组实验用。产品由轨道、小平轴、水平固定螺丝、C形夹、档球板、支球柱、玻璃靶球、钢球、重锤等组成。1.轨道应采用铝形材加工制成，表面烤漆处理；2.C形夹夹持范围不小于40mm；3.钢球和玻璃球直径为16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14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冲击摆实验器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平衡锤、摆线调节器、指针、摆线、刻度板、摆块、入弹孔、弹丸、枪筒、枪栓、调节器、板机、底板、通棒构成。能演示三种不同速度的弹丸：V1＝5.4±0.25m/s；V2＝6.6±0.25m/s；V3＝7.7±0.30m/s。1.底板采用冷轧板冲压成型，表面烤漆处理，尺寸：400×115×14mm。2.刻度板采用冷板，表面烤白漆，表面丝印0-35度的角度刻线和摆块调节位置的参照线。3.仪器整体高度325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运动频闪观测仪</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频闪25HZ-50HZ，可实时观测运动物体图像。</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二维空间—时间描迹仪</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同步计时打点描迹，悬浮式平抛。产品由主机、发射枪组件、单摆组件、向心力组件、卷纸机、运动体、基准尺、压纸条等构成。能完成：研究平抛物体的运动、斜抛、机械能守恒、弹性、非弹性、向心力、单摆、简谐、自由落体等9种实验。主机外形尺寸:390×140×430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8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向心力演示器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机座、变速盘、大皮带轮、小皮带轮、旋臂、示力标尺、压杆、套筒、弹簧、钢球、铝球、驱动机构等组成。机座采用工程塑料制作，底部安装橡胶垫脚，机座高度约120mm；两只变速盘均由为塑料注塑制作，主动轮最大外径190mm，从动轮外径130mm。变速盘主、从动轮传动比为1：1、1：2及1：3，传动误差不大于0.5%；大、小皮带轮均采用工程塑料制作，大皮带轮尺寸为：Φ70×12mm，小皮带轮尺寸为</w:t>
            </w:r>
            <w:r>
              <w:rPr>
                <w:rFonts w:hint="eastAsia" w:cs="宋体" w:asciiTheme="minorEastAsia" w:hAnsiTheme="minorEastAsia" w:eastAsiaTheme="minorEastAsia"/>
                <w:sz w:val="20"/>
                <w:szCs w:val="20"/>
                <w:lang w:bidi="ar"/>
              </w:rPr>
              <w:t xml:space="preserve">：Φ40×12mm；悬壁采用厚度为1mm的金属板制作，悬壁宽度45mm。示力标尺总长为50mm，采用红、白相间的色环标示，每格色环宽5mm；压杆采用厚度1mm的铁板制作，压杆臂长约80mm；套筒采用内径26mm的塑料筒，长95mm；弹簧为Φ30mm×70mm的压簧，采用Φ1.2mm的弹簧钢丝绕制，圈数：15；钢球与铝球直径均为28.6mm，钢球质量为95.5±2g，铝球质量为47.45±1g。仪器可形象直观的演示和定性验证向心力公式：F=mv2/r或F=mω2r。仪器外形尺寸约：460×200×330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向心力实验器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手指捻动式，中学物理演示《验证向心力公式》实验用。结构：由底座、导杆、平衡体、周期测定盘、捻柄、配重体、圆柱体、弹簧、半径指示器、弹簧拉杆及转轴组成。</w:t>
            </w:r>
            <w:r/>
          </w:p>
          <w:p>
            <w:pPr>
              <w:numPr>
                <w:ilvl w:val="0"/>
                <w:numId w:val="23"/>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底座为金属制，尺寸：235×105×15mm。</w:t>
            </w:r>
            <w:r/>
          </w:p>
          <w:p>
            <w:pPr>
              <w:numPr>
                <w:ilvl w:val="0"/>
                <w:numId w:val="23"/>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导杆、平衡杆及弹簧拉杆均为直径6mm，表面电镀处理。</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3.周期测定盘为铝制，直径80mm。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凹凸桥演示器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高中教师演示在凹面桥物体对桥面的压力。演示器由电磁铁、钢球、轨道、电磁铁开关、台秤、底座、接球槽、接球槽支杆等组成。1.外接电源：AC220V。2.钢球直径28.5mm。3.底座为木质，尺寸：600×150×16mm。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演示力矩盘</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供中学物理教学演示和学生分组实验用。仪器由圆盘、轴、底座、立杆、带线的空心销6个组成、塑料圆盘直径270mm，盘面有4个同心圆，均匀分布若干个小孔，供安插空心销用。立杆直径为12mm，长度为400mm，表面电镀处理。底座为铁制三角形或者塑料圆盘、三脚形底座，中心点有Φ2mm小孔可固定。</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力矩盘</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供中学物理教学演示和学生分组实验用，主要由圆盘、轴、带线的空心销6个组成。圆盘塑料制，直径约270mm×16mm，盘面上有4个同心圆，均匀分布若干个小孔，供安插空心销用。轴端有卡环槽，防止圆盘脱落。</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5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动量传递演示器(碰撞球)</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产品由底座、支架、5个钢球带线组成。</w:t>
            </w:r>
            <w:r/>
          </w:p>
          <w:p>
            <w:pPr>
              <w:numPr>
                <w:ilvl w:val="0"/>
                <w:numId w:val="24"/>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底座采用塑料制，尺寸：130×110×15mm。</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2.钢球直径16mm，表面电镀处理。</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609"/>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音叉</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音叉用钢或合金铝加工制造，发音部分呈现“U”形，“U”形下方的叉柄能插入并紧固在共鸣箱上。当敲击音叉时，音叉不能松动，音叉表面平整光滑，叉股内侧平面与底部圆弧光滑相切。每支音叉配共鸣箱一个。单支音叉配音叉槌一个；每对共振音叉配音叉槌一个，变频箍一个。钢制音叉表面镀铬，铝制音叉表面氧化处理。表面粗糙度：外侧面和两平面Ra最大允许值1．0μm，内侧面的最大允许值2．0μm；</w:t>
            </w:r>
            <w:r>
              <w:rPr>
                <w:rFonts w:hint="eastAsia" w:cs="宋体" w:asciiTheme="minorEastAsia" w:hAnsiTheme="minorEastAsia" w:eastAsiaTheme="minorEastAsia"/>
                <w:sz w:val="20"/>
                <w:szCs w:val="20"/>
                <w:lang w:bidi="ar"/>
              </w:rPr>
              <w:br/>
              <w:t xml:space="preserve">2．在温度20℃、相对湿度55%RH、环境噪音不大于30dB的室内，用音叉槌适度轻敲音叉，距音叉1000mm处，声强应不低于90dB；</w:t>
            </w:r>
            <w:r>
              <w:rPr>
                <w:rFonts w:hint="eastAsia" w:cs="宋体" w:asciiTheme="minorEastAsia" w:hAnsiTheme="minorEastAsia" w:eastAsiaTheme="minorEastAsia"/>
                <w:sz w:val="20"/>
                <w:szCs w:val="20"/>
                <w:lang w:bidi="ar"/>
              </w:rPr>
              <w:br/>
              <w:t xml:space="preserve">3．单支音叉的频率及误差分别为：256Hz±0．3Hz；</w:t>
            </w:r>
            <w:r>
              <w:rPr>
                <w:rFonts w:hint="eastAsia" w:cs="宋体" w:asciiTheme="minorEastAsia" w:hAnsiTheme="minorEastAsia" w:eastAsiaTheme="minorEastAsia"/>
                <w:sz w:val="20"/>
                <w:szCs w:val="20"/>
                <w:lang w:bidi="ar"/>
              </w:rPr>
              <w:br/>
              <w:t xml:space="preserve">4．制造共鸣箱的木材应无节疤和裂痕，宜用泡桐、东北松或高密度板制造，所用木材应经过干燥处理，其含水率为12%～14%。共鸣箱箱体平整，胶合严密，无歪斜，无裂纹，插座与箱体应胶合牢固，使用时不应松动；</w:t>
            </w:r>
            <w:r>
              <w:rPr>
                <w:rFonts w:hint="eastAsia" w:cs="宋体" w:asciiTheme="minorEastAsia" w:hAnsiTheme="minorEastAsia" w:eastAsiaTheme="minorEastAsia"/>
                <w:sz w:val="20"/>
                <w:szCs w:val="20"/>
                <w:lang w:bidi="ar"/>
              </w:rPr>
              <w:br/>
              <w:t xml:space="preserve">5．音叉槌槌头用橡胶制造，槌杆用木材或塑料制造，槌头球径约26mm、杆长约180mm为宜。</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音叉</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音叉用钢或合金铝加工制造，发音部分呈现“U”形，“U”形下方的叉柄能插入并紧固在共鸣箱上。当敲击音叉时，音叉不能松动，音叉表面平整光滑，叉股内侧平面与底部圆弧光滑相切。每支音叉配共鸣箱一个。单支音叉配音叉槌一个；每对共振音叉配音叉槌一个，变频箍一个。钢制音叉表面镀铬，铝制音叉表面氧化处理。表面粗糙度：外侧面和两平面Ra最大允许值1．0μm，内侧面的最大允许值2．0μm；</w:t>
            </w:r>
            <w:r>
              <w:rPr>
                <w:rFonts w:hint="eastAsia" w:cs="宋体" w:asciiTheme="minorEastAsia" w:hAnsiTheme="minorEastAsia" w:eastAsiaTheme="minorEastAsia"/>
                <w:sz w:val="20"/>
                <w:szCs w:val="20"/>
                <w:lang w:bidi="ar"/>
              </w:rPr>
              <w:br/>
              <w:t xml:space="preserve">2．在温度20℃、相对湿度55%RH、环境噪音不大于30dB的室内，用音叉槌适度轻敲音叉，距音叉1000mm处，声强应不低于90dB；</w:t>
            </w:r>
            <w:r>
              <w:rPr>
                <w:rFonts w:hint="eastAsia" w:cs="宋体" w:asciiTheme="minorEastAsia" w:hAnsiTheme="minorEastAsia" w:eastAsiaTheme="minorEastAsia"/>
                <w:sz w:val="20"/>
                <w:szCs w:val="20"/>
                <w:lang w:bidi="ar"/>
              </w:rPr>
              <w:br/>
              <w:t xml:space="preserve">3．单支音叉的频率及误差分别为：512Hz±0．4Hz；</w:t>
            </w:r>
            <w:r>
              <w:rPr>
                <w:rFonts w:hint="eastAsia" w:cs="宋体" w:asciiTheme="minorEastAsia" w:hAnsiTheme="minorEastAsia" w:eastAsiaTheme="minorEastAsia"/>
                <w:sz w:val="20"/>
                <w:szCs w:val="20"/>
                <w:lang w:bidi="ar"/>
              </w:rPr>
              <w:br/>
              <w:t xml:space="preserve">4．制造共鸣箱的木材应无节疤和裂痕，宜用泡桐、东北松或高密度板制造，所用木材应经过干燥处理，其含水率为12%～14%。共鸣箱箱体平整，胶合严密，无歪斜，无裂纹，插座与箱体应胶合牢固，使用时不应松动；</w:t>
            </w:r>
            <w:r>
              <w:rPr>
                <w:rFonts w:hint="eastAsia" w:cs="宋体" w:asciiTheme="minorEastAsia" w:hAnsiTheme="minorEastAsia" w:eastAsiaTheme="minorEastAsia"/>
                <w:sz w:val="20"/>
                <w:szCs w:val="20"/>
                <w:lang w:bidi="ar"/>
              </w:rPr>
              <w:br/>
              <w:t xml:space="preserve">5．音叉槌槌头用橡胶制造，槌杆用木材或塑料制造，槌头球径约26mm、杆长约180mm为宜。</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纵波演示器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中学物理演示纵波的传播、反射等；仪器采用支架（塑料）悬挂弹簧形式，全长110cm、Φ60mm螺旋弹簧自由悬挂在支架上，振源金属可上下调节，整套仪器包括机架1套（螺旋弹簧1套、振源2套）；连接杆10根；反光白布1块。</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声速测量仪</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触发器、传感器1、传感器2、支座、声源及连接导线等组成。1.声源频率大于5KHz。2.传感器间距：3-4米。3.工作电压：DC9V。4.触发器输出插孔2个，输入插孔2个，显示灯2个，复位开关、电源开关。塑料外壳，尺寸：130×65×85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共振音叉</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25"/>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声学仪器，供中、小学音乐教学中作定音及中学物理教学实验用。</w:t>
            </w:r>
            <w:r/>
          </w:p>
          <w:p>
            <w:pPr>
              <w:numPr>
                <w:ilvl w:val="0"/>
                <w:numId w:val="25"/>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音叉的频率为４４０±１Hz，频率误差为０．８Hz（在２０°Ｃ时）,</w:t>
            </w:r>
            <w:r/>
          </w:p>
          <w:p>
            <w:pPr>
              <w:numPr>
                <w:ilvl w:val="0"/>
                <w:numId w:val="25"/>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两支同频率音叉为一组，系用整块45#碳钢制成，棱角整齐，叉截面为：6.5mm×16mm,音叉臂长约109mm，臂间距：17mm。</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4、结构组成：音叉一对，共鸣箱一对（木质，180mm×90mm×53mm）,击锤1个，改变钢箍1个，底座带有4个橡胶垫，上方带有凸起音叉叉槽。</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纵横波演示器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中学物理演示纵波的传播、反射等；仪器采用支架（塑料）悬挂弹簧形式，全长110cm、Φ60mm螺旋弹簧自由悬挂在支架上，振源金属可上下调节，整套仪器包括机架1套（螺旋弹簧1套、振源2套）；连接杆10根；反光白布1块。</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绳波演示器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电动液晶显示式，产品由振荡频率显示器、控制面板、开关、紧绳柱、振荡杆、细线、定滑轮、张力砝码、刻度支架等构成。使用电源：220V 50Hz；2.有效刻度不小于100cm。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波动弹簧</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扁钢丝弹簧，表面电镀处理。弹簧外径不小于66mm，圈数不小于160。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波动演示器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产品由外壳、16个偏心轮、横波杆、纵波杆和质点组成。外壳应采用金属材料制成，表面烤漆处理，外形尺寸：500mm×215mm×270mm。正背面分别能演示纵、横波的形成及传播。</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1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发波水槽</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26"/>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用途：利用水波的投影显示波的形成、传播、反射、干涉和衍射等现象；</w:t>
            </w:r>
            <w:r/>
          </w:p>
          <w:p>
            <w:pPr>
              <w:numPr>
                <w:ilvl w:val="0"/>
                <w:numId w:val="26"/>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结构：主要由壳体、水槽、振动源,附件及光源等组成，水槽及壳体：水槽是用底部装有密封、透明玻璃的塑料盆制成：</w:t>
            </w:r>
            <w:r/>
          </w:p>
          <w:p>
            <w:pPr>
              <w:numPr>
                <w:ilvl w:val="0"/>
                <w:numId w:val="27"/>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壳体用塑料制成，上面放置水槽，正面竖直安装毛玻璃，作为水波投影屏幕，框架内部倾斜45°装有平面镜；</w:t>
            </w:r>
            <w:r/>
          </w:p>
          <w:p>
            <w:pPr>
              <w:numPr>
                <w:ilvl w:val="0"/>
                <w:numId w:val="27"/>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振源：振动源采用电磁、激励式，由电磁铁、电位器、振杆、振子、主板等组成；</w:t>
            </w:r>
            <w:r/>
          </w:p>
          <w:p>
            <w:pPr>
              <w:numPr>
                <w:ilvl w:val="0"/>
                <w:numId w:val="27"/>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光源：光源为盒式机械遮挡频闪光源，灯泡为12V 100W幻灯机溴钨灯，频闪器是由直流微型电动机驱动一个可旋转的遮挡叶片，盒的顶部开有散热窗；</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4、水槽发波附件为单振子、双振子、平面波振子及挡板2块。主机体规格尺寸：290mm×264mm×320mm。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发波水槽</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水槽、振源及附件组成。1.水槽由透明有机玻璃制成，尺寸：280mm×280mm×30mm，槽内四周均放有海棉。2.振源由振荡电路、弹簧片连接器构成，其频率可调。3.附件由圆波振子、双振子、横波振子、直档板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弹簧振子</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为气垫式。由导轨、滑块、弹簧、刻度尺、进气管等组成。1.导轨为塑料成型，工作面成90度的夹角，两面分布若干小孔，有效长度240mm。2.滑块采用透明塑料注塑成型，夹角为90度，滑块上有固定指针和弹簧的部位，长100mm。3.刻度尺为铝制，表面对称印刷0、2、4、6、8、10的刻线和数字。</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弹簧振子</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产品为立式结构。由底座、立杆、吊线锺、弹簧、刻度尺等构成。1.底板为木质，附脚。2.立杆采用直径不小于10mm圆钢制成，表面电镀处理。</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6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弹簧振子振动图像描绘器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自动稳定走纸。产品由弹簧振子装置、高压脉冲装置和卷纸机构三大主体构成。1.弹簧振子装置包含内置式气源、气垫导轨、弹簧、滑块等，气源能够为弹簧振子提供充足稳定的气流，保证弹簧振子滑块在气垫导轨上活动自入。</w:t>
            </w:r>
            <w:r/>
          </w:p>
          <w:p>
            <w:pPr>
              <w:numPr>
                <w:ilvl w:val="0"/>
                <w:numId w:val="24"/>
              </w:numPr>
              <w:jc w:val="left"/>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高压脉冲装置包含高压发生器和放电电极（放电针电极由放电针和电极板组成，放电针固定在振子滑块上，工作时随滑块一起运动）。</w:t>
            </w:r>
            <w:r/>
          </w:p>
          <w:p>
            <w:pPr>
              <w:numPr>
                <w:ilvl w:val="0"/>
                <w:numId w:val="24"/>
              </w:numPr>
              <w:jc w:val="left"/>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工作电压：AC220V  50Hz，电机功率：大于50W，脉冲电压：大于1000V  50Hz，描绘用纸：热敏纸（卷带），幅宽110mm，直径50mm。</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4.卷纸机构速度可调。</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9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简谐振动投影演示器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原理：利用激光通过振动弹片反射镜投影在光屏上所形成正弦余弦的规律变</w:t>
            </w:r>
            <w:r>
              <w:rPr>
                <w:rFonts w:hint="eastAsia" w:cs="宋体" w:asciiTheme="minorEastAsia" w:hAnsiTheme="minorEastAsia" w:eastAsiaTheme="minorEastAsia"/>
                <w:sz w:val="20"/>
                <w:szCs w:val="20"/>
                <w:lang w:bidi="ar"/>
              </w:rPr>
              <w:t xml:space="preserve">化。产品由塑料框架主体、激光源、振动弹片、入射光屏、电机、反射镜及支架等组成。1.塑料框架主体由框架、上板为白色塑料、下板为密度板，所有装置装在上板面上，外形尺寸：310mm×230mm×60mm。2.激光源为红色，在上板的相应位置，并有可调范围。3.振动弹片为表磷铜，长为100mm、宽12mm、厚0.3mm，固定可靠，振动灵活。4.入射光屏为六棱柱体，每面有平面镜，Φ60mm、高80mm。5.电机为直流低速电机，每分钟100转。6.反射镜及支架应为一体，反射镜的外形尺寸为：40mm×12mm×1.5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匀速圆周运动投影器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为主机、立杆、调节器、吊线球、质点、屏幕、电磁铁等组成。转速和摆长为可调式。演示为投影式。1.工作电压：DC6V。2.立杆直径8mm，长275mm，4根，表面电镀处理。3.质点材质为塑料，直径20mm。4.屏幕为透明有机玻璃制，表面磨砂，尺寸：210mm×130mm。5.整体采用木箱，主机固定在箱底上，外形尺寸：300mm×200mm×110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单摆组</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5个摆球。钢球3个，直径分别为19mm一个，Φ12mm2个；塑料球2个，直径分别为26mm一个，Φ20mm一个。全部带线，线长不小于1.2m。塑料盒包装，尺寸：85mm×55mm×33mm。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组</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单摆振动图像演示器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供中学物理教学中演示单摆简谐振动，能绘出简谐振动图像。产品由底座、低噪音直流电动机、画板、画笔、摆锤、电磁铁、开关、减速机构和摆长调节器组成。1.工作电压：DC6V；</w:t>
            </w:r>
            <w:r/>
          </w:p>
          <w:p>
            <w:pPr>
              <w:numPr>
                <w:ilvl w:val="0"/>
                <w:numId w:val="23"/>
              </w:numPr>
              <w:jc w:val="left"/>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画板为一长方形不透明的PVC塑料板；</w:t>
            </w:r>
            <w:r/>
          </w:p>
          <w:p>
            <w:pPr>
              <w:numPr>
                <w:ilvl w:val="0"/>
                <w:numId w:val="23"/>
              </w:numPr>
              <w:jc w:val="left"/>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开关两个，一个是电源总开关，一个是双掷开关，负责通断电磁铁和直流电机的电源。</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4.底座木质，尺寸：800mm×230mm×50mm。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单摆运动规律演示器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仪器结构：</w:t>
            </w:r>
            <w:r/>
          </w:p>
          <w:p>
            <w:pPr>
              <w:numPr>
                <w:ilvl w:val="0"/>
                <w:numId w:val="28"/>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T型立柱：立柱顶端装一横杆，横杆两头设两个悬点，供悬挂二个单摆使用；</w:t>
            </w:r>
            <w:r/>
          </w:p>
          <w:p>
            <w:pPr>
              <w:numPr>
                <w:ilvl w:val="0"/>
                <w:numId w:val="28"/>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圆盘座：Φ250mm，中心铁质圆柱（Φ42mm×8mm），底面三个螺钉；</w:t>
            </w:r>
            <w:r/>
          </w:p>
          <w:p>
            <w:pPr>
              <w:numPr>
                <w:ilvl w:val="0"/>
                <w:numId w:val="28"/>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台夹；</w:t>
            </w:r>
            <w:r/>
          </w:p>
          <w:p>
            <w:pPr>
              <w:numPr>
                <w:ilvl w:val="0"/>
                <w:numId w:val="28"/>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偏角标尺（塑料尺面）；</w:t>
            </w:r>
            <w:r/>
          </w:p>
          <w:p>
            <w:pPr>
              <w:numPr>
                <w:ilvl w:val="0"/>
                <w:numId w:val="28"/>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偏角指针；</w:t>
            </w:r>
            <w:r/>
          </w:p>
          <w:p>
            <w:pPr>
              <w:numPr>
                <w:ilvl w:val="0"/>
                <w:numId w:val="28"/>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摆球；</w:t>
            </w:r>
            <w:r/>
          </w:p>
          <w:p>
            <w:pPr>
              <w:numPr>
                <w:ilvl w:val="0"/>
                <w:numId w:val="28"/>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空腔摆球；</w:t>
            </w:r>
            <w:r/>
          </w:p>
          <w:p>
            <w:pPr>
              <w:numPr>
                <w:ilvl w:val="0"/>
                <w:numId w:val="28"/>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四通螺钉等。</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受迫振动和共振演示器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改变策动摆摆长，可分别使5个摆长不同的单摆共振。产品由支架、底座、5个塑料球、摆板及策动摆组成。1.支架采用冷轧板冲压成型，外形尺寸：440mm×335mm×25mm，表面防锈处理。2.底座为冷轧板成型，外形尺寸：400mm×130mm×20mm，表面防锈处理。3.塑料球直径25mm。3.策动摆为可调式。</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共振演示器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产品由弹簧振子、受偏心负载的变速装置、能摆动的在机玻璃板、画板、画笔以及底座等组成。</w:t>
            </w:r>
            <w:r/>
          </w:p>
          <w:p>
            <w:pPr>
              <w:numPr>
                <w:ilvl w:val="0"/>
                <w:numId w:val="29"/>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使用电源：DC12V，速度可调。</w:t>
            </w:r>
            <w:r/>
          </w:p>
          <w:p>
            <w:pPr>
              <w:numPr>
                <w:ilvl w:val="0"/>
                <w:numId w:val="29"/>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画板有效面积不小于110mm*80mm。</w:t>
            </w:r>
            <w:r/>
          </w:p>
          <w:p>
            <w:pPr>
              <w:numPr>
                <w:ilvl w:val="0"/>
                <w:numId w:val="29"/>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画笔头为磁性，可在画板上痕迹。</w:t>
            </w:r>
            <w:r/>
          </w:p>
          <w:p>
            <w:pPr>
              <w:numPr>
                <w:ilvl w:val="0"/>
                <w:numId w:val="29"/>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底座为铁制，表面处理，尺寸：240mm*145mm*5mm。</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5、摆动为透明材料，上下摆动灵活。</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内聚力演示器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由两个中空镶铅圆柱体、刮削器组成。1、铅柱分为红、蓝各1，每支上有挂钩，外形尺寸不小于：Φ20mm，长50mm。2、刮削器外壳为塑料，塑料筒内置刀片。</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空气压缩引火仪</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30"/>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由手柄、连杆、端盖、耐油橡皮圈、气缸体、底座等组成。</w:t>
            </w:r>
            <w:r/>
          </w:p>
          <w:p>
            <w:pPr>
              <w:numPr>
                <w:ilvl w:val="0"/>
                <w:numId w:val="30"/>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手柄和底座为塑料制品。</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3、气缸体为透明塑料注塑成型，表面光洁、透明。</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双金属片</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由铜、铁组成。该产品由长度≧200mm、宽≧20mm、厚≧0.3mm铜、铁板材各1片铆合而成，铆合应牢固</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5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气体做功内能减少演示器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热敏电阻演示。外形尺寸：长145mm×宽105mm×高155mm，产品由透明圆筒（内装热敏电阻）、酒精容器（置于透明圆筒内）、底座（盒体）、橡胶塞、塑料管及电路组成。</w:t>
            </w:r>
            <w:r/>
          </w:p>
          <w:p>
            <w:pPr>
              <w:numPr>
                <w:ilvl w:val="0"/>
                <w:numId w:val="3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透明圆筒应采用透明聚苯乙烯塑料注塑成型，壁厚≥2mm，外径45mm，高100mm。筒壁厚度均匀，无裂纹；与底座粘接牢固，无漏气；表面光洁、透明度良好，无条纹、无缩迹。</w:t>
            </w:r>
            <w:r/>
          </w:p>
          <w:p>
            <w:pPr>
              <w:numPr>
                <w:ilvl w:val="0"/>
                <w:numId w:val="3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酒精容器为塑料制品，置于透明圆筒内，且与底座固定可靠。</w:t>
            </w:r>
            <w:r/>
          </w:p>
          <w:p>
            <w:pPr>
              <w:numPr>
                <w:ilvl w:val="0"/>
                <w:numId w:val="3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橡胶塞应与出气孔配合良好。</w:t>
            </w:r>
            <w:r/>
          </w:p>
          <w:p>
            <w:pPr>
              <w:numPr>
                <w:ilvl w:val="0"/>
                <w:numId w:val="3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底座应为盒体，盒盖为底座，上面竖直固定透明圆筒、安装外接线柱、增益、调零旋扭及电源指示灯和开关。</w:t>
            </w:r>
            <w:r/>
          </w:p>
          <w:p>
            <w:pPr>
              <w:numPr>
                <w:ilvl w:val="0"/>
                <w:numId w:val="3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塑料管：长度≥300mm。</w:t>
            </w:r>
            <w:r/>
          </w:p>
          <w:p>
            <w:pPr>
              <w:numPr>
                <w:ilvl w:val="0"/>
                <w:numId w:val="3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演示效果可见度良好，直观明显。</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纸盆扬声器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32"/>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扬声器的阻抗8Ω，功率5W。</w:t>
            </w:r>
            <w:r/>
          </w:p>
          <w:p>
            <w:pPr>
              <w:numPr>
                <w:ilvl w:val="0"/>
                <w:numId w:val="32"/>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扬声器无杂音，演示效果明显。</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3、外径：165mm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油膜实验器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产品由油酸、无水酒精、盛水盘、刻度板、石松粉、针筒等组成。</w:t>
            </w:r>
            <w:r/>
          </w:p>
          <w:p>
            <w:pPr>
              <w:numPr>
                <w:ilvl w:val="0"/>
                <w:numId w:val="33"/>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盛水盘采用塑料注塑成型，盛液尺寸不小于245mm×245mm×30mm，并有刻度板限位机构；</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2.刻度板采用透明有机玻璃制成，刻度板表面印有刻线方格，最小方格为5mm，其中两个边上有毫米刻线，刻线清晰、无断线。</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浸润和不浸润现象演示器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用于高中物理教学中有关物体浸润和不浸润现象的演示实验。由透明塑料槽、洁净的玻璃片、涂蜡的玻璃片、胶头滴管组成。1.透明水槽外形尺寸：80mm×40mm×20mm。2.玻璃片尺寸：76mm×25mm×1mm。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液体表面张力演示器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供中学物理课讲述液体的表面张力进行演示实验或分组实验用。</w:t>
            </w:r>
            <w:r/>
          </w:p>
          <w:p>
            <w:pPr>
              <w:numPr>
                <w:ilvl w:val="0"/>
                <w:numId w:val="34"/>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产品由半球环、双环、棉线环、棉线圈环、金属框架、钢丝圈六件组成。</w:t>
            </w:r>
            <w:r/>
          </w:p>
          <w:p>
            <w:pPr>
              <w:numPr>
                <w:ilvl w:val="0"/>
                <w:numId w:val="34"/>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半球环、双环、、棉线圈环、金属框架采用用Φ1.5mm的钢丝制造，表面镀铬。手柄长度均不小于70mm。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液体表面张力实验器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供中学物理课讲述液体的表面张力进行演示实验或分组实验用。</w:t>
            </w:r>
            <w:r/>
          </w:p>
          <w:p>
            <w:pPr>
              <w:numPr>
                <w:ilvl w:val="0"/>
                <w:numId w:val="35"/>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产品由半球环、双环、棉线环、棉线圈环、金属框架、钢丝圈六件组成。</w:t>
            </w:r>
            <w:r/>
          </w:p>
          <w:p>
            <w:pPr>
              <w:numPr>
                <w:ilvl w:val="0"/>
                <w:numId w:val="35"/>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半球环、双环、、棉线圈环、金属框架采用用Φ1.5mm的钢丝制造，表面镀铬。手柄长度均不小于70mm。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毛细现象演示器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仪器由塑料盛液座、毛细管支架及五根内径大小不同的玻璃毛细管组成。盛液座及毛细管支架采用工程塑料制作，盛液座内空尺寸约为160mm×86mm×10mm，毛细管支架宽20mm，支架距盛液座底部高度不小于80mm；毛细管长度均为130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伽尔顿板(道尔顿板)</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1、道尔顿板是通过宏观的方法，通过钢珠下落过程中与铜钉列阵碰撞后，因钢珠的位置随机性来观察统计规律。</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2、仪器结构包括：漏斗、一组斜面、控制器、铜钉列阵、弧形导轨、木框（或塑料框）、狭槽、钢珠（或塑料球）、闸门、钢珠（或塑料球）出口、盒子、底脚。</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气体定律实验器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可验证玻意耳-马路特定律、查理定律、盖吕萨克定律和理想气体状态方程等。产品由气柱（玻璃或者是塑料）、固定夹和挂钩板组成。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1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玻意耳定律演示器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供高中物理教学课堂演示用，用于验证玻意耳-马路特定律和理想气体状态方程。结构：由尺度板、U型玻璃管、压力表和加压气囊、底座等组成。</w:t>
            </w:r>
            <w:r/>
          </w:p>
          <w:p>
            <w:pPr>
              <w:numPr>
                <w:ilvl w:val="0"/>
                <w:numId w:val="36"/>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尺度板采用厚度1mm金属材质一次成型，规格：432mm×152mm×10mm；板为白底红字，刻线中线为“0”刻线、两边刻线为20cm、每1cm一个刻线、10cm为一大刻线，数字分别为“0”、“5”、“10”、“15”、“20”，在尺度板上固定一U型管，U型管外径20mm，两中心距为60±3mm，长度不小于尺度板的长度尺寸 ，U型管口一端密封连接乳胶管橡胶塞及玻璃弯管，玻璃弯管外径8mm，长不小于35mm；另一端密封2.5级0.1圆形负压表，表与管之间应有放气阀门。</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2.底座采用厚度1.2mm金属材质一次成型，规格;265mm×143mm×20mm，表面烤黑漆。</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盖·吕萨克定律演示器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用于验证一定质量的某种气体在压强不变的情况下，其体积V与热力学温度T成正比，即V-T图像。产品由尺度板、玻璃管（V型、</w:t>
            </w:r>
            <w:r>
              <w:rPr>
                <w:rFonts w:ascii="Cambria Math" w:hAnsi="Cambria Math" w:cs="Cambria Math" w:eastAsiaTheme="minorEastAsia"/>
                <w:sz w:val="20"/>
                <w:szCs w:val="20"/>
                <w:lang w:bidi="ar"/>
              </w:rPr>
              <w:t xml:space="preserve">⌴</w:t>
            </w:r>
            <w:r>
              <w:rPr>
                <w:rFonts w:hint="eastAsia" w:cs="宋体" w:asciiTheme="minorEastAsia" w:hAnsiTheme="minorEastAsia" w:eastAsiaTheme="minorEastAsia"/>
                <w:sz w:val="20"/>
                <w:szCs w:val="20"/>
                <w:lang w:bidi="ar"/>
              </w:rPr>
              <w:t xml:space="preserve">型）、橡皮塞、橡皮管、烧瓶、温度计、支脚、胶头滴管等组成。玻璃器材由泡沫定位，515mm×85mm×60mm；尺度板由红字0～50cm单位刻度，规格：525mm×90mm；烧杯为100ml：110mm×60mm，开口直径38mm；橡皮塞规格：28mm×26mm；温度计由塑料盒装，红液0～100℃；橡皮管290mm×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5"/>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气压模拟演示器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产品由导向杆、配重块、透明桶、活动圆盘、塑料小球、振动板、底座（箱体）、电机调速</w:t>
            </w:r>
            <w:r>
              <w:rPr>
                <w:rFonts w:hint="eastAsia" w:cs="宋体" w:asciiTheme="minorEastAsia" w:hAnsiTheme="minorEastAsia" w:eastAsiaTheme="minorEastAsia"/>
                <w:sz w:val="20"/>
                <w:szCs w:val="20"/>
                <w:lang w:bidi="ar"/>
              </w:rPr>
              <w:t xml:space="preserve">旋钮、电源接线柱、电源开关等组成。</w:t>
            </w:r>
            <w:r/>
          </w:p>
          <w:p>
            <w:pPr>
              <w:numPr>
                <w:ilvl w:val="0"/>
                <w:numId w:val="37"/>
              </w:numPr>
              <w:jc w:val="left"/>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工作电压：DC14V。</w:t>
            </w:r>
            <w:r/>
          </w:p>
          <w:p>
            <w:pPr>
              <w:numPr>
                <w:ilvl w:val="0"/>
                <w:numId w:val="37"/>
              </w:numPr>
              <w:jc w:val="left"/>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透明桶外径105mm，深150mm。</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3.箱体为冷轧板制，表面烤漆处理，尺寸：130mm×130mm×110mm。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饱和水汽膨胀液化演示器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透明容器内能承受3个以上大气压，成雾明显，使用安全。产品由底座、打气筒、储气瓶、转能堵头、转能堵孔及堵头固定棒等组成。</w:t>
            </w:r>
            <w:r/>
          </w:p>
          <w:p>
            <w:pPr>
              <w:numPr>
                <w:ilvl w:val="0"/>
                <w:numId w:val="38"/>
              </w:numPr>
              <w:jc w:val="left"/>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底座采用冷轧板冲压成型，表面烤漆处理，尺寸：285mm×125mm×15mm。</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2.储气瓶为无色透明塑料瓶，安装、拆卸方便，密封良好。</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玻棒(附丝绸)</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有机玻棒(附丝绸)，教师用。</w:t>
            </w:r>
            <w:r/>
          </w:p>
          <w:p>
            <w:pPr>
              <w:numPr>
                <w:ilvl w:val="0"/>
                <w:numId w:val="39"/>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直径为12mm、长为295mm，一端为锥体，头部为球形状。</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2、丝绸尺寸不小于：150mm×150mm。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胶棒(附毛皮)</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聚碳酸酯棒(附毛皮)，教师用。</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1、直径为12mm、长为295mm，一端为锥体，头部为球形状。</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2、毛皮尺寸不小于：100mm×100mm。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箔片验电器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一对装。</w:t>
            </w:r>
            <w:r/>
          </w:p>
          <w:p>
            <w:pPr>
              <w:numPr>
                <w:ilvl w:val="0"/>
                <w:numId w:val="40"/>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本产品由塑料外壳、圆盘、导电杆、箔片等组成。 </w:t>
            </w:r>
            <w:r/>
          </w:p>
          <w:p>
            <w:pPr>
              <w:numPr>
                <w:ilvl w:val="0"/>
                <w:numId w:val="40"/>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外壳透光洁透明，无气泡及划痕。</w:t>
            </w:r>
            <w:r/>
          </w:p>
          <w:p>
            <w:pPr>
              <w:numPr>
                <w:ilvl w:val="0"/>
                <w:numId w:val="40"/>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圆盘（直径26mm）、导电杆（直径6mm）用金属制成，表面镀铬处理。</w:t>
            </w:r>
            <w:r/>
          </w:p>
          <w:p>
            <w:pPr>
              <w:numPr>
                <w:ilvl w:val="0"/>
                <w:numId w:val="40"/>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导电杆与外壳间有绝缘套管，安装后应无明显缝隙，取下方便。</w:t>
            </w:r>
            <w:r/>
          </w:p>
          <w:p>
            <w:pPr>
              <w:numPr>
                <w:ilvl w:val="0"/>
                <w:numId w:val="40"/>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金属箔片厚度不大于0.2mm，长度不小于20mm。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箔片验电器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学生用，一对装。</w:t>
            </w:r>
            <w:r/>
          </w:p>
          <w:p>
            <w:pPr>
              <w:numPr>
                <w:ilvl w:val="0"/>
                <w:numId w:val="41"/>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产品由透明外壳、导电杆、圆球及箔片组成。</w:t>
            </w:r>
            <w:r/>
          </w:p>
          <w:p>
            <w:pPr>
              <w:numPr>
                <w:ilvl w:val="0"/>
                <w:numId w:val="41"/>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箔片成条形，片体平整，无卷曲。长约25mm，宽3mm。</w:t>
            </w:r>
            <w:r/>
          </w:p>
          <w:p>
            <w:pPr>
              <w:numPr>
                <w:ilvl w:val="0"/>
                <w:numId w:val="41"/>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外壳采用透明塑料注塑成型，表面光洁明亮，无划痕。外形尺寸为50mm×30mm×60mm。</w:t>
            </w:r>
            <w:r/>
          </w:p>
          <w:p>
            <w:pPr>
              <w:numPr>
                <w:ilvl w:val="0"/>
                <w:numId w:val="41"/>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导电杆Φ4mm，高约45mm。5、圆球Φ10mm。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14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指针验电器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一对装。产品由底座、金属圆筒、绝缘套、金属杆、指针架、指针和接地接线柱组成。</w:t>
            </w:r>
            <w:r/>
          </w:p>
          <w:p>
            <w:pPr>
              <w:numPr>
                <w:ilvl w:val="0"/>
                <w:numId w:val="42"/>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金属筒Φ170mm,表面烤黑漆；底座采用塑料注塑料成型，Φ100mm。</w:t>
            </w:r>
            <w:r/>
          </w:p>
          <w:p>
            <w:pPr>
              <w:numPr>
                <w:ilvl w:val="0"/>
                <w:numId w:val="42"/>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仪器整体结构：在圆底座上装着一个金属圆筒，圆筒的前面装有透明玻璃，后面装有附刻度线的毛玻璃，上壁装有绝缘套筒，一根金属杆穿过套筒，插入圆筒内，金属杆下部装有竖直的指针架，一根指针装在指针架的水平轴上，并可绕轴灵活转动，圆筒下壁一侧装有一个接线柱，用来外壳接地。</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感应起电机</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43"/>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环境温度：-10~40℃。</w:t>
            </w:r>
            <w:r/>
          </w:p>
          <w:p>
            <w:pPr>
              <w:numPr>
                <w:ilvl w:val="0"/>
                <w:numId w:val="43"/>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起电盘直径：235mm。</w:t>
            </w:r>
            <w:r/>
          </w:p>
          <w:p>
            <w:pPr>
              <w:numPr>
                <w:ilvl w:val="0"/>
                <w:numId w:val="43"/>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放电距离：在相对湿度为65%的环境中火花放电距离≥30mm。</w:t>
            </w:r>
            <w:r/>
          </w:p>
          <w:p>
            <w:pPr>
              <w:numPr>
                <w:ilvl w:val="0"/>
                <w:numId w:val="43"/>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本仪器由底座、莱顿瓶、支架、放电叉绝缘柄、集电杆、放电叉杆、导电层、中和电刷（感应电刷）、电刷杆、上轴及上轴螺钉、莱顿瓶盖、导电弹簧、大皮带轮、连接片组成。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枕形导体</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用于演示静电感应和感应起电。结构：二只金属制成的空心圆筒，空心圆筒外形尺寸为Φ60mm±1mm，高约68mm；一端为半球面，另一端为平口，将二只圆筒的平口对合起来，就成为一个枕形导体，每只导体均有绝缘支杆及底座。支杆为有机玻璃Φ12mm，高110mm；底座Φ85mm，高约13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36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小灯座</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1．小灯座由底板、接线柱，灯座组成；</w:t>
            </w:r>
            <w:r>
              <w:rPr>
                <w:rFonts w:hint="eastAsia" w:cs="宋体" w:asciiTheme="minorEastAsia" w:hAnsiTheme="minorEastAsia" w:eastAsiaTheme="minorEastAsia"/>
                <w:sz w:val="20"/>
                <w:szCs w:val="20"/>
                <w:lang w:bidi="ar"/>
              </w:rPr>
              <w:br/>
              <w:t xml:space="preserve">2．小灯座为插口、螺旋两用式灯座与E10／13、E10／14、1c9／14等小电珠配用；</w:t>
            </w:r>
            <w:r>
              <w:rPr>
                <w:rFonts w:hint="eastAsia" w:cs="宋体" w:asciiTheme="minorEastAsia" w:hAnsiTheme="minorEastAsia" w:eastAsiaTheme="minorEastAsia"/>
                <w:sz w:val="20"/>
                <w:szCs w:val="20"/>
                <w:lang w:bidi="ar"/>
              </w:rPr>
              <w:br/>
              <w:t xml:space="preserve">3．小灯座最高工作电压为36V，最大工作电流为2．5A；</w:t>
            </w:r>
            <w:r>
              <w:rPr>
                <w:rFonts w:hint="eastAsia" w:cs="宋体" w:asciiTheme="minorEastAsia" w:hAnsiTheme="minorEastAsia" w:eastAsiaTheme="minorEastAsia"/>
                <w:sz w:val="20"/>
                <w:szCs w:val="20"/>
                <w:lang w:bidi="ar"/>
              </w:rPr>
              <w:br/>
              <w:t xml:space="preserve">4．底座用黑色塑料制成，表面平整光洁；外形尺寸约75×35×10mm，底座上有两个直径为4.5mm的安装孔，孔的中心距离为40±0．5mm；应有足够的强度；</w:t>
            </w:r>
            <w:r>
              <w:rPr>
                <w:rFonts w:hint="eastAsia" w:cs="宋体" w:asciiTheme="minorEastAsia" w:hAnsiTheme="minorEastAsia" w:eastAsiaTheme="minorEastAsia"/>
                <w:sz w:val="20"/>
                <w:szCs w:val="20"/>
                <w:lang w:bidi="ar"/>
              </w:rPr>
              <w:br/>
              <w:t xml:space="preserve">5．接线柱为644型，行程不小于6mm；</w:t>
            </w:r>
            <w:r>
              <w:rPr>
                <w:rFonts w:hint="eastAsia" w:cs="宋体" w:asciiTheme="minorEastAsia" w:hAnsiTheme="minorEastAsia" w:eastAsiaTheme="minorEastAsia"/>
                <w:sz w:val="20"/>
                <w:szCs w:val="20"/>
                <w:lang w:bidi="ar"/>
              </w:rPr>
              <w:br/>
              <w:t xml:space="preserve">6．灯座用厚0．5～0．6mm的磷铜片制做，表面镀镍；灯座与两接线柱之间用宽8mm的铜片连接和灯座为一整体；</w:t>
            </w:r>
            <w:r>
              <w:rPr>
                <w:rFonts w:hint="eastAsia" w:cs="宋体" w:asciiTheme="minorEastAsia" w:hAnsiTheme="minorEastAsia" w:eastAsiaTheme="minorEastAsia"/>
                <w:sz w:val="20"/>
                <w:szCs w:val="20"/>
                <w:lang w:bidi="ar"/>
              </w:rPr>
              <w:br/>
              <w:t xml:space="preserve">7．小灯座上所有螺丝、螺母、垫片均为铜质；</w:t>
            </w:r>
            <w:r>
              <w:rPr>
                <w:rFonts w:hint="eastAsia" w:cs="宋体" w:asciiTheme="minorEastAsia" w:hAnsiTheme="minorEastAsia" w:eastAsiaTheme="minorEastAsia"/>
                <w:sz w:val="20"/>
                <w:szCs w:val="20"/>
                <w:lang w:bidi="ar"/>
              </w:rPr>
              <w:br/>
              <w:t xml:space="preserve">8．小电珠旋入后，应接触良好可靠，不应有接触不良或短路；</w:t>
            </w:r>
            <w:r>
              <w:rPr>
                <w:rFonts w:hint="eastAsia" w:cs="宋体" w:asciiTheme="minorEastAsia" w:hAnsiTheme="minorEastAsia" w:eastAsiaTheme="minorEastAsia"/>
                <w:sz w:val="20"/>
                <w:szCs w:val="20"/>
                <w:lang w:bidi="ar"/>
              </w:rPr>
              <w:br/>
              <w:t xml:space="preserve">9．未旋入小电珠时，两接线柱间电阻不小于100MΩ；</w:t>
            </w:r>
            <w:r>
              <w:rPr>
                <w:rFonts w:hint="eastAsia" w:cs="宋体" w:asciiTheme="minorEastAsia" w:hAnsiTheme="minorEastAsia" w:eastAsiaTheme="minorEastAsia"/>
                <w:sz w:val="20"/>
                <w:szCs w:val="20"/>
                <w:lang w:bidi="ar"/>
              </w:rPr>
              <w:br/>
              <w:t xml:space="preserve">10．未旋入小电珠时，两接线柱间抗电强度为500V。</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8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单刀开关</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1．开关的最高工作电压36V，额定工作电流6A；</w:t>
            </w:r>
            <w:r>
              <w:rPr>
                <w:rFonts w:hint="eastAsia" w:cs="宋体" w:asciiTheme="minorEastAsia" w:hAnsiTheme="minorEastAsia" w:eastAsiaTheme="minorEastAsia"/>
                <w:sz w:val="20"/>
                <w:szCs w:val="20"/>
                <w:lang w:bidi="ar"/>
              </w:rPr>
              <w:br/>
              <w:t xml:space="preserve">2．开关闸刀与接线柱及垫片均为铜质，闸刀的宽度不小于7mm，闸刀厚度不小于0．7mm；接线柱直径为Φ4mm，有效行程不小于4mm；</w:t>
            </w:r>
            <w:r>
              <w:rPr>
                <w:rFonts w:hint="eastAsia" w:cs="宋体" w:asciiTheme="minorEastAsia" w:hAnsiTheme="minorEastAsia" w:eastAsiaTheme="minorEastAsia"/>
                <w:sz w:val="20"/>
                <w:szCs w:val="20"/>
                <w:lang w:bidi="ar"/>
              </w:rPr>
              <w:br/>
              <w:t xml:space="preserve">3．开关通额定电流，导电部分允许温升不大于35℃，操作手柄允许温升不大于25℃；</w:t>
            </w:r>
            <w:r>
              <w:rPr>
                <w:rFonts w:hint="eastAsia" w:cs="宋体" w:asciiTheme="minorEastAsia" w:hAnsiTheme="minorEastAsia" w:eastAsiaTheme="minorEastAsia"/>
                <w:sz w:val="20"/>
                <w:szCs w:val="20"/>
                <w:lang w:bidi="ar"/>
              </w:rPr>
              <w:br/>
              <w:t xml:space="preserve">4．开关的绝缘强度应能承受1200V，漏电流为5mA，频率50Hz的正弦交流试验电压历时1min的耐压试验，应无飞弧、无击穿现象；</w:t>
            </w:r>
            <w:r>
              <w:rPr>
                <w:rFonts w:hint="eastAsia" w:cs="宋体" w:asciiTheme="minorEastAsia" w:hAnsiTheme="minorEastAsia" w:eastAsiaTheme="minorEastAsia"/>
                <w:sz w:val="20"/>
                <w:szCs w:val="20"/>
                <w:lang w:bidi="ar"/>
              </w:rPr>
              <w:br/>
              <w:t xml:space="preserve">5．开关在额定直流电流工作条件下，其接线两端直流电压降应不大于100mV；</w:t>
            </w:r>
            <w:r>
              <w:rPr>
                <w:rFonts w:hint="eastAsia" w:cs="宋体" w:asciiTheme="minorEastAsia" w:hAnsiTheme="minorEastAsia" w:eastAsiaTheme="minorEastAsia"/>
                <w:sz w:val="20"/>
                <w:szCs w:val="20"/>
                <w:lang w:bidi="ar"/>
              </w:rPr>
              <w:br/>
              <w:t xml:space="preserve">6．开关在高温50±2℃和低温－40±2℃各贮存4h，其工作性能不变；</w:t>
            </w:r>
            <w:r>
              <w:rPr>
                <w:rFonts w:hint="eastAsia" w:cs="宋体" w:asciiTheme="minorEastAsia" w:hAnsiTheme="minorEastAsia" w:eastAsiaTheme="minorEastAsia"/>
                <w:sz w:val="20"/>
                <w:szCs w:val="20"/>
                <w:lang w:bidi="ar"/>
              </w:rPr>
              <w:br/>
              <w:t xml:space="preserve">7．开关应具有足够的强度。</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36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1．技术规格：电阻20Ω；额定电流2A；</w:t>
            </w:r>
            <w:r>
              <w:rPr>
                <w:rFonts w:hint="eastAsia" w:cs="宋体" w:asciiTheme="minorEastAsia" w:hAnsiTheme="minorEastAsia" w:eastAsiaTheme="minorEastAsia"/>
                <w:sz w:val="20"/>
                <w:szCs w:val="20"/>
                <w:lang w:bidi="ar"/>
              </w:rPr>
              <w:br/>
              <w:t xml:space="preserve">2．电阻值误差应小于10％；</w:t>
            </w:r>
            <w:r>
              <w:rPr>
                <w:rFonts w:hint="eastAsia" w:cs="宋体" w:asciiTheme="minorEastAsia" w:hAnsiTheme="minorEastAsia" w:eastAsiaTheme="minorEastAsia"/>
                <w:sz w:val="20"/>
                <w:szCs w:val="20"/>
                <w:lang w:bidi="ar"/>
              </w:rPr>
              <w:br/>
              <w:t xml:space="preserve">3．滑动变阻器绕线应紧密排齐、平整；</w:t>
            </w:r>
            <w:r>
              <w:rPr>
                <w:rFonts w:hint="eastAsia" w:cs="宋体" w:asciiTheme="minorEastAsia" w:hAnsiTheme="minorEastAsia" w:eastAsiaTheme="minorEastAsia"/>
                <w:sz w:val="20"/>
                <w:szCs w:val="20"/>
                <w:lang w:bidi="ar"/>
              </w:rPr>
              <w:br/>
              <w:t xml:space="preserve">4．电阻线绝缘层承受不低于1．5kV的电压不被击穿；滑动变阻器承受1．5kV的电压试验，不应出现飞弧或击穿现象；</w:t>
            </w:r>
            <w:r>
              <w:rPr>
                <w:rFonts w:hint="eastAsia" w:cs="宋体" w:asciiTheme="minorEastAsia" w:hAnsiTheme="minorEastAsia" w:eastAsiaTheme="minorEastAsia"/>
                <w:sz w:val="20"/>
                <w:szCs w:val="20"/>
                <w:lang w:bidi="ar"/>
              </w:rPr>
              <w:br/>
              <w:t xml:space="preserve">5．在额定电流下工作时，温升不应超过300℃，试验后绕线无松动，绝缘层无破损现象；</w:t>
            </w:r>
            <w:r>
              <w:rPr>
                <w:rFonts w:hint="eastAsia" w:cs="宋体" w:asciiTheme="minorEastAsia" w:hAnsiTheme="minorEastAsia" w:eastAsiaTheme="minorEastAsia"/>
                <w:sz w:val="20"/>
                <w:szCs w:val="20"/>
                <w:lang w:bidi="ar"/>
              </w:rPr>
              <w:br/>
              <w:t xml:space="preserve">6．瓷管表面上釉，光滑平整，无裂纹；</w:t>
            </w:r>
            <w:r>
              <w:rPr>
                <w:rFonts w:hint="eastAsia" w:cs="宋体" w:asciiTheme="minorEastAsia" w:hAnsiTheme="minorEastAsia" w:eastAsiaTheme="minorEastAsia"/>
                <w:sz w:val="20"/>
                <w:szCs w:val="20"/>
                <w:lang w:bidi="ar"/>
              </w:rPr>
              <w:br/>
              <w:t xml:space="preserve">7．常温常湿条件下绝缘电阻应大于20MΩ；</w:t>
            </w:r>
            <w:r>
              <w:rPr>
                <w:rFonts w:hint="eastAsia" w:cs="宋体" w:asciiTheme="minorEastAsia" w:hAnsiTheme="minorEastAsia" w:eastAsiaTheme="minorEastAsia"/>
                <w:sz w:val="20"/>
                <w:szCs w:val="20"/>
                <w:lang w:bidi="ar"/>
              </w:rPr>
              <w:br/>
              <w:t xml:space="preserve">8．滑动头与电阻线、滑杆保持良好的弹性接触，触头应圆滑，压力均匀，滑动应顺畅；滑动头在电阻线上滑动时，电阻值应均匀变化，不得有间断跳跃现象；</w:t>
            </w:r>
            <w:r>
              <w:rPr>
                <w:rFonts w:hint="eastAsia" w:cs="宋体" w:asciiTheme="minorEastAsia" w:hAnsiTheme="minorEastAsia" w:eastAsiaTheme="minorEastAsia"/>
                <w:sz w:val="20"/>
                <w:szCs w:val="20"/>
                <w:lang w:bidi="ar"/>
              </w:rPr>
              <w:br/>
              <w:t xml:space="preserve">9．支架、护罩采用金属材料制成，与绕线电阻管和滑杆结合牢固、端正，放置平稳。</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36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1．技术规格：电阻50Ω；额定电流1．5A；</w:t>
            </w:r>
            <w:r>
              <w:rPr>
                <w:rFonts w:hint="eastAsia" w:cs="宋体" w:asciiTheme="minorEastAsia" w:hAnsiTheme="minorEastAsia" w:eastAsiaTheme="minorEastAsia"/>
                <w:sz w:val="20"/>
                <w:szCs w:val="20"/>
                <w:lang w:bidi="ar"/>
              </w:rPr>
              <w:br/>
              <w:t xml:space="preserve">2．电阻值误差应小于10％；</w:t>
            </w:r>
            <w:r>
              <w:rPr>
                <w:rFonts w:hint="eastAsia" w:cs="宋体" w:asciiTheme="minorEastAsia" w:hAnsiTheme="minorEastAsia" w:eastAsiaTheme="minorEastAsia"/>
                <w:sz w:val="20"/>
                <w:szCs w:val="20"/>
                <w:lang w:bidi="ar"/>
              </w:rPr>
              <w:br/>
              <w:t xml:space="preserve">3．滑动变阻器绕线应紧密排齐、平整；</w:t>
            </w:r>
            <w:r>
              <w:rPr>
                <w:rFonts w:hint="eastAsia" w:cs="宋体" w:asciiTheme="minorEastAsia" w:hAnsiTheme="minorEastAsia" w:eastAsiaTheme="minorEastAsia"/>
                <w:sz w:val="20"/>
                <w:szCs w:val="20"/>
                <w:lang w:bidi="ar"/>
              </w:rPr>
              <w:br/>
              <w:t xml:space="preserve">4．电阻线绝缘层承受不低于1．5kV的电压不被击穿；滑动变阻器承受1．5kV的电压试验，不应出现飞弧或击穿现象；</w:t>
            </w:r>
            <w:r>
              <w:rPr>
                <w:rFonts w:hint="eastAsia" w:cs="宋体" w:asciiTheme="minorEastAsia" w:hAnsiTheme="minorEastAsia" w:eastAsiaTheme="minorEastAsia"/>
                <w:sz w:val="20"/>
                <w:szCs w:val="20"/>
                <w:lang w:bidi="ar"/>
              </w:rPr>
              <w:br/>
              <w:t xml:space="preserve">5．在额定电流下工作时，温升不应超过300℃，试验后绕线无松动，绝缘层无破损现象；</w:t>
            </w:r>
            <w:r>
              <w:rPr>
                <w:rFonts w:hint="eastAsia" w:cs="宋体" w:asciiTheme="minorEastAsia" w:hAnsiTheme="minorEastAsia" w:eastAsiaTheme="minorEastAsia"/>
                <w:sz w:val="20"/>
                <w:szCs w:val="20"/>
                <w:lang w:bidi="ar"/>
              </w:rPr>
              <w:br/>
              <w:t xml:space="preserve">6．瓷管表面上釉，光滑平整，无裂纹；</w:t>
            </w:r>
            <w:r>
              <w:rPr>
                <w:rFonts w:hint="eastAsia" w:cs="宋体" w:asciiTheme="minorEastAsia" w:hAnsiTheme="minorEastAsia" w:eastAsiaTheme="minorEastAsia"/>
                <w:sz w:val="20"/>
                <w:szCs w:val="20"/>
                <w:lang w:bidi="ar"/>
              </w:rPr>
              <w:br/>
              <w:t xml:space="preserve">7．常温常湿条件下绝缘电阻应大于20MΩ；</w:t>
            </w:r>
            <w:r>
              <w:rPr>
                <w:rFonts w:hint="eastAsia" w:cs="宋体" w:asciiTheme="minorEastAsia" w:hAnsiTheme="minorEastAsia" w:eastAsiaTheme="minorEastAsia"/>
                <w:sz w:val="20"/>
                <w:szCs w:val="20"/>
                <w:lang w:bidi="ar"/>
              </w:rPr>
              <w:br/>
              <w:t xml:space="preserve">8．滑动头与电阻线、滑杆保持良好的弹性接触，触头应圆滑，压力均匀，滑动应顺畅；滑动头在电阻线上滑动时，电阻值应均匀变化，不得有间断跳跃现象；</w:t>
            </w:r>
            <w:r>
              <w:rPr>
                <w:rFonts w:hint="eastAsia" w:cs="宋体" w:asciiTheme="minorEastAsia" w:hAnsiTheme="minorEastAsia" w:eastAsiaTheme="minorEastAsia"/>
                <w:sz w:val="20"/>
                <w:szCs w:val="20"/>
                <w:lang w:bidi="ar"/>
              </w:rPr>
              <w:br/>
              <w:t xml:space="preserve">9．支架、护罩采用金属材料制成，与绕线电阻管和滑杆结合牢固、端正，放置平稳。</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Ω、1.25A。产品主要由线绕瓷管、滑动头、滑杆、支架、接线柱等部件组成。线绕瓷管用有氧化膜绝缘层的铜镍合金电阻丝密绕在瓷管上构成；滑动头电刷采用0.5mm厚的钢板成型，滑片宽度14mm；滑杆采用不小于Φ6mm的圆钢制作，滑杆总长度约300mm；支架采用1mm厚的冷轧板成型。产品外形尺寸约：320×90×140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电阻定律演示器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1、电学仪器，供中学演示金属导体电阻定律用。2、木质底板尺寸：1050mm×130mm×15mm， 3、 三种金属导线 分别为：铜丝（Φ0.5mm），铁丝（Φ0.5mm），镍铬丝（Φ0.5mm）2个组成。4、三种线的有效长度均为1000mm。  </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电阻定律实验器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44"/>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电学仪器，供中学演示金属导体电阻定律用。 </w:t>
            </w:r>
            <w:r/>
          </w:p>
          <w:p>
            <w:pPr>
              <w:numPr>
                <w:ilvl w:val="0"/>
                <w:numId w:val="44"/>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由塑料底板，三种金属导线 分别为：铜丝（Φ0.5mm），铁丝（Φ0.5mm），镍铬丝（Φ0.5mm）2条组成。</w:t>
            </w:r>
            <w:r/>
          </w:p>
          <w:p>
            <w:pPr>
              <w:numPr>
                <w:ilvl w:val="0"/>
                <w:numId w:val="44"/>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有效长度均为500mm。    </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16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演示线路实验板</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中演示组，纸箱包装：外形尺寸：530mm×380mm×150mm，底板（6块）单板面积为360mm×240mm，分布96个小孔，纵横距离30mm。并由塑料插座，空位插座，电池座盒（1.5V），开关，紧固销，插头接线、紧压器，吊环，走线插座组成。均由ABS工程塑料制成。</w:t>
            </w:r>
            <w:r/>
          </w:p>
          <w:p>
            <w:pPr>
              <w:numPr>
                <w:ilvl w:val="0"/>
                <w:numId w:val="45"/>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该实验板根据实验需要能拼接成所要求大小的示教板，在其面上能插各种装有元件的插座进行演示实验。将实验板拆开后可作为学生用实验板，学生在其上进行各种学生试验。</w:t>
            </w:r>
            <w:r/>
          </w:p>
          <w:p>
            <w:pPr>
              <w:numPr>
                <w:ilvl w:val="0"/>
                <w:numId w:val="45"/>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线路实验板为拼接式，由线路底板、三角支板、紧固销。吊环等组成。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学生线路实验板</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供学生分组实验用。主要组成：线路底板（由ABS工程塑料制成，单板面积为360×240mm，板面上均布等间距的96个小孔）2块、 元器件插座、电池插座、开关、空位插座、接插线、小插接座及实验配套器材等组成。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单刀双掷开关</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底座、接线柱，闸刀，刀座，双刀承和绝缘手柄组成。开关的最高工作电压36V，额定工作电流6A。底座为塑料注塑成型,尺寸:77mm×35mm×9mm。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双刀双掷开关</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底座、接线柱，双闸刀，刀座，双刀承和绝缘手柄组成。开关的最高工作电压36V，额定工作电流6A。底座为塑料注塑成型,尺寸:75mm×53mm×10mm。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7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焦耳定律演示器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1、焦耳定律演示器主要由以下配件组成：</w:t>
            </w:r>
            <w:r>
              <w:rPr>
                <w:rFonts w:hint="eastAsia" w:cs="宋体" w:asciiTheme="minorEastAsia" w:hAnsiTheme="minorEastAsia" w:eastAsiaTheme="minorEastAsia"/>
                <w:sz w:val="20"/>
                <w:szCs w:val="20"/>
                <w:lang w:bidi="ar"/>
              </w:rPr>
              <w:br/>
              <w:t xml:space="preserve">1.1、示教板      1套；</w:t>
            </w:r>
            <w:r>
              <w:rPr>
                <w:rFonts w:hint="eastAsia" w:cs="宋体" w:asciiTheme="minorEastAsia" w:hAnsiTheme="minorEastAsia" w:eastAsiaTheme="minorEastAsia"/>
                <w:sz w:val="20"/>
                <w:szCs w:val="20"/>
                <w:lang w:bidi="ar"/>
              </w:rPr>
              <w:br/>
              <w:t xml:space="preserve">1.2、带电阻容器  4个；</w:t>
            </w:r>
            <w:r>
              <w:rPr>
                <w:rFonts w:hint="eastAsia" w:cs="宋体" w:asciiTheme="minorEastAsia" w:hAnsiTheme="minorEastAsia" w:eastAsiaTheme="minorEastAsia"/>
                <w:sz w:val="20"/>
                <w:szCs w:val="20"/>
                <w:lang w:bidi="ar"/>
              </w:rPr>
              <w:br/>
              <w:t xml:space="preserve">1.3、支撑脚      2个；</w:t>
            </w:r>
            <w:r>
              <w:rPr>
                <w:rFonts w:hint="eastAsia" w:cs="宋体" w:asciiTheme="minorEastAsia" w:hAnsiTheme="minorEastAsia" w:eastAsiaTheme="minorEastAsia"/>
                <w:sz w:val="20"/>
                <w:szCs w:val="20"/>
                <w:lang w:bidi="ar"/>
              </w:rPr>
              <w:br/>
              <w:t xml:space="preserve">1.4、连接线      8根；</w:t>
            </w:r>
            <w:r>
              <w:rPr>
                <w:rFonts w:hint="eastAsia" w:cs="宋体" w:asciiTheme="minorEastAsia" w:hAnsiTheme="minorEastAsia" w:eastAsiaTheme="minorEastAsia"/>
                <w:sz w:val="20"/>
                <w:szCs w:val="20"/>
                <w:lang w:bidi="ar"/>
              </w:rPr>
              <w:br/>
              <w:t xml:space="preserve">2、焦耳定律演示器为数字显示，工作电压DC12V。</w:t>
            </w:r>
            <w:r>
              <w:rPr>
                <w:rFonts w:hint="eastAsia" w:cs="宋体" w:asciiTheme="minorEastAsia" w:hAnsiTheme="minorEastAsia" w:eastAsiaTheme="minorEastAsia"/>
                <w:sz w:val="20"/>
                <w:szCs w:val="20"/>
                <w:lang w:bidi="ar"/>
              </w:rPr>
              <w:br/>
              <w:t xml:space="preserve">3、示教板采用优质工程塑料ABS制作，规格尺寸不小于295X255X25mm。</w:t>
            </w:r>
            <w:r>
              <w:rPr>
                <w:rFonts w:hint="eastAsia" w:cs="宋体" w:asciiTheme="minorEastAsia" w:hAnsiTheme="minorEastAsia" w:eastAsiaTheme="minorEastAsia"/>
                <w:sz w:val="20"/>
                <w:szCs w:val="20"/>
                <w:lang w:bidi="ar"/>
              </w:rPr>
              <w:br/>
              <w:t xml:space="preserve">  3.1、示教板左上方安装A、C数字显示屏，右上方安装B、C数字显示屏。</w:t>
            </w:r>
            <w:r>
              <w:rPr>
                <w:rFonts w:hint="eastAsia" w:cs="宋体" w:asciiTheme="minorEastAsia" w:hAnsiTheme="minorEastAsia" w:eastAsiaTheme="minorEastAsia"/>
                <w:sz w:val="20"/>
                <w:szCs w:val="20"/>
                <w:lang w:bidi="ar"/>
              </w:rPr>
              <w:br/>
              <w:t xml:space="preserve">  3.2、左中安装电流开关，中间安装单和双电阻输入端子和传感器探头引线。</w:t>
            </w:r>
            <w:r>
              <w:rPr>
                <w:rFonts w:hint="eastAsia" w:cs="宋体" w:asciiTheme="minorEastAsia" w:hAnsiTheme="minorEastAsia" w:eastAsiaTheme="minorEastAsia"/>
                <w:sz w:val="20"/>
                <w:szCs w:val="20"/>
                <w:lang w:bidi="ar"/>
              </w:rPr>
              <w:br/>
              <w:t xml:space="preserve">  3.3、开关下面安装DC12V电流输入端子，正、负标注清晰。</w:t>
            </w:r>
            <w:r>
              <w:rPr>
                <w:rFonts w:hint="eastAsia" w:cs="宋体" w:asciiTheme="minorEastAsia" w:hAnsiTheme="minorEastAsia" w:eastAsiaTheme="minorEastAsia"/>
                <w:sz w:val="20"/>
                <w:szCs w:val="20"/>
                <w:lang w:bidi="ar"/>
              </w:rPr>
              <w:br/>
              <w:t xml:space="preserve">  3.4、下方安装溶器托架，托架与溶器配合应松紧良好，平稳无倾斜现象。</w:t>
            </w:r>
            <w:r>
              <w:rPr>
                <w:rFonts w:hint="eastAsia" w:cs="宋体" w:asciiTheme="minorEastAsia" w:hAnsiTheme="minorEastAsia" w:eastAsiaTheme="minorEastAsia"/>
                <w:sz w:val="20"/>
                <w:szCs w:val="20"/>
                <w:lang w:bidi="ar"/>
              </w:rPr>
              <w:br/>
              <w:t xml:space="preserve">  3.5、示教板两侧开有飞机孔，便于安装支撑脚。</w:t>
            </w:r>
            <w:r>
              <w:rPr>
                <w:rFonts w:hint="eastAsia" w:cs="宋体" w:asciiTheme="minorEastAsia" w:hAnsiTheme="minorEastAsia" w:eastAsiaTheme="minorEastAsia"/>
                <w:sz w:val="20"/>
                <w:szCs w:val="20"/>
                <w:lang w:bidi="ar"/>
              </w:rPr>
              <w:br/>
              <w:t xml:space="preserve">4、组装后的示教板应排列规范、美观、印刷清晰。</w:t>
            </w:r>
            <w:r>
              <w:rPr>
                <w:rFonts w:hint="eastAsia" w:cs="宋体" w:asciiTheme="minorEastAsia" w:hAnsiTheme="minorEastAsia" w:eastAsiaTheme="minorEastAsia"/>
                <w:sz w:val="20"/>
                <w:szCs w:val="20"/>
                <w:lang w:bidi="ar"/>
              </w:rPr>
              <w:br/>
              <w:t xml:space="preserve">5、带电阻容器采用透明塑料制作，外形尺寸不小于57X36X61mm，应有R1~R5标注，其中R1为5Ω，R2、R3、R4均为10Ω，接线装置固定牢靠。</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6、支撑脚采ABS工程塑料制作，尺寸不小于115X13X120mm，抱住示教板推到位后，应摆放平稳，无脱落现象。</w:t>
            </w:r>
            <w:r>
              <w:rPr>
                <w:rFonts w:hint="eastAsia" w:cs="宋体" w:asciiTheme="minorEastAsia" w:hAnsiTheme="minorEastAsia" w:eastAsiaTheme="minorEastAsia"/>
                <w:sz w:val="20"/>
                <w:szCs w:val="20"/>
                <w:lang w:bidi="ar"/>
              </w:rPr>
              <w:br/>
              <w:t xml:space="preserve">7、连接线一端用鱼叉，另一端用香蕉插，长度不小于100mm和400mm。</w:t>
            </w:r>
            <w:r>
              <w:rPr>
                <w:rFonts w:hint="eastAsia" w:cs="宋体" w:asciiTheme="minorEastAsia" w:hAnsiTheme="minorEastAsia" w:eastAsiaTheme="minorEastAsia"/>
                <w:sz w:val="20"/>
                <w:szCs w:val="20"/>
                <w:lang w:bidi="ar"/>
              </w:rPr>
              <w:br/>
              <w:t xml:space="preserve">8、组合后的焦耳定律演示器，通电后按教学内容要求实验，应性能稳定、效果明显正确。</w:t>
            </w:r>
            <w:r>
              <w:rPr>
                <w:rFonts w:hint="eastAsia" w:cs="宋体" w:asciiTheme="minorEastAsia" w:hAnsiTheme="minorEastAsia" w:eastAsiaTheme="minorEastAsia"/>
                <w:sz w:val="20"/>
                <w:szCs w:val="20"/>
                <w:lang w:bidi="ar"/>
              </w:rPr>
              <w:br/>
              <w:t xml:space="preserve">9、工作条件：</w:t>
            </w:r>
            <w:r>
              <w:rPr>
                <w:rFonts w:hint="eastAsia" w:cs="宋体" w:asciiTheme="minorEastAsia" w:hAnsiTheme="minorEastAsia" w:eastAsiaTheme="minorEastAsia"/>
                <w:sz w:val="20"/>
                <w:szCs w:val="20"/>
                <w:lang w:bidi="ar"/>
              </w:rPr>
              <w:br/>
              <w:t xml:space="preserve">9.1工作电压：DC12V；</w:t>
            </w:r>
            <w:r>
              <w:rPr>
                <w:rFonts w:hint="eastAsia" w:cs="宋体" w:asciiTheme="minorEastAsia" w:hAnsiTheme="minorEastAsia" w:eastAsiaTheme="minorEastAsia"/>
                <w:sz w:val="20"/>
                <w:szCs w:val="20"/>
                <w:lang w:bidi="ar"/>
              </w:rPr>
              <w:br/>
              <w:t xml:space="preserve">9.2工作环境：-10~40℃；</w:t>
            </w:r>
            <w:r>
              <w:rPr>
                <w:rFonts w:hint="eastAsia" w:cs="宋体" w:asciiTheme="minorEastAsia" w:hAnsiTheme="minorEastAsia" w:eastAsiaTheme="minorEastAsia"/>
                <w:sz w:val="20"/>
                <w:szCs w:val="20"/>
                <w:lang w:bidi="ar"/>
              </w:rPr>
              <w:br/>
              <w:t xml:space="preserve">9.3相对湿度：≤85％；</w:t>
            </w:r>
            <w:r>
              <w:rPr>
                <w:rFonts w:hint="eastAsia" w:cs="宋体" w:asciiTheme="minorEastAsia" w:hAnsiTheme="minorEastAsia" w:eastAsiaTheme="minorEastAsia"/>
                <w:sz w:val="20"/>
                <w:szCs w:val="20"/>
                <w:lang w:bidi="ar"/>
              </w:rPr>
              <w:br/>
              <w:t xml:space="preserve">9.4加温时间：单次不超过10分钟；</w:t>
            </w:r>
            <w:r>
              <w:rPr>
                <w:rFonts w:hint="eastAsia" w:cs="宋体" w:asciiTheme="minorEastAsia" w:hAnsiTheme="minorEastAsia" w:eastAsiaTheme="minorEastAsia"/>
                <w:sz w:val="20"/>
                <w:szCs w:val="20"/>
                <w:lang w:bidi="ar"/>
              </w:rPr>
              <w:br/>
              <w:t xml:space="preserve">9.5加温温度：≤70℃.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保险丝作用演示器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46"/>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面板尺寸；450mm×310mm。</w:t>
            </w:r>
            <w:r/>
          </w:p>
          <w:p>
            <w:pPr>
              <w:numPr>
                <w:ilvl w:val="0"/>
                <w:numId w:val="46"/>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面板布局合理、标志字迹清晰、插接使用方便。</w:t>
            </w:r>
            <w:r/>
          </w:p>
          <w:p>
            <w:pPr>
              <w:numPr>
                <w:ilvl w:val="0"/>
                <w:numId w:val="46"/>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外接电压：220V 50Hz，电流表1只。</w:t>
            </w:r>
            <w:r/>
          </w:p>
          <w:p>
            <w:pPr>
              <w:numPr>
                <w:ilvl w:val="0"/>
                <w:numId w:val="46"/>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配置12V 21W灯泡1只，12V 10W灯泡1只。</w:t>
            </w:r>
            <w:r/>
          </w:p>
          <w:p>
            <w:pPr>
              <w:numPr>
                <w:ilvl w:val="0"/>
                <w:numId w:val="46"/>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演示直观，可见度好。</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范氏起电机</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由蓄电球、集电梳、皮带轮、有机玻璃圆筒、橡胶带、电动机、白炽灯、放电球、放电球绝缘杆和底座组成。蓄电球Φ200mm，放电球的Φ60mm，火花距离≥50mm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球形导体</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球形导体由球体、绝缘支杆、底座三部分组成。球体采用金属空芯球体，表面镀镍，球体直径约90mm，绝缘支杆与底座总高度约100mm，支杆Φ10mm，底座底径100mm。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验电器连接杆</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产品由绝缘手柄、连接杆、紧固螺钉构成。绝缘手柄采用直径Φ12mm的有机玻璃棒制作，长度不小于130mm；连接杆采用直径不小于Φ2mm的钢丝制作，长度约200mm，一端成形为“∨”形。</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移电球(验电球)</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产品由绝缘手柄及金属球构成。绝缘手柄采用Φ12mm的有机玻璃棒制作，长度不小于90mm；金属球采用约Φ16mm钢球，表面镀铬。金属球与绝缘手柄端面接触良好，螺接牢靠。</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验电羽</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底座、支架、丝线固定卡、丝线等组成，每套配两只。底座采用工程塑料制作，尺寸为Φ69mm×12mm；支架采用Φ3.5mm的金属杆制作，支杆高度100mm；丝线固定卡采用厚度为0.5mm金属板成型，固定卡Φ27mm；丝线颜色为红色，线径约1mm，丝线均匀分布在固定卡周边，根数不少于45根，丝线下垂长度不小于50mm。产品外形尺寸约Φ69×120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验电幡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铜丝网、红丝线、支柱、底座等组成。铜丝网为平纹黄铜丝网，目数：200目/吋，铜丝网尺寸为360×105mm；红丝线Φ1×150mm，共8根，悬挂在铜丝网两侧。支柱共3根，采用Φ5mm铜管制作，长度160mm，3根支杆分别固定在铜丝网的两端及中心位置；支座采用工程塑料制作，底座3个，底座底径Φ40mm，高度28mm。将带支杆的铜丝网插入底座组成验电幡，产品组装后总高度约190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尖形布电器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主体采用金属材质，由一个圆柱形和锥形焊接而成，规格：Φ70×160mm，塑料底座，中间用塑料支杆连接，整体高约200mm.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正负电荷检验器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本仪器适用于中学物理实验，它可以检验摩擦起电的电荷、电容等带电体的正负，以及演示静电感应。1.检验器的探头为金属制品，表面镀铬处理；2.检验器上的红灯指示为正电荷，绿灯指示为负电荷。</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静电实验箱</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为组合式教具，主要由圆锥底座3个，金属立杆2根，电场线小瓶3个，电场力盒，微静电观察盒、验电羽小球，泡沫球2个，植绒盒，电子风轮，消烟除尘装置，燃气爆发装置，香座及香，抗静电液等组成。产品与电子起电机配用，可完成电场力(静电乒乓)实验；电场线实验；静电屏蔽实验；微静电观察盒实验；钟摆小球实验；验电羽实验；电子风轮实验（静电电动机）；燃气爆发实验；避雷针实验；静电除尘实验；静电植绒实验等多种静电实验。</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14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金属网罩</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用于演示在电荷平衡时，导体内部的电场强度等于零，从而说明静电屏蔽原理。产品由金属网罩、金属底盘、底座及连接器等组成。1.金属网罩采用直径0.9mm的镀锌铁丝编制而成，外径约200mm，高约230mm。2.金属底盘采用厚0.4mm镀锌板冲压成型，直径220mm。3.底座采用塑料注塑成型，直径100mm。4.连接器为全金属制，由直径14mm钢球、直径5mm金属杆、金属吊链及限位柱构成，金属表面电镀处理。</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电荷间作用力演示器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本演示器由底座、立板、导体球、轻质导电球、导电球连线、绝缘支架、滑块、连接导线组成。导体球Φ83mm，轻质导电球Φ30mm。外形尺寸约400mm×105mm×405mm。绝缘横杆悬挂可移动轻球，带竖立座标面。</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电荷间作用力实验器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产品由底座、支杆、大球、小球等组成。大小球采用不锈钢材料制成，小球直径不大于25mm。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库仑定律演示器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仪器由测微器、悬丝、平衡组、小筒体、大筒体、定球组、底座、三脚架和阻尼器组成。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电场线演示器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产品由五块电场线演示板组成，分别为单点电极演示板、双点电极演示板、平行板电极演示板、环形电极演示板、尖形导体演示板。演示板采用透明性好的“372”材料制作，由盒座和盒盖组成，盒座内注满机油和适量发屑后与盒盖密封良好，五块演示板外形尺寸均为95×80×6.5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电势演示仪</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产品由导电玻璃、带坐标孔的透明塑料板、接线柱、表笔一对、白纸、复写纸、导电纸各1张组成。</w:t>
            </w:r>
            <w:r/>
          </w:p>
          <w:p>
            <w:pPr>
              <w:numPr>
                <w:ilvl w:val="0"/>
                <w:numId w:val="47"/>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导电玻璃板的一面为导电的，尺寸：237mm×200mm×5mm。</w:t>
            </w:r>
            <w:r/>
          </w:p>
          <w:p>
            <w:pPr>
              <w:numPr>
                <w:ilvl w:val="0"/>
                <w:numId w:val="47"/>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带坐标孔的透明板孔径1.8mm，两孔间距20mm，尺寸：237mm×200mm×3mm。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等势线描绘实验器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产品由底座、导电纸2张、白纸50张、复写纸10张、固定架、表笔等组成。底座为塑料注塑成型，外形尺寸：180mm×120mm×14mm。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平行板电容器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产品由两块圆形铝板、绝缘板一块、支杆、底脚构成。</w:t>
            </w:r>
            <w:r/>
          </w:p>
          <w:p>
            <w:pPr>
              <w:numPr>
                <w:ilvl w:val="0"/>
                <w:numId w:val="48"/>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铝板和绝缘板直径应相同，直径220mm，厚1mm。</w:t>
            </w:r>
            <w:r/>
          </w:p>
          <w:p>
            <w:pPr>
              <w:numPr>
                <w:ilvl w:val="0"/>
                <w:numId w:val="48"/>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绝缘板手柄采用透明有机玻璃制，直径15mm，长115mm。</w:t>
            </w:r>
            <w:r/>
          </w:p>
          <w:p>
            <w:pPr>
              <w:numPr>
                <w:ilvl w:val="0"/>
                <w:numId w:val="48"/>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铝板支杆采用透明有机玻璃制，直径12mm、长70mm。4.底脚为大半圆形，直径90mm，内有配重。</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电场中带电粒子运动模拟演示器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演示模拟电场中带电粒子加速、偏转，由模拟屏、加速旋钮、偏转旋钮等组成，工作电压220V，50Hz.模拟屏由12块规格约40mm×40mm带8×8个发光二极管的电路板组成，仪器整体规格约250mm×200mm×45mm.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常用电容器示教板</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演示板、电解电容器、云母电容器、陶瓷电容器、薄膜电容器、贴片电容器、微调电容器、可变电容器等组成。演示板为木质，外形尺寸不小于400mm×300mm，带悬挂装置。演示板上均印刷元件符号，图形明显。</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常用电阻器示教板</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演示板、定值电阻(碳膜电阻、金属膜电阻、绕线电阻、水泥电阻等)、可变电阻(电位器等)、特殊电阻(热敏电阻、光敏电阻等组成。演示板为木质，外形尺寸不小于400mm×300mm，带悬挂装置。演示板上均印刷元件符号，图形明显。</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演示可调内阻电池</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产品由电池槽、溢水槽、盖板、探针、下负极板、气咀、气室、气管、开关、气筒等组成。</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1.电池槽和溢水槽均采用透明塑料注塑成型，外形尺寸约：210mm×85mm×90mm。2.正负极板尺寸约：50mm×43mm。3.探针采用宽度约10mm，可固定于电池槽内。</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3.气筒采用不小于50ml的注射器。5.正负极板和探针上均安装有接线柱。</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演示电桥</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产品由木质支架、米尺、康铜丝、滑块按键、接线柱等组成。</w:t>
            </w:r>
            <w:r/>
          </w:p>
          <w:p>
            <w:pPr>
              <w:numPr>
                <w:ilvl w:val="0"/>
                <w:numId w:val="49"/>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电阻丝有效长度为1000mm，线径不大于0.3mm的锰铜丝，电阻丝的一端固定在刻度尺上，另一端有松紧调节装置；</w:t>
            </w:r>
            <w:r/>
          </w:p>
          <w:p>
            <w:pPr>
              <w:numPr>
                <w:ilvl w:val="0"/>
                <w:numId w:val="49"/>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刻度尺要质地均匀平直，无痕迹，无裂缝，有效刻度1000mm；</w:t>
            </w:r>
            <w:r/>
          </w:p>
          <w:p>
            <w:pPr>
              <w:numPr>
                <w:ilvl w:val="0"/>
                <w:numId w:val="49"/>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滑键、滑块用无色透明塑料制成，能灵活滑动，按键用指针式，位于滑块中间，用厚0.2－0.4mm锡磷青铜皮制成；</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4.支架应采用木制品。</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条形磁铁</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铝铁碳，180mm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蹄形磁铁</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铝铁碳，100mm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产品由透明有机成型盒内装细铁粉、配条形磁铁组成。透明有机成型盒外形尺寸：200mm×110mm×30mm，盒体下部一角应有释放铁粉的螺丝孔。</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53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立体磁感线演示器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50"/>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用于初中物理演示永磁体磁场的存在及磁力线的空间分布。</w:t>
            </w:r>
            <w:r/>
          </w:p>
          <w:p>
            <w:pPr>
              <w:numPr>
                <w:ilvl w:val="0"/>
                <w:numId w:val="50"/>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仪器由条形磁铁及六个矩形透明磁感应板立片、蹄形磁铁及月牙形透明磁感应板和固定支架组成。</w:t>
            </w:r>
            <w:r/>
          </w:p>
          <w:p>
            <w:pPr>
              <w:numPr>
                <w:ilvl w:val="0"/>
                <w:numId w:val="50"/>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透明磁感应板上装有多个小磁针，磁针转动灵活，其板面应平整光洁、无碰伤、无划痕、无毛刺。</w:t>
            </w:r>
            <w:r/>
          </w:p>
          <w:p>
            <w:pPr>
              <w:numPr>
                <w:ilvl w:val="0"/>
                <w:numId w:val="50"/>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透明磁感应板和固定支架易于组装插合。演示时显示磁力线分布的立体空间形状明显、直观。</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5、形磁铁和蹄形磁铁应符合JY 0057—94《教学用磁钢》第4章的有关要求。</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磁感线演示板</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产品由有孔塑料板、小磁针、脚及条形磁铁组成。</w:t>
            </w:r>
            <w:r/>
          </w:p>
          <w:p>
            <w:pPr>
              <w:numPr>
                <w:ilvl w:val="0"/>
                <w:numId w:val="5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塑料板为透明有机板注塑成形，内封小针576个，外形尺寸为250mm×250mm。2、小磁针直径约1mm，长约4mm，为黑色，磁针在板内孔中应转动灵活。</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3、脚为塑料，高为12mm。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电流磁场演示器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产品由透明底座、方线圈、圆线圈、螺线管各一块组成。</w:t>
            </w:r>
            <w:r/>
          </w:p>
          <w:p>
            <w:pPr>
              <w:numPr>
                <w:ilvl w:val="0"/>
                <w:numId w:val="52"/>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底座尺寸分别为：178×138×38mm一块和140×88×38mm地二块。</w:t>
            </w:r>
            <w:r/>
          </w:p>
          <w:p>
            <w:pPr>
              <w:numPr>
                <w:ilvl w:val="0"/>
                <w:numId w:val="52"/>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方线圈（60×60mm),圆线圈（Φ35mm），螺线管（Φ55mm）采用优质铜线。</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菱形小磁针</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一套16个，带底座，小磁针宽大于3mm </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翼形磁针</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53"/>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磁学仪器，供演示磁体的指向性和磁极的相互作用。</w:t>
            </w:r>
            <w:r/>
          </w:p>
          <w:p>
            <w:pPr>
              <w:numPr>
                <w:ilvl w:val="0"/>
                <w:numId w:val="53"/>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有垂直翼形针体和支座两部分。一对装。</w:t>
            </w:r>
            <w:r/>
          </w:p>
          <w:p>
            <w:pPr>
              <w:numPr>
                <w:ilvl w:val="0"/>
                <w:numId w:val="53"/>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磁针长度140mm、宽8mm，塑料底座直径70mm。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演示原副线圈</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54"/>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演示原副线圈由演示原线圈、演示付线圈、铁芯三部分组成。</w:t>
            </w:r>
            <w:r/>
          </w:p>
          <w:p>
            <w:pPr>
              <w:numPr>
                <w:ilvl w:val="0"/>
                <w:numId w:val="54"/>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原线圈：内径13±0.5mm，外径22±1mm，直径0.59漆包线平绕，绕线长度63mm。</w:t>
            </w:r>
            <w:r/>
          </w:p>
          <w:p>
            <w:pPr>
              <w:numPr>
                <w:ilvl w:val="0"/>
                <w:numId w:val="54"/>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副线圈：内径35±1mm，外径49±1mm，直径0.27漆包线平绕，绕线长度67mm。</w:t>
            </w:r>
            <w:r/>
          </w:p>
          <w:p>
            <w:pPr>
              <w:numPr>
                <w:ilvl w:val="0"/>
                <w:numId w:val="54"/>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铁芯：Φ 12mm；长度80mm。</w:t>
            </w:r>
            <w:r/>
          </w:p>
          <w:p>
            <w:pPr>
              <w:numPr>
                <w:ilvl w:val="0"/>
                <w:numId w:val="54"/>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外形尺寸：66mm×66mm×110mm。</w:t>
            </w:r>
            <w:r/>
          </w:p>
          <w:p>
            <w:pPr>
              <w:numPr>
                <w:ilvl w:val="0"/>
                <w:numId w:val="54"/>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线圈骨架用黑色塑料制成，表面光洁，付线圈底座平整，直立于平面时不应晃动。</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原副线圈</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55"/>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原副线圈由原线圈、副线圈、软铁芯三部分组成。</w:t>
            </w:r>
            <w:r/>
          </w:p>
          <w:p>
            <w:pPr>
              <w:numPr>
                <w:ilvl w:val="0"/>
                <w:numId w:val="55"/>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原线圈骨架：圆筒内径 11mm；圆筒外径 15mm；绕线宽度 57mm。</w:t>
            </w:r>
            <w:r/>
          </w:p>
          <w:p>
            <w:pPr>
              <w:numPr>
                <w:ilvl w:val="0"/>
                <w:numId w:val="55"/>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付线圈骨架：圆筒内径 24mm；圆筒外径 30mm；绕线宽度 50mm。</w:t>
            </w:r>
            <w:r/>
          </w:p>
          <w:p>
            <w:pPr>
              <w:numPr>
                <w:ilvl w:val="0"/>
                <w:numId w:val="55"/>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铁芯：Φ 10mm；长度 不小于77mm。</w:t>
            </w:r>
            <w:r/>
          </w:p>
          <w:p>
            <w:pPr>
              <w:numPr>
                <w:ilvl w:val="0"/>
                <w:numId w:val="55"/>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外形尺寸：60mm×40mm×88mm。</w:t>
            </w:r>
            <w:r/>
          </w:p>
          <w:p>
            <w:pPr>
              <w:numPr>
                <w:ilvl w:val="0"/>
                <w:numId w:val="55"/>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原付线圈骨架用黑色塑料制成，表面光洁。付线圈底座平整，直立于平面时不应晃动。</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演示电磁继电器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用，主要由电磁系统和触点系统两部分组成。电磁系统包括：电磁线圈、铁芯、轭铁、衔铁，触点系统包括：常开、常闭触点各一对。卧式或立式吸合电流不大于48mA。金属表面电镀处理。底座尺寸：167mm×106mm×22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左右手定则演示器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 符合JY0001－2003《教学仪器一般质量要求》的有关规定。</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手摇交直流发电机</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学仪器，供中学物理演示交直流发电机的结构和工作原理使用，可兼作小功率电源；结构：由定子、转子，电刷、转动机构、集流环（或换向器）、小灯座，底板等组成。1.底板采用木制，尺寸：290mm×200mm×15mm。2.空载电压不小于8V，负载电压不小于4V。</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阴极射线管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磁效应管</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阴极射线管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示直进管</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阴极射线管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机械效应管</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阴极射线管</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静电偏转管</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低频信号发生器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56"/>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信号范围：20Hz～20kHz，有功率输出。</w:t>
            </w:r>
            <w:r/>
          </w:p>
          <w:p>
            <w:pPr>
              <w:numPr>
                <w:ilvl w:val="0"/>
                <w:numId w:val="56"/>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工作环境条件：温度 0～40℃ 相对湿度 不大于90%（40℃）。</w:t>
            </w:r>
            <w:r/>
          </w:p>
          <w:p>
            <w:pPr>
              <w:numPr>
                <w:ilvl w:val="0"/>
                <w:numId w:val="56"/>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使用电源：交流 220V±22V  50Hz±2.5Hz。</w:t>
            </w:r>
            <w:r/>
          </w:p>
          <w:p>
            <w:pPr>
              <w:numPr>
                <w:ilvl w:val="0"/>
                <w:numId w:val="56"/>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安全要求：教学用信号发生器应装有保护接地端子。</w:t>
            </w:r>
            <w:r/>
          </w:p>
          <w:p>
            <w:pPr>
              <w:numPr>
                <w:ilvl w:val="0"/>
                <w:numId w:val="56"/>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绝缘电阻：不小于20MΩ。</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6、电压试验：1.5kV（漏电流5mA），不应出现飞弧和击穿。</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高频信号发生器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金属外壳，尺寸：140mm×100mm×200mm。指标：</w:t>
            </w:r>
            <w:r/>
          </w:p>
          <w:p>
            <w:pPr>
              <w:numPr>
                <w:ilvl w:val="0"/>
                <w:numId w:val="57"/>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高频信号频率范围：400KHz-130MHz，5个频段。</w:t>
            </w:r>
            <w:r/>
          </w:p>
          <w:p>
            <w:pPr>
              <w:numPr>
                <w:ilvl w:val="0"/>
                <w:numId w:val="57"/>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频率刻度误差小于5%。</w:t>
            </w:r>
            <w:r/>
          </w:p>
          <w:p>
            <w:pPr>
              <w:numPr>
                <w:ilvl w:val="0"/>
                <w:numId w:val="57"/>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高频信号输出幅度：第1-4频段大于300mV 连续可调；第5频段大于50mV 连续可调。</w:t>
            </w:r>
            <w:r/>
          </w:p>
          <w:p>
            <w:pPr>
              <w:numPr>
                <w:ilvl w:val="0"/>
                <w:numId w:val="57"/>
              </w:numPr>
              <w:widowControl/>
              <w:tabs>
                <w:tab w:val="left" w:pos="312" w:leader="none"/>
              </w:tabs>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高频信号衰减：0dB、-20dB、二档。5.高频信号调幅度：大于20%。</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5.使用电源：220V。</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教学信号发生器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外壳，尺寸：280mm×170mm×100mm。指标：高频正弦波：400kHz－1700KHz分段可调。低频频率范围：1、400kHz－2.5kHz分五档调整，2、方波500Hz－1.5kHz分三档调整，3、锯齿波500Hz－3kHz连续可调，4、超低频：正弦波0.3－0.5Hz，5、频率显示：4位0.5时数字显示。5、工作电压：220V。</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学生信号发生器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性能：1.输出频率范围：高频正弦波Ⅰ频段500kHz～1700kHz连续可调，Ⅱ频段400KHz-580KHz，连续可调；低频正弦波500Hz、1KHz、1.5KHz、2KHz、2.5KHz。2.频率显示：刻度指示式。3.输出信号电压：高频大于200mV，低频小于400mV。4.输出增幅：高低频的输出增幅均为无级连续可调。5.电源：AC220V。6.机壳为金属制，表面烤漆处理，尺寸：140mm×90mm×200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条形强磁体</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磁感应强度≥0.8T</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蹄形强磁体</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磁感应强度≥0.8T</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强磁针</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高磁能积磁体。1.由垂直翼形针体和支座两部分。一对装。2.磁针长度140mm、宽11mm，塑料底座直径70mm。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16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通电平行直导线相互作用演示器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58"/>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产品由主机、平行直导线、连接杆2根、连接板、指针及连接线等组成。</w:t>
            </w:r>
            <w:r/>
          </w:p>
          <w:p>
            <w:pPr>
              <w:numPr>
                <w:ilvl w:val="0"/>
                <w:numId w:val="58"/>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工作条件：电源220V、50Hz。</w:t>
            </w:r>
            <w:r/>
          </w:p>
          <w:p>
            <w:pPr>
              <w:numPr>
                <w:ilvl w:val="0"/>
                <w:numId w:val="58"/>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两银点之间距离为30±2mm，两平行直导线为铜管，直径4mm，长不小于380mm；铜管两端为Z型，并与两触点接合，接合部位为点接触。</w:t>
            </w:r>
            <w:r/>
          </w:p>
          <w:p>
            <w:pPr>
              <w:numPr>
                <w:ilvl w:val="0"/>
                <w:numId w:val="58"/>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电源功率100W；开路电压4.5V；工作电流150A。通电动可连续操作不小于15次。</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5、连接板为塑料注塑成型，尺寸：190mm×40mm×9mm，两银触点在连接板上可调。6、主机外壳采用塑料注塑成型，圆形，分为底盒和盖，底盒外径205mm、高110mm；盖直径240mm。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电流天平</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用于演示磁场对电流的作用F与电流I、磁感应强度B、及通电导体长度L成正比（即F=BIL)这一规律，同时可用来测定磁感应强度B（B=F/IL）。结构：底座、线圈、立柱、刻度盘、天平臂。</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安培定则演示器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供高中物理教师演示安培力磁感应强度的教学演示实验。仪器由底座、勾强磁铁整体（采用金属结构）、可动导轨（2个）、直导线（150mm铜管、50mm铜管）、连接线（2条）、细砂皮组成。底座上有一透明PVC145mm×185m面板并带有可变换电流方向指示片，规格：270mm×185mm×20mm；勾强磁铁呈H型，可在投影机进行投影，并有磁极性显示；导轨规格：55mm×205mm，调节之间距离，可演示通过电流方向与磁场方向垂直或平行两种情况下产生安培力的作用。</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安培力实验器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用于中学物理探究通电导体在磁场中的受力情况。仪器由带轨道的底座、U型磁铁、空心铜管、框型导线等组成。底座采用塑料注塑成型，外形尺寸：110mm×75mm×13mm。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自感现象演示器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产品由演示板、电路图、指示灯、变压器等组成。1.演示板外形尺寸不小于460mm×320mm；2.演示自感现象中通电与断电时的两种现象应明显；通电现象采用2个6V 0.5A的小电珠，断电现象采用白发红发光二极管。3.原理图线清晰，正确，无断线等现象；4.输入电压：DC6V。</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电磁感应演示器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器是由磁极主体、磁力线演示板、直交流转动线圈模型、软线圈、方形线圈、直导线等组成。1.磁极主体是用漆包线绕制成多匝方形线圈，并在绕圈中间紧密放了钢片，分上下两块，每块外形尺寸：200mm×130mm×25mm。2.磁力线演示板的底板为绝缘材料，钢针9枚。3.三种转动线圈模型为一体，由底座、线圈、支架、碳刷、铜环等构成，底座尺寸：160mm×65mm×10mm，线圈骨架外尺寸：80mm×55mm×15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楞次定律演示器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塑料圆形底盘直径66mm，一个开口铝环，一个闭口铝环。纸盒规格180×79×33mm。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电磁阻尼演示器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基本结构：仪器由具有铁芯的电感线圈、电容器、晶体管等元器件和带有原理图的面板组成。不能使用驱动放大电路。 面板要求：面板电路应具有阻尼振荡和等幅振荡原理图。振动 ：振动频率30HZ，驱动振幅0.2MM。操作简便，结构合理，符合高中新课改实验教学要求。</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动能发电手电筒</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由按柄、齿轮、线圈、磁性飞轮、LED灯泡等组成。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6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单匝线圈电机原理演示器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底座、接线柱、转子、强磁铁等构成。能演示交流电的产生原理和演示直流电动机实验。效果明显。1.底座尺寸不小于290mm×190mm。2.转子由支架、换向器、碳刷、转轴、线圈构成。支架为厚1.5mm冷轧板冲压成型，表面电镀处理；换向器为两个半圆铜环，内为绝缘芯；碳刷为厚不大于0.3mm磷铜加工制成；转轴为直径6mm，长不小于100mm铝棒加工制成；线圈为单股漆包线，直径为1mm，组成长方形的尺寸为65mm×45mm；强磁外形尺寸为70mm×30mm×15mm。磁场强度不低于0.07T。</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三相电机原理演示器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包括永磁式和电磁式旋转磁场两部分，与手摇三相交流发电机配套使用，说明旋转磁场的性质和三相感应电动机原理，当绕组线电压10V，供电电流150mA时，磁针，铝框，鼠笼应能正常转动。</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手摇三相交流发电机</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三相交流电。结构由定子绕阻、发电机转子、轴承支架、机座支架、接线柱、木质底座（368mm×282mm×17mm）、Y/△接线板、Y接法负载板和三相不平衡中性线带点负载板、传动齿轮、△接法负载板、接线板：168mm×17mm×3mm，二、用途：演示三相交流电的产生和三相电路的连接法，并可作为小功率低压三相电源。三、技术特点：励磁电压为6V，转速：1500转/分，输出频率为25Hz。</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三线电子开关</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教学示波器和学生示</w:t>
            </w:r>
            <w:r>
              <w:rPr>
                <w:rFonts w:hint="eastAsia" w:cs="宋体" w:asciiTheme="minorEastAsia" w:hAnsiTheme="minorEastAsia" w:eastAsiaTheme="minorEastAsia"/>
                <w:sz w:val="20"/>
                <w:szCs w:val="20"/>
                <w:lang w:bidi="ar"/>
              </w:rPr>
              <w:t xml:space="preserve">波器配套的教学仪器，可使示波器同时显示三种信号波形，供学校课堂教学演示及学生课外实验使用；仪器采用集成电路和晶体管混合电路。性能：1.电子开关部分：输入阻抗100KΩ/40PF；输入信号小于10V；开关频率100Hz-100KHz；放大倍数大于3；相对位移大于和等于6V；增幅器调节比等于和大于10；输入端ABC间隔离比大于30dB；输出极性与输入相同，BC可反相。2.信号发生器：波开为方波、阶梯波；频率范围100Hz-10KHz。3.工作电压：AC220V。4.机体尺寸：255mm×115mm×110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交流电路特性演示器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产品由演示板、电流表、电压表、电感、连接插孔等组成。演示板尺寸不小于460mm×320mm。能演示纯电阻电路、纯电容电路、纯电感电路三种。</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可拆变压器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59"/>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单相芯式结构,铁芯以优质钢矽片冲制并经绝缘处理,U型铁芯及条形铁轭为可拆式。</w:t>
            </w:r>
            <w:r/>
          </w:p>
          <w:p>
            <w:pPr>
              <w:numPr>
                <w:ilvl w:val="0"/>
                <w:numId w:val="59"/>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线圈骨架用塑料压制。</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3、可演示远距离输电、变压器效率，还可进行变压器初、次级线圈间电压和电流与匝数关系的定量演示。</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小型变压器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电学实验中用于学习变压器构造（铁芯初级线圈、次级线圈）及初、次级间电压，电流与线圈绕线匝数的关系时使用。结构：由铁芯：高硅钢片，线圈：高强度漆包线等组成。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变压器原理说明器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供中学物理演示实验中作变压器原理的定量演示用。仪器由：线圈2件、U型铁芯2件、条形铁轭1件、极掌2件、压板螺钉2件、强阻尼摆1件、弱阻尼摆1件、摆架1件、示教板1套（规格：215×155mm）、感应线圈1件、铝环1件、低压小灯泡5只（6V、15A4只，1.5V0.2A1只）等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日光灯原理演示器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电感式镇流器。由日光灯、镇流器、启辉器及座、开关、指示灯、电流表、螺口灯座、面板带支座等组成。日光灯220V 20W、镇流器220V 20W、电流表0～1A、面板尺寸：535mm×355mm×60mm。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5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门电路和传感器应用实验箱</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与门、或门、非门电路、干簧管、温度传感器、热敏电阻、光敏电阻、感温铁氧体、霍尔元件等应用实验。</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电学元件黑箱</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学元件黑箱为四个抽屉式的探测单元，各个单元的面板上有三个呈三角形分布的测试点，各测试点之间接有各种电学元件。电学元件有电阻、电池、二极管三种。三个接点，两个元件(电池、电阻、二极管均可更换)。</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低气压放电管组</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稀薄气体中的放电现象；构造：产品由移动金属杆、连接导线（一端带夹子）、塑料支架（425mm×280mm）和底座(115mm×335mm)及六支大小相同的抽空密封的长玻璃管，直径约24mm，长365mm，里面的气压分别为40、10、3、1、0.1、0.02mm高水银柱。</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电谐振演示器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发送：放电距离0.2mm～2mm可调，来顿瓶电容≥500pF；接收：来顿瓶电容≥500pF，可变电容350pF～850pF。</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赫兹实验演示器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发射部分和接收部分组成（即A、B两套件），产品由底座、支架、拉杆天线、低压灯管、放电球等组成。1.底座采用胶合板制成，外形尺寸：300mm×100mm×18mm。2.支架采用透明有机玻棒制成，直径12mm，高度不小于200mm。3.拉杆天线可上下移动或抻缩，能停在任一位置。4.低压灯管应为无色透明的材料制成，两端为导电体，与放电球接合良好。5.放电球直径不大于10mm，放电球由一调节丝杆固定，调节丝杆的调节范围不小于30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电磁振荡演示仪</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演示阻尼振荡,等幅振荡,振荡频率与振荡电路的电容 、电感关系。产品由演示面板、框架、支脚等组成。1.演示面板的电路图线清晰，分等幅和减幅振荡演示内容，并有选择开关和波形调节以及连接导线。2.框架为塑料制，能固定演示板和背板，四角为塑料包边，外形尺寸：460mm×310mm×55mm。3.支脚为塑料制，竖直后能使演示板有一定的倾斜度。4.外接直流电：6V。</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5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电磁波的发送和接收演示器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发射器频率225MHz～250MHz,等幅、调幅；接收器有声、光、电显示。产品由发射机部分、接收机部分、电表演示接收器、放大接收器四大部分构成。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6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半导体致冷器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能演示温差发电和制冷两用。产品由致冷组件、支杆、底座、水槽、接线装置、电源导线、取冰器等组成。致冷组件由储冷板（金属槽）、陶瓷片、散热块、导热硅脂等组成。金属槽由厚度不小于1mm的板材制作，内空尺寸：40×40mm，深约10mm。支杆采用Φ8mm的金属杆制作，支杆高度145mm，表面镀铬；底座外形尺寸：230×110×30mm；水槽采用“372”材料制作，内空尺寸为100×100×100mm，壁厚不小于2mm；电源导线采用多股铜芯绝缘软导线，内接导线长度100mm，外接导线长度300mm，外接导线两端</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整流电路实验器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刻实验器应配合示波器可电压传感器进行实验。利用二极管的单向导电性和电容滤波的特性进行整流。1.电路清晰、插座可靠。2.实验器的外形尺寸：310mm×55mm×230mm，附支脚。3.工作电压：AC220V。</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光具盘</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分离型、磁吸附式。矩形光盘长≥650 mm，宽≥240 mm；圆形光盘直径≥245 mm。盘面分四个象限，以一条直径为始边，分别刻有0°～90°刻度。半导体激光光源，可显示 5条平行光。光学零件：梯形玻砖 1 件，等腰直角棱镜 1 件，半圆柱透镜 1 件，小双凹柱透镜 1 件，小双凸柱透镜 1 件，大双凸柱透镜 1 件，平面镜 1 件，凹凸柱面镜 1 件，正三棱镜 2 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1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凹面镜</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60"/>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本仪器由凹面镜、镜框、支架、镜座等组成。</w:t>
            </w:r>
            <w:r/>
          </w:p>
          <w:p>
            <w:pPr>
              <w:numPr>
                <w:ilvl w:val="0"/>
                <w:numId w:val="60"/>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凹面镜的直径为100±2mm。</w:t>
            </w:r>
            <w:r/>
          </w:p>
          <w:p>
            <w:pPr>
              <w:numPr>
                <w:ilvl w:val="0"/>
                <w:numId w:val="60"/>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凹面镜的焦距为65±10mm。</w:t>
            </w:r>
            <w:r/>
          </w:p>
          <w:p>
            <w:pPr>
              <w:numPr>
                <w:ilvl w:val="0"/>
                <w:numId w:val="60"/>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凹面镜的基片采用普通玻璃制成，在距基片中心三分之二半径范围内，不得有目测到的气泡、结石和条纹。</w:t>
            </w:r>
            <w:r/>
          </w:p>
          <w:p>
            <w:pPr>
              <w:numPr>
                <w:ilvl w:val="0"/>
                <w:numId w:val="60"/>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反射膜镀层应均匀，在距中心三分之二半径范围内不得有色斑、擦痕、印迹等疵病，并应有牢固的保护层。</w:t>
            </w:r>
            <w:r/>
          </w:p>
          <w:p>
            <w:pPr>
              <w:numPr>
                <w:ilvl w:val="0"/>
                <w:numId w:val="60"/>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凹面镜对平行于主光轴的光束在焦平面上的光斑直径应不大于6mm。</w:t>
            </w:r>
            <w:r/>
          </w:p>
          <w:p>
            <w:pPr>
              <w:numPr>
                <w:ilvl w:val="0"/>
                <w:numId w:val="60"/>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镜框、支架、镜座均为金属结构，整机应有足够的稳度。</w:t>
            </w:r>
            <w:r/>
          </w:p>
          <w:p>
            <w:pPr>
              <w:numPr>
                <w:ilvl w:val="0"/>
                <w:numId w:val="60"/>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镜面可按需要在任意方向止动，升降范围不小于50mm。</w:t>
            </w:r>
            <w:r/>
          </w:p>
          <w:p>
            <w:pPr>
              <w:numPr>
                <w:ilvl w:val="0"/>
                <w:numId w:val="60"/>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本产品应符合JY138-82《凹凸面镜》的规定。</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 本产符合JY0001－2003《教学仪器一般质量要求》的有关规定。</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9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凸面镜</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6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本仪器由面镜、镜框、支架、镜座等组成，两套成对。</w:t>
            </w:r>
            <w:r/>
          </w:p>
          <w:p>
            <w:pPr>
              <w:numPr>
                <w:ilvl w:val="0"/>
                <w:numId w:val="6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凸面镜的直径为100±2mm。</w:t>
            </w:r>
            <w:r/>
          </w:p>
          <w:p>
            <w:pPr>
              <w:numPr>
                <w:ilvl w:val="0"/>
                <w:numId w:val="6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凸面镜的焦距为－65±10mm。</w:t>
            </w:r>
            <w:r/>
          </w:p>
          <w:p>
            <w:pPr>
              <w:numPr>
                <w:ilvl w:val="0"/>
                <w:numId w:val="6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凸面镜的基片采用普通玻璃制成，在距基片中心三分之二半径范围内，不得有目测到的气泡、结石和条纹。</w:t>
            </w:r>
            <w:r/>
          </w:p>
          <w:p>
            <w:pPr>
              <w:numPr>
                <w:ilvl w:val="0"/>
                <w:numId w:val="6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反射膜镀层应均匀，在距中心三分之二半径范围内不得有色斑、擦痕、印迹等疵病，并应有牢固的保护层。</w:t>
            </w:r>
            <w:r/>
          </w:p>
          <w:p>
            <w:pPr>
              <w:numPr>
                <w:ilvl w:val="0"/>
                <w:numId w:val="6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镜框、支架、镜座均为金属结构，整机应有足够的稳度。</w:t>
            </w:r>
            <w:r/>
          </w:p>
          <w:p>
            <w:pPr>
              <w:numPr>
                <w:ilvl w:val="0"/>
                <w:numId w:val="6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镜面可按需要在任意方向止动，升降范围不小于50mm。</w:t>
            </w:r>
            <w:r/>
          </w:p>
          <w:p>
            <w:pPr>
              <w:numPr>
                <w:ilvl w:val="0"/>
                <w:numId w:val="61"/>
              </w:num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本产品应符合JY138-82《凹凸面镜》的规定。</w:t>
            </w:r>
            <w:r/>
          </w:p>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 本产符合JY0001－2003《教学仪器一般质量要求》的有关规定。</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8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玻璃砖</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62"/>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玻璃砖为非等腰梯形，两底角分别为60°和45°。</w:t>
            </w:r>
            <w:r/>
          </w:p>
          <w:p>
            <w:pPr>
              <w:numPr>
                <w:ilvl w:val="0"/>
                <w:numId w:val="62"/>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玻璃砖用光学玻璃或普通玻璃磨制，其折射率应在1.50～1.55范围内。</w:t>
            </w:r>
            <w:r/>
          </w:p>
          <w:p>
            <w:pPr>
              <w:numPr>
                <w:ilvl w:val="0"/>
                <w:numId w:val="62"/>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可以用脱脂棉、纱布清洁。</w:t>
            </w:r>
            <w:r/>
          </w:p>
          <w:p>
            <w:pPr>
              <w:numPr>
                <w:ilvl w:val="0"/>
                <w:numId w:val="62"/>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外形尺寸：上底长为35mm；两底角为60±0.5°和45±0.5°；高度为35±1mm；厚度为15±1mm。</w:t>
            </w:r>
            <w:r/>
          </w:p>
          <w:p>
            <w:pPr>
              <w:numPr>
                <w:ilvl w:val="0"/>
                <w:numId w:val="62"/>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玻璃料的一拉质量要求应符合GB903一65《无色光学玻璃》中的要求，条纹类别为2类，条纹级别为C级，气泡类别为7类。</w:t>
            </w:r>
            <w:r/>
          </w:p>
          <w:p>
            <w:pPr>
              <w:numPr>
                <w:ilvl w:val="0"/>
                <w:numId w:val="62"/>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玻璃砖中的一梯形面为粗加工面，光洁度为▽5，上下里底面、两斜面及另一样形面为精加工面，应进行抛光处理。</w:t>
            </w:r>
            <w:r/>
          </w:p>
          <w:p>
            <w:pPr>
              <w:numPr>
                <w:ilvl w:val="0"/>
                <w:numId w:val="62"/>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玻璃砖的上下两面底面平行度为0.10mm。</w:t>
            </w:r>
            <w:r/>
          </w:p>
          <w:p>
            <w:pPr>
              <w:numPr>
                <w:ilvl w:val="0"/>
                <w:numId w:val="62"/>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以抛光的梯形面为基标准面，上、下两底面、两斜面与基准面垂直度为0.1mm。</w:t>
            </w:r>
            <w:r/>
          </w:p>
          <w:p>
            <w:pPr>
              <w:numPr>
                <w:ilvl w:val="0"/>
                <w:numId w:val="62"/>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玻璃砖的边缘倒角按GB1204-75《光学零件的倒角》的要求进行。</w:t>
            </w:r>
            <w:r/>
          </w:p>
          <w:p>
            <w:pPr>
              <w:numPr>
                <w:ilvl w:val="0"/>
                <w:numId w:val="62"/>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精加工面不允许有目测到的划痕和砂眼，边缘不许有裂、碎、缺角。</w:t>
            </w:r>
            <w:r/>
          </w:p>
          <w:p>
            <w:pPr>
              <w:numPr>
                <w:ilvl w:val="0"/>
                <w:numId w:val="62"/>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产品应符合JY140－82《玻璃砖》的要求。</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 符合JY0001－2003《教学仪器一般质量要求》的有关规定。</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695"/>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光具座</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1、产品为组合式由导轨1套、双凸透镜2个、双凸透镜1个、平凸透镜1个、“1”字屏1块、白屏1块、插杆5根、毛玻璃1块、毛玻璃架1个、光源1个、烛台1个组成。</w:t>
            </w:r>
            <w:r>
              <w:rPr>
                <w:rFonts w:hint="eastAsia" w:cs="宋体" w:asciiTheme="minorEastAsia" w:hAnsiTheme="minorEastAsia" w:eastAsiaTheme="minorEastAsia"/>
                <w:sz w:val="20"/>
                <w:szCs w:val="20"/>
                <w:lang w:bidi="ar"/>
              </w:rPr>
              <w:br/>
              <w:t xml:space="preserve">2、导轨由：导轨2根，滑块4只，支架2只，标尺1支组成。</w:t>
            </w:r>
            <w:r>
              <w:rPr>
                <w:rFonts w:hint="eastAsia" w:cs="宋体" w:asciiTheme="minorEastAsia" w:hAnsiTheme="minorEastAsia" w:eastAsiaTheme="minorEastAsia"/>
                <w:sz w:val="20"/>
                <w:szCs w:val="20"/>
                <w:lang w:bidi="ar"/>
              </w:rPr>
              <w:br/>
              <w:t xml:space="preserve">2.1、导轨、支架、标尺为金属件，滑块塑料制品。</w:t>
            </w:r>
            <w:r>
              <w:rPr>
                <w:rFonts w:hint="eastAsia" w:cs="宋体" w:asciiTheme="minorEastAsia" w:hAnsiTheme="minorEastAsia" w:eastAsiaTheme="minorEastAsia"/>
                <w:sz w:val="20"/>
                <w:szCs w:val="20"/>
                <w:lang w:bidi="ar"/>
              </w:rPr>
              <w:br/>
              <w:t xml:space="preserve">2.2、导轨Φ16±0.4mm，不锈钢管、滑块、支架，喷漆处理。</w:t>
            </w:r>
            <w:r>
              <w:rPr>
                <w:rFonts w:hint="eastAsia" w:cs="宋体" w:asciiTheme="minorEastAsia" w:hAnsiTheme="minorEastAsia" w:eastAsiaTheme="minorEastAsia"/>
                <w:sz w:val="20"/>
                <w:szCs w:val="20"/>
                <w:lang w:bidi="ar"/>
              </w:rPr>
              <w:br/>
              <w:t xml:space="preserve">2.3、组装后的导轨中部加重，应符合JY0034-1991第5.2.2～5.2.7条。</w:t>
            </w:r>
            <w:r>
              <w:rPr>
                <w:rFonts w:hint="eastAsia" w:cs="宋体" w:asciiTheme="minorEastAsia" w:hAnsiTheme="minorEastAsia" w:eastAsiaTheme="minorEastAsia"/>
                <w:sz w:val="20"/>
                <w:szCs w:val="20"/>
                <w:lang w:bidi="ar"/>
              </w:rPr>
              <w:br/>
              <w:t xml:space="preserve">2.4、组装后的导轨有效长度不小于1006mm，净重不小于2.4KG。</w:t>
            </w:r>
            <w:r>
              <w:rPr>
                <w:rFonts w:hint="eastAsia" w:cs="宋体" w:asciiTheme="minorEastAsia" w:hAnsiTheme="minorEastAsia" w:eastAsiaTheme="minorEastAsia"/>
                <w:sz w:val="20"/>
                <w:szCs w:val="20"/>
                <w:lang w:bidi="ar"/>
              </w:rPr>
              <w:br/>
              <w:t xml:space="preserve">3.1、标尺刻度范围与导轨有效长度相匹配，全程误差不大于±1mm。</w:t>
            </w:r>
            <w:r>
              <w:rPr>
                <w:rFonts w:hint="eastAsia" w:cs="宋体" w:asciiTheme="minorEastAsia" w:hAnsiTheme="minorEastAsia" w:eastAsiaTheme="minorEastAsia"/>
                <w:sz w:val="20"/>
                <w:szCs w:val="20"/>
                <w:lang w:bidi="ar"/>
              </w:rPr>
              <w:br/>
              <w:t xml:space="preserve">3.2、标尺最小分度为1mm，等分度误差应小于0.2mm。</w:t>
            </w:r>
            <w:r>
              <w:rPr>
                <w:rFonts w:hint="eastAsia" w:cs="宋体" w:asciiTheme="minorEastAsia" w:hAnsiTheme="minorEastAsia" w:eastAsiaTheme="minorEastAsia"/>
                <w:sz w:val="20"/>
                <w:szCs w:val="20"/>
                <w:lang w:bidi="ar"/>
              </w:rPr>
              <w:br/>
              <w:t xml:space="preserve">4.1、透镜的焦距和通光孔应符合表2的规定。</w:t>
            </w:r>
            <w:r>
              <w:rPr>
                <w:rFonts w:hint="eastAsia" w:cs="宋体" w:asciiTheme="minorEastAsia" w:hAnsiTheme="minorEastAsia" w:eastAsiaTheme="minorEastAsia"/>
                <w:sz w:val="20"/>
                <w:szCs w:val="20"/>
                <w:lang w:bidi="ar"/>
              </w:rPr>
              <w:br/>
              <w:t xml:space="preserve">4.2、透镜应无明显条纹，气泡度为1.0【0.5】。</w:t>
            </w:r>
            <w:r>
              <w:rPr>
                <w:rFonts w:hint="eastAsia" w:cs="宋体" w:asciiTheme="minorEastAsia" w:hAnsiTheme="minorEastAsia" w:eastAsiaTheme="minorEastAsia"/>
                <w:sz w:val="20"/>
                <w:szCs w:val="20"/>
                <w:lang w:bidi="ar"/>
              </w:rPr>
              <w:br/>
              <w:t xml:space="preserve">4.3、透镜的表面疵病应符合JY0034-1991中的第5.4.3条。</w:t>
            </w:r>
            <w:r>
              <w:rPr>
                <w:rFonts w:hint="eastAsia" w:cs="宋体" w:asciiTheme="minorEastAsia" w:hAnsiTheme="minorEastAsia" w:eastAsiaTheme="minorEastAsia"/>
                <w:sz w:val="20"/>
                <w:szCs w:val="20"/>
                <w:lang w:bidi="ar"/>
              </w:rPr>
              <w:br/>
              <w:t xml:space="preserve">4.4、透镜框为塑料制品，应能牢靠地夹持透镜。</w:t>
            </w:r>
            <w:r>
              <w:rPr>
                <w:rFonts w:hint="eastAsia" w:cs="宋体" w:asciiTheme="minorEastAsia" w:hAnsiTheme="minorEastAsia" w:eastAsiaTheme="minorEastAsia"/>
                <w:sz w:val="20"/>
                <w:szCs w:val="20"/>
                <w:lang w:bidi="ar"/>
              </w:rPr>
              <w:br/>
              <w:t xml:space="preserve">双凸透镜 100±3mm      ≥35</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双凸透镜 50±2mm      ≥25</w:t>
            </w:r>
            <w:r>
              <w:rPr>
                <w:rFonts w:hint="eastAsia" w:cs="宋体" w:asciiTheme="minorEastAsia" w:hAnsiTheme="minorEastAsia" w:eastAsiaTheme="minorEastAsia"/>
                <w:sz w:val="20"/>
                <w:szCs w:val="20"/>
                <w:lang w:bidi="ar"/>
              </w:rPr>
              <w:br/>
              <w:t xml:space="preserve">平凸透镜 300±12mm    ≥45</w:t>
            </w:r>
            <w:r>
              <w:rPr>
                <w:rFonts w:hint="eastAsia" w:cs="宋体" w:asciiTheme="minorEastAsia" w:hAnsiTheme="minorEastAsia" w:eastAsiaTheme="minorEastAsia"/>
                <w:sz w:val="20"/>
                <w:szCs w:val="20"/>
                <w:lang w:bidi="ar"/>
              </w:rPr>
              <w:br/>
              <w:t xml:space="preserve">双凹透镜 -75±5mm      ≥25</w:t>
            </w:r>
            <w:r>
              <w:rPr>
                <w:rFonts w:hint="eastAsia" w:cs="宋体" w:asciiTheme="minorEastAsia" w:hAnsiTheme="minorEastAsia" w:eastAsiaTheme="minorEastAsia"/>
                <w:sz w:val="20"/>
                <w:szCs w:val="20"/>
                <w:lang w:bidi="ar"/>
              </w:rPr>
              <w:br/>
              <w:t xml:space="preserve">5.1、光源工作电为交直流6～8V，功率不大于5W。</w:t>
            </w:r>
            <w:r>
              <w:rPr>
                <w:rFonts w:hint="eastAsia" w:cs="宋体" w:asciiTheme="minorEastAsia" w:hAnsiTheme="minorEastAsia" w:eastAsiaTheme="minorEastAsia"/>
                <w:sz w:val="20"/>
                <w:szCs w:val="20"/>
                <w:lang w:bidi="ar"/>
              </w:rPr>
              <w:br/>
              <w:t xml:space="preserve">5.2、光源出口处照度应符合JY0034-1991第5.52条。</w:t>
            </w:r>
            <w:r>
              <w:rPr>
                <w:rFonts w:hint="eastAsia" w:cs="宋体" w:asciiTheme="minorEastAsia" w:hAnsiTheme="minorEastAsia" w:eastAsiaTheme="minorEastAsia"/>
                <w:sz w:val="20"/>
                <w:szCs w:val="20"/>
                <w:lang w:bidi="ar"/>
              </w:rPr>
              <w:br/>
              <w:t xml:space="preserve">6.插杆金属制品，Φ5.9±0.2mm，直线度误差不大于0.5﹪，插杆与插件结合可靠。</w:t>
            </w:r>
            <w:r>
              <w:rPr>
                <w:rFonts w:hint="eastAsia" w:cs="宋体" w:asciiTheme="minorEastAsia" w:hAnsiTheme="minorEastAsia" w:eastAsiaTheme="minorEastAsia"/>
                <w:sz w:val="20"/>
                <w:szCs w:val="20"/>
                <w:lang w:bidi="ar"/>
              </w:rPr>
              <w:br/>
              <w:t xml:space="preserve">7、“1”字屏为黑色塑料制作，“1”字轮廓清晰，“1”字宽为5mm±0.3，105×80±2mm，厚度不小于1.5mm。</w:t>
            </w:r>
            <w:r>
              <w:rPr>
                <w:rFonts w:hint="eastAsia" w:cs="宋体" w:asciiTheme="minorEastAsia" w:hAnsiTheme="minorEastAsia" w:eastAsiaTheme="minorEastAsia"/>
                <w:sz w:val="20"/>
                <w:szCs w:val="20"/>
                <w:lang w:bidi="ar"/>
              </w:rPr>
              <w:br/>
              <w:t xml:space="preserve">8、白屏用乳白塑料制作，规格105×80±2mm，厚度不小于1.5mm。</w:t>
            </w:r>
            <w:r>
              <w:rPr>
                <w:rFonts w:hint="eastAsia" w:cs="宋体" w:asciiTheme="minorEastAsia" w:hAnsiTheme="minorEastAsia" w:eastAsiaTheme="minorEastAsia"/>
                <w:sz w:val="20"/>
                <w:szCs w:val="20"/>
                <w:lang w:bidi="ar"/>
              </w:rPr>
              <w:br/>
              <w:t xml:space="preserve">9、毛玻璃屏磨砂均匀，周边应有保护性倒角，规格120×80±3mm，厚度不小于2.5mm。</w:t>
            </w:r>
            <w:r>
              <w:rPr>
                <w:rFonts w:hint="eastAsia" w:cs="宋体" w:asciiTheme="minorEastAsia" w:hAnsiTheme="minorEastAsia" w:eastAsiaTheme="minorEastAsia"/>
                <w:sz w:val="20"/>
                <w:szCs w:val="20"/>
                <w:lang w:bidi="ar"/>
              </w:rPr>
              <w:br/>
              <w:t xml:space="preserve">10、滑块尺寸65×22mm,由指向刻度标记。</w:t>
            </w:r>
            <w:r>
              <w:rPr>
                <w:rFonts w:hint="eastAsia" w:cs="宋体" w:asciiTheme="minorEastAsia" w:hAnsiTheme="minorEastAsia" w:eastAsiaTheme="minorEastAsia"/>
                <w:sz w:val="20"/>
                <w:szCs w:val="20"/>
                <w:lang w:bidi="ar"/>
              </w:rPr>
              <w:br/>
              <w:t xml:space="preserve">11、脚有效尺寸宽度21mm。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16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三棱镜</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63"/>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产品由三棱镜、托架、支柱、底座等组成。</w:t>
            </w:r>
            <w:r/>
          </w:p>
          <w:p>
            <w:pPr>
              <w:numPr>
                <w:ilvl w:val="0"/>
                <w:numId w:val="63"/>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三棱镜体外形为正三棱柱，边长25mm，相邻两角为60±0.5°，棱长80mm。</w:t>
            </w:r>
            <w:r/>
          </w:p>
          <w:p>
            <w:pPr>
              <w:numPr>
                <w:ilvl w:val="0"/>
                <w:numId w:val="63"/>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三棱镜体采用中部色散NF-NC不小于0.0080的玻璃磨制。</w:t>
            </w:r>
            <w:r/>
          </w:p>
          <w:p>
            <w:pPr>
              <w:numPr>
                <w:ilvl w:val="0"/>
                <w:numId w:val="63"/>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三棱镜体表面不许有目测到的划痕和砂眼，边缘不许有裂、碎、缺角。</w:t>
            </w:r>
            <w:r/>
          </w:p>
          <w:p>
            <w:pPr>
              <w:numPr>
                <w:ilvl w:val="0"/>
                <w:numId w:val="63"/>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托架应有足够的强度，三棱镜体应能作任意方向的转动，并能停止在任意位置。</w:t>
            </w:r>
            <w:r/>
          </w:p>
          <w:p>
            <w:pPr>
              <w:numPr>
                <w:ilvl w:val="0"/>
                <w:numId w:val="63"/>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支柱高度可调，其升降范围不小于30mm。整个仪器应有足够的稳度。</w:t>
            </w:r>
            <w:r/>
          </w:p>
          <w:p>
            <w:pPr>
              <w:numPr>
                <w:ilvl w:val="0"/>
                <w:numId w:val="63"/>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应符合JY142-82《三棱镜》》的有关规定。</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 符合JY0001－2003《教学仪器一般质量要求》的有关规定。</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5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白光的色散与合成演示器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numPr>
                <w:ilvl w:val="0"/>
                <w:numId w:val="64"/>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由棱镜、棱镜台和光源等组成。</w:t>
            </w:r>
            <w:r/>
          </w:p>
          <w:p>
            <w:pPr>
              <w:numPr>
                <w:ilvl w:val="0"/>
                <w:numId w:val="64"/>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棱镜为重量火石玻璃，顶角为60°。</w:t>
            </w:r>
            <w:r/>
          </w:p>
          <w:p>
            <w:pPr>
              <w:numPr>
                <w:ilvl w:val="0"/>
                <w:numId w:val="64"/>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光源额定电压为6-8V。</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4、棱镜台台面装有进光狭缝及光源。5、白屏</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透镜及其应用实验器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产品由凸透镜、凹透镜、支架和底座组成。</w:t>
            </w:r>
            <w:r/>
          </w:p>
          <w:p>
            <w:pPr>
              <w:numPr>
                <w:ilvl w:val="0"/>
                <w:numId w:val="65"/>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凹凸透镜直径46mm。</w:t>
            </w:r>
            <w:r/>
          </w:p>
          <w:p>
            <w:pPr>
              <w:numPr>
                <w:ilvl w:val="0"/>
                <w:numId w:val="65"/>
              </w:num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塑料框架及支杆，支杆直径10mm、长54mm。</w:t>
            </w:r>
            <w:r/>
          </w:p>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3、塑料底座直径64mm。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120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光的折射全反射实验器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底座、演示屏、光源（激光光源一套）、半圆玻璃砖、平面镜及漫反射镜组成。1.底座采用塑料注塑成型，可固定演示屏的槽和放置平面镜的台面。2.演示屏为铁制，表面烤白漆，印刷0至90℃对称刻线，可对叠，半径130mm。3.激光笔可吸附在演示屏上，在半圆周上可任意固定。4.半圆玻璃砖半径约35mm，厚15mm；平面镜及漫反射镜长约40mm，宽15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光的干涉衍射偏振演示器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1、仪器组装后,所有干涉,衍射图样的中心均可调节到屏幕中心。2、在照度不高于200勒克斯的普通教室里,距仪器8m以内,正常视力可以见到:双缝,双面镜干涉明条纹不少于5条。3、牛顿环干涉条纹不少于三圈 多缝衍射的明条纹不少于7条 光栅衍射的彩带不少于5条。外形尺寸约：850×320×140mm，泡沫盒包装。</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微型物理光学观察器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接收屏、光学元件（1号衍射片、2号衍射片、3号衍射片、1/100光栅）、激光器、机身、开关、调节手轮等组成。实验项目：单缝衍射、圆孔衍射、矩形孔衍射、方孔衍射、三角孔衍射、杨氏双缝干涉、三缝衍射、四缝衍射、单丝衍射。</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8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双缝干涉实验仪</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仪器采用游标读数机构，双缝及光源单缝均采用真空镀铬工艺制在玻璃片上。二、主要结构组成：灯泡、照明透镜、遮光板、滤色片及片座、单狭缝及缝座、单缝管、拨杆、遮光管（铁质，表面喷漆，规格：Φ32×600mm，管壁厚2mm）、接长管、测量头、游标尺、滑块、手轮、目镜、半圆形支架环。三、主要技术指标：1、双缝中心距d及缝宽a分别为：d1=0.200±0.003mm ,0.029mm≤a1≤0.04mm;d2=</w:t>
            </w:r>
            <w:r>
              <w:rPr>
                <w:rFonts w:hint="eastAsia" w:cs="宋体" w:asciiTheme="minorEastAsia" w:hAnsiTheme="minorEastAsia" w:eastAsiaTheme="minorEastAsia"/>
                <w:sz w:val="20"/>
                <w:szCs w:val="20"/>
                <w:lang w:bidi="ar"/>
              </w:rPr>
              <w:t xml:space="preserve">0.250±0.003mm,0.036mm≤a2≤0.050mm.光源单缝宽a=0.10±0.02mm；2、双缝至光屏之间的距离：l1=600±2mm(不接长管),l2=700±2mm(接长管)。3、滤色片为2mm厚的光学玻璃片。4、测量头滑块的移动范围为0-20mm，游标尺的最小读书为0.02mm。5、单色光通过双缝所产生的干涉亮条纹不少于7条。6、白光干涉零级亮条纹所产生的中心与光轴的偏离：当l1=600mm时不大于2mm，当l2=700mm不大于3mm。7、测定钠光波长，相对误差≤4%。四、泡沫定位。</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牛顿环</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物理学中用于检查光学零件表面时所出现的同心或平行的等厚干涉条纹，又称“牛顿圈”。产品由塑料外壳、平面镜及凸透镜组成。塑料外壳外径50mm，内孔25mm，高26mm。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96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光导纤维应用演示器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传光、传像、传声三大部分组成。传光、传像部分由光源、有机玻璃棒、光纤束、传像投影屏筒、字母板组成；传声部分有发射器、接收器及光纤束组成。演示板外形尺寸不小于：460mm×320mm。其它符合JY0001－2003《教学仪器一般质量要求》的有关规定。</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72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光的偏振观察器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产品由带座框的两块偏振片组成部分。1.整体塑料压制成型，主体（Φ49mm×25mm),底座（Φ59mm×10mm）。2.偏振片直径约35mm，座框外缘带有指示刻度（0-360度）每小格值45度。</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168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紫外线作用演示器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 该仪器主体结构由6W日光灯、254nm紫外线灯，365nm紫外线灯及滤色片、</w:t>
            </w:r>
            <w:r>
              <w:rPr>
                <w:rFonts w:hint="eastAsia" w:cs="宋体" w:asciiTheme="minorEastAsia" w:hAnsiTheme="minorEastAsia" w:eastAsiaTheme="minorEastAsia"/>
                <w:sz w:val="20"/>
                <w:szCs w:val="20"/>
                <w:lang w:bidi="ar"/>
              </w:rPr>
              <w:t xml:space="preserve">荧光片组成。2. 主要部件包括：1) 滤色片(红、黄、蓝、绿、透明）5片；2) 防紫外线辐射罩壳；3) 防护罩壳固定罗丝；4) 白光、紫外线转换开头S1；5) 254nm、365nm转换开关S2；6) 电源开关S3；7) 底座；8) 6W日光灯管；9) H型254nm紫外线灯管；10) 6W365nm紫外线灯管；11) L为镇流器。3． 技术指标：1) 使用电压：220V±10%  AC 50-60Hz；2) 整机功率：＜12W；3） 灯管寿命：＞500小时。4.外形尺寸：300mm×230mm×90mm。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4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红外线作用演示器</w:t>
            </w:r>
            <w:r/>
          </w:p>
        </w:tc>
        <w:tc>
          <w:tcPr>
            <w:tcBorders>
              <w:top w:val="single" w:color="000000" w:sz="4" w:space="0"/>
              <w:left w:val="single" w:color="000000" w:sz="4" w:space="0"/>
              <w:bottom w:val="single" w:color="000000" w:sz="4" w:space="0"/>
              <w:right w:val="single" w:color="000000" w:sz="4" w:space="0"/>
            </w:tcBorders>
            <w:tcW w:w="2975"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仪器分为红外线发现实验器、红外线性质说明器、红外线控制器三部分组成。1.红外线发现实验器由平行光源、三棱分光镜及暗箱等构成，暗箱为金属制，表面烤黑漆，光源为12V30W的卤钨灯。2.红外线性质说明器由凹面镜（直径90mm）热辐射物体（直径约25mm钢球）及底座构成，底座为冷板冲压成型，表面处理，尺寸：230mm×105mm×14mm。3.红外线控制器由发射装置、接收装置两部分构成，外接DC6V电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手持直视分光镜</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分光镜采用光学玻璃，制成复合棱镜和会聚透镜，将平行光管与棱镜装在一个套管内，狭缝与会聚透镜产生的平行光束，通过棱镜，可用眼直接观察色散光谱。利用它可以对各种发光体的光谱进行分析。主要部件：1.保护片 2.单缝 3.透镜 4.组合棱镜 5.保护片。</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棱镜分光镜</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光镜仪器的结构为在底座上装有镜台、准直管固定在镜台上、约位于三棱镜的最小偏向角的方向。标度管可以绕镜台边缘上的固定螺丝转动，望远镜可以沿镜台边缘移动、并都用螺丝固定，三棱镜用支夹固定在镜台中央，并有三棱镜罩罩住。</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光谱管组</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谱管组是一种低气压放电管，用来观察气体的发射光谱。每组6支，每支玻璃管两端均装有电极，管内抽真空至≤10－3Pa后，分别充进氢、氮、氧、二氧化碳、氖和氩等气体（气压为1009—2000Pa），为了增强气体的发光亮度，管的中部制成窄的管道。6支光谱管共装在一个带金属夹片的框架上，底座上的接线柱与各管下面的电极都相通。将感应圈或高压电</w:t>
            </w:r>
            <w:r>
              <w:rPr>
                <w:rFonts w:hint="eastAsia" w:cs="宋体" w:asciiTheme="minorEastAsia" w:hAnsiTheme="minorEastAsia" w:eastAsiaTheme="minorEastAsia"/>
                <w:sz w:val="20"/>
                <w:szCs w:val="20"/>
                <w:lang w:bidi="ar"/>
              </w:rPr>
              <w:t xml:space="preserve">源的一端接在与底座相连的电极上，另一端通过导线接在带绝缘柄的金属导杆上。实验时，用导杆任意与一支光谱管的顶部电极相接，使此管内气体产生辉光放电。由于处于气态的各种元素或化合物都有它本身所固有的明线光谱或带状光谱，用分光镜来观察时，可以看到：氢和氩的线状光谱，氮和二氧化碳的带状光谱等。 </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钠的吸收光谱演示器</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中物理实物仪器，供学生观察钠的吸收光谱线。仪器主要零部件：1.钠气真空管（简称钠管）；2.钠管加热炉（炉膛、金属卡片、保护罩、金属炉壳、电炉丝、钠管、瓷管、支杆）；3.底盘、立柱各一个；4.光源一个。主体金属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光电效应演示器</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用于演示中学物理的光电效应现象，仪器采用锌板及紫外线光源演示。产品由光电效应演示器（主机）、锌板及铜丝网、连接线、光源（紫外灯、目光灯）及细砂纸组成。1.主机外壳为全塑料，外形尺寸：195mm×175mm×75mm。面板上高有电源开关、高压输出和检流计端子、调零旋扭及电源指示灯。2.锌板及铜网外形尺寸：220mm×175mm×19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光电效应演示器</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产品供中学物理教学演示光电效应之用。原理：光电管在光源照射下产生光电效应现象。产品由演示面板、电压表、电流表、光电管、光源、电压调节旋钮等组成。1.电源电压：220V 50Hz；2.直流5mA电流表；3.演示面板尺寸不小于450mm×300mm，面板图线清晰、正确。</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太阳电池演示器</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产品由太阳能电池板带支架、音乐声响器插件和电机插件组成。用于演示太阳能转化成电能，并作各种应用。技术参数：1.最大开路电压：3.5V；2.最大短路电流：500MA；3.音乐声响器插件工作电压：3V，工作电流：20MA；4.电机插件工作电压：3V，工作电流：30mA。</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盖革计数器</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J2554型，产品由计数器、探测器及其连线组成。仪器主要技术参数：1、工作电压：交流220V±10%，50Hz；2、盖革计数器的本底计数率不大于40次/分；3、</w:t>
            </w:r>
            <w:r>
              <w:rPr>
                <w:rFonts w:hint="eastAsia" w:cs="宋体" w:asciiTheme="minorEastAsia" w:hAnsiTheme="minorEastAsia" w:eastAsiaTheme="minorEastAsia"/>
                <w:sz w:val="20"/>
                <w:szCs w:val="20"/>
                <w:lang w:bidi="ar"/>
              </w:rPr>
              <w:t xml:space="preserve">计数管两端工作电源电压在340V～420V之间；4、探测器采用J401γ、β、γ型计数管；5、盖革计数器的输出方式有三种：音响装置、闪光装置及计数接口；6、音响装置为扬声器或蜂鸣器，在标准教室的后排位置可听到响声；7、闪光装置为红色发光二极管、最大功耗不小于100mW；8、仪器备有计数输出接口，输出接口的正负极性可变换，并能与J0201系列数字计时器相配合，仪器的最大计数率不小于2000次/分；9、探测器未接收到β或γ粒子时，正常听觉者在1.5m外，听不到明显杂音。计数器外形尺寸：200×170×95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液压机模型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大缸体、小缸体、角式截气阀、底座、压力表和压力弹簧等构成。1.大小活塞为透明材料，外径分别为57mm、22mm。2.底座为塑料注塑成型，外形尺寸：230mm*130mm*50mm，中心部位为油箱。3.压力表示值：最大值为2.5Mpa。4.整体高度：280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汽油机模型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产品由塑料制成，高度300mm。由进气管、进气阀、排气管、排气阀、气缸、活塞、连杆、</w:t>
            </w:r>
            <w:r>
              <w:rPr>
                <w:rFonts w:hint="eastAsia" w:cs="宋体" w:asciiTheme="minorEastAsia" w:hAnsiTheme="minorEastAsia" w:eastAsiaTheme="minorEastAsia"/>
                <w:sz w:val="20"/>
                <w:szCs w:val="20"/>
                <w:lang w:bidi="ar"/>
              </w:rPr>
              <w:t xml:space="preserve">曲轴、火花塞、齿轮组、主动轮、挺杆等组成，外壳剖开，能看清内部结构。模型各部件比例适当，位置正确，联接牢固，工作可靠，原理正确。模型能直观地演示出吸气过程、压缩过程、做功过程及排气过程，在做功冲程时活塞到达上止点时，演示火花点火的灯泡应发光，点火完成后灯熄灭。底座尺寸： 165mm×105mm×22mm。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柴油机模型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制成，高度300mm。由进气管、进气阀、排气管、排气阀、气缸、活塞、连杆、曲轴、喷油嘴、油针、齿轮、凸轮总成、手柄齿轮、介轮、挺杆等组成，外壳剖开，能看清内部结构。各部件比例适当，位置正确，联接牢固，工作可靠，原理正确。模型能直观地演示出吸气过程、压缩过程、做功过程及排气过程，在做功冲程时，油针应开启。底座尺寸： 165mm×105mm×22mm。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磁分子模型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 磁分子模型主要由衬板、磁分子和吸转叶片及其支座组成。2． 磁分子模型的结构。a. 衬板由塑料或木材制成，板面尺寸约为长270mm，宽170mm。衬板的色泽对磁分子的衬托要醒目，支座应平稳。b.</w:t>
            </w:r>
            <w:r>
              <w:rPr>
                <w:rFonts w:hint="eastAsia" w:cs="宋体" w:asciiTheme="minorEastAsia" w:hAnsiTheme="minorEastAsia" w:eastAsiaTheme="minorEastAsia"/>
                <w:sz w:val="20"/>
                <w:szCs w:val="20"/>
                <w:lang w:bidi="ar"/>
              </w:rPr>
              <w:t xml:space="preserve"> 磁分子为：长为40mm，宽为12mm，两端为R6弧形的磁针。磁分子的排列为三排六行，间距为6mm，中心轴为可拆式。磁分子的北极（N）为红色，南极（S）为白色。磁分子应安有透明塑料防护板。c. 吸转叶片用软磁材料制成、叶片尺寸为长22mm，宽10mm，反正面为两种颜色。吸转叶片安装在透明罩中，叶片轴的下轴孔嵌φ3玻璃钻，轴的上端带手柄。d. 标尺为铝板或塑料板制成，双面刻度为0～50mm，分度值为5mm。e. 支座用铸铁制成，中心柱孔带M4顶丝，底部带调平螺栓，立杆尺寸为6mm，长为70mm，表面镀铬。3．</w:t>
            </w:r>
            <w:r>
              <w:rPr>
                <w:rFonts w:hint="eastAsia" w:cs="宋体" w:asciiTheme="minorEastAsia" w:hAnsiTheme="minorEastAsia" w:eastAsiaTheme="minorEastAsia"/>
                <w:sz w:val="20"/>
                <w:szCs w:val="20"/>
                <w:lang w:bidi="ar"/>
              </w:rPr>
              <w:t xml:space="preserve"> 磁分子每个磁极的平均磁感应强度不小于11mT。4． 磁分子模型在条形磁铁的作用下，应能呈现横向规则排列；在条形磁铁的不规则作用下磁分子可呈混乱排列状态。磁分子排定后，在无外界作用下，不应发生变动。5． 经调整支座的调平螺丝后，吸转叶片应能静止在任意角度上。6． 磁分子横向规则排列后，每排磁分子距上边线或下边线的偏移不大于2.4mm。7． 磁分子左端或右端对叶片的吸动距离不小于20mm。8． 产品应符合JY299－88《磁分子模型》的要求。9． 符合JY0001－2003《教学仪器一般质量要求》的有关规定。</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电机模型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离心机械模型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仪器包括离心干燥器、离心分离器、离心节速器。离心干燥器由内桶和外桶组成，内桶尺寸Φ72mm×71mm，外桶尺寸Φ116mm×72mm；离心分离器由支承框架、离心套、离心管等组成。离心套采用透明塑料制成，内径Φ20mm，高100mm；离心节速器由调节器、节流阀等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晶体空间点阵模型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全塑料制。产品由氯化钠晶体结构模型、金刚石晶体结构模型、石墨晶体结构模型三种晶体结构模型组成。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蒸汽机模型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产品由气缸、活塞、连杆、小飞轮、汽室、滑阀、凸轮、大飞轮、飞轮支架、底板等构成。外形尺寸：165mm×120mm×200mm。演示蒸汽机工作原理过程。为吹动模型。</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蒸汽轮机模型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产晶由外汽缸、缸体剖视体、叶轮支架、叶轮、叶轮轴、汽缸支架、底座等组成。外形尺寸280mm×120mm×130mm，所有材质为金属、有机玻璃、塑料制。外汽缸为透明塑料。为可动模型。</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燃气轮机模型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产品由缸体剖视体、外汽缸、叶轮支架、压气机叶轮、燃烧室剖体、透平叶轮、叶轮轴、缸体支架、底板构成。外形尺寸280mm×120mm×140mm，所有材质为金属、有机玻璃、塑料制。外汽缸为透明塑料。为可动模型。</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5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高压输变电模拟演示器</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器为两对输电线路，线路中每根导线电阻均相同（4欧），其中一对线路终点直接接用电器（3.8V小灯泡），另一对线路外接交流2-4V的电压升压变压器（升压比12：1），升压后经输电线路降压变压器（降压比1：12）降压后再输送到用电器（3.8V小灯泡）。产品由底座、变压器、支架、灯泡、灯座等组成。底座采用木质，外形尺寸：500mm×195mm×16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车床变速器模型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金属和塑料制。仪器为两档齿轮变速，真实演示车床变速的过程。产品由框架、轴2根、齿轮4个、变换手柄、手摇柄及转盘构成。外形尺寸：15×110×90mm。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汽车变速箱模型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1.外形尺寸：140×110×90mm；</w:t>
            </w:r>
            <w:r>
              <w:rPr>
                <w:rFonts w:hint="eastAsia" w:cs="宋体" w:asciiTheme="minorEastAsia" w:hAnsiTheme="minorEastAsia" w:eastAsiaTheme="minorEastAsia"/>
                <w:sz w:val="20"/>
                <w:szCs w:val="20"/>
                <w:lang w:bidi="ar"/>
              </w:rPr>
              <w:br/>
              <w:t xml:space="preserve">2. 两档齿轮变速，大离合齿轮和小离合齿轮咬合，并有换挡器连接孔。</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机械机构模型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曲柄摇杆机构、双曲柄机构、双摇杆机构、曲柄滑块机构、凸轮机构</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机械传动模型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含齿轮传动、皮带传动、链传动、蜗轮蜗杆传动、摩擦轮传动</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液压传动模型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本仪器为液压千斤顶结构，液压缸的活塞、液压泵和单向阀工作过程清晰，全透明设计，真正演示液压传动系统的工作原理，直观明了的看到液压传动系统的工作过程，学生可动手参与。</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汽车刹车系统模型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模型主要由底座、转轮、刹车装置、气路管、气压缸（注射器）、支架等构成。1.底座采用冷轧板冲压成型，表面烤黑漆，尺寸：270mm×110mm×12mm。2.转轮采用有机玻璃制成，直径100mm，厚4mm。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酒精灯</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150mL</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漏斗</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筒形，250mL</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平底管</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φ12mm×150mm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T形管</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T形</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可密封长玻璃管</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内径10mm×1000mm，有胶塞，带刻度衬板</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镊子</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不锈钢或不锈铁，小号约为125mm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石棉网</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由金属网和附在网上的石棉组成，金属网约为：100mm×100mm，石棉约为：Φ80mm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玻璃管</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φ5mm～φ8mm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千克</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乳胶管</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或塑料管</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310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电工材料</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鳄鱼夹、插口夹、香蕉插头、电阻丝、锌片、铜片、灯泡(15W、60W)、小电池(5号、纽扣、太阳电池)、保险丝、保险管(不同规格的合金熔丝、保险管)、焊锡、绝缘胶布、导线等</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311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电子元件(工业产品)</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线绕电阻（5Ω4W1只、10Ω4W1只、20Ω4W1只）、电阻(100Ω、200Ω、1KΩ、2KΩ、10KΩ、20KΩ、47KΩ、100KΩ、220KΩ)、电容（0.01pf、510pf、100pf、0.02pf、0.1Mf各一）、电感2.5Mf、光敏电阻、干簧管、</w:t>
            </w:r>
            <w:r>
              <w:rPr>
                <w:rFonts w:hint="eastAsia" w:cs="宋体" w:asciiTheme="minorEastAsia" w:hAnsiTheme="minorEastAsia" w:eastAsiaTheme="minorEastAsia"/>
                <w:sz w:val="20"/>
                <w:szCs w:val="20"/>
                <w:lang w:bidi="ar"/>
              </w:rPr>
              <w:t xml:space="preserve">二极管（2AP9、4001各二）、发光二极管（Φ5、Φ8各二）、三极管（3AX、3AG、9013、9014、9018）、电解电容（10uf、100uf二只、470uf）、可控硅、小话筒、可变电阻47KΩ、电位器470KΩ、旋钮Φ6Φ4.5各一、可变电容203pf、功率放大集成电路一套、音乐集成电路、喇叭8Ω、磁棒天线、导线（60、100、150、200mm长各10根）、小灯座2个、灯泡、电池盒5号二只、开关（拨动式、按键式）、接线夹10个、松香、焊锡丝、电铬铁、连接板、螺批（十字、一字）。吸塑定位纸盒包装。</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312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家庭电路器材</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器材由空气开关、漏电保护器、螺丝口灯座、三孔插座、三孔插头、插入式保险盒、拉线开关、按钮开关、声控开关、光控开关、导线组成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313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一般材料</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磁性橡胶片、乒乓球、大头针、回形针、橡胶泥、胶帽、泡沫塑料、透明胶带、小蜡烛、灯芯、火柴、塑料板、木板、玻璃板、毛巾、棉布、橡皮筋、气球、塑料袋、塑料薄膜、纸板、坐标纸、图钉、高泡洗衣粉、钢炭(木炭)粉或痱子粉﹑松香等</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314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彩色透光片</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仪器由红、绿、蓝三个直径不小于60mm的透光片组成。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315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甲电池</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2.5V或3.8V</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316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电珠(小灯泡)</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2.5V或3.8V</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317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滚珠盒</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自行车小滚珠200粒，钢球直径为4mm，自封袋封装，塑料盒外包装。</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盒</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318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演示实验器材</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云母片、电解电容器(25V，470µF～1000µF)、三极管、驻极体话筒、光声控延时开关、100kΩ可变电阻、1kΩ电阻、74LS00</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319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学生实验纸材</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材料由打点纸带（电磁打点和电火花通用）、墨粉纸（电火花用）、坐标纸5张、实验用纸5张组成。纸盒包装。</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5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温度报警实验器材套件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塑料外盒包装，上盖透明。盒底内贴有元件标签，由热敏电阻、74LS14、1kΩ可变电阻、蜂鸣器(YMD或HMB)构成。盒子尺寸：200mm×120mm×35mm。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电熨斗控温电路套件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材料为电熨斗温控开关1套，外用塑料盒包装。电源电压：AC250V  50Hz；最大电流：10A。</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盒</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5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防盗报警电路器材套件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塑料外盒包装，上盖透明。盒底内贴有元件标签，由小永磁体、干簧管、74LS14、2.2kΩ电阻、蜂鸣器(YMD或HMB)构成。盒子尺寸：200mm×120mm×35mm。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5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光控开关实验器材套件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塑料外盒包装，上盖透明。盒底内贴有元件标签，由光敏电阻、74LS14、51kΩ可变电阻、发光二极管、330Ω电阻组成。盒子尺寸：200mm×120mm×35mm。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火灾报警器</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通过监测烟雾浓度来实现火灾报警，报警器内部采用离子式烟雾传感器，工作稳定可靠。主要技术参数：工作温度：-10℃～+50℃；报警浓度：0.65～15.5%FT；工作电源：12VDC/9VDC；蜂鸣器声量能级：10英尺处为85分贝；外壳：阻燃树脂；外形尺寸约：Φ60×30mm 。</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电子闹钟套件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产品由外壳、液晶显示屏、调整键（秒、分）、开始/停止键及支架组成。1.外壳为塑料。2.电源：钮扣电池电压1.5V。</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桥梁模型器材套件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梁式桥模型、拱形桥模型、斜拉桥模型、桁架桥模型、吊桥模型、悬索桥模型组成。模型主件采用工程塑料注塑成型。模型基本尺寸：梁式桥：250×40×80mm；拱形桥：250×40×80mm；斜拉桥：250×40×140mm；桁架桥：250×40×115mm；吊桥：250×40×115mm；悬索桥：250×40×137mm。 </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走马灯器材套件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走马灯是用小蜡烛作为热源，是以热气流为动力源，专门针对教学演示用的。</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箔片验电器器材套件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物理探究实验用。1.本产品由塑料外壳、圆盘、导电杆、箔片等组成，一对装。 2．外壳采用透明塑料注塑成型。 3．圆盘、导电杆用金属制成，表面电镀处理。 4．导电杆与外壳间应有绝缘套管，安装后应无明显缝隙，取下方便，不致损坏箔片。 5． 金属箔片厚度不大于0.2mm，长度不小于20mm。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5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简易无线话筒器材套件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三极管、电容、电阻、漆包线、驻极体话筒、电池盒</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5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330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环保动能手电筒器材套件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物理探究实验用。杠杆式，塑料外壳，三只LED灯，转动机构，开关等构成。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331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简易收音机器材套件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电容、可变电容器、磁性天线、二极管、小耳机</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5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332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三极管放大电路器材套件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三极管、电容、电阻、电池</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5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333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光控路灯开关器材套件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光敏电阻、电阻、三极管、二极管、继电器、直流稳压电源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334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遥控器器材套件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本器材由连接板、电池盒、发射管、接收管、发光二极管、三极管（9014）、电阻（2.2K）按键开关等组成。</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54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335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简易微型汽轮发电机器材套件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微型发电机、微型汽轮机、压力锅炉、发光二极管</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336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模型火箭器材套件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物理探究实验用。材料采用泡沫塑料制成，学生自己动手粘贴组装，由四块构成，每块外形尺寸：200mm×150mm。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337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滚上体</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滚动行程：500mm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338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简单机器人</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物理探究实验用。产品为六合一太阳能套件，主体材料为塑料，拼接式。可组装成太阳能风车、太阳旋转的平面、太阳能汽垫船、太阳能飞机、太阳能车、太阳能小狗。</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339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频闪观察器</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物理探究实验用。产品为带孔的圆盘，圆盘可自动转动，固定片有相同孔径的圆孔，并带有遮光罩。圆秀为金属制，直径140mm，四孔直径10mm。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340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各种陀螺</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圆周运动、离心运动</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341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大回转轮</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物理探究实验用</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342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三轨竟速</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物理探究实验用</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343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翻转环实验器</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物理探究实验用</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344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离心力铁环</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主机、铁环、转轴等组成。1.主机外壳采用塑料注塑成型，尺寸：190mm×160mm×95mm。2.铁环为弹性钢片，直径约160mm、厚0.3mm，表面处理。3.转轴为金属材料制成，表面电镀处理，直径5mm，长170mm。4.外接电源：DC6V-8V。5.转速可调。</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345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滚动的方轮</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产品由一个呈弧线状的曲面斜轨道和一个与弧线状曲面配合的方形轮子组成。1.曲面斜轨道</w:t>
            </w:r>
            <w:r>
              <w:rPr>
                <w:rFonts w:hint="eastAsia" w:cs="宋体" w:asciiTheme="minorEastAsia" w:hAnsiTheme="minorEastAsia" w:eastAsiaTheme="minorEastAsia"/>
                <w:sz w:val="20"/>
                <w:szCs w:val="20"/>
                <w:lang w:bidi="ar"/>
              </w:rPr>
              <w:t xml:space="preserve">的曲面不少于14个，外形尺寸：610mm×190mm×50mm。2.方形轮子为全塑料制，两端为方形，中间为圆柱形，方形边长为50mm，厚3mm；圆柱直径16mm，长100mm。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346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玩具赛车</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向心力实验</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347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饮水鸟</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物态变化</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348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鱼洗</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物理探究实验用。复古龙洗，铜铸造。直径375mm，盆底直径195mm，盆檐高度98mm，带柄高度130mm。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349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水火箭</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器材由发射支架、导轨、火箭、火箭头组成。发射支架由底座、可调角度加构成，表面烤漆，底座尺寸：270mm×110mm×11mm。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滴水起电机</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本产品由支架、滴水装置、感应圈2支、盛水筒2支及绝缘垫等组成。1.支架由金属或塑料制成，表面烤漆处理，外形尺寸：500×260×600mm。2.感应圈及盛水筒均采用不锈钢材料制成，感应圈直径60mm，盛水筒直径120mm。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气体辉光球</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指标：1.使用电压：220V。2.按钮开关。3.球体材料：玻璃，直径130mm。4.底座材料：塑料，尺寸：110mm*110mm*90mm。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测电笔</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氖泡式</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φ3mm或φ6mm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十字螺丝刀</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φ3mm或φ6mm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尖嘴钳</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电工刀</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特殊工具钢，总长220mm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手摇钻</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木工工具</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木锉</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木工锯</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带把手锯</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360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木工锤</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0.25kg</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361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铇</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粗、细</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362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斧</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200mm，带柄</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363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钢手锯</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碳钢制品，电镀</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364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剥线钳</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塑制手柄，150mm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365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钢丝钳</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366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手锤</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中号，木制手柄。长度为：310mm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367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錾子</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200mm，带柄</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368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锉刀(平板)</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250mm，带柄</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369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三角锉刀</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250mm，带柄</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370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什锦锉</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铁制品</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371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活扳手</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150mm或250mm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372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手剪</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钳工工具，剪铁皮、铜片</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373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直角尺</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钳工工具</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374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电烙铁</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60W，20W，橡胶线</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375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平口钳</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80mm，台钻上用</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376</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台钻</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φ1mm～φ13mm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377</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手电钻</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φ1mm～φ13mm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378</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钻头</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φ1mm～φ13mm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379</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台虎钳</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380</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砂轮机</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单相或三相，300W，3000r/min，含安全护板</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381</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烙铁架</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382</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油石</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粗细两面</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383</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冲子</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384</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水平尺</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三水泡型，水平面工作长度160mm～250mm</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385</w:t>
            </w:r>
            <w:r/>
          </w:p>
        </w:tc>
        <w:tc>
          <w:tcPr>
            <w:tcBorders>
              <w:top w:val="single" w:color="000000" w:sz="4" w:space="0"/>
              <w:left w:val="single" w:color="000000" w:sz="4" w:space="0"/>
              <w:bottom w:val="single" w:color="000000" w:sz="4" w:space="0"/>
              <w:right w:val="single" w:color="000000" w:sz="4" w:space="0"/>
            </w:tcBorders>
            <w:tcW w:w="94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高压绝缘凳</w:t>
            </w:r>
            <w:r/>
          </w:p>
        </w:tc>
        <w:tc>
          <w:tcPr>
            <w:tcBorders>
              <w:top w:val="single" w:color="000000" w:sz="4" w:space="0"/>
              <w:left w:val="single" w:color="000000" w:sz="4" w:space="0"/>
              <w:bottom w:val="single" w:color="000000" w:sz="4" w:space="0"/>
              <w:right w:val="single" w:color="000000" w:sz="4" w:space="0"/>
            </w:tcBorders>
            <w:tcW w:w="2975"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绝缘耐受电压不小于120kV</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bl>
    <w:p>
      <w:pPr>
        <w:rPr>
          <w:rFonts w:hint="eastAsia" w:cs="宋体" w:asciiTheme="minorEastAsia" w:hAnsiTheme="minorEastAsia" w:eastAsiaTheme="minorEastAsia"/>
          <w:sz w:val="20"/>
          <w:szCs w:val="20"/>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cs="宋体" w:asciiTheme="minorEastAsia" w:hAnsiTheme="minorEastAsia" w:eastAsiaTheme="minorEastAsia"/>
          <w:sz w:val="20"/>
          <w:szCs w:val="20"/>
        </w:rPr>
      </w:r>
      <w:r/>
    </w:p>
    <w:p>
      <w:pPr>
        <w:rPr>
          <w:rFonts w:hint="eastAsia" w:cs="宋体" w:asciiTheme="minorEastAsia" w:hAnsiTheme="minorEastAsia" w:eastAsiaTheme="minorEastAsia"/>
          <w:sz w:val="32"/>
        </w:rPr>
      </w:pPr>
      <w:r>
        <w:rPr>
          <w:rFonts w:hint="eastAsia" w:cs="宋体" w:asciiTheme="minorEastAsia" w:hAnsiTheme="minorEastAsia" w:eastAsiaTheme="minorEastAsia"/>
          <w:b/>
          <w:bCs/>
          <w:sz w:val="28"/>
          <w:szCs w:val="20"/>
          <w:lang w:bidi="ar"/>
        </w:rPr>
        <w:t xml:space="preserve">高中生物教学仪器</w:t>
      </w:r>
      <w:r/>
    </w:p>
    <w:tbl>
      <w:tblPr>
        <w:tblW w:w="0" w:type="auto"/>
        <w:tblLook w:val="0000" w:firstRow="0" w:lastRow="0" w:firstColumn="0" w:lastColumn="0" w:noHBand="0" w:noVBand="0"/>
      </w:tblPr>
      <w:tblGrid>
        <w:gridCol w:w="550"/>
        <w:gridCol w:w="1525"/>
        <w:gridCol w:w="11068"/>
        <w:gridCol w:w="482"/>
        <w:gridCol w:w="549"/>
      </w:tblGrid>
      <w:tr>
        <w:trPr>
          <w:trHeight w:val="559"/>
        </w:trPr>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序号</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产品名称</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技术参数</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单位</w:t>
            </w:r>
            <w:r/>
          </w:p>
        </w:tc>
        <w:tc>
          <w:tcPr>
            <w:shd w:val="clear" w:color="auto" w:fill="dce6f1"/>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r>
      <w:tr>
        <w:trPr>
          <w:trHeight w:val="50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打孔器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四件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仪器车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1．规格尺寸不小于：600mm×400mm×800mm；</w:t>
            </w:r>
            <w:r>
              <w:rPr>
                <w:rFonts w:hint="eastAsia" w:cs="宋体" w:asciiTheme="minorEastAsia" w:hAnsiTheme="minorEastAsia" w:eastAsiaTheme="minorEastAsia"/>
                <w:sz w:val="20"/>
                <w:szCs w:val="20"/>
                <w:lang w:bidi="ar"/>
              </w:rPr>
              <w:br/>
              <w:t xml:space="preserve">2．仪器车额定载重量为60kg，上、下层托盘承载重量均不小于60kg；</w:t>
            </w:r>
            <w:r>
              <w:rPr>
                <w:rFonts w:hint="eastAsia" w:cs="宋体" w:asciiTheme="minorEastAsia" w:hAnsiTheme="minorEastAsia" w:eastAsiaTheme="minorEastAsia"/>
                <w:sz w:val="20"/>
                <w:szCs w:val="20"/>
                <w:lang w:bidi="ar"/>
              </w:rPr>
              <w:br/>
              <w:t xml:space="preserve">3．采用双层结构，有上、下二层托盘，不锈钢材料；层间距不小于300mm；上下托盘都应有护</w:t>
            </w:r>
            <w:r>
              <w:rPr>
                <w:rFonts w:hint="eastAsia" w:cs="宋体" w:asciiTheme="minorEastAsia" w:hAnsiTheme="minorEastAsia" w:eastAsiaTheme="minorEastAsia"/>
                <w:sz w:val="20"/>
                <w:szCs w:val="20"/>
                <w:lang w:bidi="ar"/>
              </w:rPr>
              <w:br/>
              <w:t xml:space="preserve">栏，护栏高度不低于30mm；</w:t>
            </w:r>
            <w:r>
              <w:rPr>
                <w:rFonts w:hint="eastAsia" w:cs="宋体" w:asciiTheme="minorEastAsia" w:hAnsiTheme="minorEastAsia" w:eastAsiaTheme="minorEastAsia"/>
                <w:sz w:val="20"/>
                <w:szCs w:val="20"/>
                <w:lang w:bidi="ar"/>
              </w:rPr>
              <w:br/>
              <w:t xml:space="preserve">4．车架用直径不小于Φ30mm、壁厚不小于1mm的不锈钢管制成，架高不低于800mm；</w:t>
            </w:r>
            <w:r>
              <w:rPr>
                <w:rFonts w:hint="eastAsia" w:cs="宋体" w:asciiTheme="minorEastAsia" w:hAnsiTheme="minorEastAsia" w:eastAsiaTheme="minorEastAsia"/>
                <w:sz w:val="20"/>
                <w:szCs w:val="20"/>
                <w:lang w:bidi="ar"/>
              </w:rPr>
              <w:br/>
              <w:t xml:space="preserve">5．万向轮部件的车轮直径应不小于50mm，万向轮部件可以绕固定管作360º旋转；在仪器车载重为额定值时，车轮应转动灵活，并且万向轮的方向也能自动调整，无卡阻现象；车轮材料为钢材，轮缘材料为橡胶；四个车轮着地点的平面度公差不大于5mm；应运行平稳，不得变形、摇晃、松动。</w:t>
            </w:r>
            <w:r>
              <w:rPr>
                <w:rFonts w:hint="eastAsia" w:cs="宋体" w:asciiTheme="minorEastAsia" w:hAnsiTheme="minorEastAsia" w:eastAsiaTheme="minorEastAsia"/>
                <w:sz w:val="20"/>
                <w:szCs w:val="20"/>
                <w:lang w:bidi="ar"/>
              </w:rPr>
              <w:br/>
              <w:t xml:space="preserve">6．车轮有制动装置。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生物显微镜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≥640倍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生物显微镜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≥1000倍，带光源、标尺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生物显微镜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≥1000倍，双筒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双目立体显微镜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放大镜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手持式，有效通光孔径不小于30mm，5倍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电动离心机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0r/min～4000 r/min          10mL×8，无刷电机，带电锁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磁力加热搅拌器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容量：20mL～3000mL           转速：0 r/min～1200 r/min，无级调速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高压灭菌锅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手提式，18L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恒温水浴锅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一列两孔或四孔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烘干箱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恒温培养箱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室温+5℃～60℃，±1℃，≥80L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32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整理箱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1、产品为组合式。</w:t>
            </w:r>
            <w:r>
              <w:rPr>
                <w:rFonts w:hint="eastAsia" w:cs="宋体" w:asciiTheme="minorEastAsia" w:hAnsiTheme="minorEastAsia" w:eastAsiaTheme="minorEastAsia"/>
                <w:sz w:val="20"/>
                <w:szCs w:val="20"/>
                <w:lang w:bidi="ar"/>
              </w:rPr>
              <w:br/>
              <w:t xml:space="preserve">2、产品必配部件。</w:t>
            </w:r>
            <w:r>
              <w:rPr>
                <w:rFonts w:hint="eastAsia" w:cs="宋体" w:asciiTheme="minorEastAsia" w:hAnsiTheme="minorEastAsia" w:eastAsiaTheme="minorEastAsia"/>
                <w:sz w:val="20"/>
                <w:szCs w:val="20"/>
                <w:lang w:bidi="ar"/>
              </w:rPr>
              <w:br/>
              <w:t xml:space="preserve">   a)整理箱箱体   1个。</w:t>
            </w:r>
            <w:r>
              <w:rPr>
                <w:rFonts w:hint="eastAsia" w:cs="宋体" w:asciiTheme="minorEastAsia" w:hAnsiTheme="minorEastAsia" w:eastAsiaTheme="minorEastAsia"/>
                <w:sz w:val="20"/>
                <w:szCs w:val="20"/>
                <w:lang w:bidi="ar"/>
              </w:rPr>
              <w:br/>
              <w:t xml:space="preserve">   b)整理箱箱盖   1个</w:t>
            </w:r>
            <w:r>
              <w:rPr>
                <w:rFonts w:hint="eastAsia" w:cs="宋体" w:asciiTheme="minorEastAsia" w:hAnsiTheme="minorEastAsia" w:eastAsiaTheme="minorEastAsia"/>
                <w:sz w:val="20"/>
                <w:szCs w:val="20"/>
                <w:lang w:bidi="ar"/>
              </w:rPr>
              <w:br/>
              <w:t xml:space="preserve">3、主要用途：该产品根据教科书要求内容，对物理、化学、生物实验室仪器及药品进行运输收集，临时储存摆放,回收归位整理。</w:t>
            </w:r>
            <w:r>
              <w:rPr>
                <w:rFonts w:hint="eastAsia" w:cs="宋体" w:asciiTheme="minorEastAsia" w:hAnsiTheme="minorEastAsia" w:eastAsiaTheme="minorEastAsia"/>
                <w:sz w:val="20"/>
                <w:szCs w:val="20"/>
                <w:lang w:bidi="ar"/>
              </w:rPr>
              <w:br/>
              <w:t xml:space="preserve">4、整理箱箱体用优质环保塑料制作，外形规格尺寸不小于：445×345×140mm,内外表面光洁，底部有一矩形凸筋，箱体上部四周,有配合箱盖的定位耳边,长度方向有端整理箱的托耳。箱体顶端凸边料厚3±0.5mm。</w:t>
            </w:r>
            <w:r>
              <w:rPr>
                <w:rFonts w:hint="eastAsia" w:cs="宋体" w:asciiTheme="minorEastAsia" w:hAnsiTheme="minorEastAsia" w:eastAsiaTheme="minorEastAsia"/>
                <w:sz w:val="20"/>
                <w:szCs w:val="20"/>
                <w:lang w:bidi="ar"/>
              </w:rPr>
              <w:br/>
              <w:t xml:space="preserve">5、整理箱箱盖用优质环保塑料制作，外形规格尺寸不小于：423×338×16mm，箱盖顶部有注塑成型的产品编号及名称，箱盖右上角有一方便开启箱盖的角形耳，箱盖四周有一宽度不小于7.5mm的凹凸筋槽，箱盖、箱体配合松紧适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塑料洗瓶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250mL或500mL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54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方座支架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1．由矩形底座、立杆、烧瓶夹、大小铁环、垂直夹（2只）、平行夹等组成；</w:t>
            </w:r>
            <w:r>
              <w:rPr>
                <w:rFonts w:hint="eastAsia" w:cs="宋体" w:asciiTheme="minorEastAsia" w:hAnsiTheme="minorEastAsia" w:eastAsiaTheme="minorEastAsia"/>
                <w:sz w:val="20"/>
                <w:szCs w:val="20"/>
                <w:lang w:bidi="ar"/>
              </w:rPr>
              <w:br/>
              <w:t xml:space="preserve">2．方座支架的底座尺寸为210mm×135mm，立杆直径为Φ12mm，立杆长度600mm，底座和立杆表</w:t>
            </w:r>
            <w:r>
              <w:rPr>
                <w:rFonts w:hint="eastAsia" w:cs="宋体" w:asciiTheme="minorEastAsia" w:hAnsiTheme="minorEastAsia" w:eastAsiaTheme="minorEastAsia"/>
                <w:sz w:val="20"/>
                <w:szCs w:val="20"/>
                <w:lang w:bidi="ar"/>
              </w:rPr>
              <w:br/>
              <w:t xml:space="preserve">面应作防锈处理；质量大于1．5kg；</w:t>
            </w:r>
            <w:r>
              <w:rPr>
                <w:rFonts w:hint="eastAsia" w:cs="宋体" w:asciiTheme="minorEastAsia" w:hAnsiTheme="minorEastAsia" w:eastAsiaTheme="minorEastAsia"/>
                <w:sz w:val="20"/>
                <w:szCs w:val="20"/>
                <w:lang w:bidi="ar"/>
              </w:rPr>
              <w:br/>
              <w:t xml:space="preserve">3．大铁环内径φ90mm，柄长105mm；小铁环内径φ50mm，柄长125mm，圆环120°，有一开口，</w:t>
            </w:r>
            <w:r>
              <w:rPr>
                <w:rFonts w:hint="eastAsia" w:cs="宋体" w:asciiTheme="minorEastAsia" w:hAnsiTheme="minorEastAsia" w:eastAsiaTheme="minorEastAsia"/>
                <w:sz w:val="20"/>
                <w:szCs w:val="20"/>
                <w:lang w:bidi="ar"/>
              </w:rPr>
              <w:br/>
              <w:t xml:space="preserve">宽约20mm；烧瓶夹闭合间隙＜0．1mm，最大开口≥35mm，杆径φ10mm；</w:t>
            </w:r>
            <w:r>
              <w:rPr>
                <w:rFonts w:hint="eastAsia" w:cs="宋体" w:asciiTheme="minorEastAsia" w:hAnsiTheme="minorEastAsia" w:eastAsiaTheme="minorEastAsia"/>
                <w:sz w:val="20"/>
                <w:szCs w:val="20"/>
                <w:lang w:bidi="ar"/>
              </w:rPr>
              <w:br/>
              <w:t xml:space="preserve">4．放置平稳、支承夹持可靠，立杆与底座间的垂直度不大于3mm，铁环组装后与立杆垂直，垂直度不大于4mm。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13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三脚架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1．采用碳钢制造，表面经酸洗，磷化后喷塑；</w:t>
            </w:r>
            <w:r>
              <w:rPr>
                <w:rFonts w:hint="eastAsia" w:cs="宋体" w:asciiTheme="minorEastAsia" w:hAnsiTheme="minorEastAsia" w:eastAsiaTheme="minorEastAsia"/>
                <w:sz w:val="20"/>
                <w:szCs w:val="20"/>
                <w:lang w:bidi="ar"/>
              </w:rPr>
              <w:br/>
              <w:t xml:space="preserve">2．三脚均布，高度不小于156mm，三脚内接圆直径不小于120mm，上支承环平整，直径不小于</w:t>
            </w:r>
            <w:r>
              <w:rPr>
                <w:rFonts w:hint="eastAsia" w:cs="宋体" w:asciiTheme="minorEastAsia" w:hAnsiTheme="minorEastAsia" w:eastAsiaTheme="minorEastAsia"/>
                <w:sz w:val="20"/>
                <w:szCs w:val="20"/>
                <w:lang w:bidi="ar"/>
              </w:rPr>
              <w:br/>
              <w:t xml:space="preserve">100mm，三脚及支承环钢材直径不小于6mm；</w:t>
            </w:r>
            <w:r>
              <w:rPr>
                <w:rFonts w:hint="eastAsia" w:cs="宋体" w:asciiTheme="minorEastAsia" w:hAnsiTheme="minorEastAsia" w:eastAsiaTheme="minorEastAsia"/>
                <w:sz w:val="20"/>
                <w:szCs w:val="20"/>
                <w:lang w:bidi="ar"/>
              </w:rPr>
              <w:br/>
              <w:t xml:space="preserve">3．三只脚与铁环焊接紧固，焊点光滑、平整，脚距相等，立放台上时圆环应与台面平行，所支</w:t>
            </w:r>
            <w:r>
              <w:rPr>
                <w:rFonts w:hint="eastAsia" w:cs="宋体" w:asciiTheme="minorEastAsia" w:hAnsiTheme="minorEastAsia" w:eastAsiaTheme="minorEastAsia"/>
                <w:sz w:val="20"/>
                <w:szCs w:val="20"/>
                <w:lang w:bidi="ar"/>
              </w:rPr>
              <w:br/>
              <w:t xml:space="preserve">承的容器不得有滑动。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12孔，12柱，与φ15mm×150mm试管匹配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32孔，铝合金，与φ15mm×150mm试管匹配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200g，0.2g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200g，0.01g</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红液，0℃～100℃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水银，0℃～200℃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酸度计(pH计)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测量范围:pH 0～14，分辨率:0.1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血球计数板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规格：1.计数池深度：0.1mm。2.计数池划格：1mm2 。3.白血球计数大方格：1/16 mm2。4. 红血球计数中方格：1/25 mm2。5.白血球小方格：1/400mm2。6.外型74×33×5mm。7.大方格每边长度允许误差为±1%。8.计数池平面两端磨有斜坡，使血液吸入容量大而畅通。9.计数池的背面有凹窝，可保护背面。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计数器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手持式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接种环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金属手柄，合金金属丝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研磨过滤器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容量20mL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光照培养架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实用多层，安装方便，插孔暗式布线，独立开关，光照强度3000lx-5000lx-7000lx三档可调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普通手术剪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直尖头，140mm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眼用手术剪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直尖头，100mm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手术刀柄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不锈钢制，全长约125mm，能与20、21、22、23、24、25号手术刀片配合使用。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手术刀片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刀片硬度不锈钢不低于650HV10,刀片弹性良好；能与20、21、22、23、24、25号普通刀柄配合使用。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解剖镊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尖头，125mm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解剖镊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阔头，125mm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牙用镊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单弯，160mm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眼用镊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直唇头齿,100mm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电泳仪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四组输出，输出电压：2V～200V、输出电流：2mA～200mA，具有36V电压限制功能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恒温震荡器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室温+5℃～60℃，±1℃        容量：100mL锥形瓶25个或以上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水平电泳槽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聚碳酸脂注塑成型，凝胶托盘带有荧光标尺，具有开盖断电功能，凝胶板规格：60mm×60mm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垂直电泳槽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聚碳酸脂注塑成型槽体，可实现原位制胶功能，凝胶板规格：75mm×83mm，同时可以两块凝胶电泳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微量进样器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50µL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凝胶色谱柱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16mm×500mm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微量移液器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1µL～10µL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微量移液器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20µL～200µL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微量移液器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100µL～1000µL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微量移液器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500µL～5000µL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移液器架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可放置5支移液器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DNA电泳图谱观察仪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非紫外光源，观察凝胶面积＞100mm×100mm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精油提取器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功率500W，功率可调，具有缺水断电功能，最大容积5L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组织捣碎匀浆机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0r/min～1200r/min，无级调速  最大容量：1L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43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DNA快速杂交仪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1.电源电压：AC220V±10％ 50Hz 350W </w:t>
            </w:r>
            <w:r>
              <w:rPr>
                <w:rFonts w:hint="eastAsia" w:cs="宋体" w:asciiTheme="minorEastAsia" w:hAnsiTheme="minorEastAsia" w:eastAsiaTheme="minorEastAsia"/>
                <w:sz w:val="20"/>
                <w:szCs w:val="20"/>
                <w:lang w:bidi="ar"/>
              </w:rPr>
              <w:br/>
              <w:t xml:space="preserve">2.使用环境：0℃～＋40℃，相对湿度：≤90%RH </w:t>
            </w:r>
            <w:r>
              <w:rPr>
                <w:rFonts w:hint="eastAsia" w:cs="宋体" w:asciiTheme="minorEastAsia" w:hAnsiTheme="minorEastAsia" w:eastAsiaTheme="minorEastAsia"/>
                <w:sz w:val="20"/>
                <w:szCs w:val="20"/>
                <w:lang w:bidi="ar"/>
              </w:rPr>
              <w:br/>
              <w:t xml:space="preserve">3.温控范围：环境温度＋5℃～60℃可调 </w:t>
            </w:r>
            <w:r>
              <w:rPr>
                <w:rFonts w:hint="eastAsia" w:cs="宋体" w:asciiTheme="minorEastAsia" w:hAnsiTheme="minorEastAsia" w:eastAsiaTheme="minorEastAsia"/>
                <w:sz w:val="20"/>
                <w:szCs w:val="20"/>
                <w:lang w:bidi="ar"/>
              </w:rPr>
              <w:br/>
              <w:t xml:space="preserve">4.温度波动值：±1℃ </w:t>
            </w:r>
            <w:r>
              <w:rPr>
                <w:rFonts w:hint="eastAsia" w:cs="宋体" w:asciiTheme="minorEastAsia" w:hAnsiTheme="minorEastAsia" w:eastAsiaTheme="minorEastAsia"/>
                <w:sz w:val="20"/>
                <w:szCs w:val="20"/>
                <w:lang w:bidi="ar"/>
              </w:rPr>
              <w:br/>
              <w:t xml:space="preserve">5.温度显示精度：0.1℃ </w:t>
            </w:r>
            <w:r>
              <w:rPr>
                <w:rFonts w:hint="eastAsia" w:cs="宋体" w:asciiTheme="minorEastAsia" w:hAnsiTheme="minorEastAsia" w:eastAsiaTheme="minorEastAsia"/>
                <w:sz w:val="20"/>
                <w:szCs w:val="20"/>
                <w:lang w:bidi="ar"/>
              </w:rPr>
              <w:br/>
              <w:t xml:space="preserve">6.温度均匀性：±0.03℃ </w:t>
            </w:r>
            <w:r>
              <w:rPr>
                <w:rFonts w:hint="eastAsia" w:cs="宋体" w:asciiTheme="minorEastAsia" w:hAnsiTheme="minorEastAsia" w:eastAsiaTheme="minorEastAsia"/>
                <w:sz w:val="20"/>
                <w:szCs w:val="20"/>
                <w:lang w:bidi="ar"/>
              </w:rPr>
              <w:br/>
              <w:t xml:space="preserve">7.瓶架转速：0～16转/分可调 </w:t>
            </w:r>
            <w:r>
              <w:rPr>
                <w:rFonts w:hint="eastAsia" w:cs="宋体" w:asciiTheme="minorEastAsia" w:hAnsiTheme="minorEastAsia" w:eastAsiaTheme="minorEastAsia"/>
                <w:sz w:val="20"/>
                <w:szCs w:val="20"/>
                <w:lang w:bidi="ar"/>
              </w:rPr>
              <w:br/>
              <w:t xml:space="preserve">8.杂交管规格：Φ35×200mm（其他规格可定制） </w:t>
            </w:r>
            <w:r>
              <w:rPr>
                <w:rFonts w:hint="eastAsia" w:cs="宋体" w:asciiTheme="minorEastAsia" w:hAnsiTheme="minorEastAsia" w:eastAsiaTheme="minorEastAsia"/>
                <w:sz w:val="20"/>
                <w:szCs w:val="20"/>
                <w:lang w:bidi="ar"/>
              </w:rPr>
              <w:br/>
              <w:t xml:space="preserve">9.加热室尺寸：385mm×315mm×320mm。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果酒果醋发酵装置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透明，最大容积1L，具水封及气泡限速装置，可进行气泡观察计数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纯水机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产品为组装式，由主机、储水桶、龙头、水管等组成。1.电源：AC220V  50Hz。2.功率：25W。3.纯水机产量：R0-50加仑（185升/日25℃）4.储水桶储水量：约12L。5.适用小压：0.1-0.3MPa。</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玻璃三角刮刀(涂布器)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玻璃制，形状为7字型。玻璃棒直径为5mm，柄长100mm，7字头长25mm。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始祖鸟化石及复原模型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由始祖鸟化石模型及复原模型组成，分别置于底座上，模型应采用硬塑料或复合材料制作。始祖鸟化石模型外形尺寸不小于390mm×490mm。示头骨、脊柱、肋骨、附肢骨和羽毛印迹，各部形态正确清晰，并显示化石裂缝。骨化石与石块的颜色应有区别。始祖鸟复原模型的体长不小于450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细胞亚显微结构模型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本模型使用于中学及大专院校讲授动物细胞结构时作为直观教具。PVC材质。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6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细胞膜结构模型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 该模型以目前不较多的人所接受的“磷脂液态馕嵌模型”之原理为依据制作。长260mm、宽180mm、高110mm。</w:t>
            </w:r>
            <w:r>
              <w:rPr>
                <w:rFonts w:hint="eastAsia" w:cs="宋体" w:asciiTheme="minorEastAsia" w:hAnsiTheme="minorEastAsia" w:eastAsiaTheme="minorEastAsia"/>
                <w:sz w:val="20"/>
                <w:szCs w:val="20"/>
                <w:lang w:bidi="ar"/>
              </w:rPr>
              <w:br/>
              <w:t xml:space="preserve">2、 脂质分子由呈球状的头和呈丝状的尾组成。头部为亲水端，朝向膜内、外两侧、尾为输水端，朝向内膜中央，从而形成三片层结构。</w:t>
            </w:r>
            <w:r>
              <w:rPr>
                <w:rFonts w:hint="eastAsia" w:cs="宋体" w:asciiTheme="minorEastAsia" w:hAnsiTheme="minorEastAsia" w:eastAsiaTheme="minorEastAsia"/>
                <w:sz w:val="20"/>
                <w:szCs w:val="20"/>
                <w:lang w:bidi="ar"/>
              </w:rPr>
              <w:br/>
              <w:t xml:space="preserve">3、 蛋白质呈不规则的球状，按其功能不同，不封馕嵌于类脂双分子层表面，部分横穿类脂双分子层，其中一个蛋白质分子可活动。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细胞膜流动镶嵌模型组件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本模型适用于中等学校及专科院校生物教学时，讲授电镜下细胞的结构所使用的直观教具。供学生了解细胞的流动镶嵌构造、蛋白质和脂质分子的排列方式。长：380mm，宽：180，高：210mm。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减数分裂中染色体变化模型组件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产品包含减数分裂各个时期的染色体不同形态的模型。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13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DNA结构模型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模型为放大一亿倍（中学用）、二亿倍（大学用）的B型DNA分子结构教学示意模型。1、 DNA分子是两条核甘酸链以右手螺旋围绕同一根轴旋成的。住链是交替排列的磷酸根（P）和脱氧核糖（D）。 两条多核甘酸链是反向平行的。两条链上的碱基通过氧键形成碱基对，碱基配对的互补关系是A-T,G-C,A-T之间为三对氢键。模型上红色套管表示氢键。</w:t>
            </w:r>
            <w:r>
              <w:rPr>
                <w:rFonts w:hint="eastAsia" w:cs="宋体" w:asciiTheme="minorEastAsia" w:hAnsiTheme="minorEastAsia" w:eastAsiaTheme="minorEastAsia"/>
                <w:sz w:val="20"/>
                <w:szCs w:val="20"/>
                <w:lang w:bidi="ar"/>
              </w:rPr>
              <w:br/>
              <w:t xml:space="preserve">双螺旋的表面有两处较明显的两凹下去的槽，一个大且深，一个小且浅。分别称为大沟和小沟。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DNA双螺旋结构模型组件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分组用，模型由脱氧核糖、碱基、磷酸等主要组块构成，包括连接棒A(细)40根，连接棒B(粗)20根；脱氧核糖20个；磷酸20个；碱基A5个，碱基B5个，碱基C5个，碱基D5个。优质塑料盒装，盒体外形规格：150mm×80mm×20mm。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13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验证基因分离规律玉米标本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1．玉米穗；</w:t>
            </w:r>
            <w:r>
              <w:rPr>
                <w:rFonts w:hint="eastAsia" w:cs="宋体" w:asciiTheme="minorEastAsia" w:hAnsiTheme="minorEastAsia" w:eastAsiaTheme="minorEastAsia"/>
                <w:sz w:val="20"/>
                <w:szCs w:val="20"/>
                <w:lang w:bidi="ar"/>
              </w:rPr>
              <w:br/>
              <w:t xml:space="preserve">2．标本选用父代穗、母代穗、子一代穗、子二代穗及子二代测交穗5穗玉米穗组成，各有不同的基因型；</w:t>
            </w:r>
            <w:r>
              <w:rPr>
                <w:rFonts w:hint="eastAsia" w:cs="宋体" w:asciiTheme="minorEastAsia" w:hAnsiTheme="minorEastAsia" w:eastAsiaTheme="minorEastAsia"/>
                <w:sz w:val="20"/>
                <w:szCs w:val="20"/>
                <w:lang w:bidi="ar"/>
              </w:rPr>
              <w:br/>
              <w:t xml:space="preserve">3．标本盒为木质材料制作，内分5格；标本盒尺寸为25×20×5cm。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13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验证基因自由组合规律玉米标本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1．玉米穗；</w:t>
            </w:r>
            <w:r>
              <w:rPr>
                <w:rFonts w:hint="eastAsia" w:cs="宋体" w:asciiTheme="minorEastAsia" w:hAnsiTheme="minorEastAsia" w:eastAsiaTheme="minorEastAsia"/>
                <w:sz w:val="20"/>
                <w:szCs w:val="20"/>
                <w:lang w:bidi="ar"/>
              </w:rPr>
              <w:br/>
              <w:t xml:space="preserve">2．标本选用父代穗、母代穗、子一代穗、子二代穗及子二代测交穗5穗玉米穗组成，各有不同的基因型；</w:t>
            </w:r>
            <w:r>
              <w:rPr>
                <w:rFonts w:hint="eastAsia" w:cs="宋体" w:asciiTheme="minorEastAsia" w:hAnsiTheme="minorEastAsia" w:eastAsiaTheme="minorEastAsia"/>
                <w:sz w:val="20"/>
                <w:szCs w:val="20"/>
                <w:lang w:bidi="ar"/>
              </w:rPr>
              <w:br/>
              <w:t xml:space="preserve">3．标本盒为木质材料制作，内分5格；标本盒尺寸为25×20×5cm。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13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验证基因连锁与互换规律玉米标本</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1．玉米穗；</w:t>
            </w:r>
            <w:r>
              <w:rPr>
                <w:rFonts w:hint="eastAsia" w:cs="宋体" w:asciiTheme="minorEastAsia" w:hAnsiTheme="minorEastAsia" w:eastAsiaTheme="minorEastAsia"/>
                <w:sz w:val="20"/>
                <w:szCs w:val="20"/>
                <w:lang w:bidi="ar"/>
              </w:rPr>
              <w:br/>
              <w:t xml:space="preserve">2．标本选用父代穗、母代穗、子一代穗、子二代穗及子二代测交穗5穗玉米穗组成，各有不同的基因型；</w:t>
            </w:r>
            <w:r>
              <w:rPr>
                <w:rFonts w:hint="eastAsia" w:cs="宋体" w:asciiTheme="minorEastAsia" w:hAnsiTheme="minorEastAsia" w:eastAsiaTheme="minorEastAsia"/>
                <w:sz w:val="20"/>
                <w:szCs w:val="20"/>
                <w:lang w:bidi="ar"/>
              </w:rPr>
              <w:br/>
              <w:t xml:space="preserve">3．标本盒为木质材料制作，内分5格；标本盒尺寸为25×20×5cm。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蚕豆叶下表皮装片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植物细胞有丝分裂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洋葱根尖纵切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胞间连丝切片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黑藻叶装片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显示细胞核及叶绿体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酵母菌装片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水绵装片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大肠杆菌涂片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1．在500×生物显微镜下观察大肠杆菌的基本形态；</w:t>
            </w:r>
            <w:r>
              <w:rPr>
                <w:rFonts w:hint="eastAsia" w:cs="宋体" w:asciiTheme="minorEastAsia" w:hAnsiTheme="minorEastAsia" w:eastAsiaTheme="minorEastAsia"/>
                <w:sz w:val="20"/>
                <w:szCs w:val="20"/>
                <w:lang w:bidi="ar"/>
              </w:rPr>
              <w:br/>
              <w:t xml:space="preserve">2．清晰地看出大肠杆菌的形态，不要求显示鞭毛；</w:t>
            </w:r>
            <w:r>
              <w:rPr>
                <w:rFonts w:hint="eastAsia" w:cs="宋体" w:asciiTheme="minorEastAsia" w:hAnsiTheme="minorEastAsia" w:eastAsiaTheme="minorEastAsia"/>
                <w:sz w:val="20"/>
                <w:szCs w:val="20"/>
                <w:lang w:bidi="ar"/>
              </w:rPr>
              <w:br/>
              <w:t xml:space="preserve">3．标本一般应取材于人工培养的大肠杆菌；</w:t>
            </w:r>
            <w:r>
              <w:rPr>
                <w:rFonts w:hint="eastAsia" w:cs="宋体" w:asciiTheme="minorEastAsia" w:hAnsiTheme="minorEastAsia" w:eastAsiaTheme="minorEastAsia"/>
                <w:sz w:val="20"/>
                <w:szCs w:val="20"/>
                <w:lang w:bidi="ar"/>
              </w:rPr>
              <w:br/>
              <w:t xml:space="preserve">4．实验所用载玻片应经洗液清洗。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43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动物细胞有丝分裂(马蛔虫受精卵切片)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1．标本在100×和400×生物显微镜下观察动物细胞有丝分裂的各期形态；</w:t>
            </w:r>
            <w:r>
              <w:rPr>
                <w:rFonts w:hint="eastAsia" w:cs="宋体" w:asciiTheme="minorEastAsia" w:hAnsiTheme="minorEastAsia" w:eastAsiaTheme="minorEastAsia"/>
                <w:sz w:val="20"/>
                <w:szCs w:val="20"/>
                <w:lang w:bidi="ar"/>
              </w:rPr>
              <w:br/>
              <w:t xml:space="preserve">2．能看清细胞分裂过程中的三个时期：前期、中期和后期或中期、后期和末期；</w:t>
            </w:r>
            <w:r>
              <w:rPr>
                <w:rFonts w:hint="eastAsia" w:cs="宋体" w:asciiTheme="minorEastAsia" w:hAnsiTheme="minorEastAsia" w:eastAsiaTheme="minorEastAsia"/>
                <w:sz w:val="20"/>
                <w:szCs w:val="20"/>
                <w:lang w:bidi="ar"/>
              </w:rPr>
              <w:br/>
              <w:t xml:space="preserve">3．能看清分裂前的细胞核和分裂各期的中心体（中期和后期显著）、染色体以及卵壳、子宫壁等，纺锤体隐约可见；</w:t>
            </w:r>
            <w:r>
              <w:rPr>
                <w:rFonts w:hint="eastAsia" w:cs="宋体" w:asciiTheme="minorEastAsia" w:hAnsiTheme="minorEastAsia" w:eastAsiaTheme="minorEastAsia"/>
                <w:sz w:val="20"/>
                <w:szCs w:val="20"/>
                <w:lang w:bidi="ar"/>
              </w:rPr>
              <w:br/>
              <w:t xml:space="preserve">4．标本取材于马蛔虫子宫，作子宫的纵切片，材料长度不小于10mm，每张玻片放材料1片；也可作子宫的横切片，每张玻片放不同部位的横切片2～4片，以保证观察到细胞分裂的各个时期；</w:t>
            </w:r>
            <w:r>
              <w:rPr>
                <w:rFonts w:hint="eastAsia" w:cs="宋体" w:asciiTheme="minorEastAsia" w:hAnsiTheme="minorEastAsia" w:eastAsiaTheme="minorEastAsia"/>
                <w:sz w:val="20"/>
                <w:szCs w:val="20"/>
                <w:lang w:bidi="ar"/>
              </w:rPr>
              <w:br/>
              <w:t xml:space="preserve">5．切片厚度为6～8μm；</w:t>
            </w:r>
            <w:r>
              <w:rPr>
                <w:rFonts w:hint="eastAsia" w:cs="宋体" w:asciiTheme="minorEastAsia" w:hAnsiTheme="minorEastAsia" w:eastAsiaTheme="minorEastAsia"/>
                <w:sz w:val="20"/>
                <w:szCs w:val="20"/>
                <w:lang w:bidi="ar"/>
              </w:rPr>
              <w:br/>
              <w:t xml:space="preserve">6．卵和卵壳基本呈圆形，子宫内卵应饱满，卵不得脱出卵壳外，胞核、染色体、中心体着色明显，子官壁完整。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草履虫分裂生殖装片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13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蝗虫精巢减数分裂切片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1．标本在100×和400×生物显微镜下观察蝗虫精巢减数分裂的各期形态；</w:t>
            </w:r>
            <w:r>
              <w:rPr>
                <w:rFonts w:hint="eastAsia" w:cs="宋体" w:asciiTheme="minorEastAsia" w:hAnsiTheme="minorEastAsia" w:eastAsiaTheme="minorEastAsia"/>
                <w:sz w:val="20"/>
                <w:szCs w:val="20"/>
                <w:lang w:bidi="ar"/>
              </w:rPr>
              <w:br/>
              <w:t xml:space="preserve">2．能看清减数分裂过程中的以下时期：减数第一次分裂的前期、中期和后期和减数第二次分裂的前期、中期、后期和末期；</w:t>
            </w:r>
            <w:r>
              <w:rPr>
                <w:rFonts w:hint="eastAsia" w:cs="宋体" w:asciiTheme="minorEastAsia" w:hAnsiTheme="minorEastAsia" w:eastAsiaTheme="minorEastAsia"/>
                <w:sz w:val="20"/>
                <w:szCs w:val="20"/>
                <w:lang w:bidi="ar"/>
              </w:rPr>
              <w:br/>
              <w:t xml:space="preserve">3．材料应取自蝗虫精巢；</w:t>
            </w:r>
            <w:r>
              <w:rPr>
                <w:rFonts w:hint="eastAsia" w:cs="宋体" w:asciiTheme="minorEastAsia" w:hAnsiTheme="minorEastAsia" w:eastAsiaTheme="minorEastAsia"/>
                <w:sz w:val="20"/>
                <w:szCs w:val="20"/>
                <w:lang w:bidi="ar"/>
              </w:rPr>
              <w:br/>
              <w:t xml:space="preserve">4．切片厚度应为6～8μm。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蛙血涂片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表皮细胞装片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蛙或蝾螈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骨骼肌纵横切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平滑肌分离装片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心肌切片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运动神经元装片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胰腺切片(示胰岛)</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正常人染色体装片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DNA和RAN在细胞中的分布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线粒体切片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移液管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φ15mm×150mm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蒸馏烧瓶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酒精灯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干燥器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蒸馏水瓶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冷凝器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直固，300mm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漏斗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漏斗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1．规格：常用为90mm、100mm2种；</w:t>
            </w:r>
            <w:r>
              <w:rPr>
                <w:rFonts w:hint="eastAsia" w:cs="宋体" w:asciiTheme="minorEastAsia" w:hAnsiTheme="minorEastAsia" w:eastAsiaTheme="minorEastAsia"/>
                <w:sz w:val="20"/>
                <w:szCs w:val="20"/>
                <w:lang w:bidi="ar"/>
              </w:rPr>
              <w:br/>
              <w:t xml:space="preserve">2．胶头滴管每滴为0．05mL，塑料滴管1mL、3mL。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比色管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广口瓶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棕色，30mL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棕色，60mL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1.产品为竹制品。2.长度170mm，宽度12mm，厚度7.5mm。3.试管夹弹簧有足够弹性，作防锈处理。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13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石棉网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1．产品由金属网和附在网上的石棉组成；</w:t>
            </w:r>
            <w:r>
              <w:rPr>
                <w:rFonts w:hint="eastAsia" w:cs="宋体" w:asciiTheme="minorEastAsia" w:hAnsiTheme="minorEastAsia" w:eastAsiaTheme="minorEastAsia"/>
                <w:sz w:val="20"/>
                <w:szCs w:val="20"/>
                <w:lang w:bidi="ar"/>
              </w:rPr>
              <w:br/>
              <w:t xml:space="preserve">2．金属网由Φ0.1mm左右的钢丝编织而成，密度均匀，织网密度间距不大于2mm，金属网为边长不小于125mm的正方形，边缘应作卷边处理，不散网、不翘丝；</w:t>
            </w:r>
            <w:r>
              <w:rPr>
                <w:rFonts w:hint="eastAsia" w:cs="宋体" w:asciiTheme="minorEastAsia" w:hAnsiTheme="minorEastAsia" w:eastAsiaTheme="minorEastAsia"/>
                <w:sz w:val="20"/>
                <w:szCs w:val="20"/>
                <w:lang w:bidi="ar"/>
              </w:rPr>
              <w:br/>
              <w:t xml:space="preserve">3．金属网上所附石棉圈为双面附着的正圆形，直径不小于100mm，厚度为3mm左右，要求不散、不裂、不脱落；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药匙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1．产品为塑料制成；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φ5mm～6mm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千克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洗耳球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橡胶材质，60mL。</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培养皿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培养皿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φ120mm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研钵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瓷,φ60mm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载玻片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玻璃制品，25．4×76．2mm(1″×3″)，1mm～1．2mm，50PCS/盒。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盒</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盖玻片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玻璃制品，18×18mm，0．13～0．17mm，10PCS。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测电笔</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氖泡式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一字螺丝刀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长150mm</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十字螺丝刀</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φ6mm，长150mm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木工锤</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重0.25kg</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钢手锯</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  由钢锯弓、钢锯条组成。金属锯身，锯弓尺寸可以调节，锯条长度300mm 。</w:t>
            </w:r>
            <w:r>
              <w:rPr>
                <w:rFonts w:hint="eastAsia" w:cs="宋体" w:asciiTheme="minorEastAsia" w:hAnsiTheme="minorEastAsia" w:eastAsiaTheme="minorEastAsia"/>
                <w:sz w:val="20"/>
                <w:szCs w:val="20"/>
                <w:lang w:bidi="ar"/>
              </w:rPr>
              <w:br/>
              <w:t xml:space="preserve">2  手柄握捏部位应光滑舒适。采用钢材。</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剥线钳</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150mm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钢丝钳</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活扳手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长250mm</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工作服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防酸碱</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57</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147</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护目镜</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侧面完全遮挡，耐酸碱，抗冲击</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57</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乳胶手套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手套采用纯天然乳胶工业手套。五指带袖套长200mm。耐低度酸碱。</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付</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r>
      <w:tr>
        <w:trPr>
          <w:trHeight w:val="13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洗眼器</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1．主体：高密PP材质制造；</w:t>
            </w:r>
            <w:r>
              <w:rPr>
                <w:rFonts w:hint="eastAsia" w:cs="宋体" w:asciiTheme="minorEastAsia" w:hAnsiTheme="minorEastAsia" w:eastAsiaTheme="minorEastAsia"/>
                <w:sz w:val="20"/>
                <w:szCs w:val="20"/>
                <w:lang w:bidi="ar"/>
              </w:rPr>
              <w:br/>
              <w:t xml:space="preserve">2．阀门可自动关闭，密封可靠。喷头：洗眼盆头，出水经缓压处理呈泡沫状水柱，防止冲</w:t>
            </w:r>
            <w:r>
              <w:rPr>
                <w:rFonts w:hint="eastAsia" w:cs="宋体" w:asciiTheme="minorEastAsia" w:hAnsiTheme="minorEastAsia" w:eastAsiaTheme="minorEastAsia"/>
                <w:sz w:val="20"/>
                <w:szCs w:val="20"/>
                <w:lang w:bidi="ar"/>
              </w:rPr>
              <w:br/>
              <w:t xml:space="preserve">伤眼睛，设有防尘盖，使用时可自动被水冲开。功能：设有流量调节控制阀，可根据供水</w:t>
            </w:r>
            <w:r>
              <w:rPr>
                <w:rFonts w:hint="eastAsia" w:cs="宋体" w:asciiTheme="minorEastAsia" w:hAnsiTheme="minorEastAsia" w:eastAsiaTheme="minorEastAsia"/>
                <w:sz w:val="20"/>
                <w:szCs w:val="20"/>
                <w:lang w:bidi="ar"/>
              </w:rPr>
              <w:br/>
              <w:t xml:space="preserve">压力调整到眼睛最适宜的流量（使用压力：0．2MPa～0．6MPa）开关：水流开启，水流锁</w:t>
            </w:r>
            <w:r>
              <w:rPr>
                <w:rFonts w:hint="eastAsia" w:cs="宋体" w:asciiTheme="minorEastAsia" w:hAnsiTheme="minorEastAsia" w:eastAsiaTheme="minorEastAsia"/>
                <w:sz w:val="20"/>
                <w:szCs w:val="20"/>
                <w:lang w:bidi="ar"/>
              </w:rPr>
              <w:br/>
              <w:t xml:space="preserve">定功能一次完成，方便使用。软管：供水软管长度采用1．5米，PP软管，最大耐水压7Pa。</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简易急救箱</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铝合金药箱及常用器材</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r>
    </w:tbl>
    <w:p>
      <w:pPr>
        <w:rPr>
          <w:rFonts w:hint="eastAsia" w:cs="宋体" w:asciiTheme="minorEastAsia" w:hAnsiTheme="minorEastAsia" w:eastAsiaTheme="minorEastAsia"/>
          <w:sz w:val="20"/>
          <w:szCs w:val="20"/>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cs="宋体" w:asciiTheme="minorEastAsia" w:hAnsiTheme="minorEastAsia" w:eastAsiaTheme="minorEastAsia"/>
          <w:sz w:val="20"/>
          <w:szCs w:val="20"/>
        </w:rPr>
      </w:r>
      <w:r/>
    </w:p>
    <w:p>
      <w:pPr>
        <w:rPr>
          <w:rFonts w:hint="eastAsia" w:cs="宋体" w:asciiTheme="minorEastAsia" w:hAnsiTheme="minorEastAsia" w:eastAsiaTheme="minorEastAsia"/>
          <w:sz w:val="32"/>
        </w:rPr>
      </w:pPr>
      <w:r>
        <w:rPr>
          <w:rFonts w:hint="eastAsia" w:cs="宋体" w:asciiTheme="minorEastAsia" w:hAnsiTheme="minorEastAsia" w:eastAsiaTheme="minorEastAsia"/>
          <w:b/>
          <w:bCs/>
          <w:sz w:val="28"/>
          <w:szCs w:val="20"/>
          <w:lang w:bidi="ar"/>
        </w:rPr>
        <w:t xml:space="preserve">高中物理数字化探究演示系统</w:t>
      </w:r>
      <w:r/>
    </w:p>
    <w:tbl>
      <w:tblPr>
        <w:tblW w:w="5000" w:type="pct"/>
        <w:tblLook w:val="0000" w:firstRow="0" w:lastRow="0" w:firstColumn="0" w:lastColumn="0" w:noHBand="0" w:noVBand="0"/>
      </w:tblPr>
      <w:tblGrid>
        <w:gridCol w:w="1579"/>
        <w:gridCol w:w="2024"/>
        <w:gridCol w:w="7138"/>
        <w:gridCol w:w="1134"/>
        <w:gridCol w:w="1134"/>
        <w:gridCol w:w="1165"/>
      </w:tblGrid>
      <w:tr>
        <w:trPr>
          <w:trHeight w:val="559"/>
          <w:tblHeader/>
        </w:trPr>
        <w:tc>
          <w:tcPr>
            <w:shd w:val="clear" w:color="auto" w:fill="dce6f1"/>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序号</w:t>
            </w:r>
            <w:r/>
          </w:p>
        </w:tc>
        <w:tc>
          <w:tcPr>
            <w:shd w:val="clear" w:color="auto" w:fill="dce6f1"/>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产品名称</w:t>
            </w:r>
            <w:r/>
          </w:p>
        </w:tc>
        <w:tc>
          <w:tcPr>
            <w:shd w:val="clear" w:color="auto" w:fill="dce6f1"/>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技术参数</w:t>
            </w:r>
            <w:r/>
          </w:p>
        </w:tc>
        <w:tc>
          <w:tcPr>
            <w:shd w:val="clear" w:color="auto" w:fill="dce6f1"/>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单位</w:t>
            </w:r>
            <w:r/>
          </w:p>
        </w:tc>
        <w:tc>
          <w:tcPr>
            <w:shd w:val="clear" w:color="auto" w:fill="dce6f1"/>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c>
          <w:tcPr>
            <w:shd w:val="clear" w:color="auto" w:fill="dce6f1"/>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备注</w:t>
            </w:r>
            <w:r/>
          </w:p>
        </w:tc>
      </w:tr>
      <w:tr>
        <w:trPr>
          <w:trHeight w:val="462"/>
        </w:trPr>
        <w:tc>
          <w:tcPr>
            <w:gridSpan w:val="6"/>
            <w:shd w:val="clear" w:color="auto" w:fill="b8cce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教师端传感器</w:t>
            </w:r>
            <w:r/>
          </w:p>
        </w:tc>
      </w:tr>
      <w:tr>
        <w:trPr>
          <w:trHeight w:val="3370"/>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数字化实验系统</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支持实验设计、数据采集和保存、数据分析计算等，是一款功能强大的教学用实验数据处理软件。</w:t>
            </w:r>
            <w:r>
              <w:rPr>
                <w:rFonts w:hint="eastAsia" w:cs="宋体" w:asciiTheme="minorEastAsia" w:hAnsiTheme="minorEastAsia" w:eastAsiaTheme="minorEastAsia"/>
                <w:sz w:val="20"/>
                <w:szCs w:val="20"/>
                <w:lang w:bidi="ar"/>
              </w:rPr>
              <w:br/>
              <w:t xml:space="preserve">功能：</w:t>
            </w:r>
            <w:r>
              <w:rPr>
                <w:rFonts w:hint="eastAsia" w:cs="宋体" w:asciiTheme="minorEastAsia" w:hAnsiTheme="minorEastAsia" w:eastAsiaTheme="minorEastAsia"/>
                <w:sz w:val="20"/>
                <w:szCs w:val="20"/>
                <w:lang w:bidi="ar"/>
              </w:rPr>
              <w:br/>
              <w:t xml:space="preserve">1.支持Windows、Android、iOS/iPadOS、MacOS、 Linux、Harmony OS、统信UOS。</w:t>
            </w:r>
            <w:r>
              <w:rPr>
                <w:rFonts w:hint="eastAsia" w:cs="宋体" w:asciiTheme="minorEastAsia" w:hAnsiTheme="minorEastAsia" w:eastAsiaTheme="minorEastAsia"/>
                <w:sz w:val="20"/>
                <w:szCs w:val="20"/>
                <w:lang w:bidi="ar"/>
              </w:rPr>
              <w:br/>
              <w:t xml:space="preserve">2.支持有线连接，无线蓝牙连接。</w:t>
            </w:r>
            <w:r>
              <w:rPr>
                <w:rFonts w:hint="eastAsia" w:cs="宋体" w:asciiTheme="minorEastAsia" w:hAnsiTheme="minorEastAsia" w:eastAsiaTheme="minorEastAsia"/>
                <w:sz w:val="20"/>
                <w:szCs w:val="20"/>
                <w:lang w:bidi="ar"/>
              </w:rPr>
              <w:br/>
              <w:t xml:space="preserve">3.支持传感器自动识别。</w:t>
            </w:r>
            <w:r>
              <w:rPr>
                <w:rFonts w:hint="eastAsia" w:cs="宋体" w:asciiTheme="minorEastAsia" w:hAnsiTheme="minorEastAsia" w:eastAsiaTheme="minorEastAsia"/>
                <w:sz w:val="20"/>
                <w:szCs w:val="20"/>
                <w:lang w:bidi="ar"/>
              </w:rPr>
              <w:br/>
              <w:t xml:space="preserve">4.可连接多个采集器，并支持多个采集器同时工作。</w:t>
            </w:r>
            <w:r>
              <w:rPr>
                <w:rFonts w:hint="eastAsia" w:cs="宋体" w:asciiTheme="minorEastAsia" w:hAnsiTheme="minorEastAsia" w:eastAsiaTheme="minorEastAsia"/>
                <w:sz w:val="20"/>
                <w:szCs w:val="20"/>
                <w:lang w:bidi="ar"/>
              </w:rPr>
              <w:br/>
              <w:t xml:space="preserve">5.可支持20个传感器同时采集。</w:t>
            </w:r>
            <w:r>
              <w:rPr>
                <w:rFonts w:hint="eastAsia" w:cs="宋体" w:asciiTheme="minorEastAsia" w:hAnsiTheme="minorEastAsia" w:eastAsiaTheme="minorEastAsia"/>
                <w:sz w:val="20"/>
                <w:szCs w:val="20"/>
                <w:lang w:bidi="ar"/>
              </w:rPr>
              <w:br/>
              <w:t xml:space="preserve">6.通过坐标图像曲线、表格、数值、仪表盘等方式，实时、直观、精确显示实验数据。</w:t>
            </w:r>
            <w:r>
              <w:rPr>
                <w:rFonts w:hint="eastAsia" w:cs="宋体" w:asciiTheme="minorEastAsia" w:hAnsiTheme="minorEastAsia" w:eastAsiaTheme="minorEastAsia"/>
                <w:sz w:val="20"/>
                <w:szCs w:val="20"/>
                <w:lang w:bidi="ar"/>
              </w:rPr>
              <w:br/>
              <w:t xml:space="preserve">7.根据实验需要，可进行公式（变量）编辑，自主添加实验变量（或增量等），并通过公式编辑实现不同物理量之间的转换。</w:t>
            </w:r>
            <w:r>
              <w:rPr>
                <w:rFonts w:hint="eastAsia" w:cs="宋体" w:asciiTheme="minorEastAsia" w:hAnsiTheme="minorEastAsia" w:eastAsiaTheme="minorEastAsia"/>
                <w:sz w:val="20"/>
                <w:szCs w:val="20"/>
                <w:lang w:bidi="ar"/>
              </w:rPr>
              <w:br/>
              <w:t xml:space="preserve">8.可对数据图表操作，包括对图表内数据曲线的移动、缩放、改变曲线颜色及大小等，便于实验前后的数据分析处理，适合于教学中实验结果的精确测定与验证。</w:t>
            </w:r>
            <w:r>
              <w:rPr>
                <w:rFonts w:hint="eastAsia" w:cs="宋体" w:asciiTheme="minorEastAsia" w:hAnsiTheme="minorEastAsia" w:eastAsiaTheme="minorEastAsia"/>
                <w:sz w:val="20"/>
                <w:szCs w:val="20"/>
                <w:lang w:bidi="ar"/>
              </w:rPr>
              <w:br/>
              <w:t xml:space="preserve">9.具有完善的数据处理功能，包含多种数据拟合：直线拟合、抛物线拟合、倒数拟合、积分、重叠显示等。</w:t>
            </w:r>
            <w:r>
              <w:rPr>
                <w:rFonts w:hint="eastAsia" w:cs="宋体" w:asciiTheme="minorEastAsia" w:hAnsiTheme="minorEastAsia" w:eastAsiaTheme="minorEastAsia"/>
                <w:sz w:val="20"/>
                <w:szCs w:val="20"/>
                <w:lang w:bidi="ar"/>
              </w:rPr>
              <w:br/>
              <w:t xml:space="preserve">10.实验结果以图片等不同方式进行保存。</w:t>
            </w:r>
            <w:r>
              <w:rPr>
                <w:rFonts w:hint="eastAsia" w:cs="宋体" w:asciiTheme="minorEastAsia" w:hAnsiTheme="minorEastAsia" w:eastAsiaTheme="minorEastAsia"/>
                <w:sz w:val="20"/>
                <w:szCs w:val="20"/>
                <w:lang w:bidi="ar"/>
              </w:rPr>
              <w:br/>
              <w:t xml:space="preserve">11.包含小学科学、初中物理、初中化学、初中生物、高中物理、高中生物、高中化学7个专用实验模块，超过150个实验专有模板，全定制化的实验界面及实验操作，贴合教学过程。</w:t>
            </w:r>
            <w:r>
              <w:rPr>
                <w:rFonts w:hint="eastAsia" w:cs="宋体" w:asciiTheme="minorEastAsia" w:hAnsiTheme="minorEastAsia" w:eastAsiaTheme="minorEastAsia"/>
                <w:sz w:val="20"/>
                <w:szCs w:val="20"/>
                <w:lang w:bidi="ar"/>
              </w:rPr>
              <w:br/>
              <w:t xml:space="preserve">12.软件可关联“在线实验设计平台”，通过注册和登录，登录之后可使用“在线实验设计平台”，体验功能更为强大的实验自主设计软件。</w:t>
            </w:r>
            <w:r>
              <w:rPr>
                <w:rFonts w:hint="eastAsia" w:cs="宋体" w:asciiTheme="minorEastAsia" w:hAnsiTheme="minorEastAsia" w:eastAsiaTheme="minorEastAsia"/>
                <w:sz w:val="20"/>
                <w:szCs w:val="20"/>
                <w:lang w:bidi="ar"/>
              </w:rPr>
              <w:br/>
              <w:t xml:space="preserve">13.通用界面支持多种功能风格显示，并且可自定义界面风格。     </w:t>
            </w:r>
            <w:r>
              <w:rPr>
                <w:rFonts w:hint="eastAsia" w:cs="宋体" w:asciiTheme="minorEastAsia" w:hAnsiTheme="minorEastAsia" w:eastAsiaTheme="minorEastAsia"/>
                <w:sz w:val="20"/>
                <w:szCs w:val="20"/>
                <w:lang w:bidi="ar"/>
              </w:rPr>
              <w:br/>
              <w:t xml:space="preserve"> </w:t>
            </w:r>
            <w:r>
              <w:rPr>
                <w:rStyle w:val="2477"/>
                <w:rFonts w:hint="eastAsia" w:asciiTheme="minorEastAsia" w:hAnsiTheme="minorEastAsia" w:eastAsiaTheme="minorEastAsia"/>
                <w:color w:val="auto"/>
                <w:lang w:bidi="ar"/>
              </w:rPr>
              <w:t xml:space="preserve">▲</w:t>
            </w:r>
            <w:r>
              <w:rPr>
                <w:rFonts w:hint="eastAsia" w:cs="宋体" w:asciiTheme="minorEastAsia" w:hAnsiTheme="minorEastAsia" w:eastAsiaTheme="minorEastAsia"/>
                <w:sz w:val="20"/>
                <w:szCs w:val="20"/>
                <w:lang w:bidi="ar"/>
              </w:rPr>
              <w:t xml:space="preserve">14、提供丰富完整的在线实验教学案例，资源数量不少于700个。提供能在</w:t>
            </w:r>
            <w:r>
              <w:rPr>
                <w:rFonts w:hint="eastAsia" w:cs="宋体" w:asciiTheme="minorEastAsia" w:hAnsiTheme="minorEastAsia" w:eastAsiaTheme="minorEastAsia"/>
                <w:sz w:val="20"/>
                <w:szCs w:val="20"/>
                <w:lang w:bidi="ar"/>
              </w:rPr>
              <w:t xml:space="preserve">国家市场监督总局认证服务平台查询到报告编号的封面有CMA或CNAS标志的检测报告复印件和相关网页截图材料佐证。                                                                                                        </w:t>
            </w:r>
            <w:r>
              <w:rPr>
                <w:rStyle w:val="2477"/>
                <w:rFonts w:hint="eastAsia" w:asciiTheme="minorEastAsia" w:hAnsiTheme="minorEastAsia" w:eastAsiaTheme="minorEastAsia"/>
                <w:color w:val="auto"/>
                <w:lang w:bidi="ar"/>
              </w:rPr>
              <w:t xml:space="preserve">▲</w:t>
            </w:r>
            <w:r>
              <w:rPr>
                <w:rFonts w:hint="eastAsia" w:cs="宋体" w:asciiTheme="minorEastAsia" w:hAnsiTheme="minorEastAsia" w:eastAsiaTheme="minorEastAsia"/>
                <w:sz w:val="20"/>
                <w:szCs w:val="20"/>
                <w:lang w:bidi="ar"/>
              </w:rPr>
              <w:t xml:space="preserve">15、提供丰富的在线实验视频，视频数量不少于150个。提供能在国家市场监督总局认证服务平台查询到报告编号的封面有CMA或CNAS标志的检测报告复印件和相关网页截图材料佐证。                                                                                                                </w:t>
            </w:r>
            <w:r>
              <w:rPr>
                <w:rFonts w:hint="eastAsia" w:cs="宋体" w:asciiTheme="minorEastAsia" w:hAnsiTheme="minorEastAsia" w:eastAsiaTheme="minorEastAsia"/>
                <w:sz w:val="20"/>
                <w:szCs w:val="20"/>
                <w:lang w:bidi="ar"/>
              </w:rPr>
              <w:br/>
            </w:r>
            <w:r>
              <w:rPr>
                <w:rStyle w:val="2477"/>
                <w:rFonts w:hint="eastAsia" w:asciiTheme="minorEastAsia" w:hAnsiTheme="minorEastAsia" w:eastAsiaTheme="minorEastAsia"/>
                <w:color w:val="auto"/>
                <w:lang w:bidi="ar"/>
              </w:rPr>
              <w:t xml:space="preserve">▲</w:t>
            </w:r>
            <w:r>
              <w:rPr>
                <w:rFonts w:hint="eastAsia" w:cs="宋体" w:asciiTheme="minorEastAsia" w:hAnsiTheme="minorEastAsia" w:eastAsiaTheme="minorEastAsia"/>
                <w:sz w:val="20"/>
                <w:szCs w:val="20"/>
                <w:lang w:bidi="ar"/>
              </w:rPr>
              <w:t xml:space="preserve">16、在线实验视频既可以通过自有平台浏览，同时也可以通过第三方平台浏览。提供能在国家市场监督总局认证服务平台查询到报告编号的封面有CMA或CNAS标志的检测报告复印件和相关网页截图材料佐证。</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left"/>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925"/>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无线智能电压传感器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压传感器无需连接数据采集器，通过蓝牙或USB直连电脑、手机或平板等终端可直接进行数据采集，在终端上实时显示并记录电压的变化，绘制电压-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主体正面有电源按钮、电源和蓝牙指示灯、传感器名称；背面有蓝牙编号；底部有Type-C接口；上端为导线插孔，附件红黑导线可一端接入传感器，另一端接入电路进行测量。</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1.用于测量电路、电器两端的电压。</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6.可实现校零功能。</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                                                                                                                                                     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1.量程：-30V~30V</w:t>
            </w:r>
            <w:r>
              <w:rPr>
                <w:rFonts w:hint="eastAsia" w:cs="宋体" w:asciiTheme="minorEastAsia" w:hAnsiTheme="minorEastAsia" w:eastAsiaTheme="minorEastAsia"/>
                <w:sz w:val="20"/>
                <w:szCs w:val="20"/>
                <w:lang w:bidi="ar"/>
              </w:rPr>
              <w:br/>
              <w:t xml:space="preserve">2.分辨率：0.02V</w:t>
            </w:r>
            <w:r>
              <w:rPr>
                <w:rFonts w:hint="eastAsia" w:cs="宋体" w:asciiTheme="minorEastAsia" w:hAnsiTheme="minorEastAsia" w:eastAsiaTheme="minorEastAsia"/>
                <w:sz w:val="20"/>
                <w:szCs w:val="20"/>
                <w:lang w:bidi="ar"/>
              </w:rPr>
              <w:br/>
              <w:t xml:space="preserve">3.精度：±1%F.S</w:t>
            </w:r>
            <w:r>
              <w:rPr>
                <w:rFonts w:hint="eastAsia" w:cs="宋体" w:asciiTheme="minorEastAsia" w:hAnsiTheme="minorEastAsia" w:eastAsiaTheme="minorEastAsia"/>
                <w:sz w:val="20"/>
                <w:szCs w:val="20"/>
                <w:lang w:bidi="ar"/>
              </w:rPr>
              <w:br/>
              <w:t xml:space="preserve">4.采样速率：蓝牙：1000次/秒；USB：10000次/秒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探究串联电路中用电器两端的电压与电源两端电压的关系、探究并联电路中各支路用电器两端的电压与电源两端电压的关系、练习使用滑动变阻器、探究电流和电压的关系、探究电流和电阻的关系、伏安法测电阻、伏安法测灯泡电阻、额定功率与实际功率、测量小灯泡的功率、观察电容器的充放电、研究伏安特性曲线（小灯泡，电阻，导体，晶体二极管）、串并联电路中的电压、串并联电路中的电阻、自感、伏安法测金属的电阻率、电磁感应、振荡电路（电压）、电池及电源电动势和内阻的测量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无线智能电流传感器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流传感器无需连接数据采集器，通过蓝牙或USB直连电脑、手机或平板等终端可直接进行数据采集，在终端上实时显示并记录电流的变化，绘制电流-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主体正面有电源按钮、电源和蓝牙指示灯、传感器名称；背面有蓝牙编号；底部有Type-C接口；上端为导线插孔，附件红黑导线可一端接入传感器，另一端接入电路进行测量。</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1.用于测量电路中的电流。</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6.可实现校零功能。</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                                                                                                                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1.量程：-1A~1A</w:t>
            </w:r>
            <w:r>
              <w:rPr>
                <w:rFonts w:hint="eastAsia" w:cs="宋体" w:asciiTheme="minorEastAsia" w:hAnsiTheme="minorEastAsia" w:eastAsiaTheme="minorEastAsia"/>
                <w:sz w:val="20"/>
                <w:szCs w:val="20"/>
                <w:lang w:bidi="ar"/>
              </w:rPr>
              <w:br/>
              <w:t xml:space="preserve">2.分辨率：0.5mA</w:t>
            </w:r>
            <w:r>
              <w:rPr>
                <w:rFonts w:hint="eastAsia" w:cs="宋体" w:asciiTheme="minorEastAsia" w:hAnsiTheme="minorEastAsia" w:eastAsiaTheme="minorEastAsia"/>
                <w:sz w:val="20"/>
                <w:szCs w:val="20"/>
                <w:lang w:bidi="ar"/>
              </w:rPr>
              <w:br/>
              <w:t xml:space="preserve">3.精度：±1%F.S</w:t>
            </w:r>
            <w:r>
              <w:rPr>
                <w:rFonts w:hint="eastAsia" w:cs="宋体" w:asciiTheme="minorEastAsia" w:hAnsiTheme="minorEastAsia" w:eastAsiaTheme="minorEastAsia"/>
                <w:sz w:val="20"/>
                <w:szCs w:val="20"/>
                <w:lang w:bidi="ar"/>
              </w:rPr>
              <w:br/>
              <w:t xml:space="preserve">4.采样速率：1000次/秒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探究串、并联电路电流的特点、比较灯泡亮度、探究影响导体电阻大小的因素、探究电流和电压的关系、探究电流和电阻的关系、半导体电阻的应用（酒精浓度检测仪）、伏安法测（定值）电阻、伏安法测灯泡电阻、额定功率与实际功率、测量小灯泡的功率、电热跟什么因素有关、研究导体电阻与长度、横截面积及材料的定量关系、金属丝电阻率的测量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无线智能磁感应强度传感器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无线智能磁感应强度传感器无需连接数据采集器，通过蓝牙或USB直连电脑、手机或平板等终端可直接进行数据采集，在终端上实时显示并记录磁感应强度</w:t>
            </w:r>
            <w:r>
              <w:rPr>
                <w:rFonts w:hint="eastAsia" w:cs="宋体" w:asciiTheme="minorEastAsia" w:hAnsiTheme="minorEastAsia" w:eastAsiaTheme="minorEastAsia"/>
                <w:sz w:val="20"/>
                <w:szCs w:val="20"/>
                <w:lang w:bidi="ar"/>
              </w:rPr>
              <w:t xml:space="preserve">的变化，并可绘制磁感应强度-时间图像。本传感器也可以脱离终端而独立地记录所探测到的实验数据并加以保存，并随时供下载和分析。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由传感器主体和前端磁场探头连接构成。主体正面有电源按钮、电源和蓝牙指示灯、传感器名称；背面有蓝牙编号；底部有Type-C接口。</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1.用于测量磁场的磁场强度。</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6.可测量地磁场、永磁体、通电线圈的磁感强度。</w:t>
            </w:r>
            <w:r>
              <w:rPr>
                <w:rFonts w:hint="eastAsia" w:cs="宋体" w:asciiTheme="minorEastAsia" w:hAnsiTheme="minorEastAsia" w:eastAsiaTheme="minorEastAsia"/>
                <w:sz w:val="20"/>
                <w:szCs w:val="20"/>
                <w:lang w:bidi="ar"/>
              </w:rPr>
              <w:br/>
              <w:t xml:space="preserve">7.无需校准，即连即用。</w:t>
            </w:r>
            <w:r>
              <w:rPr>
                <w:rFonts w:hint="eastAsia" w:cs="宋体" w:asciiTheme="minorEastAsia" w:hAnsiTheme="minorEastAsia" w:eastAsiaTheme="minorEastAsia"/>
                <w:sz w:val="20"/>
                <w:szCs w:val="20"/>
                <w:lang w:bidi="ar"/>
              </w:rPr>
              <w:br/>
              <w:t xml:space="preserve">8.连接方式：蓝牙无线或有线。</w:t>
            </w:r>
            <w:r>
              <w:rPr>
                <w:rFonts w:hint="eastAsia" w:cs="宋体" w:asciiTheme="minorEastAsia" w:hAnsiTheme="minorEastAsia" w:eastAsiaTheme="minorEastAsia"/>
                <w:sz w:val="20"/>
                <w:szCs w:val="20"/>
                <w:lang w:bidi="ar"/>
              </w:rPr>
              <w:br/>
              <w:t xml:space="preserve">9.节能方式：传感器打开电源，但无连接或连接无活动，几分钟后自动关闭电源。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10.支持固件空中升级。                                                                                                               11.支持平台：Windows、Android、iOS/iPadOS、MacOS、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1.量程：-64mT~64mT</w:t>
            </w:r>
            <w:r>
              <w:rPr>
                <w:rFonts w:hint="eastAsia" w:cs="宋体" w:asciiTheme="minorEastAsia" w:hAnsiTheme="minorEastAsia" w:eastAsiaTheme="minorEastAsia"/>
                <w:sz w:val="20"/>
                <w:szCs w:val="20"/>
                <w:lang w:bidi="ar"/>
              </w:rPr>
              <w:br/>
              <w:t xml:space="preserve">2.分辨率：0.04mT</w:t>
            </w:r>
            <w:r>
              <w:rPr>
                <w:rFonts w:hint="eastAsia" w:cs="宋体" w:asciiTheme="minorEastAsia" w:hAnsiTheme="minorEastAsia" w:eastAsiaTheme="minorEastAsia"/>
                <w:sz w:val="20"/>
                <w:szCs w:val="20"/>
                <w:lang w:bidi="ar"/>
              </w:rPr>
              <w:br/>
              <w:t xml:space="preserve">3.精度：±3%F.S</w:t>
            </w:r>
            <w:r>
              <w:rPr>
                <w:rFonts w:hint="eastAsia" w:cs="宋体" w:asciiTheme="minorEastAsia" w:hAnsiTheme="minorEastAsia" w:eastAsiaTheme="minorEastAsia"/>
                <w:sz w:val="20"/>
                <w:szCs w:val="20"/>
                <w:lang w:bidi="ar"/>
              </w:rPr>
              <w:br/>
              <w:t xml:space="preserve">4.采样速率：500次/秒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150mAh</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四、典型实验</w:t>
            </w:r>
            <w:r>
              <w:rPr>
                <w:rFonts w:hint="eastAsia" w:cs="宋体" w:asciiTheme="minorEastAsia" w:hAnsiTheme="minorEastAsia" w:eastAsiaTheme="minorEastAsia"/>
                <w:sz w:val="20"/>
                <w:szCs w:val="20"/>
                <w:lang w:bidi="ar"/>
              </w:rPr>
              <w:br/>
              <w:t xml:space="preserve">探究磁场的方向、探究通电螺线管外部的磁场分布、电磁铁的磁性等实验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005"/>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无线智能力传感器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力传感器无需连接数据采集器，通过蓝牙或USB直连电脑、手机或平板等终端可直接进行数据采集，在终端上实时显示并记录力的变化，绘制相应变化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本传感器造型方正，在其顶部有用于手拎的两个开孔，一个用于固定于铁杆的异形孔，背部和底部分别设有能用于固定在小车等处的螺丝孔；正面有电源按钮、电源和蓝牙指示灯、蓝牙编号、传感器名称及量程范围；下端为力传感器接口，可拧上钩子（测量拉力）或防撞塑料件（测量推力）。</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1.用于测量拉力或压力。</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6.使用（固定）方式：手（指）拎、固定在连接杆上。</w:t>
            </w:r>
            <w:r>
              <w:rPr>
                <w:rFonts w:hint="eastAsia" w:cs="宋体" w:asciiTheme="minorEastAsia" w:hAnsiTheme="minorEastAsia" w:eastAsiaTheme="minorEastAsia"/>
                <w:sz w:val="20"/>
                <w:szCs w:val="20"/>
                <w:lang w:bidi="ar"/>
              </w:rPr>
              <w:br/>
              <w:t xml:space="preserve">7.可实现校零功能。</w:t>
            </w:r>
            <w:r>
              <w:rPr>
                <w:rFonts w:hint="eastAsia" w:cs="宋体" w:asciiTheme="minorEastAsia" w:hAnsiTheme="minorEastAsia" w:eastAsiaTheme="minorEastAsia"/>
                <w:sz w:val="20"/>
                <w:szCs w:val="20"/>
                <w:lang w:bidi="ar"/>
              </w:rPr>
              <w:br/>
              <w:t xml:space="preserve">8.连接方式：蓝牙无线或有线。</w:t>
            </w:r>
            <w:r>
              <w:rPr>
                <w:rFonts w:hint="eastAsia" w:cs="宋体" w:asciiTheme="minorEastAsia" w:hAnsiTheme="minorEastAsia" w:eastAsiaTheme="minorEastAsia"/>
                <w:sz w:val="20"/>
                <w:szCs w:val="20"/>
                <w:lang w:bidi="ar"/>
              </w:rPr>
              <w:br/>
              <w:t xml:space="preserve">9.节能方式：传感器打开电源，但无连接或连接无活动，几分钟后自动关闭电源。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10.支持固件空中升级。                                                                                                                         </w:t>
            </w:r>
            <w:r>
              <w:rPr>
                <w:rFonts w:hint="eastAsia" w:cs="宋体" w:asciiTheme="minorEastAsia" w:hAnsiTheme="minorEastAsia" w:eastAsiaTheme="minorEastAsia"/>
                <w:sz w:val="20"/>
                <w:szCs w:val="20"/>
                <w:lang w:bidi="ar"/>
              </w:rPr>
              <w:br/>
              <w:t xml:space="preserve">11.支持平台：Windows、Android、iOS/iPadOS、MacOS、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1.量程：-50N~50N</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2.分辨率：0.03N</w:t>
            </w:r>
            <w:r>
              <w:rPr>
                <w:rFonts w:hint="eastAsia" w:cs="宋体" w:asciiTheme="minorEastAsia" w:hAnsiTheme="minorEastAsia" w:eastAsiaTheme="minorEastAsia"/>
                <w:sz w:val="20"/>
                <w:szCs w:val="20"/>
                <w:lang w:bidi="ar"/>
              </w:rPr>
              <w:br/>
              <w:t xml:space="preserve">3.精度：±1%F.S</w:t>
            </w:r>
            <w:r>
              <w:rPr>
                <w:rFonts w:hint="eastAsia" w:cs="宋体" w:asciiTheme="minorEastAsia" w:hAnsiTheme="minorEastAsia" w:eastAsiaTheme="minorEastAsia"/>
                <w:sz w:val="20"/>
                <w:szCs w:val="20"/>
                <w:lang w:bidi="ar"/>
              </w:rPr>
              <w:br/>
              <w:t xml:space="preserve">4.采样速率：蓝牙：1000次/秒；USB：5000次/秒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力的作用的是相互、探究重力与质量的关系、测量摩擦力、探究影响滑动摩擦力的因素、大气压的测量、测量浮力的大小、探究浮力的大小跟哪些因素有关、探究浮力的大小跟排开液体所受重力的关系、探究杠杆的平衡条件、研究定滑轮与动滑轮的特点、使用动滑轮是否省功、测量滑轮组的机械效率、探究弹性形变与外力的关系、测量提升物体所做的功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无线智能温度传感器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由传感器主体和前端探头连接构成。主体正面有电源按钮、电源和蓝牙指示灯、传感器名称；背面有蓝牙编号及电池仓，机身外壳与电池仓用密封圈密封。</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1.用于测量物体表面、气体、酸碱等液体的温度。</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6.使用纽扣电池，电池可更换，一枚电池可正常课堂使用1年以上。</w:t>
            </w:r>
            <w:r>
              <w:rPr>
                <w:rFonts w:hint="eastAsia" w:cs="宋体" w:asciiTheme="minorEastAsia" w:hAnsiTheme="minorEastAsia" w:eastAsiaTheme="minorEastAsia"/>
                <w:sz w:val="20"/>
                <w:szCs w:val="20"/>
                <w:lang w:bidi="ar"/>
              </w:rPr>
              <w:br/>
              <w:t xml:space="preserve">7.测量灵敏、精确，反应快速，包括对微小温度变化的快速采样。</w:t>
            </w:r>
            <w:r>
              <w:rPr>
                <w:rFonts w:hint="eastAsia" w:cs="宋体" w:asciiTheme="minorEastAsia" w:hAnsiTheme="minorEastAsia" w:eastAsiaTheme="minorEastAsia"/>
                <w:sz w:val="20"/>
                <w:szCs w:val="20"/>
                <w:lang w:bidi="ar"/>
              </w:rPr>
              <w:br/>
              <w:t xml:space="preserve">8.无需校准，即连即用。</w:t>
            </w:r>
            <w:r>
              <w:rPr>
                <w:rFonts w:hint="eastAsia" w:cs="宋体" w:asciiTheme="minorEastAsia" w:hAnsiTheme="minorEastAsia" w:eastAsiaTheme="minorEastAsia"/>
                <w:sz w:val="20"/>
                <w:szCs w:val="20"/>
                <w:lang w:bidi="ar"/>
              </w:rPr>
              <w:br/>
              <w:t xml:space="preserve">9.连接方式：蓝牙无线。</w:t>
            </w:r>
            <w:r>
              <w:rPr>
                <w:rFonts w:hint="eastAsia" w:cs="宋体" w:asciiTheme="minorEastAsia" w:hAnsiTheme="minorEastAsia" w:eastAsiaTheme="minorEastAsia"/>
                <w:sz w:val="20"/>
                <w:szCs w:val="20"/>
                <w:lang w:bidi="ar"/>
              </w:rPr>
              <w:br/>
              <w:t xml:space="preserve">10.节能方式：传感器打开电源，无连接或连接无活动，几分钟后自动关闭电源。</w:t>
            </w:r>
            <w:r>
              <w:rPr>
                <w:rFonts w:hint="eastAsia" w:cs="宋体" w:asciiTheme="minorEastAsia" w:hAnsiTheme="minorEastAsia" w:eastAsiaTheme="minorEastAsia"/>
                <w:sz w:val="20"/>
                <w:szCs w:val="20"/>
                <w:lang w:bidi="ar"/>
              </w:rPr>
              <w:br/>
              <w:t xml:space="preserve">11.支持固件空中升级。</w:t>
            </w:r>
            <w:r>
              <w:rPr>
                <w:rFonts w:hint="eastAsia" w:cs="宋体" w:asciiTheme="minorEastAsia" w:hAnsiTheme="minorEastAsia" w:eastAsiaTheme="minorEastAsia"/>
                <w:sz w:val="20"/>
                <w:szCs w:val="20"/>
                <w:lang w:bidi="ar"/>
              </w:rPr>
              <w:br/>
              <w:t xml:space="preserve">12.可切换单位：℃、℉、K。                                                                                              </w:t>
            </w:r>
            <w:r>
              <w:rPr>
                <w:rFonts w:hint="eastAsia" w:cs="宋体" w:asciiTheme="minorEastAsia" w:hAnsiTheme="minorEastAsia" w:eastAsiaTheme="minorEastAsia"/>
                <w:sz w:val="20"/>
                <w:szCs w:val="20"/>
                <w:lang w:bidi="ar"/>
              </w:rPr>
              <w:br/>
              <w:t xml:space="preserve">13.支持平台：Windows、Android、iOS/iPadOS、MacOS、 Linux、Harmony OS、统信UOS等。 </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1.量程：-40℃~125℃</w:t>
            </w:r>
            <w:r>
              <w:rPr>
                <w:rFonts w:hint="eastAsia" w:cs="宋体" w:asciiTheme="minorEastAsia" w:hAnsiTheme="minorEastAsia" w:eastAsiaTheme="minorEastAsia"/>
                <w:sz w:val="20"/>
                <w:szCs w:val="20"/>
                <w:lang w:bidi="ar"/>
              </w:rPr>
              <w:br/>
              <w:t xml:space="preserve">2.分辨率：0.01℃</w:t>
            </w:r>
            <w:r>
              <w:rPr>
                <w:rFonts w:hint="eastAsia" w:cs="宋体" w:asciiTheme="minorEastAsia" w:hAnsiTheme="minorEastAsia" w:eastAsiaTheme="minorEastAsia"/>
                <w:sz w:val="20"/>
                <w:szCs w:val="20"/>
                <w:lang w:bidi="ar"/>
              </w:rPr>
              <w:br/>
              <w:t xml:space="preserve">3.精度：±0.5℃</w:t>
            </w:r>
            <w:r>
              <w:rPr>
                <w:rFonts w:hint="eastAsia" w:cs="宋体" w:asciiTheme="minorEastAsia" w:hAnsiTheme="minorEastAsia" w:eastAsiaTheme="minorEastAsia"/>
                <w:sz w:val="20"/>
                <w:szCs w:val="20"/>
                <w:lang w:bidi="ar"/>
              </w:rPr>
              <w:br/>
              <w:t xml:space="preserve">4.采样速率：10次/秒</w:t>
            </w:r>
            <w:r>
              <w:rPr>
                <w:rFonts w:hint="eastAsia" w:cs="宋体" w:asciiTheme="minorEastAsia" w:hAnsiTheme="minorEastAsia" w:eastAsiaTheme="minorEastAsia"/>
                <w:sz w:val="20"/>
                <w:szCs w:val="20"/>
                <w:lang w:bidi="ar"/>
              </w:rPr>
              <w:br/>
              <w:t xml:space="preserve">5.连续使用时间：≥120小时</w:t>
            </w:r>
            <w:r>
              <w:rPr>
                <w:rFonts w:hint="eastAsia" w:cs="宋体" w:asciiTheme="minorEastAsia" w:hAnsiTheme="minorEastAsia" w:eastAsiaTheme="minorEastAsia"/>
                <w:sz w:val="20"/>
                <w:szCs w:val="20"/>
                <w:lang w:bidi="ar"/>
              </w:rPr>
              <w:br/>
              <w:t xml:space="preserve">6.防水等级：IP67</w:t>
            </w:r>
            <w:r>
              <w:rPr>
                <w:rFonts w:hint="eastAsia" w:cs="宋体" w:asciiTheme="minorEastAsia" w:hAnsiTheme="minorEastAsia" w:eastAsiaTheme="minorEastAsia"/>
                <w:sz w:val="20"/>
                <w:szCs w:val="20"/>
                <w:lang w:bidi="ar"/>
              </w:rPr>
              <w:br/>
              <w:t xml:space="preserve">7.通讯距离：≥30m（空旷无遮挡）</w:t>
            </w:r>
            <w:r>
              <w:rPr>
                <w:rFonts w:hint="eastAsia" w:cs="宋体" w:asciiTheme="minorEastAsia" w:hAnsiTheme="minorEastAsia" w:eastAsiaTheme="minorEastAsia"/>
                <w:sz w:val="20"/>
                <w:szCs w:val="20"/>
                <w:lang w:bidi="ar"/>
              </w:rPr>
              <w:br/>
              <w:t xml:space="preserve">8.电池型号：CR2032</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w:t>
            </w:r>
            <w:r>
              <w:rPr>
                <w:rFonts w:hint="eastAsia" w:cs="宋体" w:asciiTheme="minorEastAsia" w:hAnsiTheme="minorEastAsia" w:eastAsiaTheme="minorEastAsia"/>
                <w:sz w:val="20"/>
                <w:szCs w:val="20"/>
                <w:lang w:bidi="ar"/>
              </w:rPr>
              <w:t xml:space="preserve">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250"/>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无线智能绝对压强传感器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绝对压强传感器无需连接数据采集器，探头与传感器一体设计，通过蓝牙或USB直连电脑、手机或平板等终端可直接进行数据采集，在终端上实时显示并记录绝对压强的变化，绘制绝对压强-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由传感器主体正面有电源按钮、电源和蓝牙指示灯、传感器名称；背面有蓝牙编号；底部有Type-C接口，前端是鲁尔公接头，可连接软管等多种附件接入环境中进行测量。</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1.用于测量大气环境下或密闭空间内的气体的压强。</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6.可实现校准功能。</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                                                                                                 </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1.量程：0~400kPa</w:t>
            </w:r>
            <w:r>
              <w:rPr>
                <w:rFonts w:hint="eastAsia" w:cs="宋体" w:asciiTheme="minorEastAsia" w:hAnsiTheme="minorEastAsia" w:eastAsiaTheme="minorEastAsia"/>
                <w:sz w:val="20"/>
                <w:szCs w:val="20"/>
                <w:lang w:bidi="ar"/>
              </w:rPr>
              <w:br/>
              <w:t xml:space="preserve">2.分辨率：0.1kPa</w:t>
            </w:r>
            <w:r>
              <w:rPr>
                <w:rFonts w:hint="eastAsia" w:cs="宋体" w:asciiTheme="minorEastAsia" w:hAnsiTheme="minorEastAsia" w:eastAsiaTheme="minorEastAsia"/>
                <w:sz w:val="20"/>
                <w:szCs w:val="20"/>
                <w:lang w:bidi="ar"/>
              </w:rPr>
              <w:br/>
              <w:t xml:space="preserve">3.精度：±2%</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4.采样速率：500次/秒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无线智能位移传感器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位移传感器利用发射和接收到被反射回来的超声波脉冲来测量与物体的距离，进一步可以计算出物体运动的速度和加速度，无需连接数据采集器，通过蓝牙或USB直连电脑、手机或平板等终端可直接进行数据采集，在终端上实时显示并记录物体的运动变化，绘制相应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由传感器主体正面有电源按钮、电源和蓝牙指示灯、传感器名称；背面有蓝牙编号；底部有Type-C接口，前端是超声波收发装置。</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1.用于测量物体运动的位移。</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w:t>
            </w:r>
            <w:r>
              <w:rPr>
                <w:rFonts w:hint="eastAsia" w:cs="宋体" w:asciiTheme="minorEastAsia" w:hAnsiTheme="minorEastAsia" w:eastAsiaTheme="minorEastAsia"/>
                <w:sz w:val="20"/>
                <w:szCs w:val="20"/>
                <w:lang w:bidi="ar"/>
              </w:rPr>
              <w:t xml:space="preserve">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6.无需校准，即连即用。</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                                                                                          </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1.量程：20cm~200cm</w:t>
            </w:r>
            <w:r>
              <w:rPr>
                <w:rFonts w:hint="eastAsia" w:cs="宋体" w:asciiTheme="minorEastAsia" w:hAnsiTheme="minorEastAsia" w:eastAsiaTheme="minorEastAsia"/>
                <w:sz w:val="20"/>
                <w:szCs w:val="20"/>
                <w:lang w:bidi="ar"/>
              </w:rPr>
              <w:br/>
              <w:t xml:space="preserve">2.分辨率：0.1cm</w:t>
            </w:r>
            <w:r>
              <w:rPr>
                <w:rFonts w:hint="eastAsia" w:cs="宋体" w:asciiTheme="minorEastAsia" w:hAnsiTheme="minorEastAsia" w:eastAsiaTheme="minorEastAsia"/>
                <w:sz w:val="20"/>
                <w:szCs w:val="20"/>
                <w:lang w:bidi="ar"/>
              </w:rPr>
              <w:br/>
              <w:t xml:space="preserve">3.精度：±1cm或读数的±2%</w:t>
            </w:r>
            <w:r>
              <w:rPr>
                <w:rFonts w:hint="eastAsia" w:cs="宋体" w:asciiTheme="minorEastAsia" w:hAnsiTheme="minorEastAsia" w:eastAsiaTheme="minorEastAsia"/>
                <w:sz w:val="20"/>
                <w:szCs w:val="20"/>
                <w:lang w:bidi="ar"/>
              </w:rPr>
              <w:br/>
              <w:t xml:space="preserve">4.采样速率：50次/秒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匀变速直线运动位移与时间的关系、胡克定律实验等实验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无线智能光电门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无线智能光电门传感器无需连接数据采集器，通过蓝牙直连电脑、手机或平板等终端可直接进行数据采集，在终端上实时显示并记录物体运动时间，计算出物体的运动速度、加速度等。</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有A、B两个光电门，整体为门式结构，A光电门正面有A门标识、电源和蓝牙指示灯，两侧有电源开关、USB接口、AB光电门连接口；B光电门正面有B门标识、电源和工作状态指示灯，侧面有AB门连接口。两个光电门顶部，两侧和门内侧设有六个用于固定的螺丝孔。</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1.用于测量物体通过光电门的挡光时间以及速度、加速度、动量、动能等物理量。</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4.传感器具有唯一蓝牙编号，便于数据终端选择性连接。</w:t>
            </w:r>
            <w:r>
              <w:rPr>
                <w:rFonts w:hint="eastAsia" w:cs="宋体" w:asciiTheme="minorEastAsia" w:hAnsiTheme="minorEastAsia" w:eastAsiaTheme="minorEastAsia"/>
                <w:sz w:val="20"/>
                <w:szCs w:val="20"/>
                <w:lang w:bidi="ar"/>
              </w:rPr>
              <w:br/>
              <w:t xml:space="preserve">5.光电门机身上具有多个开孔，方便固定于测量轨道上，也可在光电门内安装滑轮。</w:t>
            </w:r>
            <w:r>
              <w:rPr>
                <w:rFonts w:hint="eastAsia" w:cs="宋体" w:asciiTheme="minorEastAsia" w:hAnsiTheme="minorEastAsia" w:eastAsiaTheme="minorEastAsia"/>
                <w:sz w:val="20"/>
                <w:szCs w:val="20"/>
                <w:lang w:bidi="ar"/>
              </w:rPr>
              <w:br/>
              <w:t xml:space="preserve">6.无需校准，即连即用。</w:t>
            </w:r>
            <w:r>
              <w:rPr>
                <w:rFonts w:hint="eastAsia" w:cs="宋体" w:asciiTheme="minorEastAsia" w:hAnsiTheme="minorEastAsia" w:eastAsiaTheme="minorEastAsia"/>
                <w:sz w:val="20"/>
                <w:szCs w:val="20"/>
                <w:lang w:bidi="ar"/>
              </w:rPr>
              <w:br/>
              <w:t xml:space="preserve">7.连接方式：蓝牙无线。</w:t>
            </w:r>
            <w:r>
              <w:rPr>
                <w:rFonts w:hint="eastAsia" w:cs="宋体" w:asciiTheme="minorEastAsia" w:hAnsiTheme="minorEastAsia" w:eastAsiaTheme="minorEastAsia"/>
                <w:sz w:val="20"/>
                <w:szCs w:val="20"/>
                <w:lang w:bidi="ar"/>
              </w:rPr>
              <w:br/>
              <w:t xml:space="preserve">8.节能</w:t>
            </w:r>
            <w:r>
              <w:rPr>
                <w:rFonts w:hint="eastAsia" w:cs="宋体" w:asciiTheme="minorEastAsia" w:hAnsiTheme="minorEastAsia" w:eastAsiaTheme="minorEastAsia"/>
                <w:sz w:val="20"/>
                <w:szCs w:val="20"/>
                <w:lang w:bidi="ar"/>
              </w:rPr>
              <w:t xml:space="preserve">方式：传感器打开电源，但无连接或连接无活动，几分钟后自动关闭电源。                                                 9.支持固件空中升级。                                                                                                 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1.量程：0~∞s</w:t>
            </w:r>
            <w:r>
              <w:rPr>
                <w:rFonts w:hint="eastAsia" w:cs="宋体" w:asciiTheme="minorEastAsia" w:hAnsiTheme="minorEastAsia" w:eastAsiaTheme="minorEastAsia"/>
                <w:sz w:val="20"/>
                <w:szCs w:val="20"/>
                <w:lang w:bidi="ar"/>
              </w:rPr>
              <w:br/>
              <w:t xml:space="preserve">2.分辨率：0.01ms</w:t>
            </w:r>
            <w:r>
              <w:rPr>
                <w:rFonts w:hint="eastAsia" w:cs="宋体" w:asciiTheme="minorEastAsia" w:hAnsiTheme="minorEastAsia" w:eastAsiaTheme="minorEastAsia"/>
                <w:sz w:val="20"/>
                <w:szCs w:val="20"/>
                <w:lang w:bidi="ar"/>
              </w:rPr>
              <w:br/>
              <w:t xml:space="preserve">3.精度：±0.01ms</w:t>
            </w:r>
            <w:r>
              <w:rPr>
                <w:rFonts w:hint="eastAsia" w:cs="宋体" w:asciiTheme="minorEastAsia" w:hAnsiTheme="minorEastAsia" w:eastAsiaTheme="minorEastAsia"/>
                <w:sz w:val="20"/>
                <w:szCs w:val="20"/>
                <w:lang w:bidi="ar"/>
              </w:rPr>
              <w:br/>
              <w:t xml:space="preserve">4.采样速率：1000次/秒</w:t>
            </w:r>
            <w:r>
              <w:rPr>
                <w:rFonts w:hint="eastAsia" w:cs="宋体" w:asciiTheme="minorEastAsia" w:hAnsiTheme="minorEastAsia" w:eastAsiaTheme="minorEastAsia"/>
                <w:sz w:val="20"/>
                <w:szCs w:val="20"/>
                <w:lang w:bidi="ar"/>
              </w:rPr>
              <w:br/>
              <w:t xml:space="preserve">5.连续使用时间：≥100小时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1000mAh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比较物体运动快慢、测量平均速度、阻力对运动的影响、探究物体的动能跟哪些因素有关、观察摆球动能和重力势能的转化、借助传感器与计算机测速度、探究小车速度与时间变化关系、探究加速度与力和质量的关系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无线智能声音传感器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声音传感器内置声强、声波两种传感器模块，无需连接数据采集器，通过蓝牙或USB直连电脑、手机或平板等终端可直接进行数据采集，在终端上实时显示并记录声强、声波的变化，绘制相应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由传感器主体和麦克风探头构成。主体正面有电源按钮、电源和蓝牙指示灯、传感器名称；背面有蓝牙编号；底部有Type-C接口；主体前端设有标准3.5mm音频接口，可与麦克风探头连接进行测量。</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1.使用驻极体话筒采集声音信号，用于测量声音的强度或声音的波形。</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3.传感器与数据采集终端（电脑、平板或手机）直接通过蓝牙无线连接，便于运动情况下的数据测量及各种实验环境中的数据采集，无需数据采集器；传感器两种测量二合一，可测量声强、声波。</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6.无需校准，即连即用。</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                                                                                             </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w:t>
            </w:r>
            <w:r>
              <w:rPr>
                <w:rFonts w:hint="eastAsia" w:cs="宋体" w:asciiTheme="minorEastAsia" w:hAnsiTheme="minorEastAsia" w:eastAsiaTheme="minorEastAsia"/>
                <w:sz w:val="20"/>
                <w:szCs w:val="20"/>
                <w:lang w:bidi="ar"/>
              </w:rPr>
              <w:br/>
              <w:t xml:space="preserve">声强：55dB~110dB；声波：最大频率10000Hz、最大声强110dB（麦克风频率范围100Hz~15000Hz）</w:t>
            </w:r>
            <w:r>
              <w:rPr>
                <w:rFonts w:hint="eastAsia" w:cs="宋体" w:asciiTheme="minorEastAsia" w:hAnsiTheme="minorEastAsia" w:eastAsiaTheme="minorEastAsia"/>
                <w:sz w:val="20"/>
                <w:szCs w:val="20"/>
                <w:lang w:bidi="ar"/>
              </w:rPr>
              <w:br/>
              <w:t xml:space="preserve">2.分辨率：</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声强：0.1dB</w:t>
            </w:r>
            <w:r>
              <w:rPr>
                <w:rFonts w:hint="eastAsia" w:cs="宋体" w:asciiTheme="minorEastAsia" w:hAnsiTheme="minorEastAsia" w:eastAsiaTheme="minorEastAsia"/>
                <w:sz w:val="20"/>
                <w:szCs w:val="20"/>
                <w:lang w:bidi="ar"/>
              </w:rPr>
              <w:br/>
              <w:t xml:space="preserve">3.精度：</w:t>
            </w:r>
            <w:r>
              <w:rPr>
                <w:rFonts w:hint="eastAsia" w:cs="宋体" w:asciiTheme="minorEastAsia" w:hAnsiTheme="minorEastAsia" w:eastAsiaTheme="minorEastAsia"/>
                <w:sz w:val="20"/>
                <w:szCs w:val="20"/>
                <w:lang w:bidi="ar"/>
              </w:rPr>
              <w:br/>
              <w:t xml:space="preserve">声强：±3dB</w:t>
            </w:r>
            <w:r>
              <w:rPr>
                <w:rFonts w:hint="eastAsia" w:cs="宋体" w:asciiTheme="minorEastAsia" w:hAnsiTheme="minorEastAsia" w:eastAsiaTheme="minorEastAsia"/>
                <w:sz w:val="20"/>
                <w:szCs w:val="20"/>
                <w:lang w:bidi="ar"/>
              </w:rPr>
              <w:br/>
              <w:t xml:space="preserve">4.采样速率：  </w:t>
            </w:r>
            <w:r>
              <w:rPr>
                <w:rFonts w:hint="eastAsia" w:cs="宋体" w:asciiTheme="minorEastAsia" w:hAnsiTheme="minorEastAsia" w:eastAsiaTheme="minorEastAsia"/>
                <w:sz w:val="20"/>
                <w:szCs w:val="20"/>
                <w:lang w:bidi="ar"/>
              </w:rPr>
              <w:br/>
              <w:t xml:space="preserve">声波：有线32kHz、无线8kHz</w:t>
            </w:r>
            <w:r>
              <w:rPr>
                <w:rFonts w:hint="eastAsia" w:cs="宋体" w:asciiTheme="minorEastAsia" w:hAnsiTheme="minorEastAsia" w:eastAsiaTheme="minorEastAsia"/>
                <w:sz w:val="20"/>
                <w:szCs w:val="20"/>
                <w:lang w:bidi="ar"/>
              </w:rPr>
              <w:br/>
              <w:t xml:space="preserve">声强：1000次/秒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声音的传播形式、声音波形（音调与频率）、探究影响声音响度的因素、响度与振幅、音色与波形等实验。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光强分布传感器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光强分布传感器通过USB接口直接与电脑终端连接进行数据采集，在终端上实时显示并记录入射光光强弱的分布及变化，并绘制图像。</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传感器正面为传感器名称、型号、量程范围、矩形测试窗口，后端为USB接口。</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1.用于测量光强度在一段直线区间上的分布，测量灵敏、精确，反应快速。</w:t>
            </w:r>
            <w:r>
              <w:rPr>
                <w:rFonts w:hint="eastAsia" w:cs="宋体" w:asciiTheme="minorEastAsia" w:hAnsiTheme="minorEastAsia" w:eastAsiaTheme="minorEastAsia"/>
                <w:sz w:val="20"/>
                <w:szCs w:val="20"/>
                <w:lang w:bidi="ar"/>
              </w:rPr>
              <w:br/>
              <w:t xml:space="preserve">2.通过USB接口直连计算机采集数据，无需外接数据采集器。</w:t>
            </w:r>
            <w:r>
              <w:rPr>
                <w:rFonts w:hint="eastAsia" w:cs="宋体" w:asciiTheme="minorEastAsia" w:hAnsiTheme="minorEastAsia" w:eastAsiaTheme="minorEastAsia"/>
                <w:sz w:val="20"/>
                <w:szCs w:val="20"/>
                <w:lang w:bidi="ar"/>
              </w:rPr>
              <w:br/>
              <w:t xml:space="preserve">3.支持USB2.0、USB3.0通讯协议。</w:t>
            </w:r>
            <w:r>
              <w:rPr>
                <w:rFonts w:hint="eastAsia" w:cs="宋体" w:asciiTheme="minorEastAsia" w:hAnsiTheme="minorEastAsia" w:eastAsiaTheme="minorEastAsia"/>
                <w:sz w:val="20"/>
                <w:szCs w:val="20"/>
                <w:lang w:bidi="ar"/>
              </w:rPr>
              <w:br/>
              <w:t xml:space="preserve">4.传感器含有与实验器材搭建的M6国标接口，适配性好。</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1.量程：125点/mm，总长29.1mm</w:t>
            </w:r>
            <w:r>
              <w:rPr>
                <w:rFonts w:hint="eastAsia" w:cs="宋体" w:asciiTheme="minorEastAsia" w:hAnsiTheme="minorEastAsia" w:eastAsiaTheme="minorEastAsia"/>
                <w:sz w:val="20"/>
                <w:szCs w:val="20"/>
                <w:lang w:bidi="ar"/>
              </w:rPr>
              <w:br/>
              <w:t xml:space="preserve">2.精度：8μm</w:t>
            </w:r>
            <w:r>
              <w:rPr>
                <w:rFonts w:hint="eastAsia" w:cs="宋体" w:asciiTheme="minorEastAsia" w:hAnsiTheme="minorEastAsia" w:eastAsiaTheme="minorEastAsia"/>
                <w:sz w:val="20"/>
                <w:szCs w:val="20"/>
                <w:lang w:bidi="ar"/>
              </w:rPr>
              <w:br/>
              <w:t xml:space="preserve">3.分辨率：8μm</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杨氏双缝实验实验、光的偏振等实验。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无线智能电荷传感器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荷传感器无需连接数据采集器，通过蓝牙直连电脑、手机或平板等终端可直接进行数据采集，在终端上显示被测物的电荷量，绘制电荷-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主体正面有电荷调零按钮、电源按钮、电源和蓝牙指示灯、传感器名称；前端为导线插孔底部有Type-C接口；</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1.用于测量带电体的电量。</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6.具有硬件调零按钮。</w:t>
            </w:r>
            <w:r>
              <w:rPr>
                <w:rFonts w:hint="eastAsia" w:cs="宋体" w:asciiTheme="minorEastAsia" w:hAnsiTheme="minorEastAsia" w:eastAsiaTheme="minorEastAsia"/>
                <w:sz w:val="20"/>
                <w:szCs w:val="20"/>
                <w:lang w:bidi="ar"/>
              </w:rPr>
              <w:br/>
              <w:t xml:space="preserve">7.连接方式：蓝牙无线。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                                                                                             </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1.量程：-220nC~220nC</w:t>
            </w:r>
            <w:r>
              <w:rPr>
                <w:rFonts w:hint="eastAsia" w:cs="宋体" w:asciiTheme="minorEastAsia" w:hAnsiTheme="minorEastAsia" w:eastAsiaTheme="minorEastAsia"/>
                <w:sz w:val="20"/>
                <w:szCs w:val="20"/>
                <w:lang w:bidi="ar"/>
              </w:rPr>
              <w:br/>
              <w:t xml:space="preserve">2.精度：4.4nC</w:t>
            </w:r>
            <w:r>
              <w:rPr>
                <w:rFonts w:hint="eastAsia" w:cs="宋体" w:asciiTheme="minorEastAsia" w:hAnsiTheme="minorEastAsia" w:eastAsiaTheme="minorEastAsia"/>
                <w:sz w:val="20"/>
                <w:szCs w:val="20"/>
                <w:lang w:bidi="ar"/>
              </w:rPr>
              <w:br/>
              <w:t xml:space="preserve">3.分辨率：0.1nC</w:t>
            </w:r>
            <w:r>
              <w:rPr>
                <w:rFonts w:hint="eastAsia" w:cs="宋体" w:asciiTheme="minorEastAsia" w:hAnsiTheme="minorEastAsia" w:eastAsiaTheme="minorEastAsia"/>
                <w:sz w:val="20"/>
                <w:szCs w:val="20"/>
                <w:lang w:bidi="ar"/>
              </w:rPr>
              <w:br/>
              <w:t xml:space="preserve">4.连续使用时间：≥30h</w:t>
            </w:r>
            <w:r>
              <w:rPr>
                <w:rFonts w:hint="eastAsia" w:cs="宋体" w:asciiTheme="minorEastAsia" w:hAnsiTheme="minorEastAsia" w:eastAsiaTheme="minorEastAsia"/>
                <w:sz w:val="20"/>
                <w:szCs w:val="20"/>
                <w:lang w:bidi="ar"/>
              </w:rPr>
              <w:br/>
              <w:t xml:space="preserve">5.通讯距离：≥30m（空旷无遮挡）</w:t>
            </w:r>
            <w:r>
              <w:rPr>
                <w:rFonts w:hint="eastAsia" w:cs="宋体" w:asciiTheme="minorEastAsia" w:hAnsiTheme="minorEastAsia" w:eastAsiaTheme="minorEastAsia"/>
                <w:sz w:val="20"/>
                <w:szCs w:val="20"/>
                <w:lang w:bidi="ar"/>
              </w:rPr>
              <w:br/>
              <w:t xml:space="preserve">6.可充电锂电池，电池型号：3.7V，250mAh</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四、典型实验</w:t>
            </w:r>
            <w:r>
              <w:rPr>
                <w:rFonts w:hint="eastAsia" w:cs="宋体" w:asciiTheme="minorEastAsia" w:hAnsiTheme="minorEastAsia" w:eastAsiaTheme="minorEastAsia"/>
                <w:sz w:val="20"/>
                <w:szCs w:val="20"/>
                <w:lang w:bidi="ar"/>
              </w:rPr>
              <w:br/>
              <w:t xml:space="preserve">静电感应、静电屏蔽、带电物体的电荷性质等。</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00"/>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无线智能毫电流传感器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毫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主体正面有电源按钮、电源和蓝牙指示灯、传感器名称；背面有蓝牙编号；底部有Type-C接口；上端为导线插孔，附件红黑导线可一端接入传感器，另一端接入电路进行测量。</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1.用于测量电路中毫安数量级的电流。</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6.可实现校零功能。</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                                                                                                </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1.量程：-20mA~20mA</w:t>
            </w:r>
            <w:r>
              <w:rPr>
                <w:rFonts w:hint="eastAsia" w:cs="宋体" w:asciiTheme="minorEastAsia" w:hAnsiTheme="minorEastAsia" w:eastAsiaTheme="minorEastAsia"/>
                <w:sz w:val="20"/>
                <w:szCs w:val="20"/>
                <w:lang w:bidi="ar"/>
              </w:rPr>
              <w:br/>
              <w:t xml:space="preserve">2.分辨率：0.02mA</w:t>
            </w:r>
            <w:r>
              <w:rPr>
                <w:rFonts w:hint="eastAsia" w:cs="宋体" w:asciiTheme="minorEastAsia" w:hAnsiTheme="minorEastAsia" w:eastAsiaTheme="minorEastAsia"/>
                <w:sz w:val="20"/>
                <w:szCs w:val="20"/>
                <w:lang w:bidi="ar"/>
              </w:rPr>
              <w:br/>
              <w:t xml:space="preserve">3.精度：±5%F.S</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4.采样速率：蓝牙：1000次/秒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水果电池；用传感器观察电容器的充放电；LC振荡电路；等实验。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348"/>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无线智能快速温度传感器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快速温度传感器无需连接数据采集器，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由传感器主体和快速温度传感器探头组成。主体正面有电源按钮、电源和蓝牙指示灯、传感器名称；背面有蓝牙编号；底部有Type-C接口。</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1.用于快速测量物体表面的温度、无腐蚀性气体、液体的温度，测量灵敏、精确，反应快速。</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6.无需校准，即连即用。</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                                                                                               </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三、规格</w:t>
            </w:r>
            <w:r>
              <w:rPr>
                <w:rFonts w:hint="eastAsia" w:cs="宋体" w:asciiTheme="minorEastAsia" w:hAnsiTheme="minorEastAsia" w:eastAsiaTheme="minorEastAsia"/>
                <w:sz w:val="20"/>
                <w:szCs w:val="20"/>
                <w:lang w:bidi="ar"/>
              </w:rPr>
              <w:br/>
              <w:t xml:space="preserve">1.量程:-25℃~125℃</w:t>
            </w:r>
            <w:r>
              <w:rPr>
                <w:rFonts w:hint="eastAsia" w:cs="宋体" w:asciiTheme="minorEastAsia" w:hAnsiTheme="minorEastAsia" w:eastAsiaTheme="minorEastAsia"/>
                <w:sz w:val="20"/>
                <w:szCs w:val="20"/>
                <w:lang w:bidi="ar"/>
              </w:rPr>
              <w:br/>
              <w:t xml:space="preserve">2.分辨率:0.1℃</w:t>
            </w:r>
            <w:r>
              <w:rPr>
                <w:rFonts w:hint="eastAsia" w:cs="宋体" w:asciiTheme="minorEastAsia" w:hAnsiTheme="minorEastAsia" w:eastAsiaTheme="minorEastAsia"/>
                <w:sz w:val="20"/>
                <w:szCs w:val="20"/>
                <w:lang w:bidi="ar"/>
              </w:rPr>
              <w:br/>
              <w:t xml:space="preserve">3.精度:±0.5℃</w:t>
            </w:r>
            <w:r>
              <w:rPr>
                <w:rFonts w:hint="eastAsia" w:cs="宋体" w:asciiTheme="minorEastAsia" w:hAnsiTheme="minorEastAsia" w:eastAsiaTheme="minorEastAsia"/>
                <w:sz w:val="20"/>
                <w:szCs w:val="20"/>
                <w:lang w:bidi="ar"/>
              </w:rPr>
              <w:br/>
              <w:t xml:space="preserve">4.采样速率:10次/秒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压缩气体做功、查理定律等实验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054"/>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无线力倾角传感器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力倾角传感器可同时测量力的大小与传感器的偏转角度，当对传感器钩子施加拉力或推力时，传感器可显示力的正值或负值，当传感器钩子保持在竖直方向时，测到的倾角为零，传感器偏转后，可测得相应的角度值。</w:t>
            </w:r>
            <w:r>
              <w:rPr>
                <w:rFonts w:hint="eastAsia" w:cs="宋体" w:asciiTheme="minorEastAsia" w:hAnsiTheme="minorEastAsia" w:eastAsiaTheme="minorEastAsia"/>
                <w:sz w:val="20"/>
                <w:szCs w:val="20"/>
                <w:lang w:bidi="ar"/>
              </w:rPr>
              <w:br/>
              <w:t xml:space="preserve">在实际应用中，一般可与矢量力盘配合使用，能完成力的合成与分解实验。                                                                       </w:t>
            </w:r>
            <w:r>
              <w:rPr>
                <w:rFonts w:hint="eastAsia" w:cs="宋体" w:asciiTheme="minorEastAsia" w:hAnsiTheme="minorEastAsia" w:eastAsiaTheme="minorEastAsia"/>
                <w:sz w:val="20"/>
                <w:szCs w:val="20"/>
                <w:lang w:bidi="ar"/>
              </w:rPr>
              <w:br/>
              <w:t xml:space="preserve"> 一、规格：</w:t>
            </w:r>
            <w:r>
              <w:rPr>
                <w:rFonts w:hint="eastAsia" w:cs="宋体" w:asciiTheme="minorEastAsia" w:hAnsiTheme="minorEastAsia" w:eastAsiaTheme="minorEastAsia"/>
                <w:sz w:val="20"/>
                <w:szCs w:val="20"/>
                <w:lang w:bidi="ar"/>
              </w:rPr>
              <w:br/>
              <w:t xml:space="preserve">量程：-20N～20N/-180°～180°（绝对值显示）</w:t>
            </w:r>
            <w:r>
              <w:rPr>
                <w:rFonts w:hint="eastAsia" w:cs="宋体" w:asciiTheme="minorEastAsia" w:hAnsiTheme="minorEastAsia" w:eastAsiaTheme="minorEastAsia"/>
                <w:sz w:val="20"/>
                <w:szCs w:val="20"/>
                <w:lang w:bidi="ar"/>
              </w:rPr>
              <w:br/>
              <w:t xml:space="preserve">分度：0.01N/0.03°</w:t>
            </w:r>
            <w:r>
              <w:rPr>
                <w:rFonts w:hint="eastAsia" w:cs="宋体" w:asciiTheme="minorEastAsia" w:hAnsiTheme="minorEastAsia" w:eastAsiaTheme="minorEastAsia"/>
                <w:sz w:val="20"/>
                <w:szCs w:val="20"/>
                <w:lang w:bidi="ar"/>
              </w:rPr>
              <w:br/>
              <w:t xml:space="preserve">二、典型实验：</w:t>
            </w:r>
            <w:r>
              <w:rPr>
                <w:rFonts w:hint="eastAsia" w:cs="宋体" w:asciiTheme="minorEastAsia" w:hAnsiTheme="minorEastAsia" w:eastAsiaTheme="minorEastAsia"/>
                <w:sz w:val="20"/>
                <w:szCs w:val="20"/>
                <w:lang w:bidi="ar"/>
              </w:rPr>
              <w:br/>
              <w:t xml:space="preserve">1. 力的合成和分解</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423"/>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物理无线智能传感器配件盒</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包含：磁吸多管夹（1个）、无线智能产品软胶固定件（1个）、miniUSB线（2根）。</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82"/>
        </w:trPr>
        <w:tc>
          <w:tcPr>
            <w:gridSpan w:val="6"/>
            <w:shd w:val="clear" w:color="auto" w:fill="b8cce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教师端实验器</w:t>
            </w:r>
            <w:r/>
          </w:p>
        </w:tc>
      </w:tr>
      <w:tr>
        <w:trPr>
          <w:trHeight w:val="799"/>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小车导轨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微型L型支架1个、多功能导轨1个（1.2m）、动力学小车1个、L型支架2个、宽L型支</w:t>
            </w:r>
            <w:r>
              <w:rPr>
                <w:rFonts w:hint="eastAsia" w:cs="宋体" w:asciiTheme="minorEastAsia" w:hAnsiTheme="minorEastAsia" w:eastAsiaTheme="minorEastAsia"/>
                <w:sz w:val="20"/>
                <w:szCs w:val="20"/>
                <w:lang w:bidi="ar"/>
              </w:rPr>
              <w:t xml:space="preserve">架、L型滑轮组、砝码5个（2g）、钩码1个（10g）、钩码1个（20g）、砝码3个（50g）、小龙虾扣2个、细绳1卷、U型挡光片1个、小桶1个、缓冲器组件1个、U型滑轮组件1个、紧固件1宗、梅花螺丝2个（M6*15mm）、六角螺丝1个（M6*35mm）、六角螺丝5个（M6*20mm）、手紧螺丝1个（M4*16mm）、手紧螺丝2个（M6*12mm）、螺杆螺母1套（M4*45mm）、蝶形螺母6个（M6），备用小车轮2个、燕尾螺丝1个（M5*15mm）、手紧螺丝1个（M6*8mm）、蝶形螺丝1个（M4*35mm）</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1.用于动力学为核心的包含位移、时间、速度、加速度等物理量等实验。</w:t>
            </w:r>
            <w:r>
              <w:rPr>
                <w:rFonts w:hint="eastAsia" w:cs="宋体" w:asciiTheme="minorEastAsia" w:hAnsiTheme="minorEastAsia" w:eastAsiaTheme="minorEastAsia"/>
                <w:sz w:val="20"/>
                <w:szCs w:val="20"/>
                <w:lang w:bidi="ar"/>
              </w:rPr>
              <w:br/>
              <w:t xml:space="preserve">2.小车导轨是一套能轻松完成初高中动力学实验的实验平台，实验器功能多样，配件齐全，轨道预留多种传感器固定孔及光电门固定支架，可搭配位移传感器、分体式位移传感器、光电门传感器等不同组合进行实验，测得小车各类运动数据，并在Windows、安卓、iOS系统终端上实时呈现数据，支持各类动力学DIY设计实验。</w:t>
            </w:r>
            <w:r>
              <w:rPr>
                <w:rFonts w:hint="eastAsia" w:cs="宋体" w:asciiTheme="minorEastAsia" w:hAnsiTheme="minorEastAsia" w:eastAsiaTheme="minorEastAsia"/>
                <w:sz w:val="20"/>
                <w:szCs w:val="20"/>
                <w:lang w:bidi="ar"/>
              </w:rPr>
              <w:br/>
              <w:t xml:space="preserve">3.专用动力学小车，车轮刀片式设计，与轨道摩擦小，具有弹簧减震结构，有效保证小车在同一平面直线运动。</w:t>
            </w:r>
            <w:r>
              <w:rPr>
                <w:rFonts w:hint="eastAsia" w:cs="宋体" w:asciiTheme="minorEastAsia" w:hAnsiTheme="minorEastAsia" w:eastAsiaTheme="minorEastAsia"/>
                <w:sz w:val="20"/>
                <w:szCs w:val="20"/>
                <w:lang w:bidi="ar"/>
              </w:rPr>
              <w:br/>
              <w:t xml:space="preserve">4.动力学小车预留力钩柱、紧固件螺口、挡光片的专用手拧螺丝接口，可快速安装对应的拉力组件、砝码、挡光片等配件。</w:t>
            </w:r>
            <w:r>
              <w:rPr>
                <w:rFonts w:hint="eastAsia" w:cs="宋体" w:asciiTheme="minorEastAsia" w:hAnsiTheme="minorEastAsia" w:eastAsiaTheme="minorEastAsia"/>
                <w:sz w:val="20"/>
                <w:szCs w:val="20"/>
                <w:lang w:bidi="ar"/>
              </w:rPr>
              <w:br/>
              <w:t xml:space="preserve">5.滑轮及车轮轮轴摩擦力极小，能有效减小轮轴摩擦对实验的影响。</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6.导轨采用铝型材，坚固耐用，导轨两侧标有清晰的刻度，可直接读取小车运动距离，导轨面具有小车运动槽，保证小车不脱轨。</w:t>
            </w:r>
            <w:r>
              <w:rPr>
                <w:rFonts w:hint="eastAsia" w:cs="宋体" w:asciiTheme="minorEastAsia" w:hAnsiTheme="minorEastAsia" w:eastAsiaTheme="minorEastAsia"/>
                <w:sz w:val="20"/>
                <w:szCs w:val="20"/>
                <w:lang w:bidi="ar"/>
              </w:rPr>
              <w:br/>
              <w:t xml:space="preserve">7.配套专用实验软件，预设模板，以表格和曲线等形式自动记录数据变化情况，实验结果更直观明显。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匀变速直线运动的位移与时间的关系、借助传感器用计算机测速度、匀速直线运动的位移、匀变速直线运动的速度与时间的关系、探究加速度与拉力的关系、 探究加速度与质量的关系、用两个光电门测加速度等实验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9"/>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胡克定律实验器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实验器主体（含面板、铁架台、传感器固定座）、弹簧组件（内置拉力限量和弹力系数不同的5个弹簧）</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1.用于探究弹簧的伸长特性、弹簧伸长量与弹力的关系等实验。</w:t>
            </w:r>
            <w:r>
              <w:rPr>
                <w:rFonts w:hint="eastAsia" w:cs="宋体" w:asciiTheme="minorEastAsia" w:hAnsiTheme="minorEastAsia" w:eastAsiaTheme="minorEastAsia"/>
                <w:sz w:val="20"/>
                <w:szCs w:val="20"/>
                <w:lang w:bidi="ar"/>
              </w:rPr>
              <w:br/>
              <w:t xml:space="preserve">2.配合力传感器和位移传感器使用可得到更加准确的数据，并在Windows、安卓、iOS系统终端上实时呈现数据，实验结果明显。</w:t>
            </w:r>
            <w:r>
              <w:rPr>
                <w:rFonts w:hint="eastAsia" w:cs="宋体" w:asciiTheme="minorEastAsia" w:hAnsiTheme="minorEastAsia" w:eastAsiaTheme="minorEastAsia"/>
                <w:sz w:val="20"/>
                <w:szCs w:val="20"/>
                <w:lang w:bidi="ar"/>
              </w:rPr>
              <w:br/>
              <w:t xml:space="preserve">3.面板标有刻度，清晰耐用，学生使用过程中可根据刻度计算，加深学生对实验的理解。</w:t>
            </w:r>
            <w:r>
              <w:rPr>
                <w:rFonts w:hint="eastAsia" w:cs="宋体" w:asciiTheme="minorEastAsia" w:hAnsiTheme="minorEastAsia" w:eastAsiaTheme="minorEastAsia"/>
                <w:sz w:val="20"/>
                <w:szCs w:val="20"/>
                <w:lang w:bidi="ar"/>
              </w:rPr>
              <w:br/>
              <w:t xml:space="preserve">4.实验器具有传感器固定座，与传感器适配性高，搭建简单，减轻器材准备负担，轻松满足演示及分组实验，让课堂教学更高效。</w:t>
            </w:r>
            <w:r>
              <w:rPr>
                <w:rFonts w:hint="eastAsia" w:cs="宋体" w:asciiTheme="minorEastAsia" w:hAnsiTheme="minorEastAsia" w:eastAsiaTheme="minorEastAsia"/>
                <w:sz w:val="20"/>
                <w:szCs w:val="20"/>
                <w:lang w:bidi="ar"/>
              </w:rPr>
              <w:br/>
              <w:t xml:space="preserve">5.提供5个弹力系数不同的弹簧，可探究弹性系数对弹力的影响。</w:t>
            </w:r>
            <w:r>
              <w:rPr>
                <w:rFonts w:hint="eastAsia" w:cs="宋体" w:asciiTheme="minorEastAsia" w:hAnsiTheme="minorEastAsia" w:eastAsiaTheme="minorEastAsia"/>
                <w:sz w:val="20"/>
                <w:szCs w:val="20"/>
                <w:lang w:bidi="ar"/>
              </w:rPr>
              <w:br/>
              <w:t xml:space="preserve">6.通过移动终端扫描仪器上的二维码可浏览该仪器配套的实验指导和使用说明。</w:t>
            </w:r>
            <w:r>
              <w:rPr>
                <w:rFonts w:hint="eastAsia" w:cs="宋体" w:asciiTheme="minorEastAsia" w:hAnsiTheme="minorEastAsia" w:eastAsiaTheme="minorEastAsia"/>
                <w:sz w:val="20"/>
                <w:szCs w:val="20"/>
                <w:lang w:bidi="ar"/>
              </w:rPr>
              <w:br/>
              <w:t xml:space="preserve">7.配套专用实验软件，预设模板，以表格和曲线等形式自动记录数据变化情况，实验结果更直观明显。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弹簧的伸长特性、研究弹簧伸长量与弹力的关系等实验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9"/>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螺线管</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环形线圈、接线柱、透明亚克力支架板</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1.用于测量通电螺线管内部的匀强磁场，探究电流大小和线圈匝数与螺线管内部磁场强度的关系。</w:t>
            </w:r>
            <w:r>
              <w:rPr>
                <w:rFonts w:hint="eastAsia" w:cs="宋体" w:asciiTheme="minorEastAsia" w:hAnsiTheme="minorEastAsia" w:eastAsiaTheme="minorEastAsia"/>
                <w:sz w:val="20"/>
                <w:szCs w:val="20"/>
                <w:lang w:bidi="ar"/>
              </w:rPr>
              <w:br/>
              <w:t xml:space="preserve">2.亚克力支架板方便放置小磁针，探究通电螺线管磁感线及磁场方向，并在Windows、安卓、iOS系统终端上实时呈现数据。</w:t>
            </w:r>
            <w:r>
              <w:rPr>
                <w:rFonts w:hint="eastAsia" w:cs="宋体" w:asciiTheme="minorEastAsia" w:hAnsiTheme="minorEastAsia" w:eastAsiaTheme="minorEastAsia"/>
                <w:sz w:val="20"/>
                <w:szCs w:val="20"/>
                <w:lang w:bidi="ar"/>
              </w:rPr>
              <w:br/>
              <w:t xml:space="preserve">3.环形线圈内部预留较大空间方便探究螺线管内部磁场特性。</w:t>
            </w:r>
            <w:r>
              <w:rPr>
                <w:rFonts w:hint="eastAsia" w:cs="宋体" w:asciiTheme="minorEastAsia" w:hAnsiTheme="minorEastAsia" w:eastAsiaTheme="minorEastAsia"/>
                <w:sz w:val="20"/>
                <w:szCs w:val="20"/>
                <w:lang w:bidi="ar"/>
              </w:rPr>
              <w:br/>
              <w:t xml:space="preserve">4.线圈绕制在圆环上，匝数均匀，磁场稳定。</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测量通电螺线管内部的匀强磁场、探究通电螺线管磁感线方向等实验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9"/>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电学实验板 (17块)</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17种实验电路板（含RC/RL移相、半波整流与滤波、全波整流与滤波、电容器充放电与串并联、LC振荡、欧姆定律、导体的伏安特性、补偿法测量电池电动势、限流法测灯泡的伏安特性、分压法测灯泡的伏安特性、自感现象、电池电动势与内阻的测量、电阻的串并联、电源输出与负载的关系、伏安法测电阻、电磁感应现象、传感器简单应用）、隔离柱、香蕉头导线*12、鳄鱼夹*6、9V电池、小灯泡若干</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1.用于电学类实验，如电容器充放电与串并联、LC振荡、欧姆定律、导体的伏安特性、补偿法测量电池电动势等。</w:t>
            </w:r>
            <w:r>
              <w:rPr>
                <w:rFonts w:hint="eastAsia" w:cs="宋体" w:asciiTheme="minorEastAsia" w:hAnsiTheme="minorEastAsia" w:eastAsiaTheme="minorEastAsia"/>
                <w:sz w:val="20"/>
                <w:szCs w:val="20"/>
                <w:lang w:bidi="ar"/>
              </w:rPr>
              <w:br/>
              <w:t xml:space="preserve">2.集成电路，实验方便快捷。</w:t>
            </w:r>
            <w:r>
              <w:rPr>
                <w:rFonts w:hint="eastAsia" w:cs="宋体" w:asciiTheme="minorEastAsia" w:hAnsiTheme="minorEastAsia" w:eastAsiaTheme="minorEastAsia"/>
                <w:sz w:val="20"/>
                <w:szCs w:val="20"/>
                <w:lang w:bidi="ar"/>
              </w:rPr>
              <w:br/>
              <w:t xml:space="preserve">3.插拔式接线口，接线简便牢靠，实验稳定。</w:t>
            </w:r>
            <w:r>
              <w:rPr>
                <w:rFonts w:hint="eastAsia" w:cs="宋体" w:asciiTheme="minorEastAsia" w:hAnsiTheme="minorEastAsia" w:eastAsiaTheme="minorEastAsia"/>
                <w:sz w:val="20"/>
                <w:szCs w:val="20"/>
                <w:lang w:bidi="ar"/>
              </w:rPr>
              <w:br/>
              <w:t xml:space="preserve">4.适配电学类传感器测量数值并在Windows、安卓、iOS系统终端上实时呈现，也可接入指针式电表，满足数字化和传统不同形式实验教学要求，实验设计灵活。</w:t>
            </w:r>
            <w:r>
              <w:rPr>
                <w:rFonts w:hint="eastAsia" w:cs="宋体" w:asciiTheme="minorEastAsia" w:hAnsiTheme="minorEastAsia" w:eastAsiaTheme="minorEastAsia"/>
                <w:sz w:val="20"/>
                <w:szCs w:val="20"/>
                <w:lang w:bidi="ar"/>
              </w:rPr>
              <w:br/>
              <w:t xml:space="preserve">5.实验丰富，基本涵盖电学类初高中分组及演示实验。</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RC/RL移相实验、整流与滤波（半波、全波）实验、电容器充放电实验、LC振荡电路探究实验、欧姆定律、导体的伏安特性实验、测量电池电动势实验、限流法测灯泡的伏安特性（限流、分压）实验、自感现象探究实验、测量电源的电动势和内阻实验、电阻的串并联实验、电源输出与负载的关系实验、伏安法</w:t>
            </w:r>
            <w:r>
              <w:rPr>
                <w:rFonts w:hint="eastAsia" w:cs="宋体" w:asciiTheme="minorEastAsia" w:hAnsiTheme="minorEastAsia" w:eastAsiaTheme="minorEastAsia"/>
                <w:sz w:val="20"/>
                <w:szCs w:val="20"/>
                <w:lang w:bidi="ar"/>
              </w:rPr>
              <w:t xml:space="preserve">测电阻实验、电磁感应现象探究等实验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9"/>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数字化机械能守恒实验器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主板、挡光柱、收纳装置、光电门传感器部件（0～∞s）、人字形底座、一字胶木螺丝、蝶形螺栓*2、数据线、蓝牙适配器</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1.用于探究机械能守恒定律。</w:t>
            </w:r>
            <w:r>
              <w:rPr>
                <w:rFonts w:hint="eastAsia" w:cs="宋体" w:asciiTheme="minorEastAsia" w:hAnsiTheme="minorEastAsia" w:eastAsiaTheme="minorEastAsia"/>
                <w:sz w:val="20"/>
                <w:szCs w:val="20"/>
                <w:lang w:bidi="ar"/>
              </w:rPr>
              <w:br/>
              <w:t xml:space="preserve">2.实验方法贴合教材，主板设有等距的10个挡光柱且高度值预设于软件中，摆锤内置光电门传感器，当下落经过挡光柱时，可直接测得瞬时速度，并计算出动能、势能、机械能的数值，在Windows、安卓、iOS系统终端上实时呈现数据。安装简单，无需外接传感器与采集器。</w:t>
            </w:r>
            <w:r>
              <w:rPr>
                <w:rFonts w:hint="eastAsia" w:cs="宋体" w:asciiTheme="minorEastAsia" w:hAnsiTheme="minorEastAsia" w:eastAsiaTheme="minorEastAsia"/>
                <w:sz w:val="20"/>
                <w:szCs w:val="20"/>
                <w:lang w:bidi="ar"/>
              </w:rPr>
              <w:br/>
              <w:t xml:space="preserve">3.实验操作便捷，下落一次可得到10个点处的动能、势能、机械能，配有专有软件模板，实现智能采集、自动停止、自动记录实验数据并以数值、图像等多种形式呈现，有效提升课堂效率。</w:t>
            </w:r>
            <w:r>
              <w:rPr>
                <w:rFonts w:hint="eastAsia" w:cs="宋体" w:asciiTheme="minorEastAsia" w:hAnsiTheme="minorEastAsia" w:eastAsiaTheme="minorEastAsia"/>
                <w:sz w:val="20"/>
                <w:szCs w:val="20"/>
                <w:lang w:bidi="ar"/>
              </w:rPr>
              <w:br/>
              <w:t xml:space="preserve">4.挡光柱无需拆卸，通过软件即可自由勾选1～10号单个或多个挡光柱，获得多组不同的高度组合，进行多组实验验证。</w:t>
            </w:r>
            <w:r>
              <w:rPr>
                <w:rFonts w:hint="eastAsia" w:cs="宋体" w:asciiTheme="minorEastAsia" w:hAnsiTheme="minorEastAsia" w:eastAsiaTheme="minorEastAsia"/>
                <w:sz w:val="20"/>
                <w:szCs w:val="20"/>
                <w:lang w:bidi="ar"/>
              </w:rPr>
              <w:br/>
              <w:t xml:space="preserve">5.收纳装置，有效防止摆锤下落至底部后回摆造成的实验误差。</w:t>
            </w:r>
            <w:r>
              <w:rPr>
                <w:rFonts w:hint="eastAsia" w:cs="宋体" w:asciiTheme="minorEastAsia" w:hAnsiTheme="minorEastAsia" w:eastAsiaTheme="minorEastAsia"/>
                <w:sz w:val="20"/>
                <w:szCs w:val="20"/>
                <w:lang w:bidi="ar"/>
              </w:rPr>
              <w:br/>
              <w:t xml:space="preserve">6.采用人字形底座，配有调平螺丝，方便调整仪器保持水平。</w:t>
            </w:r>
            <w:r>
              <w:rPr>
                <w:rFonts w:hint="eastAsia" w:cs="宋体" w:asciiTheme="minorEastAsia" w:hAnsiTheme="minorEastAsia" w:eastAsiaTheme="minorEastAsia"/>
                <w:sz w:val="20"/>
                <w:szCs w:val="20"/>
                <w:lang w:bidi="ar"/>
              </w:rPr>
              <w:br/>
              <w:t xml:space="preserve">7.可支持有线、无线两种工作方式。</w:t>
            </w:r>
            <w:r>
              <w:rPr>
                <w:rFonts w:hint="eastAsia" w:cs="宋体" w:asciiTheme="minorEastAsia" w:hAnsiTheme="minorEastAsia" w:eastAsiaTheme="minorEastAsia"/>
                <w:sz w:val="20"/>
                <w:szCs w:val="20"/>
                <w:lang w:bidi="ar"/>
              </w:rPr>
              <w:br/>
              <w:t xml:space="preserve">8.配套专用实验软件，预设模板，以表格和曲线等形式自动记录数据变化情况，实验结果更直观明显。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验证机械能守恒定律等实验。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9"/>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智能力盘实验器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人字形底座、铝合金固定杆、刻度盘、支撑杆、滑轮、连接线组件、钩码、梅花螺丝、手紧螺丝、数据线2根</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1.用于力的合成、力的分解实验，探究力合成的平行四边形定则。</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2.刻度盘设有两个支撑杆，可轻松改变分力的角度，配合力倾角传感器直接测量力和角度的大小，在Windows、安卓、iOS系统终端上实时呈现数据，探究力的合成与分解实验。</w:t>
            </w:r>
            <w:r>
              <w:rPr>
                <w:rFonts w:hint="eastAsia" w:cs="宋体" w:asciiTheme="minorEastAsia" w:hAnsiTheme="minorEastAsia" w:eastAsiaTheme="minorEastAsia"/>
                <w:sz w:val="20"/>
                <w:szCs w:val="20"/>
                <w:lang w:bidi="ar"/>
              </w:rPr>
              <w:br/>
              <w:t xml:space="preserve">3.单个支撑杆可围绕刻度盘在0°～180°内进行转动，改变力的角度。</w:t>
            </w:r>
            <w:r>
              <w:rPr>
                <w:rFonts w:hint="eastAsia" w:cs="宋体" w:asciiTheme="minorEastAsia" w:hAnsiTheme="minorEastAsia" w:eastAsiaTheme="minorEastAsia"/>
                <w:sz w:val="20"/>
                <w:szCs w:val="20"/>
                <w:lang w:bidi="ar"/>
              </w:rPr>
              <w:br/>
              <w:t xml:space="preserve">4.连接线组件可保证两个力传感器在转动时，交点始终处于刻度盘的圆心位置，设计科学合理。</w:t>
            </w:r>
            <w:r>
              <w:rPr>
                <w:rFonts w:hint="eastAsia" w:cs="宋体" w:asciiTheme="minorEastAsia" w:hAnsiTheme="minorEastAsia" w:eastAsiaTheme="minorEastAsia"/>
                <w:sz w:val="20"/>
                <w:szCs w:val="20"/>
                <w:lang w:bidi="ar"/>
              </w:rPr>
              <w:br/>
              <w:t xml:space="preserve">5.固定杆设有滑轮，可拓展探究合力竖直向上的情况。</w:t>
            </w:r>
            <w:r>
              <w:rPr>
                <w:rFonts w:hint="eastAsia" w:cs="宋体" w:asciiTheme="minorEastAsia" w:hAnsiTheme="minorEastAsia" w:eastAsiaTheme="minorEastAsia"/>
                <w:sz w:val="20"/>
                <w:szCs w:val="20"/>
                <w:lang w:bidi="ar"/>
              </w:rPr>
              <w:br/>
              <w:t xml:space="preserve">6.采用人字形底座，配有调平螺丝，方便调整仪器保持水平。</w:t>
            </w:r>
            <w:r>
              <w:rPr>
                <w:rFonts w:hint="eastAsia" w:cs="宋体" w:asciiTheme="minorEastAsia" w:hAnsiTheme="minorEastAsia" w:eastAsiaTheme="minorEastAsia"/>
                <w:sz w:val="20"/>
                <w:szCs w:val="20"/>
                <w:lang w:bidi="ar"/>
              </w:rPr>
              <w:br/>
              <w:t xml:space="preserve">7.配套专用实验软件，可在坐标系中自动绘制出合力与分力的矢量图，进行“力的合成”与“力的分解”实验。</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探究力合成的平行四边形定则、探究力分解的三角形定则等实验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9"/>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数字法拉第电磁感应定律实验器（动生）</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底座、磁铁、可调匝数的线圈、支架、电压传感器（-4V～4V）、光电门传感器（0～∞s）、数据线</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1.用于法拉第电磁感应实验，探究影响感应电动势大小的因素。</w:t>
            </w:r>
            <w:r>
              <w:rPr>
                <w:rFonts w:hint="eastAsia" w:cs="宋体" w:asciiTheme="minorEastAsia" w:hAnsiTheme="minorEastAsia" w:eastAsiaTheme="minorEastAsia"/>
                <w:sz w:val="20"/>
                <w:szCs w:val="20"/>
                <w:lang w:bidi="ar"/>
              </w:rPr>
              <w:br/>
              <w:t xml:space="preserve">2.器材一体化设计，底座上固定有两块磁铁用于提供磁场，内置光电门传感器、电压传感器，可准确测量线圈下落速度及感应电动势大小，无需采集器，可直接与终端连接实时呈现数据。</w:t>
            </w:r>
            <w:r>
              <w:rPr>
                <w:rFonts w:hint="eastAsia" w:cs="宋体" w:asciiTheme="minorEastAsia" w:hAnsiTheme="minorEastAsia" w:eastAsiaTheme="minorEastAsia"/>
                <w:sz w:val="20"/>
                <w:szCs w:val="20"/>
                <w:lang w:bidi="ar"/>
              </w:rPr>
              <w:br/>
              <w:t xml:space="preserve">3.具有可调节匝数的线圈，无需更换线圈，只需通过调整探针接入位置，即可更换100匝、200匝、300匝三种匝数，来探究线圈匝数对感应电动势大小的影响，操作简便。</w:t>
            </w:r>
            <w:r>
              <w:rPr>
                <w:rFonts w:hint="eastAsia" w:cs="宋体" w:asciiTheme="minorEastAsia" w:hAnsiTheme="minorEastAsia" w:eastAsiaTheme="minorEastAsia"/>
                <w:sz w:val="20"/>
                <w:szCs w:val="20"/>
                <w:lang w:bidi="ar"/>
              </w:rPr>
              <w:br/>
              <w:t xml:space="preserve">4.支架两侧标有清晰的刻度，可控制线圈从不同高度下落，得到不同的切割速度，通过光电门传感器可以精准获得线圈下落的速度，探究线圈切割磁感线快慢对感应电动势大小的影响。</w:t>
            </w:r>
            <w:r>
              <w:rPr>
                <w:rFonts w:hint="eastAsia" w:cs="宋体" w:asciiTheme="minorEastAsia" w:hAnsiTheme="minorEastAsia" w:eastAsiaTheme="minorEastAsia"/>
                <w:sz w:val="20"/>
                <w:szCs w:val="20"/>
                <w:lang w:bidi="ar"/>
              </w:rPr>
              <w:br/>
              <w:t xml:space="preserve">5.配套专用实验软件，预设模板，以表格和曲线等形式自动记录数据变化情况，实验结果更直观明显。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探究线圈切割磁感线快慢、线圈匝数对于感应电动势的影响等实验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9"/>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查理定律实验器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探头支架、试管、盖子、快速温度探头、宝塔接头、烧杯（150mL）</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1.用于探究一定质量的气体在体积不变的情况下，压强与温度的关系。</w:t>
            </w:r>
            <w:r>
              <w:rPr>
                <w:rFonts w:hint="eastAsia" w:cs="宋体" w:asciiTheme="minorEastAsia" w:hAnsiTheme="minorEastAsia" w:eastAsiaTheme="minorEastAsia"/>
                <w:sz w:val="20"/>
                <w:szCs w:val="20"/>
                <w:lang w:bidi="ar"/>
              </w:rPr>
              <w:br/>
              <w:t xml:space="preserve">2.实验器营造等体积实验环境，具有良好的密封性，通过试管内的快速温度探头连接快速温度传感器、宝塔接头连接绝对压强传感器，测得一定质量的气体在体积不变时压强与温度的变化关系，并在Windows、安卓、iOS系统终端上实时呈现数据。减轻准备器材的负担，轻松满足演示及分组实验，让课堂教学更高效。</w:t>
            </w:r>
            <w:r>
              <w:rPr>
                <w:rFonts w:hint="eastAsia" w:cs="宋体" w:asciiTheme="minorEastAsia" w:hAnsiTheme="minorEastAsia" w:eastAsiaTheme="minorEastAsia"/>
                <w:sz w:val="20"/>
                <w:szCs w:val="20"/>
                <w:lang w:bidi="ar"/>
              </w:rPr>
              <w:br/>
              <w:t xml:space="preserve">3.探头支架底座平稳，采用夹子设计，角度可调，可轻松取下或固定试管。</w:t>
            </w:r>
            <w:r>
              <w:rPr>
                <w:rFonts w:hint="eastAsia" w:cs="宋体" w:asciiTheme="minorEastAsia" w:hAnsiTheme="minorEastAsia" w:eastAsiaTheme="minorEastAsia"/>
                <w:sz w:val="20"/>
                <w:szCs w:val="20"/>
                <w:lang w:bidi="ar"/>
              </w:rPr>
              <w:br/>
              <w:t xml:space="preserve">4.配套专用实验软件，可描绘压强与温度的变化曲线，得出压强与温度成正比关系的实验结论。</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查理定律等实验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9"/>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电磁波传播实验器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发射模块（载波频率200Hz，调制波频率2Hz～20Hz）、接收模块、伸缩式天线*2、5号电池*4</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1.用于电磁波传播实验的探究。</w:t>
            </w:r>
            <w:r>
              <w:rPr>
                <w:rFonts w:hint="eastAsia" w:cs="宋体" w:asciiTheme="minorEastAsia" w:hAnsiTheme="minorEastAsia" w:eastAsiaTheme="minorEastAsia"/>
                <w:sz w:val="20"/>
                <w:szCs w:val="20"/>
                <w:lang w:bidi="ar"/>
              </w:rPr>
              <w:br/>
              <w:t xml:space="preserve">2.接收模块配合电压传感器测得发射模块发射出的波形，并在Windows、安卓、iOS系统终端上实时呈现数据，探究电磁波传播实验。</w:t>
            </w:r>
            <w:r>
              <w:rPr>
                <w:rFonts w:hint="eastAsia" w:cs="宋体" w:asciiTheme="minorEastAsia" w:hAnsiTheme="minorEastAsia" w:eastAsiaTheme="minorEastAsia"/>
                <w:sz w:val="20"/>
                <w:szCs w:val="20"/>
                <w:lang w:bidi="ar"/>
              </w:rPr>
              <w:br/>
              <w:t xml:space="preserve">3.发射模块具有正弦波、三角波、方波三种波形选择，频率、幅度可调。</w:t>
            </w:r>
            <w:r>
              <w:rPr>
                <w:rFonts w:hint="eastAsia" w:cs="宋体" w:asciiTheme="minorEastAsia" w:hAnsiTheme="minorEastAsia" w:eastAsiaTheme="minorEastAsia"/>
                <w:sz w:val="20"/>
                <w:szCs w:val="20"/>
                <w:lang w:bidi="ar"/>
              </w:rPr>
              <w:br/>
              <w:t xml:space="preserve">4.器材无需装配，操作简单，方便开展分组实验。</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电磁波传播等实验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9"/>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无线向心力实验器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人字形底座、支撑杆、码盘、角速度传感器（0～35rad/s）、力传感器（-10N～10N）、水平仪、紧固件、刻度条、不锈钢拉杆、铜锤*5（20g*2、30g*2、50g*1）、蓝牙适配器、锂电池、电源适配器</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1.用于向心力研究实验，探究向心力与角速度、半径、质量及时间的关系。</w:t>
            </w:r>
            <w:r>
              <w:rPr>
                <w:rFonts w:hint="eastAsia" w:cs="宋体" w:asciiTheme="minorEastAsia" w:hAnsiTheme="minorEastAsia" w:eastAsiaTheme="minorEastAsia"/>
                <w:sz w:val="20"/>
                <w:szCs w:val="20"/>
                <w:lang w:bidi="ar"/>
              </w:rPr>
              <w:br/>
              <w:t xml:space="preserve">2.器材集成度高，内置力传感器和码盘，旋转一周可测量多点向心力和转动角速度，采集频率可调节，并在Windows、安卓、iOS系统终端上实时呈现数据，解决了传统实验中数据测量误差较大的问题。</w:t>
            </w:r>
            <w:r>
              <w:rPr>
                <w:rFonts w:hint="eastAsia" w:cs="宋体" w:asciiTheme="minorEastAsia" w:hAnsiTheme="minorEastAsia" w:eastAsiaTheme="minorEastAsia"/>
                <w:sz w:val="20"/>
                <w:szCs w:val="20"/>
                <w:lang w:bidi="ar"/>
              </w:rPr>
              <w:br/>
              <w:t xml:space="preserve">3.采集过程中无需保持匀速转动且一次数据采集即可探究向心力与角速度的关系，组装式安装，操作便捷。</w:t>
            </w:r>
            <w:r>
              <w:rPr>
                <w:rFonts w:hint="eastAsia" w:cs="宋体" w:asciiTheme="minorEastAsia" w:hAnsiTheme="minorEastAsia" w:eastAsiaTheme="minorEastAsia"/>
                <w:sz w:val="20"/>
                <w:szCs w:val="20"/>
                <w:lang w:bidi="ar"/>
              </w:rPr>
              <w:br/>
              <w:t xml:space="preserve">4.配置3种不同规格铜锤，可组成5组及以上不同质量的组合，保持铜锤重心的位置不变，探究向心力与物体质量的关系。</w:t>
            </w:r>
            <w:r>
              <w:rPr>
                <w:rFonts w:hint="eastAsia" w:cs="宋体" w:asciiTheme="minorEastAsia" w:hAnsiTheme="minorEastAsia" w:eastAsiaTheme="minorEastAsia"/>
                <w:sz w:val="20"/>
                <w:szCs w:val="20"/>
                <w:lang w:bidi="ar"/>
              </w:rPr>
              <w:br/>
              <w:t xml:space="preserve">5.实验器设有刻度条，并且铜锤中心位置有凹槽标记，可改变5组及以上不同转动半径，探究向心力与转动半径的关系。</w:t>
            </w:r>
            <w:r>
              <w:rPr>
                <w:rFonts w:hint="eastAsia" w:cs="宋体" w:asciiTheme="minorEastAsia" w:hAnsiTheme="minorEastAsia" w:eastAsiaTheme="minorEastAsia"/>
                <w:sz w:val="20"/>
                <w:szCs w:val="20"/>
                <w:lang w:bidi="ar"/>
              </w:rPr>
              <w:br/>
              <w:t xml:space="preserve">6.内置水平和垂直两个方向上的水平仪，支持探究水平方向和竖直方向的圆周运动，满足更多实验需求。</w:t>
            </w:r>
            <w:r>
              <w:rPr>
                <w:rFonts w:hint="eastAsia" w:cs="宋体" w:asciiTheme="minorEastAsia" w:hAnsiTheme="minorEastAsia" w:eastAsiaTheme="minorEastAsia"/>
                <w:sz w:val="20"/>
                <w:szCs w:val="20"/>
                <w:lang w:bidi="ar"/>
              </w:rPr>
              <w:br/>
              <w:t xml:space="preserve">7.旋转臂可在0°～90°内自由调节，支持拓展探究向心力与时间成周期性的关系。</w:t>
            </w:r>
            <w:r>
              <w:rPr>
                <w:rFonts w:hint="eastAsia" w:cs="宋体" w:asciiTheme="minorEastAsia" w:hAnsiTheme="minorEastAsia" w:eastAsiaTheme="minorEastAsia"/>
                <w:sz w:val="20"/>
                <w:szCs w:val="20"/>
                <w:lang w:bidi="ar"/>
              </w:rPr>
              <w:br/>
              <w:t xml:space="preserve">8.铜锤卡槽式固定，可轻松移动及更换；中心处有凹槽标记，便于确定铜锤重心位置。</w:t>
            </w:r>
            <w:r>
              <w:rPr>
                <w:rFonts w:hint="eastAsia" w:cs="宋体" w:asciiTheme="minorEastAsia" w:hAnsiTheme="minorEastAsia" w:eastAsiaTheme="minorEastAsia"/>
                <w:sz w:val="20"/>
                <w:szCs w:val="20"/>
                <w:lang w:bidi="ar"/>
              </w:rPr>
              <w:br/>
              <w:t xml:space="preserve">9.内置锂电池和蓝牙，支持有线、无线连接。</w:t>
            </w:r>
            <w:r>
              <w:rPr>
                <w:rFonts w:hint="eastAsia" w:cs="宋体" w:asciiTheme="minorEastAsia" w:hAnsiTheme="minorEastAsia" w:eastAsiaTheme="minorEastAsia"/>
                <w:sz w:val="20"/>
                <w:szCs w:val="20"/>
                <w:lang w:bidi="ar"/>
              </w:rPr>
              <w:br/>
              <w:t xml:space="preserve">10.采用人字形底座，双水平泡设计，配有调平螺丝，方便调整仪器保持水平。</w:t>
            </w:r>
            <w:r>
              <w:rPr>
                <w:rFonts w:hint="eastAsia" w:cs="宋体" w:asciiTheme="minorEastAsia" w:hAnsiTheme="minorEastAsia" w:eastAsiaTheme="minorEastAsia"/>
                <w:sz w:val="20"/>
                <w:szCs w:val="20"/>
                <w:lang w:bidi="ar"/>
              </w:rPr>
              <w:br/>
              <w:t xml:space="preserve">11.配套专用实验软件，预设模板，以表格和曲线等形式自动记录数据变化情况，实验结果更直观明显。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探究水平面内的圆周运动规律、探究向心力与转动角速度的关系、探究向心力与物体质量的关系、探究向心力与转动半径的关系、探究竖直平面内的圆周运动规律等实验。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9"/>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数字化安培力实验器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底座、显示屏、电位器（电流可调电源）、调节按钮、强磁铁1对、电流传感器（0～1A）、磁感应强度传感器（-64mT～64mT）、微力传感器（-1N～1N）、角度盘、线圈*3（37.5mm/100匝、50mm/100匝、25mm/100匝/200匝）、电源适配器、数据线</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1.用于安培力的研究，探究公式F=nBILsinθ中F和各个量之间的关系，也可以验证公式本身。</w:t>
            </w:r>
            <w:r>
              <w:rPr>
                <w:rFonts w:hint="eastAsia" w:cs="宋体" w:asciiTheme="minorEastAsia" w:hAnsiTheme="minorEastAsia" w:eastAsiaTheme="minorEastAsia"/>
                <w:sz w:val="20"/>
                <w:szCs w:val="20"/>
                <w:lang w:bidi="ar"/>
              </w:rPr>
              <w:br/>
              <w:t xml:space="preserve">2.实验器搭建简便，无需外接传感器和采集器，通过内置的微力传感器和磁感应强度传感器，测量通电导线在磁场中所受到的安培力大小及方向，并在Windows、安卓、iOS系统终端上实时呈现数据。</w:t>
            </w:r>
            <w:r>
              <w:rPr>
                <w:rFonts w:hint="eastAsia" w:cs="宋体" w:asciiTheme="minorEastAsia" w:hAnsiTheme="minorEastAsia" w:eastAsiaTheme="minorEastAsia"/>
                <w:sz w:val="20"/>
                <w:szCs w:val="20"/>
                <w:lang w:bidi="ar"/>
              </w:rPr>
              <w:br/>
              <w:t xml:space="preserve">3.设有电流调节按钮，可从零开始无极调节通过线圈的电流大小，从而探究通电导线中电流大小I对安培力的影响。</w:t>
            </w:r>
            <w:r>
              <w:rPr>
                <w:rFonts w:hint="eastAsia" w:cs="宋体" w:asciiTheme="minorEastAsia" w:hAnsiTheme="minorEastAsia" w:eastAsiaTheme="minorEastAsia"/>
                <w:sz w:val="20"/>
                <w:szCs w:val="20"/>
                <w:lang w:bidi="ar"/>
              </w:rPr>
              <w:br/>
              <w:t xml:space="preserve">4.具有供3种不同的线圈，可控制线圈匝数不变，选择不同的有效长度，探究磁场中通电导线的有效长度L对安培力的影响；也可控制线圈有效长度不变，改变线圈匝数，探究线圈匝数n对安培力的影响。</w:t>
            </w:r>
            <w:r>
              <w:rPr>
                <w:rFonts w:hint="eastAsia" w:cs="宋体" w:asciiTheme="minorEastAsia" w:hAnsiTheme="minorEastAsia" w:eastAsiaTheme="minorEastAsia"/>
                <w:sz w:val="20"/>
                <w:szCs w:val="20"/>
                <w:lang w:bidi="ar"/>
              </w:rPr>
              <w:br/>
              <w:t xml:space="preserve">5.强磁铁通过角度盘可0°～360°自由转动来改变磁场与线圈的夹角，角度盘标有清晰的刻度可轻松读出夹角大小，从而探究通电导线电流方向与磁场方向的夹角对安培力的影响。</w:t>
            </w:r>
            <w:r>
              <w:rPr>
                <w:rFonts w:hint="eastAsia" w:cs="宋体" w:asciiTheme="minorEastAsia" w:hAnsiTheme="minorEastAsia" w:eastAsiaTheme="minorEastAsia"/>
                <w:sz w:val="20"/>
                <w:szCs w:val="20"/>
                <w:lang w:bidi="ar"/>
              </w:rPr>
              <w:br/>
              <w:t xml:space="preserve">6.线圈匝数更换简便，轻松拨动按钮即可进行100匝和200匝的转换。</w:t>
            </w:r>
            <w:r>
              <w:rPr>
                <w:rFonts w:hint="eastAsia" w:cs="宋体" w:asciiTheme="minorEastAsia" w:hAnsiTheme="minorEastAsia" w:eastAsiaTheme="minorEastAsia"/>
                <w:sz w:val="20"/>
                <w:szCs w:val="20"/>
                <w:lang w:bidi="ar"/>
              </w:rPr>
              <w:br/>
              <w:t xml:space="preserve">7.实验器设有数字显示屏，可以实时显示电流、磁感应强度、安培力大小。</w:t>
            </w:r>
            <w:r>
              <w:rPr>
                <w:rFonts w:hint="eastAsia" w:cs="宋体" w:asciiTheme="minorEastAsia" w:hAnsiTheme="minorEastAsia" w:eastAsiaTheme="minorEastAsia"/>
                <w:sz w:val="20"/>
                <w:szCs w:val="20"/>
                <w:lang w:bidi="ar"/>
              </w:rPr>
              <w:br/>
              <w:t xml:space="preserve">8.设有校零按钮，可通过硬件校零按钮对传感器一键校零，也可使用软件进行校零。</w:t>
            </w:r>
            <w:r>
              <w:rPr>
                <w:rFonts w:hint="eastAsia" w:cs="宋体" w:asciiTheme="minorEastAsia" w:hAnsiTheme="minorEastAsia" w:eastAsiaTheme="minorEastAsia"/>
                <w:sz w:val="20"/>
                <w:szCs w:val="20"/>
                <w:lang w:bidi="ar"/>
              </w:rPr>
              <w:br/>
              <w:t xml:space="preserve">9.通过移动终端扫描仪器上的二维码可浏览该仪器配套的实验指导和使用说明。</w:t>
            </w:r>
            <w:r>
              <w:rPr>
                <w:rFonts w:hint="eastAsia" w:cs="宋体" w:asciiTheme="minorEastAsia" w:hAnsiTheme="minorEastAsia" w:eastAsiaTheme="minorEastAsia"/>
                <w:sz w:val="20"/>
                <w:szCs w:val="20"/>
                <w:lang w:bidi="ar"/>
              </w:rPr>
              <w:br/>
              <w:t xml:space="preserve">10.可支持有线、无线两种工作方式。</w:t>
            </w:r>
            <w:r>
              <w:rPr>
                <w:rFonts w:hint="eastAsia" w:cs="宋体" w:asciiTheme="minorEastAsia" w:hAnsiTheme="minorEastAsia" w:eastAsiaTheme="minorEastAsia"/>
                <w:sz w:val="20"/>
                <w:szCs w:val="20"/>
                <w:lang w:bidi="ar"/>
              </w:rPr>
              <w:br/>
              <w:t xml:space="preserve">11.配套专用实验软件，预设模板，以表格和曲线等形式自动记录数据变化情况，实验结果更直观明显。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用于探究磁场中的通电导线的匝数、长度、电流大小、电流方向与磁场方向的夹角等因素对安培力的影响等实验。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9"/>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光的干涉衍射实验器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光屏、激光器、光学元件（含干涉片、衍射片1、衍射片2）、7号干电池、偏振片*2、皮尺</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1.用于探究光在透过单缝和双缝时，发生衍射和干涉的现象。</w:t>
            </w:r>
            <w:r>
              <w:rPr>
                <w:rFonts w:hint="eastAsia" w:cs="宋体" w:asciiTheme="minorEastAsia" w:hAnsiTheme="minorEastAsia" w:eastAsiaTheme="minorEastAsia"/>
                <w:sz w:val="20"/>
                <w:szCs w:val="20"/>
                <w:lang w:bidi="ar"/>
              </w:rPr>
              <w:br/>
              <w:t xml:space="preserve">2.激光器能发射满足相关条件的激光，通过机身前端的光学元件，产生干涉或衍射现象，可在光屏上观察干涉或衍射图像，配合光强分布传感器可测量并计算出光波波长，并在终端上实时呈现数据。</w:t>
            </w:r>
            <w:r>
              <w:rPr>
                <w:rFonts w:hint="eastAsia" w:cs="宋体" w:asciiTheme="minorEastAsia" w:hAnsiTheme="minorEastAsia" w:eastAsiaTheme="minorEastAsia"/>
                <w:sz w:val="20"/>
                <w:szCs w:val="20"/>
                <w:lang w:bidi="ar"/>
              </w:rPr>
              <w:br/>
              <w:t xml:space="preserve">3.激光器前端具有可左右移动的卡槽，方便光学元件的插入及滑动。</w:t>
            </w:r>
            <w:r>
              <w:rPr>
                <w:rFonts w:hint="eastAsia" w:cs="宋体" w:asciiTheme="minorEastAsia" w:hAnsiTheme="minorEastAsia" w:eastAsiaTheme="minorEastAsia"/>
                <w:sz w:val="20"/>
                <w:szCs w:val="20"/>
                <w:lang w:bidi="ar"/>
              </w:rPr>
              <w:br/>
              <w:t xml:space="preserve">4.干涉片具有不同缝宽的双缝、三缝、四缝，可进行杨氏双缝干涉实验，同时能拓展进行三缝、四缝干涉实验。</w:t>
            </w:r>
            <w:r>
              <w:rPr>
                <w:rFonts w:hint="eastAsia" w:cs="宋体" w:asciiTheme="minorEastAsia" w:hAnsiTheme="minorEastAsia" w:eastAsiaTheme="minorEastAsia"/>
                <w:sz w:val="20"/>
                <w:szCs w:val="20"/>
                <w:lang w:bidi="ar"/>
              </w:rPr>
              <w:br/>
              <w:t xml:space="preserve">5.衍射片具有狭缝、圆孔、矩形孔、方形孔、三角孔、单丝、圆屏、刀口等图形，可观察到明显的光的衍射现象。</w:t>
            </w:r>
            <w:r>
              <w:rPr>
                <w:rFonts w:hint="eastAsia" w:cs="宋体" w:asciiTheme="minorEastAsia" w:hAnsiTheme="minorEastAsia" w:eastAsiaTheme="minorEastAsia"/>
                <w:sz w:val="20"/>
                <w:szCs w:val="20"/>
                <w:lang w:bidi="ar"/>
              </w:rPr>
              <w:br/>
              <w:t xml:space="preserve">6.配有软性150cm长皮尺，方便测量激光器到光强分布传感器的距离，用于计算光波波长。</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杨氏双缝干涉、单缝衍射、用光强分布传感器做双缝干涉等实验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9"/>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平抛运动实验器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平抛轨道组件（含平抛轨道、轨道固定块、光电门托板、螺丝、三角螺栓）、落点接球盒组件（含板夹、复写纸、白纸、接球盒）、定位螺栓、蝶形螺母、钢球组、软尺、铁架台</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1.用于探究平抛运动的规律。</w:t>
            </w:r>
            <w:r>
              <w:rPr>
                <w:rFonts w:hint="eastAsia" w:cs="宋体" w:asciiTheme="minorEastAsia" w:hAnsiTheme="minorEastAsia" w:eastAsiaTheme="minorEastAsia"/>
                <w:sz w:val="20"/>
                <w:szCs w:val="20"/>
                <w:lang w:bidi="ar"/>
              </w:rPr>
              <w:br/>
              <w:t xml:space="preserve">2.通过光电门传感器珂直接测量小球水平初速度，利用软尺测量高度和水平位移并输入在软件变量列中，在Windows、安卓、iOS系统终端上实时呈现数据，探究平抛运动的规律。</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3.落球盒组件可清晰记录落点位置，得出小球准确的水平位移，有效减少实验误差。</w:t>
            </w:r>
            <w:r>
              <w:rPr>
                <w:rFonts w:hint="eastAsia" w:cs="宋体" w:asciiTheme="minorEastAsia" w:hAnsiTheme="minorEastAsia" w:eastAsiaTheme="minorEastAsia"/>
                <w:sz w:val="20"/>
                <w:szCs w:val="20"/>
                <w:lang w:bidi="ar"/>
              </w:rPr>
              <w:br/>
              <w:t xml:space="preserve">4.平抛轨道设有定位螺栓，可保证在同一高度重复多次实验时小球位置不变。</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平抛运动的规律等实验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9"/>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数字化光电效应实验器</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光电效应实验器主体（含分压式电路（电压调节范围（-12V～12V））、电压传感器（-20V～20V）、微电流传感器（-200μA～200μA）、电压数字显示屏、微电流数字显示屏、电位器、电源方向调节器、调光器）、光电管罩、光电管、USB灯条、滤光片（红、黄、蓝各1块）、数据线、电源适配器</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1.用于光的粒子性实验，探究光电效应现象。</w:t>
            </w:r>
            <w:r>
              <w:rPr>
                <w:rFonts w:hint="eastAsia" w:cs="宋体" w:asciiTheme="minorEastAsia" w:hAnsiTheme="minorEastAsia" w:eastAsiaTheme="minorEastAsia"/>
                <w:sz w:val="20"/>
                <w:szCs w:val="20"/>
                <w:lang w:bidi="ar"/>
              </w:rPr>
              <w:br/>
              <w:t xml:space="preserve">2.实验器面板印有实验电路图，便于学生理解实验。内置电压、微电流传感器，无需采集器，可直接与终端连接，在专有软件模板上，可实现数据连续记录并以数值、图像等多种形式并在Windows、安卓、iOS系统终端上实时呈现，解决了传统实验中光电流难以测量的问题，方便演示，大大提升了课堂效率。</w:t>
            </w:r>
            <w:r>
              <w:rPr>
                <w:rFonts w:hint="eastAsia" w:cs="宋体" w:asciiTheme="minorEastAsia" w:hAnsiTheme="minorEastAsia" w:eastAsiaTheme="minorEastAsia"/>
                <w:sz w:val="20"/>
                <w:szCs w:val="20"/>
                <w:lang w:bidi="ar"/>
              </w:rPr>
              <w:br/>
              <w:t xml:space="preserve">3.内置分压式电路，通过旋钮可调节电压大小，探究光电流随电压增加而增加，达到饱和电流的现象。</w:t>
            </w:r>
            <w:r>
              <w:rPr>
                <w:rFonts w:hint="eastAsia" w:cs="宋体" w:asciiTheme="minorEastAsia" w:hAnsiTheme="minorEastAsia" w:eastAsiaTheme="minorEastAsia"/>
                <w:sz w:val="20"/>
                <w:szCs w:val="20"/>
                <w:lang w:bidi="ar"/>
              </w:rPr>
              <w:br/>
              <w:t xml:space="preserve">4.内置调光器，通过旋钮可调节光强大小，探究光强越大，饱和电流越大的现象。</w:t>
            </w:r>
            <w:r>
              <w:rPr>
                <w:rFonts w:hint="eastAsia" w:cs="宋体" w:asciiTheme="minorEastAsia" w:hAnsiTheme="minorEastAsia" w:eastAsiaTheme="minorEastAsia"/>
                <w:sz w:val="20"/>
                <w:szCs w:val="20"/>
                <w:lang w:bidi="ar"/>
              </w:rPr>
              <w:br/>
              <w:t xml:space="preserve">5.配备3种颜色滤光片，定位卡槽设计，安装方便，可以探究不同频率的光照射下的光电流与电压的关系。</w:t>
            </w:r>
            <w:r>
              <w:rPr>
                <w:rFonts w:hint="eastAsia" w:cs="宋体" w:asciiTheme="minorEastAsia" w:hAnsiTheme="minorEastAsia" w:eastAsiaTheme="minorEastAsia"/>
                <w:sz w:val="20"/>
                <w:szCs w:val="20"/>
                <w:lang w:bidi="ar"/>
              </w:rPr>
              <w:br/>
              <w:t xml:space="preserve">6.内置电源方向调节装置，可根据实验调节电压的正反方向，探究遏止电压。</w:t>
            </w:r>
            <w:r>
              <w:rPr>
                <w:rFonts w:hint="eastAsia" w:cs="宋体" w:asciiTheme="minorEastAsia" w:hAnsiTheme="minorEastAsia" w:eastAsiaTheme="minorEastAsia"/>
                <w:sz w:val="20"/>
                <w:szCs w:val="20"/>
                <w:lang w:bidi="ar"/>
              </w:rPr>
              <w:br/>
              <w:t xml:space="preserve">7.面板自带电压、微电流数字显示模块，即可独立使用，也可结合计算机使用完成实验。</w:t>
            </w:r>
            <w:r>
              <w:rPr>
                <w:rFonts w:hint="eastAsia" w:cs="宋体" w:asciiTheme="minorEastAsia" w:hAnsiTheme="minorEastAsia" w:eastAsiaTheme="minorEastAsia"/>
                <w:sz w:val="20"/>
                <w:szCs w:val="20"/>
                <w:lang w:bidi="ar"/>
              </w:rPr>
              <w:br/>
              <w:t xml:space="preserve">8.铝合金光电管罩设计，有效避免其他杂光影响，实验误差小。</w:t>
            </w:r>
            <w:r>
              <w:rPr>
                <w:rFonts w:hint="eastAsia" w:cs="宋体" w:asciiTheme="minorEastAsia" w:hAnsiTheme="minorEastAsia" w:eastAsiaTheme="minorEastAsia"/>
                <w:sz w:val="20"/>
                <w:szCs w:val="20"/>
                <w:lang w:bidi="ar"/>
              </w:rPr>
              <w:br/>
              <w:t xml:space="preserve">9.配套专用实验软件，预设模板，以曲线形式自动记录数据变化情况，实验结果更直观明显。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用于探究光电效应、验证饱和光电流、遏止电压等实验。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99"/>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栅栏板</w:t>
            </w:r>
            <w:r/>
          </w:p>
        </w:tc>
        <w:tc>
          <w:tcPr>
            <w:shd w:val="clear" w:color="auto" w:fill="ffffff"/>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亚克力板（390×60×3mm、黑条纹宽度25mm、间隔25mm）</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配合光电门传感器做自由落体实验。</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1" w:type="pct"/>
            <w:vAlign w:val="bottom"/>
            <w:textDirection w:val="lrTb"/>
            <w:noWrap/>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bl>
    <w:p>
      <w:pPr>
        <w:rPr>
          <w:rFonts w:hint="eastAsia" w:cs="宋体" w:asciiTheme="minorEastAsia" w:hAnsiTheme="minorEastAsia" w:eastAsiaTheme="minorEastAsia"/>
          <w:sz w:val="20"/>
          <w:szCs w:val="20"/>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cs="宋体" w:asciiTheme="minorEastAsia" w:hAnsiTheme="minorEastAsia" w:eastAsiaTheme="minorEastAsia"/>
          <w:sz w:val="20"/>
          <w:szCs w:val="20"/>
        </w:rPr>
      </w:r>
      <w:r/>
    </w:p>
    <w:p>
      <w:pPr>
        <w:rPr>
          <w:rFonts w:hint="eastAsia" w:cs="宋体" w:asciiTheme="minorEastAsia" w:hAnsiTheme="minorEastAsia" w:eastAsiaTheme="minorEastAsia"/>
          <w:sz w:val="32"/>
        </w:rPr>
      </w:pPr>
      <w:r>
        <w:rPr>
          <w:rFonts w:hint="eastAsia" w:cs="宋体" w:asciiTheme="minorEastAsia" w:hAnsiTheme="minorEastAsia" w:eastAsiaTheme="minorEastAsia"/>
          <w:b/>
          <w:bCs/>
          <w:sz w:val="28"/>
          <w:szCs w:val="20"/>
          <w:lang w:bidi="ar"/>
        </w:rPr>
        <w:t xml:space="preserve">高中化学数字化探究演示系统</w:t>
      </w:r>
      <w:r/>
    </w:p>
    <w:tbl>
      <w:tblPr>
        <w:tblW w:w="5000" w:type="pct"/>
        <w:tblLook w:val="0000" w:firstRow="0" w:lastRow="0" w:firstColumn="0" w:lastColumn="0" w:noHBand="0" w:noVBand="0"/>
      </w:tblPr>
      <w:tblGrid>
        <w:gridCol w:w="633"/>
        <w:gridCol w:w="1485"/>
        <w:gridCol w:w="9332"/>
        <w:gridCol w:w="853"/>
        <w:gridCol w:w="845"/>
        <w:gridCol w:w="1026"/>
      </w:tblGrid>
      <w:tr>
        <w:trPr>
          <w:trHeight w:val="450"/>
          <w:tblHeader/>
        </w:trPr>
        <w:tc>
          <w:tcPr>
            <w:shd w:val="clear" w:color="auto" w:fill="dce6f1"/>
            <w:tcBorders>
              <w:top w:val="single" w:color="000000" w:sz="4" w:space="0"/>
              <w:left w:val="single" w:color="000000" w:sz="4" w:space="0"/>
              <w:bottom w:val="single" w:color="auto"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序号</w:t>
            </w:r>
            <w:r/>
          </w:p>
        </w:tc>
        <w:tc>
          <w:tcPr>
            <w:shd w:val="clear" w:color="auto" w:fill="dce6f1"/>
            <w:tcBorders>
              <w:top w:val="single" w:color="000000" w:sz="4" w:space="0"/>
              <w:left w:val="single" w:color="000000" w:sz="4" w:space="0"/>
              <w:bottom w:val="single" w:color="auto"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产品名称</w:t>
            </w:r>
            <w:r/>
          </w:p>
        </w:tc>
        <w:tc>
          <w:tcPr>
            <w:shd w:val="clear" w:color="auto" w:fill="dce6f1"/>
            <w:tcBorders>
              <w:top w:val="single" w:color="000000" w:sz="4" w:space="0"/>
              <w:left w:val="single" w:color="000000" w:sz="4" w:space="0"/>
              <w:bottom w:val="single" w:color="auto" w:sz="4" w:space="0"/>
              <w:right w:val="single" w:color="000000" w:sz="4" w:space="0"/>
            </w:tcBorders>
            <w:tcW w:w="3292"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技术参数</w:t>
            </w:r>
            <w:r/>
          </w:p>
        </w:tc>
        <w:tc>
          <w:tcPr>
            <w:shd w:val="clear" w:color="auto" w:fill="dce6f1"/>
            <w:tcBorders>
              <w:top w:val="single" w:color="000000" w:sz="4" w:space="0"/>
              <w:left w:val="single" w:color="000000" w:sz="4" w:space="0"/>
              <w:bottom w:val="single" w:color="auto"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单位</w:t>
            </w:r>
            <w:r/>
          </w:p>
        </w:tc>
        <w:tc>
          <w:tcPr>
            <w:shd w:val="clear" w:color="auto" w:fill="dce6f1"/>
            <w:tcBorders>
              <w:top w:val="single" w:color="000000" w:sz="4" w:space="0"/>
              <w:left w:val="single" w:color="000000" w:sz="4" w:space="0"/>
              <w:bottom w:val="single" w:color="auto"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c>
          <w:tcPr>
            <w:shd w:val="clear" w:color="auto" w:fill="dce6f1"/>
            <w:tcBorders>
              <w:top w:val="single" w:color="000000" w:sz="4" w:space="0"/>
              <w:left w:val="single" w:color="000000" w:sz="4" w:space="0"/>
              <w:bottom w:val="single" w:color="auto" w:sz="4" w:space="0"/>
              <w:right w:val="single" w:color="000000" w:sz="4" w:space="0"/>
            </w:tcBorders>
            <w:tcW w:w="363"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备注</w:t>
            </w:r>
            <w:r/>
          </w:p>
        </w:tc>
      </w:tr>
      <w:tr>
        <w:trPr>
          <w:trHeight w:val="450"/>
        </w:trPr>
        <w:tc>
          <w:tcPr>
            <w:gridSpan w:val="6"/>
            <w:shd w:val="clear" w:color="auto" w:fill="b8cce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教师端传感器</w:t>
            </w:r>
            <w:r/>
          </w:p>
        </w:tc>
      </w:tr>
      <w:tr>
        <w:trPr>
          <w:trHeight w:val="3850"/>
        </w:trPr>
        <w:tc>
          <w:tcPr>
            <w:tcBorders>
              <w:top w:val="single" w:color="auto"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auto"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数字化实验系统</w:t>
            </w:r>
            <w:r/>
          </w:p>
        </w:tc>
        <w:tc>
          <w:tcPr>
            <w:tcBorders>
              <w:top w:val="single" w:color="auto"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支持实验设计、数据采集和保存、数据分析计算等，是一款功能强大的教学用实验数据处理软件。</w:t>
            </w:r>
            <w:r>
              <w:rPr>
                <w:rFonts w:hint="eastAsia" w:cs="宋体" w:asciiTheme="minorEastAsia" w:hAnsiTheme="minorEastAsia" w:eastAsiaTheme="minorEastAsia"/>
                <w:sz w:val="20"/>
                <w:szCs w:val="20"/>
                <w:lang w:bidi="ar"/>
              </w:rPr>
              <w:br/>
              <w:t xml:space="preserve">功能：</w:t>
            </w:r>
            <w:r>
              <w:rPr>
                <w:rFonts w:hint="eastAsia" w:cs="宋体" w:asciiTheme="minorEastAsia" w:hAnsiTheme="minorEastAsia" w:eastAsiaTheme="minorEastAsia"/>
                <w:sz w:val="20"/>
                <w:szCs w:val="20"/>
                <w:lang w:bidi="ar"/>
              </w:rPr>
              <w:br/>
              <w:t xml:space="preserve">1.支持Windows、Android、iOS/iPadOS、MacOS、 Linux、Harmony OS、统信UOS。</w:t>
            </w:r>
            <w:r>
              <w:rPr>
                <w:rFonts w:hint="eastAsia" w:cs="宋体" w:asciiTheme="minorEastAsia" w:hAnsiTheme="minorEastAsia" w:eastAsiaTheme="minorEastAsia"/>
                <w:sz w:val="20"/>
                <w:szCs w:val="20"/>
                <w:lang w:bidi="ar"/>
              </w:rPr>
              <w:br/>
              <w:t xml:space="preserve">2.支持有线连接，无线蓝牙连接。</w:t>
            </w:r>
            <w:r>
              <w:rPr>
                <w:rFonts w:hint="eastAsia" w:cs="宋体" w:asciiTheme="minorEastAsia" w:hAnsiTheme="minorEastAsia" w:eastAsiaTheme="minorEastAsia"/>
                <w:sz w:val="20"/>
                <w:szCs w:val="20"/>
                <w:lang w:bidi="ar"/>
              </w:rPr>
              <w:br/>
              <w:t xml:space="preserve">3.支持传感器自动识别。</w:t>
            </w:r>
            <w:r>
              <w:rPr>
                <w:rFonts w:hint="eastAsia" w:cs="宋体" w:asciiTheme="minorEastAsia" w:hAnsiTheme="minorEastAsia" w:eastAsiaTheme="minorEastAsia"/>
                <w:sz w:val="20"/>
                <w:szCs w:val="20"/>
                <w:lang w:bidi="ar"/>
              </w:rPr>
              <w:br/>
              <w:t xml:space="preserve">4.可连接多个采集器，并支持多个采集器同时工作。</w:t>
            </w:r>
            <w:r>
              <w:rPr>
                <w:rFonts w:hint="eastAsia" w:cs="宋体" w:asciiTheme="minorEastAsia" w:hAnsiTheme="minorEastAsia" w:eastAsiaTheme="minorEastAsia"/>
                <w:sz w:val="20"/>
                <w:szCs w:val="20"/>
                <w:lang w:bidi="ar"/>
              </w:rPr>
              <w:br/>
              <w:t xml:space="preserve">5.可支持20个传感器同时采集。</w:t>
            </w:r>
            <w:r>
              <w:rPr>
                <w:rFonts w:hint="eastAsia" w:cs="宋体" w:asciiTheme="minorEastAsia" w:hAnsiTheme="minorEastAsia" w:eastAsiaTheme="minorEastAsia"/>
                <w:sz w:val="20"/>
                <w:szCs w:val="20"/>
                <w:lang w:bidi="ar"/>
              </w:rPr>
              <w:br/>
              <w:t xml:space="preserve">6.通过坐标图像曲线、表格、数值、仪表盘等方式，实时、直观、精确显示实验数据。</w:t>
            </w:r>
            <w:r>
              <w:rPr>
                <w:rFonts w:hint="eastAsia" w:cs="宋体" w:asciiTheme="minorEastAsia" w:hAnsiTheme="minorEastAsia" w:eastAsiaTheme="minorEastAsia"/>
                <w:sz w:val="20"/>
                <w:szCs w:val="20"/>
                <w:lang w:bidi="ar"/>
              </w:rPr>
              <w:br/>
              <w:t xml:space="preserve">7.根据实验需要，可进行公式（变量）编辑，自主添加实验变量（或增量等），并通过公式编辑实现不同物理量之间的转换。</w:t>
            </w:r>
            <w:r>
              <w:rPr>
                <w:rFonts w:hint="eastAsia" w:cs="宋体" w:asciiTheme="minorEastAsia" w:hAnsiTheme="minorEastAsia" w:eastAsiaTheme="minorEastAsia"/>
                <w:sz w:val="20"/>
                <w:szCs w:val="20"/>
                <w:lang w:bidi="ar"/>
              </w:rPr>
              <w:br/>
              <w:t xml:space="preserve">8.可对数据图表操作，包括对图表内数据曲线的移动、缩放、改变曲线颜色及大小等，便于实验前后的数据分析处理，适合于教学中实验结果的精确测定与验证。</w:t>
            </w:r>
            <w:r>
              <w:rPr>
                <w:rFonts w:hint="eastAsia" w:cs="宋体" w:asciiTheme="minorEastAsia" w:hAnsiTheme="minorEastAsia" w:eastAsiaTheme="minorEastAsia"/>
                <w:sz w:val="20"/>
                <w:szCs w:val="20"/>
                <w:lang w:bidi="ar"/>
              </w:rPr>
              <w:br/>
              <w:t xml:space="preserve">9.具有完善的数据处理功能，包含多种数据拟合：直线拟合、抛物线拟合、倒数拟合、积分、重叠显示等。</w:t>
            </w:r>
            <w:r>
              <w:rPr>
                <w:rFonts w:hint="eastAsia" w:cs="宋体" w:asciiTheme="minorEastAsia" w:hAnsiTheme="minorEastAsia" w:eastAsiaTheme="minorEastAsia"/>
                <w:sz w:val="20"/>
                <w:szCs w:val="20"/>
                <w:lang w:bidi="ar"/>
              </w:rPr>
              <w:br/>
              <w:t xml:space="preserve">10.实验结果以图片等不同方式进行保存。</w:t>
            </w:r>
            <w:r>
              <w:rPr>
                <w:rFonts w:hint="eastAsia" w:cs="宋体" w:asciiTheme="minorEastAsia" w:hAnsiTheme="minorEastAsia" w:eastAsiaTheme="minorEastAsia"/>
                <w:sz w:val="20"/>
                <w:szCs w:val="20"/>
                <w:lang w:bidi="ar"/>
              </w:rPr>
              <w:br/>
              <w:t xml:space="preserve">11.包含小学科学、初中物理、初中化学、初中生物、高中物理、高中生物、高中化学7个专用实验模块，超过150个实验专有模板，全定制化的实验界面及实验操作，贴合教学过程。</w:t>
            </w:r>
            <w:r>
              <w:rPr>
                <w:rFonts w:hint="eastAsia" w:cs="宋体" w:asciiTheme="minorEastAsia" w:hAnsiTheme="minorEastAsia" w:eastAsiaTheme="minorEastAsia"/>
                <w:sz w:val="20"/>
                <w:szCs w:val="20"/>
                <w:lang w:bidi="ar"/>
              </w:rPr>
              <w:br/>
              <w:t xml:space="preserve">12.软件可关联“在线实验设计平台”，通过注册和登录，登录之后可使用“在线实验设计平台”，体验功能更为强大的实验自主设计软件。</w:t>
            </w:r>
            <w:r>
              <w:rPr>
                <w:rFonts w:hint="eastAsia" w:cs="宋体" w:asciiTheme="minorEastAsia" w:hAnsiTheme="minorEastAsia" w:eastAsiaTheme="minorEastAsia"/>
                <w:sz w:val="20"/>
                <w:szCs w:val="20"/>
                <w:lang w:bidi="ar"/>
              </w:rPr>
              <w:br/>
              <w:t xml:space="preserve">13.通用界面支持多种功能风格显示，并且可自定义界面风格。      </w:t>
            </w:r>
            <w:r>
              <w:rPr>
                <w:rFonts w:hint="eastAsia" w:cs="宋体" w:asciiTheme="minorEastAsia" w:hAnsiTheme="minorEastAsia" w:eastAsiaTheme="minorEastAsia"/>
                <w:sz w:val="20"/>
                <w:szCs w:val="20"/>
                <w:lang w:bidi="ar"/>
              </w:rPr>
              <w:br/>
              <w:t xml:space="preserve">▲14、提供丰富完整的在线实验教学案例，资源数量不少于700个。提供能在国家市场监督总局认证服务平台查询到报告编号的封面有CMA和CNAS标志的检测报告和相关网页截图材料佐证。</w:t>
            </w:r>
            <w:r>
              <w:rPr>
                <w:rFonts w:hint="eastAsia" w:cs="宋体" w:asciiTheme="minorEastAsia" w:hAnsiTheme="minorEastAsia" w:eastAsiaTheme="minorEastAsia"/>
                <w:sz w:val="20"/>
                <w:szCs w:val="20"/>
                <w:lang w:bidi="ar"/>
              </w:rPr>
              <w:br/>
              <w:t xml:space="preserve">▲15、提供丰富的在线实验视频，视频数量不少于150个。提供能在国家市场监督总局认证服务平台查询到报告编号的封面有CMA和CNAS标志的检测报告和相关网页截图材料佐证。                                                                                                            </w:t>
            </w:r>
            <w:r>
              <w:rPr>
                <w:rFonts w:hint="eastAsia" w:cs="宋体" w:asciiTheme="minorEastAsia" w:hAnsiTheme="minorEastAsia" w:eastAsiaTheme="minorEastAsia"/>
                <w:sz w:val="20"/>
                <w:szCs w:val="20"/>
                <w:lang w:bidi="ar"/>
              </w:rPr>
              <w:br/>
              <w:t xml:space="preserve">▲16、在线实验视频既可以通过自有平台浏览，同时也可以通过第三方平台浏览。提供能在国家市场监督总局认证服务平台查询到报告编号的封面有CMA和CNAS标志的检测报告和相关网页截图材料佐证。</w:t>
            </w:r>
            <w:r/>
          </w:p>
        </w:tc>
        <w:tc>
          <w:tcPr>
            <w:tcBorders>
              <w:top w:val="single" w:color="auto"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auto"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auto" w:sz="4" w:space="0"/>
              <w:left w:val="single" w:color="000000" w:sz="4" w:space="0"/>
              <w:bottom w:val="single" w:color="000000" w:sz="4" w:space="0"/>
              <w:right w:val="single" w:color="000000" w:sz="4" w:space="0"/>
            </w:tcBorders>
            <w:tcW w:w="363"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316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无线智能pH传感器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pH传感器无需连接数据采集器，通过蓝牙直连电脑、手机或平板等终端可直接进行数据采集，在终端上实时显示并记录pH值的变化，绘制pH-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由传感器主体和pH探头构成。主体正面有电源按钮、电源和蓝牙指示灯、传感器名称；背面有蓝牙编号及电池仓，机身外壳与电池仓用密封圈密封。主体前端为BNC接口，可与pH探头连接用于测量溶液pH值。</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1.用于测量溶液的pH值。</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 </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 </w:t>
            </w:r>
            <w:r>
              <w:rPr>
                <w:rFonts w:hint="eastAsia" w:cs="宋体" w:asciiTheme="minorEastAsia" w:hAnsiTheme="minorEastAsia" w:eastAsiaTheme="minorEastAsia"/>
                <w:sz w:val="20"/>
                <w:szCs w:val="20"/>
                <w:lang w:bidi="ar"/>
              </w:rPr>
              <w:br/>
              <w:t xml:space="preserve">6.使用纽扣电池，电池可更换，一枚电池可正常课堂使用1年以上。</w:t>
            </w:r>
            <w:r>
              <w:rPr>
                <w:rFonts w:hint="eastAsia" w:cs="宋体" w:asciiTheme="minorEastAsia" w:hAnsiTheme="minorEastAsia" w:eastAsiaTheme="minorEastAsia"/>
                <w:sz w:val="20"/>
                <w:szCs w:val="20"/>
                <w:lang w:bidi="ar"/>
              </w:rPr>
              <w:br/>
              <w:t xml:space="preserve">7.可实现标定功能。 </w:t>
            </w:r>
            <w:r>
              <w:rPr>
                <w:rFonts w:hint="eastAsia" w:cs="宋体" w:asciiTheme="minorEastAsia" w:hAnsiTheme="minorEastAsia" w:eastAsiaTheme="minorEastAsia"/>
                <w:sz w:val="20"/>
                <w:szCs w:val="20"/>
                <w:lang w:bidi="ar"/>
              </w:rPr>
              <w:br/>
              <w:t xml:space="preserve">8.连接方式：蓝牙无线。 </w:t>
            </w:r>
            <w:r>
              <w:rPr>
                <w:rFonts w:hint="eastAsia" w:cs="宋体" w:asciiTheme="minorEastAsia" w:hAnsiTheme="minorEastAsia" w:eastAsiaTheme="minorEastAsia"/>
                <w:sz w:val="20"/>
                <w:szCs w:val="20"/>
                <w:lang w:bidi="ar"/>
              </w:rPr>
              <w:br/>
              <w:t xml:space="preserve">9.节能方式：传感器打开电源，但无连接或连接无活动，几分钟后自动关闭电源。 </w:t>
            </w:r>
            <w:r>
              <w:rPr>
                <w:rFonts w:hint="eastAsia" w:cs="宋体" w:asciiTheme="minorEastAsia" w:hAnsiTheme="minorEastAsia" w:eastAsiaTheme="minorEastAsia"/>
                <w:sz w:val="20"/>
                <w:szCs w:val="20"/>
                <w:lang w:bidi="ar"/>
              </w:rPr>
              <w:br/>
              <w:t xml:space="preserve">10.支持固件空中升级。                                                                                                      </w:t>
            </w:r>
            <w:r>
              <w:rPr>
                <w:rFonts w:hint="eastAsia" w:cs="宋体" w:asciiTheme="minorEastAsia" w:hAnsiTheme="minorEastAsia" w:eastAsiaTheme="minorEastAsia"/>
                <w:sz w:val="20"/>
                <w:szCs w:val="20"/>
                <w:lang w:bidi="ar"/>
              </w:rPr>
              <w:br/>
              <w:t xml:space="preserve"> 11.支持平台：Windows、Android、iOS/iPadOS、MacOS、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1.量程：0~14</w:t>
            </w:r>
            <w:r>
              <w:rPr>
                <w:rFonts w:hint="eastAsia" w:cs="宋体" w:asciiTheme="minorEastAsia" w:hAnsiTheme="minorEastAsia" w:eastAsiaTheme="minorEastAsia"/>
                <w:sz w:val="20"/>
                <w:szCs w:val="20"/>
                <w:lang w:bidi="ar"/>
              </w:rPr>
              <w:br/>
              <w:t xml:space="preserve">2.分辨率：0.01</w:t>
            </w:r>
            <w:r>
              <w:rPr>
                <w:rFonts w:hint="eastAsia" w:cs="宋体" w:asciiTheme="minorEastAsia" w:hAnsiTheme="minorEastAsia" w:eastAsiaTheme="minorEastAsia"/>
                <w:sz w:val="20"/>
                <w:szCs w:val="20"/>
                <w:lang w:bidi="ar"/>
              </w:rPr>
              <w:br/>
              <w:t xml:space="preserve">3.采样速率：100次/秒</w:t>
            </w:r>
            <w:r>
              <w:rPr>
                <w:rFonts w:hint="eastAsia" w:cs="宋体" w:asciiTheme="minorEastAsia" w:hAnsiTheme="minorEastAsia" w:eastAsiaTheme="minorEastAsia"/>
                <w:sz w:val="20"/>
                <w:szCs w:val="20"/>
                <w:lang w:bidi="ar"/>
              </w:rPr>
              <w:br/>
              <w:t xml:space="preserve">4.连续使用时间：≥120小时</w:t>
            </w:r>
            <w:r>
              <w:rPr>
                <w:rFonts w:hint="eastAsia" w:cs="宋体" w:asciiTheme="minorEastAsia" w:hAnsiTheme="minorEastAsia" w:eastAsiaTheme="minorEastAsia"/>
                <w:sz w:val="20"/>
                <w:szCs w:val="20"/>
                <w:lang w:bidi="ar"/>
              </w:rPr>
              <w:br/>
              <w:t xml:space="preserve">5.防水等级：IP67</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7.电池型号：CR2032</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探究二氧化碳的性质、二氧化碳的溶解性实验、比较不同盐溶液的酸碱性、观察氢氧化钠与二氧化碳的</w:t>
            </w:r>
            <w:r>
              <w:rPr>
                <w:rFonts w:hint="eastAsia" w:cs="宋体" w:asciiTheme="minorEastAsia" w:hAnsiTheme="minorEastAsia" w:eastAsiaTheme="minorEastAsia"/>
                <w:sz w:val="20"/>
                <w:szCs w:val="20"/>
                <w:lang w:bidi="ar"/>
              </w:rPr>
              <w:t xml:space="preserve">反应、酸碱中和反应、探究洗发剂和护发剂的酸碱性、钠与水的反应、测量盐溶液的酸碱性、强酸和强碱的中和滴定、酸雨对生物的影响、影响酶活性的条件等实验</w:t>
            </w:r>
            <w:r>
              <w:rPr>
                <w:rFonts w:hint="eastAsia" w:cs="宋体" w:asciiTheme="minorEastAsia" w:hAnsiTheme="minorEastAsia" w:eastAsiaTheme="minorEastAsia"/>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无线智能温度传感器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由传感器主体和前端探头连接构成。主体正面有电源按钮、电源和蓝牙指示灯、传感器名称；背面有蓝牙编号及电池仓，机身外壳与电池仓用密封圈密封。</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1.用于测量物体表面、气体、酸碱等液体的温度。</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6.使用纽扣电池，电池可更换，一枚电池可正常课堂使用1年以上。</w:t>
            </w:r>
            <w:r>
              <w:rPr>
                <w:rFonts w:hint="eastAsia" w:cs="宋体" w:asciiTheme="minorEastAsia" w:hAnsiTheme="minorEastAsia" w:eastAsiaTheme="minorEastAsia"/>
                <w:sz w:val="20"/>
                <w:szCs w:val="20"/>
                <w:lang w:bidi="ar"/>
              </w:rPr>
              <w:br/>
              <w:t xml:space="preserve">7.测量灵敏、精确，反应快速，包括对微小温度变化的快速采样。</w:t>
            </w:r>
            <w:r>
              <w:rPr>
                <w:rFonts w:hint="eastAsia" w:cs="宋体" w:asciiTheme="minorEastAsia" w:hAnsiTheme="minorEastAsia" w:eastAsiaTheme="minorEastAsia"/>
                <w:sz w:val="20"/>
                <w:szCs w:val="20"/>
                <w:lang w:bidi="ar"/>
              </w:rPr>
              <w:br/>
              <w:t xml:space="preserve">8.无需校准，即连即用。</w:t>
            </w:r>
            <w:r>
              <w:rPr>
                <w:rFonts w:hint="eastAsia" w:cs="宋体" w:asciiTheme="minorEastAsia" w:hAnsiTheme="minorEastAsia" w:eastAsiaTheme="minorEastAsia"/>
                <w:sz w:val="20"/>
                <w:szCs w:val="20"/>
                <w:lang w:bidi="ar"/>
              </w:rPr>
              <w:br/>
              <w:t xml:space="preserve">9.连接方式：蓝牙无线。</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10.节能方式：传感器打开电源，无连接或连接无活动，几分钟后自动关闭电源。</w:t>
            </w:r>
            <w:r>
              <w:rPr>
                <w:rFonts w:hint="eastAsia" w:cs="宋体" w:asciiTheme="minorEastAsia" w:hAnsiTheme="minorEastAsia" w:eastAsiaTheme="minorEastAsia"/>
                <w:sz w:val="20"/>
                <w:szCs w:val="20"/>
                <w:lang w:bidi="ar"/>
              </w:rPr>
              <w:br/>
              <w:t xml:space="preserve">11.支持固件空中升级。</w:t>
            </w:r>
            <w:r>
              <w:rPr>
                <w:rFonts w:hint="eastAsia" w:cs="宋体" w:asciiTheme="minorEastAsia" w:hAnsiTheme="minorEastAsia" w:eastAsiaTheme="minorEastAsia"/>
                <w:sz w:val="20"/>
                <w:szCs w:val="20"/>
                <w:lang w:bidi="ar"/>
              </w:rPr>
              <w:br/>
              <w:t xml:space="preserve">12.可切换单位：℃、℉、K。                                                                                             </w:t>
            </w:r>
            <w:r>
              <w:rPr>
                <w:rFonts w:hint="eastAsia" w:cs="宋体" w:asciiTheme="minorEastAsia" w:hAnsiTheme="minorEastAsia" w:eastAsiaTheme="minorEastAsia"/>
                <w:sz w:val="20"/>
                <w:szCs w:val="20"/>
                <w:lang w:bidi="ar"/>
              </w:rPr>
              <w:br/>
              <w:t xml:space="preserve">13.支持平台：Windows、Android、iOS/iPadOS、MacOS、 Linux、Harmony OS、统信UOS等。 </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1.量程：-40℃~125℃</w:t>
            </w:r>
            <w:r>
              <w:rPr>
                <w:rFonts w:hint="eastAsia" w:cs="宋体" w:asciiTheme="minorEastAsia" w:hAnsiTheme="minorEastAsia" w:eastAsiaTheme="minorEastAsia"/>
                <w:sz w:val="20"/>
                <w:szCs w:val="20"/>
                <w:lang w:bidi="ar"/>
              </w:rPr>
              <w:br/>
              <w:t xml:space="preserve">2.分辨率：0.01℃</w:t>
            </w:r>
            <w:r>
              <w:rPr>
                <w:rFonts w:hint="eastAsia" w:cs="宋体" w:asciiTheme="minorEastAsia" w:hAnsiTheme="minorEastAsia" w:eastAsiaTheme="minorEastAsia"/>
                <w:sz w:val="20"/>
                <w:szCs w:val="20"/>
                <w:lang w:bidi="ar"/>
              </w:rPr>
              <w:br/>
              <w:t xml:space="preserve">3.精度：±0.5℃</w:t>
            </w:r>
            <w:r>
              <w:rPr>
                <w:rFonts w:hint="eastAsia" w:cs="宋体" w:asciiTheme="minorEastAsia" w:hAnsiTheme="minorEastAsia" w:eastAsiaTheme="minorEastAsia"/>
                <w:sz w:val="20"/>
                <w:szCs w:val="20"/>
                <w:lang w:bidi="ar"/>
              </w:rPr>
              <w:br/>
              <w:t xml:space="preserve">4.采样速率：10次/秒</w:t>
            </w:r>
            <w:r>
              <w:rPr>
                <w:rFonts w:hint="eastAsia" w:cs="宋体" w:asciiTheme="minorEastAsia" w:hAnsiTheme="minorEastAsia" w:eastAsiaTheme="minorEastAsia"/>
                <w:sz w:val="20"/>
                <w:szCs w:val="20"/>
                <w:lang w:bidi="ar"/>
              </w:rPr>
              <w:br/>
              <w:t xml:space="preserve">5.连续使用时间：≥120小时</w:t>
            </w:r>
            <w:r>
              <w:rPr>
                <w:rFonts w:hint="eastAsia" w:cs="宋体" w:asciiTheme="minorEastAsia" w:hAnsiTheme="minorEastAsia" w:eastAsiaTheme="minorEastAsia"/>
                <w:sz w:val="20"/>
                <w:szCs w:val="20"/>
                <w:lang w:bidi="ar"/>
              </w:rPr>
              <w:br/>
              <w:t xml:space="preserve">6.防水等级：IP67</w:t>
            </w:r>
            <w:r>
              <w:rPr>
                <w:rFonts w:hint="eastAsia" w:cs="宋体" w:asciiTheme="minorEastAsia" w:hAnsiTheme="minorEastAsia" w:eastAsiaTheme="minorEastAsia"/>
                <w:sz w:val="20"/>
                <w:szCs w:val="20"/>
                <w:lang w:bidi="ar"/>
              </w:rPr>
              <w:br/>
              <w:t xml:space="preserve">7.通讯距离：≥30m（空旷无遮挡）</w:t>
            </w:r>
            <w:r>
              <w:rPr>
                <w:rFonts w:hint="eastAsia" w:cs="宋体" w:asciiTheme="minorEastAsia" w:hAnsiTheme="minorEastAsia" w:eastAsiaTheme="minorEastAsia"/>
                <w:sz w:val="20"/>
                <w:szCs w:val="20"/>
                <w:lang w:bidi="ar"/>
              </w:rPr>
              <w:br/>
              <w:t xml:space="preserve">8.电池型号：CR2032</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3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无线智能电导率传感器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导率传感器内置电导率、温度两种传感器模块，无需连接数据采集器，通过蓝牙直连电脑、手机或平板等终端可直接进行数据采集，在终端上实时显示并记录电导率/温度的变化，绘制电导率/温度-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由传感器主体和前端电导率探头连接构成。主体正面有电源按钮、电源和蓝牙指示灯、传感器名称；背面有蓝牙编号及电池仓，机身外壳与电池仓用密封圈密封。</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1.用于测量溶液的电导率值和温度值。</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3.传感器与数据采集终端（电脑、平板或手机）直接通过蓝牙无线连接，便于运动情况下的数据测量及各种实验环境中的数据采集，无需数据采集器；传感器两种测量二合一，可测量电导率、温度。 </w:t>
            </w:r>
            <w:r>
              <w:rPr>
                <w:rFonts w:hint="eastAsia" w:cs="宋体" w:asciiTheme="minorEastAsia" w:hAnsiTheme="minorEastAsia" w:eastAsiaTheme="minorEastAsia"/>
                <w:sz w:val="20"/>
                <w:szCs w:val="20"/>
                <w:lang w:bidi="ar"/>
              </w:rPr>
              <w:br/>
              <w:t xml:space="preserve">4.可脱机进行数据采集。 </w:t>
            </w:r>
            <w:r>
              <w:rPr>
                <w:rFonts w:hint="eastAsia" w:cs="宋体" w:asciiTheme="minorEastAsia" w:hAnsiTheme="minorEastAsia" w:eastAsiaTheme="minorEastAsia"/>
                <w:sz w:val="20"/>
                <w:szCs w:val="20"/>
                <w:lang w:bidi="ar"/>
              </w:rPr>
              <w:br/>
              <w:t xml:space="preserve">5.传感器具有唯一蓝牙编号，便于数据终端选择性连接。 </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6.使用纽扣电池，电池可更换，一枚电池可正常课堂使用2年。 </w:t>
            </w:r>
            <w:r>
              <w:rPr>
                <w:rFonts w:hint="eastAsia" w:cs="宋体" w:asciiTheme="minorEastAsia" w:hAnsiTheme="minorEastAsia" w:eastAsiaTheme="minorEastAsia"/>
                <w:sz w:val="20"/>
                <w:szCs w:val="20"/>
                <w:lang w:bidi="ar"/>
              </w:rPr>
              <w:br/>
              <w:t xml:space="preserve">7.测量数据可用于测定总溶解固体。 </w:t>
            </w:r>
            <w:r>
              <w:rPr>
                <w:rFonts w:hint="eastAsia" w:cs="宋体" w:asciiTheme="minorEastAsia" w:hAnsiTheme="minorEastAsia" w:eastAsiaTheme="minorEastAsia"/>
                <w:sz w:val="20"/>
                <w:szCs w:val="20"/>
                <w:lang w:bidi="ar"/>
              </w:rPr>
              <w:br/>
              <w:t xml:space="preserve">8.传感器会自动进行温度补偿。 </w:t>
            </w:r>
            <w:r>
              <w:rPr>
                <w:rFonts w:hint="eastAsia" w:cs="宋体" w:asciiTheme="minorEastAsia" w:hAnsiTheme="minorEastAsia" w:eastAsiaTheme="minorEastAsia"/>
                <w:sz w:val="20"/>
                <w:szCs w:val="20"/>
                <w:lang w:bidi="ar"/>
              </w:rPr>
              <w:br/>
              <w:t xml:space="preserve">9.可实现标定功能。 </w:t>
            </w:r>
            <w:r>
              <w:rPr>
                <w:rFonts w:hint="eastAsia" w:cs="宋体" w:asciiTheme="minorEastAsia" w:hAnsiTheme="minorEastAsia" w:eastAsiaTheme="minorEastAsia"/>
                <w:sz w:val="20"/>
                <w:szCs w:val="20"/>
                <w:lang w:bidi="ar"/>
              </w:rPr>
              <w:br/>
              <w:t xml:space="preserve">10.连接方式：蓝牙无线。 </w:t>
            </w:r>
            <w:r>
              <w:rPr>
                <w:rFonts w:hint="eastAsia" w:cs="宋体" w:asciiTheme="minorEastAsia" w:hAnsiTheme="minorEastAsia" w:eastAsiaTheme="minorEastAsia"/>
                <w:sz w:val="20"/>
                <w:szCs w:val="20"/>
                <w:lang w:bidi="ar"/>
              </w:rPr>
              <w:br/>
              <w:t xml:space="preserve">11.节能方式：传感器打开电源，但无连接或连接无活动，几分钟后自动关闭电源。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12.支持平台：Windows、Android、iOS/iPadOS、MacOS、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电导率：</w:t>
            </w:r>
            <w:r>
              <w:rPr>
                <w:rFonts w:hint="eastAsia" w:cs="宋体" w:asciiTheme="minorEastAsia" w:hAnsiTheme="minorEastAsia" w:eastAsiaTheme="minorEastAsia"/>
                <w:sz w:val="20"/>
                <w:szCs w:val="20"/>
                <w:lang w:bidi="ar"/>
              </w:rPr>
              <w:br/>
              <w:t xml:space="preserve">1.量程：0~20000μS/cm</w:t>
            </w:r>
            <w:r>
              <w:rPr>
                <w:rFonts w:hint="eastAsia" w:cs="宋体" w:asciiTheme="minorEastAsia" w:hAnsiTheme="minorEastAsia" w:eastAsiaTheme="minorEastAsia"/>
                <w:sz w:val="20"/>
                <w:szCs w:val="20"/>
                <w:lang w:bidi="ar"/>
              </w:rPr>
              <w:br/>
              <w:t xml:space="preserve">2.分辨率：8μS/cm</w:t>
            </w:r>
            <w:r>
              <w:rPr>
                <w:rFonts w:hint="eastAsia" w:cs="宋体" w:asciiTheme="minorEastAsia" w:hAnsiTheme="minorEastAsia" w:eastAsiaTheme="minorEastAsia"/>
                <w:sz w:val="20"/>
                <w:szCs w:val="20"/>
                <w:lang w:bidi="ar"/>
              </w:rPr>
              <w:br/>
              <w:t xml:space="preserve">3.精度：±3%F.S</w:t>
            </w:r>
            <w:r>
              <w:rPr>
                <w:rFonts w:hint="eastAsia" w:cs="宋体" w:asciiTheme="minorEastAsia" w:hAnsiTheme="minorEastAsia" w:eastAsiaTheme="minorEastAsia"/>
                <w:sz w:val="20"/>
                <w:szCs w:val="20"/>
                <w:lang w:bidi="ar"/>
              </w:rPr>
              <w:br/>
              <w:t xml:space="preserve">温度：</w:t>
            </w:r>
            <w:r>
              <w:rPr>
                <w:rFonts w:hint="eastAsia" w:cs="宋体" w:asciiTheme="minorEastAsia" w:hAnsiTheme="minorEastAsia" w:eastAsiaTheme="minorEastAsia"/>
                <w:sz w:val="20"/>
                <w:szCs w:val="20"/>
                <w:lang w:bidi="ar"/>
              </w:rPr>
              <w:br/>
              <w:t xml:space="preserve">1.量程：0~60℃   </w:t>
            </w:r>
            <w:r>
              <w:rPr>
                <w:rFonts w:hint="eastAsia" w:cs="宋体" w:asciiTheme="minorEastAsia" w:hAnsiTheme="minorEastAsia" w:eastAsiaTheme="minorEastAsia"/>
                <w:sz w:val="20"/>
                <w:szCs w:val="20"/>
                <w:lang w:bidi="ar"/>
              </w:rPr>
              <w:br/>
              <w:t xml:space="preserve">2.分辨率：0.1℃  </w:t>
            </w:r>
            <w:r>
              <w:rPr>
                <w:rFonts w:hint="eastAsia" w:cs="宋体" w:asciiTheme="minorEastAsia" w:hAnsiTheme="minorEastAsia" w:eastAsiaTheme="minorEastAsia"/>
                <w:sz w:val="20"/>
                <w:szCs w:val="20"/>
                <w:lang w:bidi="ar"/>
              </w:rPr>
              <w:br/>
              <w:t xml:space="preserve">3.精度：0.5℃</w:t>
            </w:r>
            <w:r>
              <w:rPr>
                <w:rFonts w:hint="eastAsia" w:cs="宋体" w:asciiTheme="minorEastAsia" w:hAnsiTheme="minorEastAsia" w:eastAsiaTheme="minorEastAsia"/>
                <w:sz w:val="20"/>
                <w:szCs w:val="20"/>
                <w:lang w:bidi="ar"/>
              </w:rPr>
              <w:br/>
              <w:t xml:space="preserve">4.采样速率：10次/秒</w:t>
            </w:r>
            <w:r>
              <w:rPr>
                <w:rFonts w:hint="eastAsia" w:cs="宋体" w:asciiTheme="minorEastAsia" w:hAnsiTheme="minorEastAsia" w:eastAsiaTheme="minorEastAsia"/>
                <w:sz w:val="20"/>
                <w:szCs w:val="20"/>
                <w:lang w:bidi="ar"/>
              </w:rPr>
              <w:br/>
              <w:t xml:space="preserve">5.连续使用时间：≥120小时</w:t>
            </w:r>
            <w:r>
              <w:rPr>
                <w:rFonts w:hint="eastAsia" w:cs="宋体" w:asciiTheme="minorEastAsia" w:hAnsiTheme="minorEastAsia" w:eastAsiaTheme="minorEastAsia"/>
                <w:sz w:val="20"/>
                <w:szCs w:val="20"/>
                <w:lang w:bidi="ar"/>
              </w:rPr>
              <w:br/>
              <w:t xml:space="preserve">6.防水等级：IP67</w:t>
            </w:r>
            <w:r>
              <w:rPr>
                <w:rFonts w:hint="eastAsia" w:cs="宋体" w:asciiTheme="minorEastAsia" w:hAnsiTheme="minorEastAsia" w:eastAsiaTheme="minorEastAsia"/>
                <w:sz w:val="20"/>
                <w:szCs w:val="20"/>
                <w:lang w:bidi="ar"/>
              </w:rPr>
              <w:br/>
              <w:t xml:space="preserve">7.通讯距离：≥30m（空旷无遮挡）</w:t>
            </w:r>
            <w:r>
              <w:rPr>
                <w:rFonts w:hint="eastAsia" w:cs="宋体" w:asciiTheme="minorEastAsia" w:hAnsiTheme="minorEastAsia" w:eastAsiaTheme="minorEastAsia"/>
                <w:sz w:val="20"/>
                <w:szCs w:val="20"/>
                <w:lang w:bidi="ar"/>
              </w:rPr>
              <w:br/>
              <w:t xml:space="preserve">8.电池型号：CR2032</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观察氢氧化钙与二氧化碳的反应、测量溶液的电导率、试验物质的导电性、渗透研究等实验。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0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无线智能电流传感器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流传感器无需连接数据采集器，通过蓝牙或USB直连电脑、手机或平板等终端可直接进行数据采集，在终端上实时显示并记录电流的变化，绘制电流-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主体正面有电源按钮、电源和蓝牙指示灯、传感器名称；背面有蓝牙编号；底部有Type-C接口；上端为导线插孔，附件红黑导线可一端接入传感器，另一端接入电路进行测量。</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1.用于测量电路中的电流。</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6.可实现校零功能。</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1.量程：-1A~1A</w:t>
            </w:r>
            <w:r>
              <w:rPr>
                <w:rFonts w:hint="eastAsia" w:cs="宋体" w:asciiTheme="minorEastAsia" w:hAnsiTheme="minorEastAsia" w:eastAsiaTheme="minorEastAsia"/>
                <w:sz w:val="20"/>
                <w:szCs w:val="20"/>
                <w:lang w:bidi="ar"/>
              </w:rPr>
              <w:br/>
              <w:t xml:space="preserve">2.分辨率：0.5mA</w:t>
            </w:r>
            <w:r>
              <w:rPr>
                <w:rFonts w:hint="eastAsia" w:cs="宋体" w:asciiTheme="minorEastAsia" w:hAnsiTheme="minorEastAsia" w:eastAsiaTheme="minorEastAsia"/>
                <w:sz w:val="20"/>
                <w:szCs w:val="20"/>
                <w:lang w:bidi="ar"/>
              </w:rPr>
              <w:br/>
              <w:t xml:space="preserve">3.精度：±1%F.S</w:t>
            </w:r>
            <w:r>
              <w:rPr>
                <w:rFonts w:hint="eastAsia" w:cs="宋体" w:asciiTheme="minorEastAsia" w:hAnsiTheme="minorEastAsia" w:eastAsiaTheme="minorEastAsia"/>
                <w:sz w:val="20"/>
                <w:szCs w:val="20"/>
                <w:lang w:bidi="ar"/>
              </w:rPr>
              <w:br/>
              <w:t xml:space="preserve">4.采样速率：1000次/秒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探究串、并联电路电流的特点、比较灯泡亮度、探究影响导体电阻大小的因素、探究电流和电压的关系、探究电流和电阻的关系、半导体电阻的应用（酒精浓度检测仪）、伏安法测（定值）电阻、伏安法测灯泡电阻、额定功率与实际功率、测量小灯泡的功率、电热跟什么因素有关、研究导体电阻与长度、</w:t>
            </w:r>
            <w:r>
              <w:rPr>
                <w:rFonts w:hint="eastAsia" w:cs="宋体" w:asciiTheme="minorEastAsia" w:hAnsiTheme="minorEastAsia" w:eastAsiaTheme="minorEastAsia"/>
                <w:sz w:val="20"/>
                <w:szCs w:val="20"/>
                <w:lang w:bidi="ar"/>
              </w:rPr>
              <w:t xml:space="preserve">横截面积及材料的定量关系、金属丝电阻率的测量等实验。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435"/>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无线智能溶氧气氧传感器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溶氧气氧传感器内置溶解氧、氧气两种传感器，无需连接数据采集器，通过蓝牙或USB直连电脑、手机或平板等终端可直接进行数据采集，在终端上实时显示并记录溶解氧、氧气的变化，并绘制相应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由传感器主体和溶解氧气氧探头构成。主体正面有电源按钮、电源和蓝牙指示灯、传感器名称；背面有蓝牙编号；底部有Type-C接口；主体前端为BNC接口，可与溶解氧气氧探头连接用于测量溶解氧/氧气含量。</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1.用于测量气体和液体中的氧气含量，测量灵敏、精确，反应快速。</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3.传感器与数据采集终端（电脑、平板或手机）直接通过蓝牙无线连接，便于运动情况下的数据测量及各种实验环境中的数据采集，无需数据采集器；传感器多种测量多合一，可测量溶解氧、气氧。</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6.可实现溶解氧标定，气氧校准功能。</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w:t>
            </w:r>
            <w:r>
              <w:rPr>
                <w:rFonts w:hint="eastAsia" w:cs="宋体" w:asciiTheme="minorEastAsia" w:hAnsiTheme="minorEastAsia" w:eastAsiaTheme="minorEastAsia"/>
                <w:sz w:val="20"/>
                <w:szCs w:val="20"/>
                <w:lang w:bidi="ar"/>
              </w:rPr>
              <w:br/>
              <w:t xml:space="preserve">溶解氧：0~20 mg/L；氧气：0~100%</w:t>
            </w:r>
            <w:r>
              <w:rPr>
                <w:rFonts w:hint="eastAsia" w:cs="宋体" w:asciiTheme="minorEastAsia" w:hAnsiTheme="minorEastAsia" w:eastAsiaTheme="minorEastAsia"/>
                <w:sz w:val="20"/>
                <w:szCs w:val="20"/>
                <w:lang w:bidi="ar"/>
              </w:rPr>
              <w:br/>
              <w:t xml:space="preserve">2.分辨率</w:t>
            </w:r>
            <w:r>
              <w:rPr>
                <w:rFonts w:hint="eastAsia" w:cs="宋体" w:asciiTheme="minorEastAsia" w:hAnsiTheme="minorEastAsia" w:eastAsiaTheme="minorEastAsia"/>
                <w:sz w:val="20"/>
                <w:szCs w:val="20"/>
                <w:lang w:bidi="ar"/>
              </w:rPr>
              <w:br/>
              <w:t xml:space="preserve">溶解氧：0.01 mg/L；氧气：0.1%</w:t>
            </w:r>
            <w:r>
              <w:rPr>
                <w:rFonts w:hint="eastAsia" w:cs="宋体" w:asciiTheme="minorEastAsia" w:hAnsiTheme="minorEastAsia" w:eastAsiaTheme="minorEastAsia"/>
                <w:sz w:val="20"/>
                <w:szCs w:val="20"/>
                <w:lang w:bidi="ar"/>
              </w:rPr>
              <w:br/>
              <w:t xml:space="preserve">3.精度</w:t>
            </w:r>
            <w:r>
              <w:rPr>
                <w:rFonts w:hint="eastAsia" w:cs="宋体" w:asciiTheme="minorEastAsia" w:hAnsiTheme="minorEastAsia" w:eastAsiaTheme="minorEastAsia"/>
                <w:sz w:val="20"/>
                <w:szCs w:val="20"/>
                <w:lang w:bidi="ar"/>
              </w:rPr>
              <w:br/>
              <w:t xml:space="preserve">溶解氧：±0.5mg/L（10~35℃）；氧气：±2%F.S</w:t>
            </w:r>
            <w:r>
              <w:rPr>
                <w:rFonts w:hint="eastAsia" w:cs="宋体" w:asciiTheme="minorEastAsia" w:hAnsiTheme="minorEastAsia" w:eastAsiaTheme="minorEastAsia"/>
                <w:sz w:val="20"/>
                <w:szCs w:val="20"/>
                <w:lang w:bidi="ar"/>
              </w:rPr>
              <w:br/>
              <w:t xml:space="preserve">4.采样速率:100次/秒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蜡烛及其燃烧的探究、探究人体吸入的空气与呼出的气体的不同、观察氧气中的燃烧现象、探究灭火的原理、过氧化钠与水反应及产物探究、种子萌发的环境条件（模拟实验）、光合作用的影响、设计并制作生态缸，观察其稳定性等实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88"/>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无线智能二氧化碳传感器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二氧化碳传感器无需连接数据采集器，通过蓝牙或USB直连电脑、手机或平板等终端可直接进行数据采集，在终端上实时显示并记录二氧化碳的变化，并绘制相应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由传感器主体和前端探头连接构成。主体正面有电源按钮、电源和蓝牙指示灯、传感器名称；背面有蓝牙编号；底部有Type-C接口。探头外壳为黑色塑料，通过数个栅栏与外界相通，栅栏内有过滤层。</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1.用于测量气体中二氧化碳的含量。</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6.无需校准，即连即用。</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1.量程：0~100000 ppm</w:t>
            </w:r>
            <w:r>
              <w:rPr>
                <w:rFonts w:hint="eastAsia" w:cs="宋体" w:asciiTheme="minorEastAsia" w:hAnsiTheme="minorEastAsia" w:eastAsiaTheme="minorEastAsia"/>
                <w:sz w:val="20"/>
                <w:szCs w:val="20"/>
                <w:lang w:bidi="ar"/>
              </w:rPr>
              <w:br/>
              <w:t xml:space="preserve">2.分辨率：2ppm</w:t>
            </w:r>
            <w:r>
              <w:rPr>
                <w:rFonts w:hint="eastAsia" w:cs="宋体" w:asciiTheme="minorEastAsia" w:hAnsiTheme="minorEastAsia" w:eastAsiaTheme="minorEastAsia"/>
                <w:sz w:val="20"/>
                <w:szCs w:val="20"/>
                <w:lang w:bidi="ar"/>
              </w:rPr>
              <w:br/>
              <w:t xml:space="preserve">3.精度：3%(0~5000ppm)；4%(5000~50000ppm)；6%(50000~100000ppm)</w:t>
            </w:r>
            <w:r>
              <w:rPr>
                <w:rFonts w:hint="eastAsia" w:cs="宋体" w:asciiTheme="minorEastAsia" w:hAnsiTheme="minorEastAsia" w:eastAsiaTheme="minorEastAsia"/>
                <w:sz w:val="20"/>
                <w:szCs w:val="20"/>
                <w:lang w:bidi="ar"/>
              </w:rPr>
              <w:br/>
              <w:t xml:space="preserve">4.采样速率:1次/秒</w:t>
            </w:r>
            <w:r>
              <w:rPr>
                <w:rFonts w:hint="eastAsia" w:cs="宋体" w:asciiTheme="minorEastAsia" w:hAnsiTheme="minorEastAsia" w:eastAsiaTheme="minorEastAsia"/>
                <w:sz w:val="20"/>
                <w:szCs w:val="20"/>
                <w:lang w:bidi="ar"/>
              </w:rPr>
              <w:br/>
              <w:t xml:space="preserve">5.连续使用时间:≥10小时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1000mAh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蜡烛及其燃烧的探究、探究人体吸入的空气与呼出的气体的不同、碳还原氧化物的反应、实验室制取二氧化碳、碳酸钠与盐酸的反应、探究酸碱盐之间反应条件、比较碳酸钠与碳酸氢钠的热稳定性、种子萌发的环境条件、二氧化碳是光合作用必需的原料吗、植物的呼吸作用产生二氧化碳、设计并制作生态缸，观察其稳定性等实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56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无线智能绝对压强传感器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绝对压强传感器无需连接数据采集器，探头与传感器一体设计，通过蓝牙或USB直连电脑、手机或平板等终端可直接进行数据采集，在终端上实时显示并记录绝对压强的变化，绘制绝对压强-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由传感器主体正面有电源按钮、电源和蓝牙指示灯、传感器名称；背面有蓝牙编号；底部有Type-C接口，前端是鲁尔公接头，可连接软管等多种附件接入环境中进行测量。</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1.用于测量大气环境下或密闭空间内的气体的压强。</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6.可实现校准功能。</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1.量程：0~400kPa</w:t>
            </w:r>
            <w:r>
              <w:rPr>
                <w:rFonts w:hint="eastAsia" w:cs="宋体" w:asciiTheme="minorEastAsia" w:hAnsiTheme="minorEastAsia" w:eastAsiaTheme="minorEastAsia"/>
                <w:sz w:val="20"/>
                <w:szCs w:val="20"/>
                <w:lang w:bidi="ar"/>
              </w:rPr>
              <w:br/>
              <w:t xml:space="preserve">2.分辨率：0.1kPa</w:t>
            </w:r>
            <w:r>
              <w:rPr>
                <w:rFonts w:hint="eastAsia" w:cs="宋体" w:asciiTheme="minorEastAsia" w:hAnsiTheme="minorEastAsia" w:eastAsiaTheme="minorEastAsia"/>
                <w:sz w:val="20"/>
                <w:szCs w:val="20"/>
                <w:lang w:bidi="ar"/>
              </w:rPr>
              <w:br/>
              <w:t xml:space="preserve">3.精度：±2%</w:t>
            </w:r>
            <w:r>
              <w:rPr>
                <w:rFonts w:hint="eastAsia" w:cs="宋体" w:asciiTheme="minorEastAsia" w:hAnsiTheme="minorEastAsia" w:eastAsiaTheme="minorEastAsia"/>
                <w:sz w:val="20"/>
                <w:szCs w:val="20"/>
                <w:lang w:bidi="ar"/>
              </w:rPr>
              <w:br/>
              <w:t xml:space="preserve">4.采样速率：500次/秒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无线智能色度计&amp;浊度计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色度计&amp;浊度计内置色度计、浊度计2种传感器模块，无需连接数据采集器，通过蓝牙或USB直连电脑、手机或平板等终端可直接进行数据采集，在终端上实时显示并记录数据的变化，绘制相应图像。使用电源按钮或软件设置切换色度、浊度功能，并且可切换红、橙、黄、绿、蓝、紫6种入射光。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传感器主体正面有电源按钮、电源和蓝牙指示灯、传感器名称、蓝牙编号、0.96英寸OLED显示屏；主体前部为开合舱体，可放入比色皿进行实验。</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1.用于测量溶液对于不同颜色的入射光的吸光度、透光率，以及溶液的浊度。</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3.传感器与数据采集终端（电脑、平板或手机）直接通过蓝牙无线连接，便于运动情况下的数据测量及各种实验环境中的数据采集，无需数据采集器；多种传感器合一，可测量：透光率、吸光度、浊度等。</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4.可脱机进行数据采集。</w:t>
            </w:r>
            <w:r>
              <w:rPr>
                <w:rFonts w:hint="eastAsia" w:cs="宋体" w:asciiTheme="minorEastAsia" w:hAnsiTheme="minorEastAsia" w:eastAsiaTheme="minorEastAsia"/>
                <w:sz w:val="20"/>
                <w:szCs w:val="20"/>
                <w:lang w:bidi="ar"/>
              </w:rPr>
              <w:br/>
              <w:t xml:space="preserve">5.色度/浊度切换简单，通过电源按钮或软件设置切换，提供多种波长选择。</w:t>
            </w:r>
            <w:r>
              <w:rPr>
                <w:rFonts w:hint="eastAsia" w:cs="宋体" w:asciiTheme="minorEastAsia" w:hAnsiTheme="minorEastAsia" w:eastAsiaTheme="minorEastAsia"/>
                <w:sz w:val="20"/>
                <w:szCs w:val="20"/>
                <w:lang w:bidi="ar"/>
              </w:rPr>
              <w:br/>
              <w:t xml:space="preserve">6.传感器具有唯一蓝牙编号，便于数据终端选择性连接。</w:t>
            </w:r>
            <w:r>
              <w:rPr>
                <w:rFonts w:hint="eastAsia" w:cs="宋体" w:asciiTheme="minorEastAsia" w:hAnsiTheme="minorEastAsia" w:eastAsiaTheme="minorEastAsia"/>
                <w:sz w:val="20"/>
                <w:szCs w:val="20"/>
                <w:lang w:bidi="ar"/>
              </w:rPr>
              <w:br/>
              <w:t xml:space="preserve">7.无需校准，即连即用。</w:t>
            </w:r>
            <w:r>
              <w:rPr>
                <w:rFonts w:hint="eastAsia" w:cs="宋体" w:asciiTheme="minorEastAsia" w:hAnsiTheme="minorEastAsia" w:eastAsiaTheme="minorEastAsia"/>
                <w:sz w:val="20"/>
                <w:szCs w:val="20"/>
                <w:lang w:bidi="ar"/>
              </w:rPr>
              <w:br/>
              <w:t xml:space="preserve">8.连接方式：蓝牙无线或有线。</w:t>
            </w:r>
            <w:r>
              <w:rPr>
                <w:rFonts w:hint="eastAsia" w:cs="宋体" w:asciiTheme="minorEastAsia" w:hAnsiTheme="minorEastAsia" w:eastAsiaTheme="minorEastAsia"/>
                <w:sz w:val="20"/>
                <w:szCs w:val="20"/>
                <w:lang w:bidi="ar"/>
              </w:rPr>
              <w:br/>
              <w:t xml:space="preserve">9.节能方式：传感器打开电源，但无连接或连接无活动，几分钟后自动关闭电源。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10.支持固件空中升级。</w:t>
            </w:r>
            <w:r>
              <w:rPr>
                <w:rFonts w:hint="eastAsia" w:cs="宋体" w:asciiTheme="minorEastAsia" w:hAnsiTheme="minorEastAsia" w:eastAsiaTheme="minorEastAsia"/>
                <w:sz w:val="20"/>
                <w:szCs w:val="20"/>
                <w:lang w:bidi="ar"/>
              </w:rPr>
              <w:br/>
              <w:t xml:space="preserve">11.支持平台：Windows、Android、iOS/iPadOS、MacOS、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w:t>
            </w:r>
            <w:r>
              <w:rPr>
                <w:rFonts w:hint="eastAsia" w:cs="宋体" w:asciiTheme="minorEastAsia" w:hAnsiTheme="minorEastAsia" w:eastAsiaTheme="minorEastAsia"/>
                <w:sz w:val="20"/>
                <w:szCs w:val="20"/>
                <w:lang w:bidi="ar"/>
              </w:rPr>
              <w:br/>
              <w:t xml:space="preserve">红光（645nm）：透光率0~100%、吸光度0~3A</w:t>
            </w:r>
            <w:r>
              <w:rPr>
                <w:rFonts w:hint="eastAsia" w:cs="宋体" w:asciiTheme="minorEastAsia" w:hAnsiTheme="minorEastAsia" w:eastAsiaTheme="minorEastAsia"/>
                <w:sz w:val="20"/>
                <w:szCs w:val="20"/>
                <w:lang w:bidi="ar"/>
              </w:rPr>
              <w:br/>
              <w:t xml:space="preserve">橙光（611nm）：透光率0~100%、吸光度0~3A</w:t>
            </w:r>
            <w:r>
              <w:rPr>
                <w:rFonts w:hint="eastAsia" w:cs="宋体" w:asciiTheme="minorEastAsia" w:hAnsiTheme="minorEastAsia" w:eastAsiaTheme="minorEastAsia"/>
                <w:sz w:val="20"/>
                <w:szCs w:val="20"/>
                <w:lang w:bidi="ar"/>
              </w:rPr>
              <w:br/>
              <w:t xml:space="preserve">黄光（570nm）：透光率0~100%、吸光度0~3A</w:t>
            </w:r>
            <w:r>
              <w:rPr>
                <w:rFonts w:hint="eastAsia" w:cs="宋体" w:asciiTheme="minorEastAsia" w:hAnsiTheme="minorEastAsia" w:eastAsiaTheme="minorEastAsia"/>
                <w:sz w:val="20"/>
                <w:szCs w:val="20"/>
                <w:lang w:bidi="ar"/>
              </w:rPr>
              <w:br/>
              <w:t xml:space="preserve">绿光（520nm）：透光率0~100%、吸光度0~3A</w:t>
            </w:r>
            <w:r>
              <w:rPr>
                <w:rFonts w:hint="eastAsia" w:cs="宋体" w:asciiTheme="minorEastAsia" w:hAnsiTheme="minorEastAsia" w:eastAsiaTheme="minorEastAsia"/>
                <w:sz w:val="20"/>
                <w:szCs w:val="20"/>
                <w:lang w:bidi="ar"/>
              </w:rPr>
              <w:br/>
              <w:t xml:space="preserve">蓝光（470nm）：透光率0~100%、吸光度0~3A</w:t>
            </w:r>
            <w:r>
              <w:rPr>
                <w:rFonts w:hint="eastAsia" w:cs="宋体" w:asciiTheme="minorEastAsia" w:hAnsiTheme="minorEastAsia" w:eastAsiaTheme="minorEastAsia"/>
                <w:sz w:val="20"/>
                <w:szCs w:val="20"/>
                <w:lang w:bidi="ar"/>
              </w:rPr>
              <w:br/>
              <w:t xml:space="preserve">紫光（430nm）：透光率0~100%、吸光度0~3A</w:t>
            </w:r>
            <w:r>
              <w:rPr>
                <w:rFonts w:hint="eastAsia" w:cs="宋体" w:asciiTheme="minorEastAsia" w:hAnsiTheme="minorEastAsia" w:eastAsiaTheme="minorEastAsia"/>
                <w:sz w:val="20"/>
                <w:szCs w:val="20"/>
                <w:lang w:bidi="ar"/>
              </w:rPr>
              <w:br/>
              <w:t xml:space="preserve">浊度：0~400 NTU</w:t>
            </w:r>
            <w:r>
              <w:rPr>
                <w:rFonts w:hint="eastAsia" w:cs="宋体" w:asciiTheme="minorEastAsia" w:hAnsiTheme="minorEastAsia" w:eastAsiaTheme="minorEastAsia"/>
                <w:sz w:val="20"/>
                <w:szCs w:val="20"/>
                <w:lang w:bidi="ar"/>
              </w:rPr>
              <w:br/>
              <w:t xml:space="preserve">2.精度：</w:t>
            </w:r>
            <w:r>
              <w:rPr>
                <w:rFonts w:hint="eastAsia" w:cs="宋体" w:asciiTheme="minorEastAsia" w:hAnsiTheme="minorEastAsia" w:eastAsiaTheme="minorEastAsia"/>
                <w:sz w:val="20"/>
                <w:szCs w:val="20"/>
                <w:lang w:bidi="ar"/>
              </w:rPr>
              <w:br/>
              <w:t xml:space="preserve">红光（645nm）：透光率±2%F.S、吸光度±0.03A</w:t>
            </w:r>
            <w:r>
              <w:rPr>
                <w:rFonts w:hint="eastAsia" w:cs="宋体" w:asciiTheme="minorEastAsia" w:hAnsiTheme="minorEastAsia" w:eastAsiaTheme="minorEastAsia"/>
                <w:sz w:val="20"/>
                <w:szCs w:val="20"/>
                <w:lang w:bidi="ar"/>
              </w:rPr>
              <w:br/>
              <w:t xml:space="preserve">橙光（611nm）：透光率±2%F.S、吸光度±0.03A</w:t>
            </w:r>
            <w:r>
              <w:rPr>
                <w:rFonts w:hint="eastAsia" w:cs="宋体" w:asciiTheme="minorEastAsia" w:hAnsiTheme="minorEastAsia" w:eastAsiaTheme="minorEastAsia"/>
                <w:sz w:val="20"/>
                <w:szCs w:val="20"/>
                <w:lang w:bidi="ar"/>
              </w:rPr>
              <w:br/>
              <w:t xml:space="preserve">黄光（570nm）：透光率±2%F.S、吸光度±0.03A</w:t>
            </w:r>
            <w:r>
              <w:rPr>
                <w:rFonts w:hint="eastAsia" w:cs="宋体" w:asciiTheme="minorEastAsia" w:hAnsiTheme="minorEastAsia" w:eastAsiaTheme="minorEastAsia"/>
                <w:sz w:val="20"/>
                <w:szCs w:val="20"/>
                <w:lang w:bidi="ar"/>
              </w:rPr>
              <w:br/>
              <w:t xml:space="preserve">绿光（520nm）：透光率±2%F.S、吸光度±0.03A</w:t>
            </w:r>
            <w:r>
              <w:rPr>
                <w:rFonts w:hint="eastAsia" w:cs="宋体" w:asciiTheme="minorEastAsia" w:hAnsiTheme="minorEastAsia" w:eastAsiaTheme="minorEastAsia"/>
                <w:sz w:val="20"/>
                <w:szCs w:val="20"/>
                <w:lang w:bidi="ar"/>
              </w:rPr>
              <w:br/>
              <w:t xml:space="preserve">蓝光（470nm）：透光率±2%F.S、吸光度±0.03A</w:t>
            </w:r>
            <w:r>
              <w:rPr>
                <w:rFonts w:hint="eastAsia" w:cs="宋体" w:asciiTheme="minorEastAsia" w:hAnsiTheme="minorEastAsia" w:eastAsiaTheme="minorEastAsia"/>
                <w:sz w:val="20"/>
                <w:szCs w:val="20"/>
                <w:lang w:bidi="ar"/>
              </w:rPr>
              <w:br/>
              <w:t xml:space="preserve">紫光（430nm）：透光率±2%F.S、吸光度±0.03A</w:t>
            </w:r>
            <w:r>
              <w:rPr>
                <w:rFonts w:hint="eastAsia" w:cs="宋体" w:asciiTheme="minorEastAsia" w:hAnsiTheme="minorEastAsia" w:eastAsiaTheme="minorEastAsia"/>
                <w:sz w:val="20"/>
                <w:szCs w:val="20"/>
                <w:lang w:bidi="ar"/>
              </w:rPr>
              <w:br/>
              <w:t xml:space="preserve">浊度：±5% NTU</w:t>
            </w:r>
            <w:r>
              <w:rPr>
                <w:rFonts w:hint="eastAsia" w:cs="宋体" w:asciiTheme="minorEastAsia" w:hAnsiTheme="minorEastAsia" w:eastAsiaTheme="minorEastAsia"/>
                <w:sz w:val="20"/>
                <w:szCs w:val="20"/>
                <w:lang w:bidi="ar"/>
              </w:rPr>
              <w:br/>
              <w:t xml:space="preserve">3.分辨率：</w:t>
            </w:r>
            <w:r>
              <w:rPr>
                <w:rFonts w:hint="eastAsia" w:cs="宋体" w:asciiTheme="minorEastAsia" w:hAnsiTheme="minorEastAsia" w:eastAsiaTheme="minorEastAsia"/>
                <w:sz w:val="20"/>
                <w:szCs w:val="20"/>
                <w:lang w:bidi="ar"/>
              </w:rPr>
              <w:br/>
              <w:t xml:space="preserve">红光（645nm）：透光率0.1%、吸光度0.01A</w:t>
            </w:r>
            <w:r>
              <w:rPr>
                <w:rFonts w:hint="eastAsia" w:cs="宋体" w:asciiTheme="minorEastAsia" w:hAnsiTheme="minorEastAsia" w:eastAsiaTheme="minorEastAsia"/>
                <w:sz w:val="20"/>
                <w:szCs w:val="20"/>
                <w:lang w:bidi="ar"/>
              </w:rPr>
              <w:br/>
              <w:t xml:space="preserve">橙光（611nm）：透光率0.1%、吸光度0.01A</w:t>
            </w:r>
            <w:r>
              <w:rPr>
                <w:rFonts w:hint="eastAsia" w:cs="宋体" w:asciiTheme="minorEastAsia" w:hAnsiTheme="minorEastAsia" w:eastAsiaTheme="minorEastAsia"/>
                <w:sz w:val="20"/>
                <w:szCs w:val="20"/>
                <w:lang w:bidi="ar"/>
              </w:rPr>
              <w:br/>
              <w:t xml:space="preserve">黄光（570nm）：透光率0.1%、吸光度0.01A</w:t>
            </w:r>
            <w:r>
              <w:rPr>
                <w:rFonts w:hint="eastAsia" w:cs="宋体" w:asciiTheme="minorEastAsia" w:hAnsiTheme="minorEastAsia" w:eastAsiaTheme="minorEastAsia"/>
                <w:sz w:val="20"/>
                <w:szCs w:val="20"/>
                <w:lang w:bidi="ar"/>
              </w:rPr>
              <w:br/>
              <w:t xml:space="preserve">绿光（520nm）：透光率0.1%、吸光度0.01A</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蓝光（470nm）：透光率0.1%、吸光度0.01A</w:t>
            </w:r>
            <w:r>
              <w:rPr>
                <w:rFonts w:hint="eastAsia" w:cs="宋体" w:asciiTheme="minorEastAsia" w:hAnsiTheme="minorEastAsia" w:eastAsiaTheme="minorEastAsia"/>
                <w:sz w:val="20"/>
                <w:szCs w:val="20"/>
                <w:lang w:bidi="ar"/>
              </w:rPr>
              <w:br/>
              <w:t xml:space="preserve">紫光（430nm）：透光率0.1%、吸光度0.01A</w:t>
            </w:r>
            <w:r>
              <w:rPr>
                <w:rFonts w:hint="eastAsia" w:cs="宋体" w:asciiTheme="minorEastAsia" w:hAnsiTheme="minorEastAsia" w:eastAsiaTheme="minorEastAsia"/>
                <w:sz w:val="20"/>
                <w:szCs w:val="20"/>
                <w:lang w:bidi="ar"/>
              </w:rPr>
              <w:br/>
              <w:t xml:space="preserve">浊度：0.1 NTU</w:t>
            </w:r>
            <w:r>
              <w:rPr>
                <w:rFonts w:hint="eastAsia" w:cs="宋体" w:asciiTheme="minorEastAsia" w:hAnsiTheme="minorEastAsia" w:eastAsiaTheme="minorEastAsia"/>
                <w:sz w:val="20"/>
                <w:szCs w:val="20"/>
                <w:lang w:bidi="ar"/>
              </w:rPr>
              <w:br/>
              <w:t xml:space="preserve">4.采样速率:10次/秒</w:t>
            </w:r>
            <w:r>
              <w:rPr>
                <w:rFonts w:hint="eastAsia" w:cs="宋体" w:asciiTheme="minorEastAsia" w:hAnsiTheme="minorEastAsia" w:eastAsiaTheme="minorEastAsia"/>
                <w:sz w:val="20"/>
                <w:szCs w:val="20"/>
                <w:lang w:bidi="ar"/>
              </w:rPr>
              <w:br/>
              <w:t xml:space="preserve">5.连续使用时间:≥50 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1000mAh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水质检测、用肥皂水区分软水和硬水、观察氢氧化钙与二氧化碳的反应、探究反应条件对氯化铁水解平衡的影响、绿叶中色素的提取和分离等实验。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175"/>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无线智能氯离子传感器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氯离子传感器无需连接数据采集器，通过蓝牙直连电脑、手机或平板等终端可直接进行数据采集，在终端上实时显示并记录氯离子浓度的变化，绘制氯离子浓度-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氯离子探头构成。主体正面有电源按钮、电源和蓝牙指示灯、传感器名称；背面有蓝牙编号及电池仓，机身外壳与电池仓用密封圈密封。主体前端为BNC接口，可与氯离子探头连接用于测量液体氯离子浓度。</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1.用于测量溶液中的氯离子的浓度及其变化情况。</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6.使用纽扣电池，电池可更换，一枚电池可正常课堂使用1年以上。</w:t>
            </w:r>
            <w:r>
              <w:rPr>
                <w:rFonts w:hint="eastAsia" w:cs="宋体" w:asciiTheme="minorEastAsia" w:hAnsiTheme="minorEastAsia" w:eastAsiaTheme="minorEastAsia"/>
                <w:sz w:val="20"/>
                <w:szCs w:val="20"/>
                <w:lang w:bidi="ar"/>
              </w:rPr>
              <w:br/>
              <w:t xml:space="preserve">7.可实现标定功能。</w:t>
            </w:r>
            <w:r>
              <w:rPr>
                <w:rFonts w:hint="eastAsia" w:cs="宋体" w:asciiTheme="minorEastAsia" w:hAnsiTheme="minorEastAsia" w:eastAsiaTheme="minorEastAsia"/>
                <w:sz w:val="20"/>
                <w:szCs w:val="20"/>
                <w:lang w:bidi="ar"/>
              </w:rPr>
              <w:br/>
              <w:t xml:space="preserve">8.连接方式：蓝牙无线。</w:t>
            </w:r>
            <w:r>
              <w:rPr>
                <w:rFonts w:hint="eastAsia" w:cs="宋体" w:asciiTheme="minorEastAsia" w:hAnsiTheme="minorEastAsia" w:eastAsiaTheme="minorEastAsia"/>
                <w:sz w:val="20"/>
                <w:szCs w:val="20"/>
                <w:lang w:bidi="ar"/>
              </w:rPr>
              <w:br/>
              <w:t xml:space="preserve">9.节能方式：传感器打开电源，但无连接或连接无活动，几分钟后自动关闭电源。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10.支持固件空中升级。</w:t>
            </w:r>
            <w:r>
              <w:rPr>
                <w:rFonts w:hint="eastAsia" w:cs="宋体" w:asciiTheme="minorEastAsia" w:hAnsiTheme="minorEastAsia" w:eastAsiaTheme="minorEastAsia"/>
                <w:sz w:val="20"/>
                <w:szCs w:val="20"/>
                <w:lang w:bidi="ar"/>
              </w:rPr>
              <w:br/>
              <w:t xml:space="preserve">11.支持平台：Windows、Android、iOS/iPadOS、MacOS、 Linux、Harmony OS、统信UOS等。</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三、规格</w:t>
            </w:r>
            <w:r>
              <w:rPr>
                <w:rFonts w:hint="eastAsia" w:cs="宋体" w:asciiTheme="minorEastAsia" w:hAnsiTheme="minorEastAsia" w:eastAsiaTheme="minorEastAsia"/>
                <w:sz w:val="20"/>
                <w:szCs w:val="20"/>
                <w:lang w:bidi="ar"/>
              </w:rPr>
              <w:br/>
              <w:t xml:space="preserve">1.量程：1.8ppm~3550ppm</w:t>
            </w:r>
            <w:r>
              <w:rPr>
                <w:rFonts w:hint="eastAsia" w:cs="宋体" w:asciiTheme="minorEastAsia" w:hAnsiTheme="minorEastAsia" w:eastAsiaTheme="minorEastAsia"/>
                <w:sz w:val="20"/>
                <w:szCs w:val="20"/>
                <w:lang w:bidi="ar"/>
              </w:rPr>
              <w:br/>
              <w:t xml:space="preserve">2.分辨率：1ppm</w:t>
            </w:r>
            <w:r>
              <w:rPr>
                <w:rFonts w:hint="eastAsia" w:cs="宋体" w:asciiTheme="minorEastAsia" w:hAnsiTheme="minorEastAsia" w:eastAsiaTheme="minorEastAsia"/>
                <w:sz w:val="20"/>
                <w:szCs w:val="20"/>
                <w:lang w:bidi="ar"/>
              </w:rPr>
              <w:br/>
              <w:t xml:space="preserve">3.精度：±10%</w:t>
            </w:r>
            <w:r>
              <w:rPr>
                <w:rFonts w:hint="eastAsia" w:cs="宋体" w:asciiTheme="minorEastAsia" w:hAnsiTheme="minorEastAsia" w:eastAsiaTheme="minorEastAsia"/>
                <w:sz w:val="20"/>
                <w:szCs w:val="20"/>
                <w:lang w:bidi="ar"/>
              </w:rPr>
              <w:br/>
              <w:t xml:space="preserve">4.采样速率：100次/秒</w:t>
            </w:r>
            <w:r>
              <w:rPr>
                <w:rFonts w:hint="eastAsia" w:cs="宋体" w:asciiTheme="minorEastAsia" w:hAnsiTheme="minorEastAsia" w:eastAsiaTheme="minorEastAsia"/>
                <w:sz w:val="20"/>
                <w:szCs w:val="20"/>
                <w:lang w:bidi="ar"/>
              </w:rPr>
              <w:br/>
              <w:t xml:space="preserve">5.连续使用时间：≥120小时</w:t>
            </w:r>
            <w:r>
              <w:rPr>
                <w:rFonts w:hint="eastAsia" w:cs="宋体" w:asciiTheme="minorEastAsia" w:hAnsiTheme="minorEastAsia" w:eastAsiaTheme="minorEastAsia"/>
                <w:sz w:val="20"/>
                <w:szCs w:val="20"/>
                <w:lang w:bidi="ar"/>
              </w:rPr>
              <w:br/>
              <w:t xml:space="preserve">6.防水等级：IP67</w:t>
            </w:r>
            <w:r>
              <w:rPr>
                <w:rFonts w:hint="eastAsia" w:cs="宋体" w:asciiTheme="minorEastAsia" w:hAnsiTheme="minorEastAsia" w:eastAsiaTheme="minorEastAsia"/>
                <w:sz w:val="20"/>
                <w:szCs w:val="20"/>
                <w:lang w:bidi="ar"/>
              </w:rPr>
              <w:br/>
              <w:t xml:space="preserve">7.通讯距离：≥30m（空旷无遮挡）</w:t>
            </w:r>
            <w:r>
              <w:rPr>
                <w:rFonts w:hint="eastAsia" w:cs="宋体" w:asciiTheme="minorEastAsia" w:hAnsiTheme="minorEastAsia" w:eastAsiaTheme="minorEastAsia"/>
                <w:sz w:val="20"/>
                <w:szCs w:val="20"/>
                <w:lang w:bidi="ar"/>
              </w:rPr>
              <w:br/>
              <w:t xml:space="preserve">8.电池型号：CR2032</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氯离子的检验等实验。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50"/>
        </w:trPr>
        <w:tc>
          <w:tcPr>
            <w:gridSpan w:val="6"/>
            <w:shd w:val="clear" w:color="auto" w:fill="b8cce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教师端实验器</w:t>
            </w:r>
            <w:r/>
          </w:p>
        </w:tc>
      </w:tr>
      <w:tr>
        <w:trPr>
          <w:trHeight w:val="9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酸碱反应热实验器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绝热桶、隔热泡沫、带孔桶盖、硅胶塞、烧杯（100mL）</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1.用于化学反应热的精确测量相关实验。</w:t>
            </w:r>
            <w:r>
              <w:rPr>
                <w:rFonts w:hint="eastAsia" w:cs="宋体" w:asciiTheme="minorEastAsia" w:hAnsiTheme="minorEastAsia" w:eastAsiaTheme="minorEastAsia"/>
                <w:sz w:val="20"/>
                <w:szCs w:val="20"/>
                <w:lang w:bidi="ar"/>
              </w:rPr>
              <w:br/>
              <w:t xml:space="preserve">2.实验器可容纳液体、固体和液体，为溶液反应和固体的溶解提供保温的实验环境。通过温度传感器，可测得温度变化情况，并在Windows、安卓、iOS系统终端上实时呈现数据，取点更加准确，计算数据误差小。</w:t>
            </w:r>
            <w:r>
              <w:rPr>
                <w:rFonts w:hint="eastAsia" w:cs="宋体" w:asciiTheme="minorEastAsia" w:hAnsiTheme="minorEastAsia" w:eastAsiaTheme="minorEastAsia"/>
                <w:sz w:val="20"/>
                <w:szCs w:val="20"/>
                <w:lang w:bidi="ar"/>
              </w:rPr>
              <w:br/>
              <w:t xml:space="preserve">3.双层隔热设计保温性能好，实验数据更加准确。</w:t>
            </w:r>
            <w:r>
              <w:rPr>
                <w:rFonts w:hint="eastAsia" w:cs="宋体" w:asciiTheme="minorEastAsia" w:hAnsiTheme="minorEastAsia" w:eastAsiaTheme="minorEastAsia"/>
                <w:sz w:val="20"/>
                <w:szCs w:val="20"/>
                <w:lang w:bidi="ar"/>
              </w:rPr>
              <w:br/>
              <w:t xml:space="preserve">4.带孔桶盖适配常规温度计和温度传感器，支持传统实验教学及数字化实验设计，实验灵活。</w:t>
            </w:r>
            <w:r>
              <w:rPr>
                <w:rFonts w:hint="eastAsia" w:cs="宋体" w:asciiTheme="minorEastAsia" w:hAnsiTheme="minorEastAsia" w:eastAsiaTheme="minorEastAsia"/>
                <w:sz w:val="20"/>
                <w:szCs w:val="20"/>
                <w:lang w:bidi="ar"/>
              </w:rPr>
              <w:br/>
              <w:t xml:space="preserve">5.大小适用，既可以节省试剂，也可以很好地测量溶液温度的变化。</w:t>
            </w:r>
            <w:r>
              <w:rPr>
                <w:rFonts w:hint="eastAsia" w:cs="宋体" w:asciiTheme="minorEastAsia" w:hAnsiTheme="minorEastAsia" w:eastAsiaTheme="minorEastAsia"/>
                <w:sz w:val="20"/>
                <w:szCs w:val="20"/>
                <w:lang w:bidi="ar"/>
              </w:rPr>
              <w:br/>
              <w:t xml:space="preserve">6.通用性高，一个实验器可完成多个教材实验，还可以满足多种溶液反应吸放热实验的测量。</w:t>
            </w:r>
            <w:r>
              <w:rPr>
                <w:rFonts w:hint="eastAsia" w:cs="宋体" w:asciiTheme="minorEastAsia" w:hAnsiTheme="minorEastAsia" w:eastAsiaTheme="minorEastAsia"/>
                <w:sz w:val="20"/>
                <w:szCs w:val="20"/>
                <w:lang w:bidi="ar"/>
              </w:rPr>
              <w:br/>
              <w:t xml:space="preserve">7.配套专用实验软件，预设模板，以曲线等形式自动记录数据变化情况，实验结果更直观明显。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酸碱反应热、固体溶解时的吸热放热现象、化学反应热的测量、氢氧化钡与氯化铵的反应等实验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59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橡胶塞配件包</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单孔塞（φ37*φ30-31，孔φ5mm）、单孔塞（φ37*φ30-31，带直通接头）、单孔塞（φ37*φ30-31，孔φ15.5mm）、三孔塞（φ37*φ30-31，两孔φ8mm，一孔φ12.5mm）、三孔塞（φ37*φ30-31，两孔φ8mm，一孔φ15.5mm）</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单孔塞搭配锥形瓶，孔径与传感器适配性高，可接入温度传感器、绝对压强传感器、二氧化碳传感器等，密封性好，可用于需要在密封环境中测量温度、压强、二氧化碳浓度的相关生化类实验，并在Windows、安卓、iOS系统终端上实时呈现数据。</w:t>
            </w:r>
            <w:r>
              <w:rPr>
                <w:rFonts w:hint="eastAsia" w:cs="宋体" w:asciiTheme="minorEastAsia" w:hAnsiTheme="minorEastAsia" w:eastAsiaTheme="minorEastAsia"/>
                <w:sz w:val="20"/>
                <w:szCs w:val="20"/>
                <w:lang w:bidi="ar"/>
              </w:rPr>
              <w:br/>
              <w:t xml:space="preserve">2.三孔塞搭配锥形瓶，孔径适合玻璃导管、长颈漏斗、二氧化碳传感器、溶解氧-气中氧一体传感器等组合使用，可用于需要在密封环境中进行的生化类实验，如固液生成气体的实验、化学反应速率、生成气体导入和导出等实验。</w:t>
            </w:r>
            <w:r>
              <w:rPr>
                <w:rFonts w:hint="eastAsia" w:cs="宋体" w:asciiTheme="minorEastAsia" w:hAnsiTheme="minorEastAsia" w:eastAsiaTheme="minorEastAsia"/>
                <w:sz w:val="20"/>
                <w:szCs w:val="20"/>
                <w:lang w:bidi="ar"/>
              </w:rPr>
              <w:br/>
              <w:t xml:space="preserve">3.适用于多种实验，减轻教师准备或自制器材的负担，解决适配性难题，轻松满足教师的实验教学需要。</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铁的吸氧腐蚀、种子的萌发等实验。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205"/>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气液相密封实验器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实验器罐体、护线圈*5、硅胶堵头*5、塑料吸管*20</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1.用于生化实验中光合作用、酵母菌的呼吸作用等实验。</w:t>
            </w:r>
            <w:r>
              <w:rPr>
                <w:rFonts w:hint="eastAsia" w:cs="宋体" w:asciiTheme="minorEastAsia" w:hAnsiTheme="minorEastAsia" w:eastAsiaTheme="minorEastAsia"/>
                <w:sz w:val="20"/>
                <w:szCs w:val="20"/>
                <w:lang w:bidi="ar"/>
              </w:rPr>
              <w:br/>
              <w:t xml:space="preserve">2.实验器罐体配合硅胶堵头、护线圈，可连接气体酒精传感器、氧气传感器、二氧化碳传感器、相对湿度传感器等，轻松搭建密封实验环境，配合传感器使用可在Windows、安卓、iOS系统终端上实时呈现数据。</w:t>
            </w:r>
            <w:r>
              <w:rPr>
                <w:rFonts w:hint="eastAsia" w:cs="宋体" w:asciiTheme="minorEastAsia" w:hAnsiTheme="minorEastAsia" w:eastAsiaTheme="minorEastAsia"/>
                <w:sz w:val="20"/>
                <w:szCs w:val="20"/>
                <w:lang w:bidi="ar"/>
              </w:rPr>
              <w:br/>
              <w:t xml:space="preserve">3.实验桶透明设计，便于观察实验现象。</w:t>
            </w:r>
            <w:r>
              <w:rPr>
                <w:rFonts w:hint="eastAsia" w:cs="宋体" w:asciiTheme="minorEastAsia" w:hAnsiTheme="minorEastAsia" w:eastAsiaTheme="minorEastAsia"/>
                <w:sz w:val="20"/>
                <w:szCs w:val="20"/>
                <w:lang w:bidi="ar"/>
              </w:rPr>
              <w:br/>
              <w:t xml:space="preserve">4.配合二氧化碳传感器、氧气传感器可做光合作用吸收二氧化碳产生氧气的实验。</w:t>
            </w:r>
            <w:r>
              <w:rPr>
                <w:rFonts w:hint="eastAsia" w:cs="宋体" w:asciiTheme="minorEastAsia" w:hAnsiTheme="minorEastAsia" w:eastAsiaTheme="minorEastAsia"/>
                <w:sz w:val="20"/>
                <w:szCs w:val="20"/>
                <w:lang w:bidi="ar"/>
              </w:rPr>
              <w:br/>
              <w:t xml:space="preserve">5.配合二氧化碳传感器、氧气传感器、气体酒精传感器可做酵母菌的细胞呼吸实验。</w:t>
            </w:r>
            <w:r>
              <w:rPr>
                <w:rFonts w:hint="eastAsia" w:cs="宋体" w:asciiTheme="minorEastAsia" w:hAnsiTheme="minorEastAsia" w:eastAsiaTheme="minorEastAsia"/>
                <w:sz w:val="20"/>
                <w:szCs w:val="20"/>
                <w:lang w:bidi="ar"/>
              </w:rPr>
              <w:br/>
              <w:t xml:space="preserve">6.配合二氧化碳传感器、氧气传感器、相对湿度传感器可做人体吸入与呼出气体成分的探究实验。</w:t>
            </w:r>
            <w:r>
              <w:rPr>
                <w:rFonts w:hint="eastAsia" w:cs="宋体" w:asciiTheme="minorEastAsia" w:hAnsiTheme="minorEastAsia" w:eastAsiaTheme="minorEastAsia"/>
                <w:sz w:val="20"/>
                <w:szCs w:val="20"/>
                <w:lang w:bidi="ar"/>
              </w:rPr>
              <w:br/>
              <w:t xml:space="preserve">7.通过移动终端扫描仪器上的二维码可浏览该仪器配套的使用说明。</w:t>
            </w:r>
            <w:r>
              <w:rPr>
                <w:rFonts w:hint="eastAsia" w:cs="宋体" w:asciiTheme="minorEastAsia" w:hAnsiTheme="minorEastAsia" w:eastAsiaTheme="minorEastAsia"/>
                <w:sz w:val="20"/>
                <w:szCs w:val="20"/>
                <w:lang w:bidi="ar"/>
              </w:rPr>
              <w:br/>
              <w:t xml:space="preserve">8.配套专用实验软件，预设模板，以表格和曲线等形式自动记录数据变化情况，实验结果更直观明显。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光合作用、酵母菌的细胞呼吸、人体吸入与呼出气体成分的探究等实验。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42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离子-滴定计数器装置</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无线智能离子-滴定计数器、滴定组件（注射器针筒*1、三通阀*2、滴嘴*1）、滴定套装（多向转接头*2、铝杆、长尾夹）、铁架台、梅花螺栓、手紧螺丝、pH传感器探头、Type-C数据线</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1.用于生物、化学学科中各种滴定类实验和部分离子含量的测定，如酸碱中和滴定、酸碱反应热实验、钠钾钙等离子浓度的检测。</w:t>
            </w:r>
            <w:r>
              <w:rPr>
                <w:rFonts w:hint="eastAsia" w:cs="宋体" w:asciiTheme="minorEastAsia" w:hAnsiTheme="minorEastAsia" w:eastAsiaTheme="minorEastAsia"/>
                <w:sz w:val="20"/>
                <w:szCs w:val="20"/>
                <w:lang w:bidi="ar"/>
              </w:rPr>
              <w:br/>
              <w:t xml:space="preserve">2.滴定计数器可通过光电门计量液滴滴落的数量，同时传感器可直接接入滴定计数器中，测得溶液中待测量的数据变化，智能采集，无需手工记录和画图，自动生成滴定曲线，并在Windows、安卓、iOS系统终端上实时呈现数据。</w:t>
            </w:r>
            <w:r>
              <w:rPr>
                <w:rFonts w:hint="eastAsia" w:cs="宋体" w:asciiTheme="minorEastAsia" w:hAnsiTheme="minorEastAsia" w:eastAsiaTheme="minorEastAsia"/>
                <w:sz w:val="20"/>
                <w:szCs w:val="20"/>
                <w:lang w:bidi="ar"/>
              </w:rPr>
              <w:br/>
              <w:t xml:space="preserve">3.内置滴数、pH、亚硝酸根离子、氯离子、钠离子、铵根离子、硝酸根离子、钙离子、钾离子、温度10种传感器模块，配置lightning接口、Q9接口、3.5mm接口，支持接入10余种离子传感器探头，如：pH传感器、温度传感器、溶解二氧化碳、亚硝酸根离子传感器、硝酸根离子传感器、氯离子传感器、铵根离子传感器、钠离子传感器、钾离子传感器、钙离子传感器等。</w:t>
            </w:r>
            <w:r>
              <w:rPr>
                <w:rFonts w:hint="eastAsia" w:cs="宋体" w:asciiTheme="minorEastAsia" w:hAnsiTheme="minorEastAsia" w:eastAsiaTheme="minorEastAsia"/>
                <w:sz w:val="20"/>
                <w:szCs w:val="20"/>
                <w:lang w:bidi="ar"/>
              </w:rPr>
              <w:br/>
              <w:t xml:space="preserve">4.配置两套三通阀，可实现液体滴落开关和流速控制独立操作。</w:t>
            </w:r>
            <w:r>
              <w:rPr>
                <w:rFonts w:hint="eastAsia" w:cs="宋体" w:asciiTheme="minorEastAsia" w:hAnsiTheme="minorEastAsia" w:eastAsiaTheme="minorEastAsia"/>
                <w:sz w:val="20"/>
                <w:szCs w:val="20"/>
                <w:lang w:bidi="ar"/>
              </w:rPr>
              <w:br/>
              <w:t xml:space="preserve">5.滴定计数器带有传感器安装孔，方便固定传感器探头。</w:t>
            </w:r>
            <w:r>
              <w:rPr>
                <w:rFonts w:hint="eastAsia" w:cs="宋体" w:asciiTheme="minorEastAsia" w:hAnsiTheme="minorEastAsia" w:eastAsiaTheme="minorEastAsia"/>
                <w:sz w:val="20"/>
                <w:szCs w:val="20"/>
                <w:lang w:bidi="ar"/>
              </w:rPr>
              <w:br/>
              <w:t xml:space="preserve">6.实验结果更准确，pH传感器精度为0.1，能够精确地测量在滴定过程中溶液中微小的pH变化，自动生成滴定曲线，可在曲线坐标查找滴定终点（pH=7）时溶液的体积，用于计算待测液的浓度，让学生更好地理解酸碱中和滴定的意义及pH突变的存在。</w:t>
            </w:r>
            <w:r>
              <w:rPr>
                <w:rFonts w:hint="eastAsia" w:cs="宋体" w:asciiTheme="minorEastAsia" w:hAnsiTheme="minorEastAsia" w:eastAsiaTheme="minorEastAsia"/>
                <w:sz w:val="20"/>
                <w:szCs w:val="20"/>
                <w:lang w:bidi="ar"/>
              </w:rPr>
              <w:br/>
              <w:t xml:space="preserve">7.最大滴定速度：30滴/s。</w:t>
            </w:r>
            <w:r>
              <w:rPr>
                <w:rFonts w:hint="eastAsia" w:cs="宋体" w:asciiTheme="minorEastAsia" w:hAnsiTheme="minorEastAsia" w:eastAsiaTheme="minorEastAsia"/>
                <w:sz w:val="20"/>
                <w:szCs w:val="20"/>
                <w:lang w:bidi="ar"/>
              </w:rPr>
              <w:br/>
              <w:t xml:space="preserve">8.低功耗蓝牙技术，数据传输距离远，安全稳定。</w:t>
            </w:r>
            <w:r>
              <w:rPr>
                <w:rFonts w:hint="eastAsia" w:cs="宋体" w:asciiTheme="minorEastAsia" w:hAnsiTheme="minorEastAsia" w:eastAsiaTheme="minorEastAsia"/>
                <w:sz w:val="20"/>
                <w:szCs w:val="20"/>
                <w:lang w:bidi="ar"/>
              </w:rPr>
              <w:br/>
              <w:t xml:space="preserve">9.电池容量：1000mAh锂电池，独立供电，续航持久，可连续工作24小时，待机时间大于5个月。</w:t>
            </w:r>
            <w:r>
              <w:rPr>
                <w:rFonts w:hint="eastAsia" w:cs="宋体" w:asciiTheme="minorEastAsia" w:hAnsiTheme="minorEastAsia" w:eastAsiaTheme="minorEastAsia"/>
                <w:sz w:val="20"/>
                <w:szCs w:val="20"/>
                <w:lang w:bidi="ar"/>
              </w:rPr>
              <w:br/>
              <w:t xml:space="preserve">10.支持独立采集模式，支持外接设备采集，支持无线传输。</w:t>
            </w:r>
            <w:r>
              <w:rPr>
                <w:rFonts w:hint="eastAsia" w:cs="宋体" w:asciiTheme="minorEastAsia" w:hAnsiTheme="minorEastAsia" w:eastAsiaTheme="minorEastAsia"/>
                <w:sz w:val="20"/>
                <w:szCs w:val="20"/>
                <w:lang w:bidi="ar"/>
              </w:rPr>
              <w:br/>
              <w:t xml:space="preserve">11.配套专用实验软件，预设模板，以表格和曲线等形式自动记录数据变化情况，实验结果更直观明显。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用于生物、化学学科中各种滴定类实验和部分离子含量的测定、如酸碱中和滴定、酸碱反应热、钠钾钙等离子浓度的检测等实验。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76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磁力搅拌器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搅拌器（开关、转速旋钮）、电源适配器、磁子</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1.专用于液体搅拌，用于生化学科中需要溶液搅拌的相关实验，适合于常规实验化学分析、液体处理、生物试剂混合等领域，简单易用。</w:t>
            </w:r>
            <w:r>
              <w:rPr>
                <w:rFonts w:hint="eastAsia" w:cs="宋体" w:asciiTheme="minorEastAsia" w:hAnsiTheme="minorEastAsia" w:eastAsiaTheme="minorEastAsia"/>
                <w:sz w:val="20"/>
                <w:szCs w:val="20"/>
                <w:lang w:bidi="ar"/>
              </w:rPr>
              <w:br/>
              <w:t xml:space="preserve">2.通过调节转速旋钮调节速度，转速支持0rpm～1800rpm，可调范围广。工作台尺寸：130*130mm，外观尺寸：150*200*55mm，净重：0.5kg，电源电压：12V。</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175"/>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多功能电极支架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底座、多功能支架</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1.用于固定传感器探头。</w:t>
            </w:r>
            <w:r>
              <w:rPr>
                <w:rFonts w:hint="eastAsia" w:cs="宋体" w:asciiTheme="minorEastAsia" w:hAnsiTheme="minorEastAsia" w:eastAsiaTheme="minorEastAsia"/>
                <w:sz w:val="20"/>
                <w:szCs w:val="20"/>
                <w:lang w:bidi="ar"/>
              </w:rPr>
              <w:br/>
              <w:t xml:space="preserve">2.底座与支架插拔式连接，安装简单。</w:t>
            </w:r>
            <w:r>
              <w:rPr>
                <w:rFonts w:hint="eastAsia" w:cs="宋体" w:asciiTheme="minorEastAsia" w:hAnsiTheme="minorEastAsia" w:eastAsiaTheme="minorEastAsia"/>
                <w:sz w:val="20"/>
                <w:szCs w:val="20"/>
                <w:lang w:bidi="ar"/>
              </w:rPr>
              <w:br/>
              <w:t xml:space="preserve">3.支架可360°旋转，自由伸缩。</w:t>
            </w:r>
            <w:r>
              <w:rPr>
                <w:rFonts w:hint="eastAsia" w:cs="宋体" w:asciiTheme="minorEastAsia" w:hAnsiTheme="minorEastAsia" w:eastAsiaTheme="minorEastAsia"/>
                <w:sz w:val="20"/>
                <w:szCs w:val="20"/>
                <w:lang w:bidi="ar"/>
              </w:rPr>
              <w:br/>
              <w:t xml:space="preserve">4.支架上臂有电缆线固定口，可固定传感器电缆线或探头连线。</w:t>
            </w:r>
            <w:r>
              <w:rPr>
                <w:rFonts w:hint="eastAsia" w:cs="宋体" w:asciiTheme="minorEastAsia" w:hAnsiTheme="minorEastAsia" w:eastAsiaTheme="minorEastAsia"/>
                <w:sz w:val="20"/>
                <w:szCs w:val="20"/>
                <w:lang w:bidi="ar"/>
              </w:rPr>
              <w:br/>
              <w:t xml:space="preserve">5.支架顶部可同时固定7个传感器，例如pH、电导率、温度、氧气、二氧化碳、离子类等多种传感器。</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092"/>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铁的吸氧腐蚀实验器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平口圆底试管（52*100mm）、橡胶塞、宝塔头、硅胶堵头*2</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1.用于铁的吸氧腐蚀实验的探究，通过测量反应过程中温度、压强、氧气含量的变化，探究铁的吸氧腐蚀现象。</w:t>
            </w:r>
            <w:r>
              <w:rPr>
                <w:rFonts w:hint="eastAsia" w:cs="宋体" w:asciiTheme="minorEastAsia" w:hAnsiTheme="minorEastAsia" w:eastAsiaTheme="minorEastAsia"/>
                <w:sz w:val="20"/>
                <w:szCs w:val="20"/>
                <w:lang w:bidi="ar"/>
              </w:rPr>
              <w:br/>
              <w:t xml:space="preserve">2.实验器具有匹配不同传感器探头的孔径，密封性良好，配合温度传感器、溶解氧-气中氧一体传感器、绝对压强传感器测量铁在吸氧腐蚀过程中温度、氧气含量、压强的变化，并在Windows、安卓、iOS系统终端上实时呈现数据。</w:t>
            </w:r>
            <w:r>
              <w:rPr>
                <w:rFonts w:hint="eastAsia" w:cs="宋体" w:asciiTheme="minorEastAsia" w:hAnsiTheme="minorEastAsia" w:eastAsiaTheme="minorEastAsia"/>
                <w:sz w:val="20"/>
                <w:szCs w:val="20"/>
                <w:lang w:bidi="ar"/>
              </w:rPr>
              <w:br/>
              <w:t xml:space="preserve">3.试管体积足够大，增加反应物的接触面积，能使反应物在试管内部充分反应，实验效果明显。</w:t>
            </w:r>
            <w:r>
              <w:rPr>
                <w:rFonts w:hint="eastAsia" w:cs="宋体" w:asciiTheme="minorEastAsia" w:hAnsiTheme="minorEastAsia" w:eastAsiaTheme="minorEastAsia"/>
                <w:sz w:val="20"/>
                <w:szCs w:val="20"/>
                <w:lang w:bidi="ar"/>
              </w:rPr>
              <w:br/>
              <w:t xml:space="preserve">4.透明瓶体设计，便于观察实验现象，可从多维度了解实验。</w:t>
            </w:r>
            <w:r>
              <w:rPr>
                <w:rFonts w:hint="eastAsia" w:cs="宋体" w:asciiTheme="minorEastAsia" w:hAnsiTheme="minorEastAsia" w:eastAsiaTheme="minorEastAsia"/>
                <w:sz w:val="20"/>
                <w:szCs w:val="20"/>
                <w:lang w:bidi="ar"/>
              </w:rPr>
              <w:br/>
              <w:t xml:space="preserve">5.与传感器适配性好，轻松搭建密封的实验环境，可拓展完成多种化学实验。减轻准备器材的负担，轻</w:t>
            </w:r>
            <w:r>
              <w:rPr>
                <w:rFonts w:hint="eastAsia" w:cs="宋体" w:asciiTheme="minorEastAsia" w:hAnsiTheme="minorEastAsia" w:eastAsiaTheme="minorEastAsia"/>
                <w:sz w:val="20"/>
                <w:szCs w:val="20"/>
                <w:lang w:bidi="ar"/>
              </w:rPr>
              <w:t xml:space="preserve">松满足演示及分组实验，让课堂教学更高效。</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探究铁的吸氧腐蚀现象等实验。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485"/>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化学反应速率实验器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密封反应瓶、注液阀门开关、注射器（10mL）、压强传感器接口、泄压组件（260±10kPa）</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1.用于探究催化剂对过氧化氢分解的影响、金属与酸反应、酶催化的高效性等。</w:t>
            </w:r>
            <w:r>
              <w:rPr>
                <w:rFonts w:hint="eastAsia" w:cs="宋体" w:asciiTheme="minorEastAsia" w:hAnsiTheme="minorEastAsia" w:eastAsiaTheme="minorEastAsia"/>
                <w:sz w:val="20"/>
                <w:szCs w:val="20"/>
                <w:lang w:bidi="ar"/>
              </w:rPr>
              <w:br/>
              <w:t xml:space="preserve">2.密封反应瓶，保证实验器的密封性，实验数据更加精确，支持固体、液体和气体任意组合的产气或吸收气体的相关的生化反应，配合绝对压强传感器，通过测量压强的变化，探究化学反应速率的快慢，在Windows、安卓、iOS系统终端上实时呈现数据，实验规律更加直观，适用范围广泛。</w:t>
            </w:r>
            <w:r>
              <w:rPr>
                <w:rFonts w:hint="eastAsia" w:cs="宋体" w:asciiTheme="minorEastAsia" w:hAnsiTheme="minorEastAsia" w:eastAsiaTheme="minorEastAsia"/>
                <w:sz w:val="20"/>
                <w:szCs w:val="20"/>
                <w:lang w:bidi="ar"/>
              </w:rPr>
              <w:br/>
              <w:t xml:space="preserve">3.装置设有螺口注射器及注液阀门开关，保证全程密封的情况下，注入液体定量可控，可一次或分段多次注入，实验高效且保证安全性。</w:t>
            </w:r>
            <w:r>
              <w:rPr>
                <w:rFonts w:hint="eastAsia" w:cs="宋体" w:asciiTheme="minorEastAsia" w:hAnsiTheme="minorEastAsia" w:eastAsiaTheme="minorEastAsia"/>
                <w:sz w:val="20"/>
                <w:szCs w:val="20"/>
                <w:lang w:bidi="ar"/>
              </w:rPr>
              <w:br/>
              <w:t xml:space="preserve">4.装置设有泄压阀（泄压阀安全值260±10kPa），压强过高时会自动泄压，充分保证了实验的安全性。</w:t>
            </w:r>
            <w:r>
              <w:rPr>
                <w:rFonts w:hint="eastAsia" w:cs="宋体" w:asciiTheme="minorEastAsia" w:hAnsiTheme="minorEastAsia" w:eastAsiaTheme="minorEastAsia"/>
                <w:sz w:val="20"/>
                <w:szCs w:val="20"/>
                <w:lang w:bidi="ar"/>
              </w:rPr>
              <w:br/>
              <w:t xml:space="preserve">5.透明瓶体设计，便于观察实验现象，可从多维度了解实验。</w:t>
            </w:r>
            <w:r>
              <w:rPr>
                <w:rFonts w:hint="eastAsia" w:cs="宋体" w:asciiTheme="minorEastAsia" w:hAnsiTheme="minorEastAsia" w:eastAsiaTheme="minorEastAsia"/>
                <w:sz w:val="20"/>
                <w:szCs w:val="20"/>
                <w:lang w:bidi="ar"/>
              </w:rPr>
              <w:br/>
              <w:t xml:space="preserve">6.与传感器适配性好，轻松搭建密封的实验环境，减轻准备器材的负担，轻松满足演示及分组实验，让课堂教学更高效。</w:t>
            </w:r>
            <w:r>
              <w:rPr>
                <w:rFonts w:hint="eastAsia" w:cs="宋体" w:asciiTheme="minorEastAsia" w:hAnsiTheme="minorEastAsia" w:eastAsiaTheme="minorEastAsia"/>
                <w:sz w:val="20"/>
                <w:szCs w:val="20"/>
                <w:lang w:bidi="ar"/>
              </w:rPr>
              <w:br/>
              <w:t xml:space="preserve">7.通过移动终端扫描仪器上的二维码可浏览该仪器配套的使用说明。</w:t>
            </w:r>
            <w:r>
              <w:rPr>
                <w:rFonts w:hint="eastAsia" w:cs="宋体" w:asciiTheme="minorEastAsia" w:hAnsiTheme="minorEastAsia" w:eastAsiaTheme="minorEastAsia"/>
                <w:sz w:val="20"/>
                <w:szCs w:val="20"/>
                <w:lang w:bidi="ar"/>
              </w:rPr>
              <w:br/>
              <w:t xml:space="preserve">8.配套专用实验软件，预设模板，以表格和曲线等形式自动记录数据变化情况，实验结果更直观明显。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催化剂对化学反应速率的影响、金属与酸反应、酶催化的高效性等实验。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50"/>
        </w:trPr>
        <w:tc>
          <w:tcPr>
            <w:gridSpan w:val="2"/>
            <w:shd w:val="clear" w:color="auto" w:fill="b8cce4"/>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高中化学配套仪器实验</w:t>
            </w:r>
            <w:r/>
          </w:p>
        </w:tc>
        <w:tc>
          <w:tcPr>
            <w:shd w:val="clear" w:color="auto" w:fill="b8cce4"/>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支撑杆</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不锈钢，精车加工，防刮伤，φ10-370</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四爪夹</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L=255mm，夹具部分L=100mm，杆部分L=155mm，木质垫片，镀铬，一字手紧</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支撑杆</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L=600mm，一分为二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滤纸</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定性，φ150mm，定制外包装L=152mm，W=152mm，H=22mm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高精度迷你电子秤</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6种单位转换，双托盘，500g，精度0.01，机身尺寸12.7*10.6*1.5cm锈钢拉丝秤盘</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酒精灯</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玻璃，150ml，总高约120mm，瓶身约φ80mm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陶土网</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160mm*160mm，金属，陶土</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三脚架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铁圈内径75mm，高130mm±5mm，铁圈带耳，冲压处理，不可拆卸</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6孔，孔径23mm，L=226mm，W=65mm，H=122mm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试管夹</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榉木，不锈钢防锈弹簧，最大开口宽度22mm，L=175mm(公差0至+3mm)，W=20mm(公差-2mm至+1mm)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试管刷</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刷毛φ=20mm，L=270mm，顶端棉纱</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标签纸</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每张含72个标签，16*22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洗瓶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150ml，塑料</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研钵和研杵</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70ml，陶瓷</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双头药匙</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不锈钢，双头，L=200mm，大头宽15mm，小头宽12mm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记号笔</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黑色，双头，油性防水，L=140mm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称量纸</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100×100mm，500张</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铁圈</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带塑料手紧螺丝，外φ= 80mm，黑色</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支撑环</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锌合金，带塑料手紧螺丝，外φ=110mm，不含塑料手紧螺丝L=220mm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镊子</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不锈钢，圆头头，直嘴，L=125mm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秒表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计时器，XL-008，最长计时24时，71*61*20mm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升降台</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304不锈钢台面,含标贴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乳胶管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内径φ6mm,外径φ10mm,黑色</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gridSpan w:val="2"/>
            <w:shd w:val="clear" w:color="auto" w:fill="b8cce4"/>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高中化学物质及其变化实验</w:t>
            </w:r>
            <w:r/>
          </w:p>
        </w:tc>
        <w:tc>
          <w:tcPr>
            <w:shd w:val="clear" w:color="auto" w:fill="b8cce4"/>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灯座模块</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E10，壳体亚克力材质，4mm香蕉插头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氯化钠药品瓶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硝酸钾药品瓶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氧化铜药品瓶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灯泡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4v，0.08A，E10螺口</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双插座</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1对，黑红</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红色、蓝色导线</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硅胶线，19A，500mm，φ4全铜枪式灯笼头，1平线径</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鳄鱼夹</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内径4mm，L=51mm，可接φ4香蕉插头，防静电，无绝缘胶套，/铁镀镍</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250ml烧杯</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100ml烧杯</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高型，玻璃，100ml，H=90mm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φ=20mm,L=180mm,标口PN19,玻璃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橡胶塞</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15*21*26,1孔,φ7mm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木炭</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25g</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玻璃，烧制，两端烧口，230x55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玻璃，50ml，H=200mm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激光笔</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含：3节纽扣电池</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碳棒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石墨棒，φ=5，L=50mm，4根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gridSpan w:val="2"/>
            <w:shd w:val="clear" w:color="auto" w:fill="b8cce4"/>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高中化学金属及其化合物实验</w:t>
            </w:r>
            <w:r/>
          </w:p>
        </w:tc>
        <w:tc>
          <w:tcPr>
            <w:shd w:val="clear" w:color="auto" w:fill="b8cce4"/>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小刀</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L=175mm，外壳W=18mm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橡胶塞</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15*21*26，1孔，φ7mm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瓷坩埚</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高壁，30ml，壁高46mm，上外径=40mm±0.5mm，下外径25.5mm±0.5mm，盖子外径45.5mm±0.5mm，坩埚壁厚2mm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玻璃漏斗</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 90mm，L=160mm，下管外径9mm±0.5mm，玻璃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红水，内标，量程-10℃~+110℃，φ8mm，L=235mm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铁粉药品瓶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碳酸氢钠药品瓶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透明，小口窄颈，高硼硅，30ml，瓶身直径38mm，H=79mm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碳酸钠粉末药品瓶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氯化钠药品瓶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透明，小口窄颈，高硼硅，30ml，瓶身直径38mm，H=79mm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泥三角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陶瓷管，L=60mm，φ=12mm负</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φ=20mm，L=180mm，标口PN19，玻璃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红色石蕊试纸</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盒装，L=30mm，宽=15mm，h=70mm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坩埚钳</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L=200mm，不锈钢</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玻璃，50ml，H=200mm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白色滴瓶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钴玻璃片</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50mm×50mm，倒角，蓝色</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铂丝棒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铂丝L=40mm，手柄L=180-220mm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玻璃，低型，50ml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玻璃片</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单面磨砂，50*50*2mm，4*C2倒角，高温磨边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集气瓶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玻璃气体收集瓶，250ml，口内径42，边口磨砂，带磨砂玻璃片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玻璃，烧制，两端烧口，155x85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玻璃，烧制，两端烧口，230x55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塑料水槽</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175*175*72mm，扁平方形</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三孔橡胶塞</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46×38×29，白色，梯形，三孔φ=8mm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球形干燥管套件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含球形干燥管、单孔橡胶塞、10cm直管</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gridSpan w:val="2"/>
            <w:shd w:val="clear" w:color="auto" w:fill="b8cce4"/>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高中化学非金属及其化合物（一）实验</w:t>
            </w:r>
            <w:r/>
          </w:p>
        </w:tc>
        <w:tc>
          <w:tcPr>
            <w:shd w:val="clear" w:color="auto" w:fill="b8cce4"/>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集气瓶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玻璃气体收集瓶,250ml,口内径42,边口磨砂,带磨砂玻璃片</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球形,60ml,玻璃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玻璃,烧制,两端烧口，85x60</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玻璃,烧制,两端烧口，230x55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玻璃,烧制,两端烧口，155x85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玻璃,低型,50ml</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玻璃,50ml,H=200mm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100ml,精度0.1mL,塑料盖,口径(12,14)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具支圆底烧瓶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侧臂，100ml</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φ=20mm,L=180mm,标口PN19,玻璃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玻璃,直,L=105mm,φ8mm,吸管嘴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高型,玻璃,100ml,H=90mm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长颈漏斗</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 90mm,L=160mm,下管外径9mm±0.5mm,玻璃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白色滴瓶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玻璃弯管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15×2cm,60度弯管</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有色纸条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有色纸条：50×15mm，500张</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gridSpan w:val="2"/>
            <w:shd w:val="clear" w:color="auto" w:fill="b8cce4"/>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高中化学非金属及其化合物（二）实验</w:t>
            </w:r>
            <w:r/>
          </w:p>
        </w:tc>
        <w:tc>
          <w:tcPr>
            <w:shd w:val="clear" w:color="auto" w:fill="b8cce4"/>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二氧化锰药品瓶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氯化钠药品瓶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硫粉药品瓶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氯化铵药品瓶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氢氧化钙药品瓶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铁粉药品瓶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橡胶塞</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26*32*30mm,2个孔φ=7mm,红色</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三角瓶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玻璃，100ml，H=95mm，标口，口径29</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紫铜片</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紫铜，30×10×0.2mm，10片</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钝角玻璃管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L=50*100mm,d=8mm,钝角角度150°</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橡胶塞</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15*21*26,1孔,φ=7mm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医用棉球</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灭菌脱脂,医用,小号,一包8g,一包10个装,外包装尺寸11.5cm*11.5cm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圆底烧瓶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玻璃，50ml，H=100mm，磨砂标口，口径29mm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蒸发皿</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75ml,φ=80mm,外φ80mm,陶瓷</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针筒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50ML,鲁尔头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坩埚钳</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L=200mm,不锈钢</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托盘天平</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100g,精度0.1g,天平底座L=210mm,W=70mm,天平H=135mm,含砝码盒(5g,10g,20g,50g）</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gridSpan w:val="2"/>
            <w:shd w:val="clear" w:color="auto" w:fill="b8cce4"/>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高中化学物质结构与元素周期律实验</w:t>
            </w:r>
            <w:r/>
          </w:p>
        </w:tc>
        <w:tc>
          <w:tcPr>
            <w:shd w:val="clear" w:color="auto" w:fill="b8cce4"/>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小刀</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L=175mm，外壳W=18mm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玻璃，低型，50ml</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砂纸</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230×92mm，碳化硅材质，2张</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点滴板</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6孔，85×55×10mm，白色， 陶瓷比色板</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白色滴瓶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球形，60ml，玻璃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圆底烧瓶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玻璃，100ml，H=111.5mm±0.5mm，磨砂标口，口径24mm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直形冷凝管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玻璃，冷凝部分管长30cm，磨砂标口，口径24mm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蒸馏头</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玻璃，H=137mm±2mm，磨砂标口，24#*24#*24#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尾接管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玻璃，尾部φ= 10mm，尾部壁厚1.5mm，磨砂标口，口径24mm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红水，内标，量程-10°C~+150°C，φ8mm，L=235mm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橡塞胶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26X19X28，白色，梯形，单孔</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玻璃，250ml，H=146mm，非磨砂标口，口径29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gridSpan w:val="2"/>
            <w:shd w:val="clear" w:color="auto" w:fill="b8cce4"/>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高中化学化学反应与能量实验</w:t>
            </w:r>
            <w:r/>
          </w:p>
        </w:tc>
        <w:tc>
          <w:tcPr>
            <w:shd w:val="clear" w:color="auto" w:fill="b8cce4"/>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红水，内标，量程-10℃~+110℃，φ=8mm，L=235mm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砂纸</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230×92mm，碳化硅材质，2张</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氢氧化钡（八水）药品瓶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氯化铵药品瓶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大理石药品瓶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二氧化锰药品瓶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亚克力板</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100×100×3mm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玻璃，低型，50ml</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铜电极片</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76*40*0.8mm，冲压Cu，紫铜，四角倒钝</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锌电极片</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76*40*0.8mm，冲压Zn</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鳄鱼夹</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内径4mm，L=51mm，可接φ4香蕉插头，防静电，无绝缘胶套，铁镀镍</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红色导线</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硅胶线，19A，500mm，φ4全铜枪式灯笼头，1平线径</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蓝色导线</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硅胶线，19A，500mm，φ4全铜枪式灯笼头，1平线径</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指针式电流表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2.5级，0.6A，3A，香蕉插座</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铁片</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铁，30×10×0.2mm，10片</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铝片</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铝，30×10×0.2mm，10片</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紫铜片</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紫铜，30×10×0.2mm，10片</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碳棒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石墨棒，φ=5，L=50mm，4根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玻璃，50ml，H=200mm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量热器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22201，φ=105*139mm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环形搅拌棒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环外径=20mm，L=200mm，φ=6mm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木片</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7×7cm，1.5mm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gridSpan w:val="2"/>
            <w:shd w:val="clear" w:color="auto" w:fill="b8cce4"/>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高中化学有机化合物实验</w:t>
            </w:r>
            <w:r/>
          </w:p>
        </w:tc>
        <w:tc>
          <w:tcPr>
            <w:shd w:val="clear" w:color="auto" w:fill="b8cce4"/>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φ=20mm，L=180mm，标口PN19，玻璃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牙签</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（一包，两百支）</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直，φ=8mm，壁厚1.5mm±0.05，L=170mm，两端烧口</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橡胶塞</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15*21*26，1孔，φ=7mm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玻璃，低型，50ml</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铜丝</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紫铜，d=0.6mm，1米</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玻璃，烧制，两端烧口，230x55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钝角玻璃管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L=50*100mm，d=8mm，钝角角度150°</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沸石</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颗粒φ=2mm，±1mm，30g</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白色滴瓶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淀粉药品瓶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橡皮泥</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黏土，12色</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0</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gridSpan w:val="2"/>
            <w:shd w:val="clear" w:color="auto" w:fill="b8cce4"/>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高中化学化学反应速率与化学平衡实验</w:t>
            </w:r>
            <w:r/>
          </w:p>
        </w:tc>
        <w:tc>
          <w:tcPr>
            <w:shd w:val="clear" w:color="auto" w:fill="b8cce4"/>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球形，60ml，玻璃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双孔橡胶塞</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26*32*30mm，2个孔φ=7mm，红色</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单孔橡胶塞</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φ26*φ32*30，1波纹孔φ=7mm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锥形瓶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玻璃，250ml，H=135mm，口径=50mm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玻璃，50ml，H=200mm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锌粒药品瓶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铁粉药品瓶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玻璃，低型，50ml</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红水，内标，量程-10℃~+110℃，φ8mm，L=235mm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玻璃，烧制，两端烧口，155x85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针筒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50ML，鲁尔头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二通阀</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白色，带螺帽，LUER考克阀二通开关PC材质透明</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针筒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20ML，鲁尔头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圆底烧瓶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玻璃，50ml，H=100mm，磨砂标口，口径29mm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止水夹</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M4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试剂瓶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透明，小口窄颈，高硼硅，30ml，瓶身直径38mm，H=79mm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gridSpan w:val="2"/>
            <w:shd w:val="clear" w:color="auto" w:fill="b8cce4"/>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高中化学离子反应与平衡实验</w:t>
            </w:r>
            <w:r/>
          </w:p>
        </w:tc>
        <w:tc>
          <w:tcPr>
            <w:shd w:val="clear" w:color="auto" w:fill="b8cce4"/>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试管（16×160mm)</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氯化铁药品瓶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碳酸钠粉末药品瓶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氯化铵药品瓶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硝酸钾药品瓶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无水乙酸钠药品瓶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pH试纸</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pH广泛试纸1-14，规格：7mm*5m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量筒(10mL)</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酸式滴定管</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透明，10mL，玻璃，精度0.05mL，L=464mm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碱式滴定管</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透明，10mL，玻璃，精度0.05mL，带刻度线管部分L=377mm，硅胶管部分L=75mm，尖嘴滴管部分L=72mm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滴定管夹</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双侧，铝制，蝴蝶夹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锥形瓶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100ml，直口</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烧杯（250mL)</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试剂瓶（125mL）</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小口窄颈，高硼硅，125ml，刻度100ml，H=114mm，瓶身φ55mm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氢氧化镁药品瓶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氯化钠药品瓶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硫酸铵药品瓶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试剂瓶（透明，30mL）</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透明，小口窄颈，高硼硅，30ml，瓶身直径38mm，H=79mm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试剂瓶（棕色，30mL）</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棕色，小口窄颈，高硼硅，30ml，瓶身直径38mm，H=79mm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白色滴瓶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gridSpan w:val="2"/>
            <w:shd w:val="clear" w:color="auto" w:fill="b8cce4"/>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高中化学化学反应与电能实验</w:t>
            </w:r>
            <w:r/>
          </w:p>
        </w:tc>
        <w:tc>
          <w:tcPr>
            <w:shd w:val="clear" w:color="auto" w:fill="b8cce4"/>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锌片</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锌，30×10×0.2mm，10片</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铜片</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紫铜，30×10×0.2mm，10片</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电流计</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2.5级，±300μA，香蕉插座</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红色导线</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硅胶线，19A，500mm，φ4全铜枪式灯笼头，1平线径</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蓝色导线</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硅胶线，19A，500mm，φ4全铜枪式灯笼头，1平线径</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鳄鱼夹</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内径4mm，L=51mm，可接φ4香蕉插头，防静电，无绝缘胶套，铁镀镍</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烧杯（150mL)</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玻璃，低型，150ml，H=83mm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碳棒</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石墨棒，φ=5，L=50mm，4根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淀粉碘化钾试纸</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盒装，L=30mm，W=15mm，H=73mm±1mm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具支试管</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玻璃，L=200mm，φ=20mm，具支L=27m±2mm，标口，口径PN19，非磨砂</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橡胶塞</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15*21*26、无孔、红色、梯形</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直角弯管（155×85mm）</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玻璃，烧制，，气泡袋包装，两端烧口TE36701-57-01A，155x85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试管（16×160mm)</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铁钉</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304不锈钢，2.0寸(50mm长)</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锌粒药品瓶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铁片</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铁，30×10×0.2mm，10片，含标贴，50×70mm自封袋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烧杯（250mL)</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砂纸</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230×92mm，碳化硅材质，2张</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白色滴瓶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开关</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单刀单掷开关模块</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盐桥</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含氯化钾溶液、琼脂,比例为1:2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U型管</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玻璃，H=150mm，φ=15mm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gridSpan w:val="2"/>
            <w:shd w:val="clear" w:color="auto" w:fill="b8cce4"/>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高中化学烃和烃的衍生物实验</w:t>
            </w:r>
            <w:r/>
          </w:p>
        </w:tc>
        <w:tc>
          <w:tcPr>
            <w:shd w:val="clear" w:color="auto" w:fill="b8cce4"/>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圆底烧瓶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玻璃，50ml，H=100mm，磨砂标口，口径29mm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分液漏斗</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球形，60ml，玻璃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双孔橡胶塞</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26*32*30mm，2个孔φ=7mm，红色</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单孔橡胶塞</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φ26*φ32*30，1波纹孔φ=7mm，红色</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直角弯管（85×60mm）</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玻璃，烧制，两端烧口，85x60</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直角弯管（230x55）</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玻璃，烧制，两端烧口，230x55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直角弯管（155×</w:t>
            </w:r>
            <w:r>
              <w:rPr>
                <w:rFonts w:hint="eastAsia" w:cs="宋体" w:asciiTheme="minorEastAsia" w:hAnsiTheme="minorEastAsia" w:eastAsiaTheme="minorEastAsia"/>
                <w:sz w:val="20"/>
                <w:szCs w:val="20"/>
                <w:lang w:bidi="ar"/>
              </w:rPr>
              <w:t xml:space="preserve">85mm）</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玻璃，烧制，两端烧口，155x85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具支试管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玻璃，L=200mm，φ=20mm，具支L=27m±2mm，标口，口径PN19，非磨砂</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单孔橡胶塞</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15*21*26，1孔，φ=7mm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试管（16×160mm)</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烧杯（50mL)</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玻璃，低型，50ml</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滴管</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玻璃，直，L= 65 mm，φ8mm，尖嘴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量筒（10mL）</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沸石</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颗粒φ=2mm，±1mm，30g</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氢氧化钠药品瓶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电石药品瓶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30ml，广口，pp试剂瓶，口径24.8mm，L=59.6mm，含标贴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苯酚药品瓶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30ml，广口，pp试剂瓶，口径24.8mm，L=59.7mm，含标贴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烧杯（250mL）</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温度计</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红水，内标，量程-10℃~+110℃，φ8mm，L=235mm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锥形瓶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玻璃，250ml，H=146mm，非磨砂标口，口径29</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钝角玻璃管</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L=50*100mm，d=8mm，钝角角度150°</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试管（20×180mm)</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φ=20mm，L=180mm，标口PN19，玻璃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白色滴瓶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玻璃弯管</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玻璃，60×200×30mm，烧制，两端烧口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gridSpan w:val="2"/>
            <w:shd w:val="clear" w:color="auto" w:fill="b8cce4"/>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高中化学生物大分子和合成高分子实验</w:t>
            </w:r>
            <w:r/>
          </w:p>
        </w:tc>
        <w:tc>
          <w:tcPr>
            <w:shd w:val="clear" w:color="auto" w:fill="b8cce4"/>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c>
          <w:tcPr>
            <w:shd w:val="clear" w:color="auto" w:fill="b8cce4"/>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套</w:t>
            </w:r>
            <w:r/>
          </w:p>
        </w:tc>
        <w:tc>
          <w:tcPr>
            <w:shd w:val="clear" w:color="auto" w:fill="b8cce4"/>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φ16mm，L=160mm，卷口，玻璃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试管</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φ=20mm，L=180mm，标口PN19，玻璃</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量筒</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玻璃，10ml，H=155mm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玻璃，低型，250ml，H=95mm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烧杯</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玻璃，低型，50ml</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碱式滴定管</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透明 ，10mL ，玻璃 ，蓝线 ，精度0.05mL ，带刻度线管部分L=377mm ，硅胶管部分L=75mm ，尖嘴滴管部分L=72mm </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滴定管夹</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双侧 ，铝制 ，蝴蝶夹</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医用棉球</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灭菌脱脂，医用，小号，一包8g，一包10个装</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玻璃棒</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φ=5mm，L=200mm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pH试纸</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pH广泛试纸1-14，规格：7mm*5m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棕色滴瓶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棕色，玻璃，30ml，带1ml胶头，瓶身直径38mm，总高度115mm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78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白色滴瓶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白色，玻璃，30ml，带1ml胶头，瓶身直径38mm，总高度115mm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胶头滴管</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玻璃，L=105mm，带1ml胶头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苯酚药品瓶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小刀</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L=175mm，外壳W=18mm</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高锰酸钾药品瓶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淀粉药品瓶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蔗糖药品瓶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4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葡萄糖药品瓶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30ml，广口，pp试剂瓶，口径24.8mm，L=59.5mm，含标贴</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12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多功能电极支架</w:t>
            </w:r>
            <w:r/>
          </w:p>
        </w:tc>
        <w:tc>
          <w:tcPr>
            <w:shd w:val="clear" w:color="auto" w:fill="ffffff"/>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一.参数：</w:t>
            </w:r>
            <w:r>
              <w:rPr>
                <w:rFonts w:hint="eastAsia" w:cs="宋体" w:asciiTheme="minorEastAsia" w:hAnsiTheme="minorEastAsia" w:eastAsiaTheme="minorEastAsia"/>
                <w:sz w:val="20"/>
                <w:szCs w:val="20"/>
                <w:lang w:bidi="ar"/>
              </w:rPr>
              <w:br/>
              <w:t xml:space="preserve">实验室仪器专用多功能支架，可以应用于台式PH计、电导率仪、离子计等。可以单独使用，多角度旋转。可以同时使用5根传感器探头。可以360度旋转，可以自由伸缩。</w:t>
            </w:r>
            <w:r>
              <w:rPr>
                <w:rFonts w:hint="eastAsia" w:cs="宋体" w:asciiTheme="minorEastAsia" w:hAnsiTheme="minorEastAsia" w:eastAsiaTheme="minorEastAsia"/>
                <w:sz w:val="20"/>
                <w:szCs w:val="20"/>
                <w:lang w:bidi="ar"/>
              </w:rPr>
              <w:br/>
              <w:t xml:space="preserve">二、可完成实验：</w:t>
            </w:r>
            <w:r>
              <w:rPr>
                <w:rFonts w:hint="eastAsia" w:cs="宋体" w:asciiTheme="minorEastAsia" w:hAnsiTheme="minorEastAsia" w:eastAsiaTheme="minorEastAsia"/>
                <w:sz w:val="20"/>
                <w:szCs w:val="20"/>
                <w:lang w:bidi="ar"/>
              </w:rPr>
              <w:br/>
              <w:t xml:space="preserve">1.强电解质和弱电解质在水中电离</w:t>
            </w:r>
            <w:r>
              <w:rPr>
                <w:rFonts w:hint="eastAsia" w:cs="宋体" w:asciiTheme="minorEastAsia" w:hAnsiTheme="minorEastAsia" w:eastAsiaTheme="minorEastAsia"/>
                <w:sz w:val="20"/>
                <w:szCs w:val="20"/>
                <w:lang w:bidi="ar"/>
              </w:rPr>
              <w:br/>
              <w:t xml:space="preserve">2.盐溶液的酸碱性</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3.反应条件对FeCl3水解平衡的影响</w:t>
            </w:r>
            <w:r>
              <w:rPr>
                <w:rFonts w:hint="eastAsia" w:cs="宋体" w:asciiTheme="minorEastAsia" w:hAnsiTheme="minorEastAsia" w:eastAsiaTheme="minorEastAsia"/>
                <w:sz w:val="20"/>
                <w:szCs w:val="20"/>
                <w:lang w:bidi="ar"/>
              </w:rPr>
              <w:br/>
              <w:t xml:space="preserve">4.验证次氯酸光照分解产物的数字化实验。</w:t>
            </w:r>
            <w:r/>
          </w:p>
        </w:tc>
        <w:tc>
          <w:tcPr>
            <w:shd w:val="clear" w:color="auto" w:fill="ffffff"/>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750"/>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恒温水浴锅</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一.参数：</w:t>
            </w:r>
            <w:r>
              <w:rPr>
                <w:rFonts w:hint="eastAsia" w:cs="宋体" w:asciiTheme="minorEastAsia" w:hAnsiTheme="minorEastAsia" w:eastAsiaTheme="minorEastAsia"/>
                <w:sz w:val="20"/>
                <w:szCs w:val="20"/>
                <w:lang w:bidi="ar"/>
              </w:rPr>
              <w:br/>
              <w:t xml:space="preserve">工作室容积：3升。</w:t>
            </w:r>
            <w:r>
              <w:rPr>
                <w:rFonts w:hint="eastAsia" w:cs="宋体" w:asciiTheme="minorEastAsia" w:hAnsiTheme="minorEastAsia" w:eastAsiaTheme="minorEastAsia"/>
                <w:sz w:val="20"/>
                <w:szCs w:val="20"/>
                <w:lang w:bidi="ar"/>
              </w:rPr>
              <w:br/>
              <w:t xml:space="preserve">温控范围：室温～100℃。</w:t>
            </w:r>
            <w:r>
              <w:rPr>
                <w:rFonts w:hint="eastAsia" w:cs="宋体" w:asciiTheme="minorEastAsia" w:hAnsiTheme="minorEastAsia" w:eastAsiaTheme="minorEastAsia"/>
                <w:sz w:val="20"/>
                <w:szCs w:val="20"/>
                <w:lang w:bidi="ar"/>
              </w:rPr>
              <w:br/>
              <w:t xml:space="preserve">加热功率：300W。</w:t>
            </w:r>
            <w:r>
              <w:rPr>
                <w:rFonts w:hint="eastAsia" w:cs="宋体" w:asciiTheme="minorEastAsia" w:hAnsiTheme="minorEastAsia" w:eastAsiaTheme="minorEastAsia"/>
                <w:sz w:val="20"/>
                <w:szCs w:val="20"/>
                <w:lang w:bidi="ar"/>
              </w:rPr>
              <w:br/>
              <w:t xml:space="preserve">电  源：交流220V 50Hz。</w:t>
            </w:r>
            <w:r>
              <w:rPr>
                <w:rFonts w:hint="eastAsia" w:cs="宋体" w:asciiTheme="minorEastAsia" w:hAnsiTheme="minorEastAsia" w:eastAsiaTheme="minorEastAsia"/>
                <w:sz w:val="20"/>
                <w:szCs w:val="20"/>
                <w:lang w:bidi="ar"/>
              </w:rPr>
              <w:br/>
              <w:t xml:space="preserve">工作尺寸：160×160×130mm。</w:t>
            </w:r>
            <w:r>
              <w:rPr>
                <w:rFonts w:hint="eastAsia" w:cs="宋体" w:asciiTheme="minorEastAsia" w:hAnsiTheme="minorEastAsia" w:eastAsiaTheme="minorEastAsia"/>
                <w:sz w:val="20"/>
                <w:szCs w:val="20"/>
                <w:lang w:bidi="ar"/>
              </w:rPr>
              <w:br/>
              <w:t xml:space="preserve">二、可完成实验</w:t>
            </w:r>
            <w:r>
              <w:rPr>
                <w:rFonts w:hint="eastAsia" w:cs="宋体" w:asciiTheme="minorEastAsia" w:hAnsiTheme="minorEastAsia" w:eastAsiaTheme="minorEastAsia"/>
                <w:sz w:val="20"/>
                <w:szCs w:val="20"/>
                <w:lang w:bidi="ar"/>
              </w:rPr>
              <w:br/>
              <w:t xml:space="preserve">1.葡萄糖的银镜反应</w:t>
            </w:r>
            <w:r>
              <w:rPr>
                <w:rFonts w:hint="eastAsia" w:cs="宋体" w:asciiTheme="minorEastAsia" w:hAnsiTheme="minorEastAsia" w:eastAsiaTheme="minorEastAsia"/>
                <w:sz w:val="20"/>
                <w:szCs w:val="20"/>
                <w:lang w:bidi="ar"/>
              </w:rPr>
              <w:br/>
              <w:t xml:space="preserve">2.乙醛的银镜反应</w:t>
            </w:r>
            <w:r>
              <w:rPr>
                <w:rFonts w:hint="eastAsia" w:cs="宋体" w:asciiTheme="minorEastAsia" w:hAnsiTheme="minorEastAsia" w:eastAsiaTheme="minorEastAsia"/>
                <w:sz w:val="20"/>
                <w:szCs w:val="20"/>
                <w:lang w:bidi="ar"/>
              </w:rPr>
              <w:br/>
              <w:t xml:space="preserve">3.葡萄糖</w:t>
            </w:r>
            <w:r>
              <w:rPr>
                <w:rFonts w:hint="eastAsia" w:cs="宋体" w:asciiTheme="minorEastAsia" w:hAnsiTheme="minorEastAsia" w:eastAsiaTheme="minorEastAsia"/>
                <w:sz w:val="20"/>
                <w:szCs w:val="20"/>
                <w:lang w:bidi="ar"/>
              </w:rPr>
              <w:br/>
              <w:t xml:space="preserve">4.糖类的性质</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509"/>
        </w:trPr>
        <w:tc>
          <w:tcPr>
            <w:tcBorders>
              <w:top w:val="single" w:color="000000" w:sz="4" w:space="0"/>
              <w:left w:val="single" w:color="000000" w:sz="4" w:space="0"/>
              <w:bottom w:val="single" w:color="000000" w:sz="4" w:space="0"/>
              <w:right w:val="single" w:color="000000" w:sz="4" w:space="0"/>
            </w:tcBorders>
            <w:tcW w:w="223"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无线智能电导率传感器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导率传感器内置电导率、温度两种传感器模块，无需连接数据采集器，通过蓝牙直连电脑、手机或平板等终端可直接进行数据采集，在终端上实时显示并记录电导率/温度的变化，绘制电导率/温度-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由传感器主体和前端电导率探头连接构成。主体正面有电源按钮、电源和蓝牙指示灯、传感器名称；背面有蓝牙编号及电池仓，机身外壳与电池仓用密封圈密封。</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2.传感器与数据采集终端（电脑、平板或手机）直接通过蓝牙无线连接，便于运动情况下的数据测量及各种实验环境中的数据采集，无需数据采集器；传感器两种测量二合一，可测量电导率、温度。 </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3.可脱机进行数据采集。 </w:t>
            </w:r>
            <w:r>
              <w:rPr>
                <w:rFonts w:hint="eastAsia" w:cs="宋体" w:asciiTheme="minorEastAsia" w:hAnsiTheme="minorEastAsia" w:eastAsiaTheme="minorEastAsia"/>
                <w:sz w:val="20"/>
                <w:szCs w:val="20"/>
                <w:lang w:bidi="ar"/>
              </w:rPr>
              <w:br/>
              <w:t xml:space="preserve">4.传感器具有唯一蓝牙编号，便于数据终端选择性连接。 </w:t>
            </w:r>
            <w:r>
              <w:rPr>
                <w:rFonts w:hint="eastAsia" w:cs="宋体" w:asciiTheme="minorEastAsia" w:hAnsiTheme="minorEastAsia" w:eastAsiaTheme="minorEastAsia"/>
                <w:sz w:val="20"/>
                <w:szCs w:val="20"/>
                <w:lang w:bidi="ar"/>
              </w:rPr>
              <w:br/>
              <w:t xml:space="preserve">5.使用纽扣电池，电池可更换，一枚电池可正常课堂使用2年。 </w:t>
            </w:r>
            <w:r>
              <w:rPr>
                <w:rFonts w:hint="eastAsia" w:cs="宋体" w:asciiTheme="minorEastAsia" w:hAnsiTheme="minorEastAsia" w:eastAsiaTheme="minorEastAsia"/>
                <w:sz w:val="20"/>
                <w:szCs w:val="20"/>
                <w:lang w:bidi="ar"/>
              </w:rPr>
              <w:br/>
              <w:t xml:space="preserve">6.测量数据可用于测定总溶解固体。 </w:t>
            </w:r>
            <w:r>
              <w:rPr>
                <w:rFonts w:hint="eastAsia" w:cs="宋体" w:asciiTheme="minorEastAsia" w:hAnsiTheme="minorEastAsia" w:eastAsiaTheme="minorEastAsia"/>
                <w:sz w:val="20"/>
                <w:szCs w:val="20"/>
                <w:lang w:bidi="ar"/>
              </w:rPr>
              <w:br/>
              <w:t xml:space="preserve">7.传感器会自动进行温度补偿。 </w:t>
            </w:r>
            <w:r>
              <w:rPr>
                <w:rFonts w:hint="eastAsia" w:cs="宋体" w:asciiTheme="minorEastAsia" w:hAnsiTheme="minorEastAsia" w:eastAsiaTheme="minorEastAsia"/>
                <w:sz w:val="20"/>
                <w:szCs w:val="20"/>
                <w:lang w:bidi="ar"/>
              </w:rPr>
              <w:br/>
              <w:t xml:space="preserve">8.可实现标定功能。 </w:t>
            </w:r>
            <w:r>
              <w:rPr>
                <w:rFonts w:hint="eastAsia" w:cs="宋体" w:asciiTheme="minorEastAsia" w:hAnsiTheme="minorEastAsia" w:eastAsiaTheme="minorEastAsia"/>
                <w:sz w:val="20"/>
                <w:szCs w:val="20"/>
                <w:lang w:bidi="ar"/>
              </w:rPr>
              <w:br/>
              <w:t xml:space="preserve">9.连接方式：蓝牙无线。 </w:t>
            </w:r>
            <w:r>
              <w:rPr>
                <w:rFonts w:hint="eastAsia" w:cs="宋体" w:asciiTheme="minorEastAsia" w:hAnsiTheme="minorEastAsia" w:eastAsiaTheme="minorEastAsia"/>
                <w:sz w:val="20"/>
                <w:szCs w:val="20"/>
                <w:lang w:bidi="ar"/>
              </w:rPr>
              <w:br/>
              <w:t xml:space="preserve">10.节能方式：传感器打开电源，但无连接或连接无活动，几分钟后自动关闭电源。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电导率：</w:t>
            </w:r>
            <w:r>
              <w:rPr>
                <w:rFonts w:hint="eastAsia" w:cs="宋体" w:asciiTheme="minorEastAsia" w:hAnsiTheme="minorEastAsia" w:eastAsiaTheme="minorEastAsia"/>
                <w:sz w:val="20"/>
                <w:szCs w:val="20"/>
                <w:lang w:bidi="ar"/>
              </w:rPr>
              <w:br/>
              <w:t xml:space="preserve">1.量程：0~20000μS/cm</w:t>
            </w:r>
            <w:r>
              <w:rPr>
                <w:rFonts w:hint="eastAsia" w:cs="宋体" w:asciiTheme="minorEastAsia" w:hAnsiTheme="minorEastAsia" w:eastAsiaTheme="minorEastAsia"/>
                <w:sz w:val="20"/>
                <w:szCs w:val="20"/>
                <w:lang w:bidi="ar"/>
              </w:rPr>
              <w:br/>
              <w:t xml:space="preserve">2.分辨率：8μS/cm</w:t>
            </w:r>
            <w:r>
              <w:rPr>
                <w:rFonts w:hint="eastAsia" w:cs="宋体" w:asciiTheme="minorEastAsia" w:hAnsiTheme="minorEastAsia" w:eastAsiaTheme="minorEastAsia"/>
                <w:sz w:val="20"/>
                <w:szCs w:val="20"/>
                <w:lang w:bidi="ar"/>
              </w:rPr>
              <w:br/>
              <w:t xml:space="preserve">3.精度：±3%F.S</w:t>
            </w:r>
            <w:r>
              <w:rPr>
                <w:rFonts w:hint="eastAsia" w:cs="宋体" w:asciiTheme="minorEastAsia" w:hAnsiTheme="minorEastAsia" w:eastAsiaTheme="minorEastAsia"/>
                <w:sz w:val="20"/>
                <w:szCs w:val="20"/>
                <w:lang w:bidi="ar"/>
              </w:rPr>
              <w:br/>
              <w:t xml:space="preserve">温度：</w:t>
            </w:r>
            <w:r>
              <w:rPr>
                <w:rFonts w:hint="eastAsia" w:cs="宋体" w:asciiTheme="minorEastAsia" w:hAnsiTheme="minorEastAsia" w:eastAsiaTheme="minorEastAsia"/>
                <w:sz w:val="20"/>
                <w:szCs w:val="20"/>
                <w:lang w:bidi="ar"/>
              </w:rPr>
              <w:br/>
              <w:t xml:space="preserve">1.量程：0~60℃   </w:t>
            </w:r>
            <w:r>
              <w:rPr>
                <w:rFonts w:hint="eastAsia" w:cs="宋体" w:asciiTheme="minorEastAsia" w:hAnsiTheme="minorEastAsia" w:eastAsiaTheme="minorEastAsia"/>
                <w:sz w:val="20"/>
                <w:szCs w:val="20"/>
                <w:lang w:bidi="ar"/>
              </w:rPr>
              <w:br/>
              <w:t xml:space="preserve">2.分辨率：0.1℃  </w:t>
            </w:r>
            <w:r>
              <w:rPr>
                <w:rFonts w:hint="eastAsia" w:cs="宋体" w:asciiTheme="minorEastAsia" w:hAnsiTheme="minorEastAsia" w:eastAsiaTheme="minorEastAsia"/>
                <w:sz w:val="20"/>
                <w:szCs w:val="20"/>
                <w:lang w:bidi="ar"/>
              </w:rPr>
              <w:br/>
              <w:t xml:space="preserve">3.精度：0.5℃</w:t>
            </w:r>
            <w:r>
              <w:rPr>
                <w:rFonts w:hint="eastAsia" w:cs="宋体" w:asciiTheme="minorEastAsia" w:hAnsiTheme="minorEastAsia" w:eastAsiaTheme="minorEastAsia"/>
                <w:sz w:val="20"/>
                <w:szCs w:val="20"/>
                <w:lang w:bidi="ar"/>
              </w:rPr>
              <w:br/>
              <w:t xml:space="preserve">4.采样速率：10次/秒</w:t>
            </w:r>
            <w:r>
              <w:rPr>
                <w:rFonts w:hint="eastAsia" w:cs="宋体" w:asciiTheme="minorEastAsia" w:hAnsiTheme="minorEastAsia" w:eastAsiaTheme="minorEastAsia"/>
                <w:sz w:val="20"/>
                <w:szCs w:val="20"/>
                <w:lang w:bidi="ar"/>
              </w:rPr>
              <w:br/>
              <w:t xml:space="preserve">5.连续使用时间：≥120小时</w:t>
            </w:r>
            <w:r>
              <w:rPr>
                <w:rFonts w:hint="eastAsia" w:cs="宋体" w:asciiTheme="minorEastAsia" w:hAnsiTheme="minorEastAsia" w:eastAsiaTheme="minorEastAsia"/>
                <w:sz w:val="20"/>
                <w:szCs w:val="20"/>
                <w:lang w:bidi="ar"/>
              </w:rPr>
              <w:br/>
              <w:t xml:space="preserve">6.防水等级：IP67</w:t>
            </w:r>
            <w:r>
              <w:rPr>
                <w:rFonts w:hint="eastAsia" w:cs="宋体" w:asciiTheme="minorEastAsia" w:hAnsiTheme="minorEastAsia" w:eastAsiaTheme="minorEastAsia"/>
                <w:sz w:val="20"/>
                <w:szCs w:val="20"/>
                <w:lang w:bidi="ar"/>
              </w:rPr>
              <w:br/>
              <w:t xml:space="preserve">7.通讯距离：≥30m（空旷无遮挡）</w:t>
            </w:r>
            <w:r>
              <w:rPr>
                <w:rFonts w:hint="eastAsia" w:cs="宋体" w:asciiTheme="minorEastAsia" w:hAnsiTheme="minorEastAsia" w:eastAsiaTheme="minorEastAsia"/>
                <w:sz w:val="20"/>
                <w:szCs w:val="20"/>
                <w:lang w:bidi="ar"/>
              </w:rPr>
              <w:br/>
              <w:t xml:space="preserve">8.电池型号：CR2032</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观察氢氧化钙与二氧化碳的反应、测量溶液的电导率、试验物质的导电性、渗透研究等实验。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bl>
    <w:p>
      <w:pPr>
        <w:rPr>
          <w:rFonts w:hint="eastAsia" w:cs="宋体" w:asciiTheme="minorEastAsia" w:hAnsiTheme="minorEastAsia" w:eastAsiaTheme="minorEastAsia"/>
          <w:sz w:val="20"/>
          <w:szCs w:val="20"/>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cs="宋体" w:asciiTheme="minorEastAsia" w:hAnsiTheme="minorEastAsia" w:eastAsiaTheme="minorEastAsia"/>
          <w:sz w:val="20"/>
          <w:szCs w:val="20"/>
        </w:rPr>
      </w:r>
      <w:r/>
    </w:p>
    <w:p>
      <w:pPr>
        <w:rPr>
          <w:rFonts w:hint="eastAsia" w:cs="宋体" w:asciiTheme="minorEastAsia" w:hAnsiTheme="minorEastAsia" w:eastAsiaTheme="minorEastAsia"/>
          <w:sz w:val="32"/>
        </w:rPr>
      </w:pPr>
      <w:r>
        <w:rPr>
          <w:rFonts w:hint="eastAsia" w:cs="宋体" w:asciiTheme="minorEastAsia" w:hAnsiTheme="minorEastAsia" w:eastAsiaTheme="minorEastAsia"/>
          <w:b/>
          <w:bCs/>
          <w:sz w:val="28"/>
          <w:szCs w:val="20"/>
          <w:lang w:bidi="ar"/>
        </w:rPr>
        <w:t xml:space="preserve">高中生物数字化探究演示系统</w:t>
      </w:r>
      <w:r/>
    </w:p>
    <w:tbl>
      <w:tblPr>
        <w:tblW w:w="4993" w:type="pct"/>
        <w:tblLook w:val="0000" w:firstRow="0" w:lastRow="0" w:firstColumn="0" w:lastColumn="0" w:noHBand="0" w:noVBand="0"/>
      </w:tblPr>
      <w:tblGrid>
        <w:gridCol w:w="419"/>
        <w:gridCol w:w="419"/>
        <w:gridCol w:w="5508"/>
        <w:gridCol w:w="850"/>
        <w:gridCol w:w="1135"/>
        <w:gridCol w:w="1285"/>
      </w:tblGrid>
      <w:tr>
        <w:trPr>
          <w:trHeight w:val="450"/>
          <w:tblHeader/>
        </w:trPr>
        <w:tc>
          <w:tcPr>
            <w:shd w:val="clear" w:color="auto" w:fill="dce6f1"/>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序号</w:t>
            </w:r>
            <w:r/>
          </w:p>
        </w:tc>
        <w:tc>
          <w:tcPr>
            <w:shd w:val="clear" w:color="auto" w:fill="dce6f1"/>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产品名称</w:t>
            </w:r>
            <w:r/>
          </w:p>
        </w:tc>
        <w:tc>
          <w:tcPr>
            <w:shd w:val="clear" w:color="auto" w:fill="dce6f1"/>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技术参数</w:t>
            </w:r>
            <w:r/>
          </w:p>
        </w:tc>
        <w:tc>
          <w:tcPr>
            <w:shd w:val="clear" w:color="auto" w:fill="dce6f1"/>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单位</w:t>
            </w:r>
            <w:r/>
          </w:p>
        </w:tc>
        <w:tc>
          <w:tcPr>
            <w:shd w:val="clear" w:color="auto" w:fill="dce6f1"/>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数量</w:t>
            </w:r>
            <w:r/>
          </w:p>
        </w:tc>
        <w:tc>
          <w:tcPr>
            <w:shd w:val="clear" w:color="auto" w:fill="dce6f1"/>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lang w:bidi="ar"/>
              </w:rPr>
              <w:t xml:space="preserve">备注</w:t>
            </w:r>
            <w:r/>
          </w:p>
        </w:tc>
      </w:tr>
      <w:tr>
        <w:trPr>
          <w:trHeight w:val="450"/>
        </w:trPr>
        <w:tc>
          <w:tcPr>
            <w:gridSpan w:val="6"/>
            <w:shd w:val="clear" w:color="auto" w:fill="b8cce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教师端传感器</w:t>
            </w:r>
            <w:r/>
          </w:p>
        </w:tc>
      </w:tr>
      <w:tr>
        <w:trPr>
          <w:trHeight w:val="2095"/>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数字化实验系统</w:t>
            </w:r>
            <w:r/>
          </w:p>
        </w:tc>
        <w:tc>
          <w:tcPr>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支持实验设计、数据采集和保存、数据分析计算等，是一款功能强大的教学用实验数据处理软件。</w:t>
            </w:r>
            <w:r>
              <w:rPr>
                <w:rFonts w:hint="eastAsia" w:cs="宋体" w:asciiTheme="minorEastAsia" w:hAnsiTheme="minorEastAsia" w:eastAsiaTheme="minorEastAsia"/>
                <w:sz w:val="20"/>
                <w:szCs w:val="20"/>
                <w:lang w:bidi="ar"/>
              </w:rPr>
              <w:br/>
              <w:t xml:space="preserve">功能：</w:t>
            </w:r>
            <w:r>
              <w:rPr>
                <w:rFonts w:hint="eastAsia" w:cs="宋体" w:asciiTheme="minorEastAsia" w:hAnsiTheme="minorEastAsia" w:eastAsiaTheme="minorEastAsia"/>
                <w:sz w:val="20"/>
                <w:szCs w:val="20"/>
                <w:lang w:bidi="ar"/>
              </w:rPr>
              <w:br/>
              <w:t xml:space="preserve">1.支持Windows、Android、iOS/iPadOS、MacOS、 Linux、Harmony OS、统信UOS。</w:t>
            </w:r>
            <w:r>
              <w:rPr>
                <w:rFonts w:hint="eastAsia" w:cs="宋体" w:asciiTheme="minorEastAsia" w:hAnsiTheme="minorEastAsia" w:eastAsiaTheme="minorEastAsia"/>
                <w:sz w:val="20"/>
                <w:szCs w:val="20"/>
                <w:lang w:bidi="ar"/>
              </w:rPr>
              <w:br/>
              <w:t xml:space="preserve">2.支持有线连接，无线蓝牙连接。</w:t>
            </w:r>
            <w:r>
              <w:rPr>
                <w:rFonts w:hint="eastAsia" w:cs="宋体" w:asciiTheme="minorEastAsia" w:hAnsiTheme="minorEastAsia" w:eastAsiaTheme="minorEastAsia"/>
                <w:sz w:val="20"/>
                <w:szCs w:val="20"/>
                <w:lang w:bidi="ar"/>
              </w:rPr>
              <w:br/>
              <w:t xml:space="preserve">3.支持传感器自动识别。</w:t>
            </w:r>
            <w:r>
              <w:rPr>
                <w:rFonts w:hint="eastAsia" w:cs="宋体" w:asciiTheme="minorEastAsia" w:hAnsiTheme="minorEastAsia" w:eastAsiaTheme="minorEastAsia"/>
                <w:sz w:val="20"/>
                <w:szCs w:val="20"/>
                <w:lang w:bidi="ar"/>
              </w:rPr>
              <w:br/>
              <w:t xml:space="preserve">4.可连接多个采集器，并支持多个采集器同时工作。</w:t>
            </w:r>
            <w:r>
              <w:rPr>
                <w:rFonts w:hint="eastAsia" w:cs="宋体" w:asciiTheme="minorEastAsia" w:hAnsiTheme="minorEastAsia" w:eastAsiaTheme="minorEastAsia"/>
                <w:sz w:val="20"/>
                <w:szCs w:val="20"/>
                <w:lang w:bidi="ar"/>
              </w:rPr>
              <w:br/>
              <w:t xml:space="preserve">5.可支持20个传感器同时采集。</w:t>
            </w:r>
            <w:r>
              <w:rPr>
                <w:rFonts w:hint="eastAsia" w:cs="宋体" w:asciiTheme="minorEastAsia" w:hAnsiTheme="minorEastAsia" w:eastAsiaTheme="minorEastAsia"/>
                <w:sz w:val="20"/>
                <w:szCs w:val="20"/>
                <w:lang w:bidi="ar"/>
              </w:rPr>
              <w:br/>
              <w:t xml:space="preserve">6.通过坐标图像曲线、表格、数值、仪表盘等方式，实时、直观、精确显示实验数据。</w:t>
            </w:r>
            <w:r>
              <w:rPr>
                <w:rFonts w:hint="eastAsia" w:cs="宋体" w:asciiTheme="minorEastAsia" w:hAnsiTheme="minorEastAsia" w:eastAsiaTheme="minorEastAsia"/>
                <w:sz w:val="20"/>
                <w:szCs w:val="20"/>
                <w:lang w:bidi="ar"/>
              </w:rPr>
              <w:br/>
              <w:t xml:space="preserve">7.根据实验需要，可进行公式（变量）编辑，自主添加实验变量（或增量等），并通过公式编辑实现不同物理量之间的转换。</w:t>
            </w:r>
            <w:r>
              <w:rPr>
                <w:rFonts w:hint="eastAsia" w:cs="宋体" w:asciiTheme="minorEastAsia" w:hAnsiTheme="minorEastAsia" w:eastAsiaTheme="minorEastAsia"/>
                <w:sz w:val="20"/>
                <w:szCs w:val="20"/>
                <w:lang w:bidi="ar"/>
              </w:rPr>
              <w:br/>
              <w:t xml:space="preserve">8.可对数据图表操作，包括对图表内数据曲线的移动、缩放、改变曲线颜色及大小等，便于实验前后的数据分析处理，适合于教学中实验结果的精确测定与验证。</w:t>
            </w:r>
            <w:r>
              <w:rPr>
                <w:rFonts w:hint="eastAsia" w:cs="宋体" w:asciiTheme="minorEastAsia" w:hAnsiTheme="minorEastAsia" w:eastAsiaTheme="minorEastAsia"/>
                <w:sz w:val="20"/>
                <w:szCs w:val="20"/>
                <w:lang w:bidi="ar"/>
              </w:rPr>
              <w:br/>
              <w:t xml:space="preserve">9.具有完善的数据处理功能，包含多种数据拟合：直线拟合、抛物线拟合、倒数拟合、积分、重叠显示等。</w:t>
            </w:r>
            <w:r>
              <w:rPr>
                <w:rFonts w:hint="eastAsia" w:cs="宋体" w:asciiTheme="minorEastAsia" w:hAnsiTheme="minorEastAsia" w:eastAsiaTheme="minorEastAsia"/>
                <w:sz w:val="20"/>
                <w:szCs w:val="20"/>
                <w:lang w:bidi="ar"/>
              </w:rPr>
              <w:br/>
              <w:t xml:space="preserve">10.实验结果以图片等不同方式进行保存。</w:t>
            </w:r>
            <w:r>
              <w:rPr>
                <w:rFonts w:hint="eastAsia" w:cs="宋体" w:asciiTheme="minorEastAsia" w:hAnsiTheme="minorEastAsia" w:eastAsiaTheme="minorEastAsia"/>
                <w:sz w:val="20"/>
                <w:szCs w:val="20"/>
                <w:lang w:bidi="ar"/>
              </w:rPr>
              <w:br/>
              <w:t xml:space="preserve">11.包含小学科学、初中物理、初中化学、初中生物、高中物理、高中生物、高中化学7个专用实验模块，超过150个实验专有模板，全定制化的实验界面及实验操作，贴合教学过程。</w:t>
            </w:r>
            <w:r>
              <w:rPr>
                <w:rFonts w:hint="eastAsia" w:cs="宋体" w:asciiTheme="minorEastAsia" w:hAnsiTheme="minorEastAsia" w:eastAsiaTheme="minorEastAsia"/>
                <w:sz w:val="20"/>
                <w:szCs w:val="20"/>
                <w:lang w:bidi="ar"/>
              </w:rPr>
              <w:br/>
              <w:t xml:space="preserve">12.软件可关联“在线实验设计平台”，通过注册和登录，登录之后可使用“在线实验设计平台”，体验功能更为强大的实验自主设计软件。</w:t>
            </w:r>
            <w:r>
              <w:rPr>
                <w:rFonts w:hint="eastAsia" w:cs="宋体" w:asciiTheme="minorEastAsia" w:hAnsiTheme="minorEastAsia" w:eastAsiaTheme="minorEastAsia"/>
                <w:sz w:val="20"/>
                <w:szCs w:val="20"/>
                <w:lang w:bidi="ar"/>
              </w:rPr>
              <w:br/>
              <w:t xml:space="preserve">13.通用界面支持多种功能风格显示，并且可自定义界面风格。</w:t>
            </w:r>
            <w:r>
              <w:rPr>
                <w:rFonts w:hint="eastAsia" w:cs="宋体" w:asciiTheme="minorEastAsia" w:hAnsiTheme="minorEastAsia" w:eastAsiaTheme="minorEastAsia"/>
                <w:sz w:val="20"/>
                <w:szCs w:val="20"/>
                <w:lang w:bidi="ar"/>
              </w:rPr>
              <w:br/>
              <w:t xml:space="preserve">▲14、提供丰富完整的在线实验教学案例，资源数量不少于700个。提供能在国家市场监督总局认证服务平台查询到报告编号的封面有CMA和CNAS标志的检测报告和相关网页截图材料佐证。</w:t>
            </w:r>
            <w:r>
              <w:rPr>
                <w:rFonts w:hint="eastAsia" w:cs="宋体" w:asciiTheme="minorEastAsia" w:hAnsiTheme="minorEastAsia" w:eastAsiaTheme="minorEastAsia"/>
                <w:sz w:val="20"/>
                <w:szCs w:val="20"/>
                <w:lang w:bidi="ar"/>
              </w:rPr>
              <w:br/>
              <w:t xml:space="preserve">▲15、提供丰富的在线实验视频，视频数量不少于150个。提供能在国家市场监督总局认证服务平台查询到报告编号的封面有CMA和CNAS标志的检测报告和相关网页截图材料佐证。                                                                                                              </w:t>
            </w:r>
            <w:r>
              <w:rPr>
                <w:rFonts w:hint="eastAsia" w:cs="宋体" w:asciiTheme="minorEastAsia" w:hAnsiTheme="minorEastAsia" w:eastAsiaTheme="minorEastAsia"/>
                <w:sz w:val="20"/>
                <w:szCs w:val="20"/>
                <w:lang w:bidi="ar"/>
              </w:rPr>
              <w:br/>
              <w:t xml:space="preserve">▲16、在线实验视频既可以通过自有平台浏览，同时也可以通过第三方平台浏览。提供能在国家市场监督总局认证服务平台查询到报告编号的封面有CMA和CNAS标志的检测报告和相关网页截图材料佐证。</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b/>
                <w:bCs/>
                <w:sz w:val="20"/>
                <w:szCs w:val="20"/>
              </w:rPr>
            </w:pPr>
            <w:r>
              <w:rPr>
                <w:rFonts w:hint="eastAsia" w:cs="宋体" w:asciiTheme="minorEastAsia" w:hAnsiTheme="minorEastAsia" w:eastAsiaTheme="minorEastAsia"/>
                <w:b/>
                <w:bCs/>
                <w:sz w:val="20"/>
                <w:szCs w:val="20"/>
              </w:rPr>
            </w:r>
            <w:r/>
          </w:p>
        </w:tc>
      </w:tr>
      <w:tr>
        <w:trPr>
          <w:trHeight w:val="3775"/>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无线智能pH传感器</w:t>
            </w:r>
            <w:r/>
          </w:p>
        </w:tc>
        <w:tc>
          <w:tcPr>
            <w:shd w:val="clear" w:color="auto" w:fill="ffffff"/>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pH传感器无需连接数据采集器，通过蓝牙直连电脑、手机或平板等终端可直接进行数据采集，在终端上实时显示并记录pH值的变化，绘制pH-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由传感器主体和pH探头构成。主体正面有电源按钮、电源和蓝牙指示灯、传感器名称；背面有蓝牙编号及电池仓，机身外壳与电池仓用密封圈密封。主体前端为BNC接口，可与pH探头连接用于测量溶液pH值。</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1.用于测量溶液的pH值。</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 </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 </w:t>
            </w:r>
            <w:r>
              <w:rPr>
                <w:rFonts w:hint="eastAsia" w:cs="宋体" w:asciiTheme="minorEastAsia" w:hAnsiTheme="minorEastAsia" w:eastAsiaTheme="minorEastAsia"/>
                <w:sz w:val="20"/>
                <w:szCs w:val="20"/>
                <w:lang w:bidi="ar"/>
              </w:rPr>
              <w:br/>
              <w:t xml:space="preserve">6.使用纽扣电池，电池可更换，一枚电池可正常课堂使用1年以上。</w:t>
            </w:r>
            <w:r>
              <w:rPr>
                <w:rFonts w:hint="eastAsia" w:cs="宋体" w:asciiTheme="minorEastAsia" w:hAnsiTheme="minorEastAsia" w:eastAsiaTheme="minorEastAsia"/>
                <w:sz w:val="20"/>
                <w:szCs w:val="20"/>
                <w:lang w:bidi="ar"/>
              </w:rPr>
              <w:br/>
              <w:t xml:space="preserve">7.可实现标定功能。 </w:t>
            </w:r>
            <w:r>
              <w:rPr>
                <w:rFonts w:hint="eastAsia" w:cs="宋体" w:asciiTheme="minorEastAsia" w:hAnsiTheme="minorEastAsia" w:eastAsiaTheme="minorEastAsia"/>
                <w:sz w:val="20"/>
                <w:szCs w:val="20"/>
                <w:lang w:bidi="ar"/>
              </w:rPr>
              <w:br/>
              <w:t xml:space="preserve">8.连接方式：蓝牙无线。 </w:t>
            </w:r>
            <w:r>
              <w:rPr>
                <w:rFonts w:hint="eastAsia" w:cs="宋体" w:asciiTheme="minorEastAsia" w:hAnsiTheme="minorEastAsia" w:eastAsiaTheme="minorEastAsia"/>
                <w:sz w:val="20"/>
                <w:szCs w:val="20"/>
                <w:lang w:bidi="ar"/>
              </w:rPr>
              <w:br/>
              <w:t xml:space="preserve">9.节能方式：传感器打开电源，但无连接或连接无活动，几分钟后自动关闭电源。 </w:t>
            </w:r>
            <w:r>
              <w:rPr>
                <w:rFonts w:hint="eastAsia" w:cs="宋体" w:asciiTheme="minorEastAsia" w:hAnsiTheme="minorEastAsia" w:eastAsiaTheme="minorEastAsia"/>
                <w:sz w:val="20"/>
                <w:szCs w:val="20"/>
                <w:lang w:bidi="ar"/>
              </w:rPr>
              <w:br/>
              <w:t xml:space="preserve">10.支持固件空中升级。</w:t>
            </w:r>
            <w:r>
              <w:rPr>
                <w:rFonts w:hint="eastAsia" w:cs="宋体" w:asciiTheme="minorEastAsia" w:hAnsiTheme="minorEastAsia" w:eastAsiaTheme="minorEastAsia"/>
                <w:sz w:val="20"/>
                <w:szCs w:val="20"/>
                <w:lang w:bidi="ar"/>
              </w:rPr>
              <w:br/>
              <w:t xml:space="preserve">11.支持平台：Windows、Android、iOS/iPadOS、MacOS、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1.量程：0~14</w:t>
            </w:r>
            <w:r>
              <w:rPr>
                <w:rFonts w:hint="eastAsia" w:cs="宋体" w:asciiTheme="minorEastAsia" w:hAnsiTheme="minorEastAsia" w:eastAsiaTheme="minorEastAsia"/>
                <w:sz w:val="20"/>
                <w:szCs w:val="20"/>
                <w:lang w:bidi="ar"/>
              </w:rPr>
              <w:br/>
              <w:t xml:space="preserve">2.分辨率：0.01</w:t>
            </w:r>
            <w:r>
              <w:rPr>
                <w:rFonts w:hint="eastAsia" w:cs="宋体" w:asciiTheme="minorEastAsia" w:hAnsiTheme="minorEastAsia" w:eastAsiaTheme="minorEastAsia"/>
                <w:sz w:val="20"/>
                <w:szCs w:val="20"/>
                <w:lang w:bidi="ar"/>
              </w:rPr>
              <w:br/>
              <w:t xml:space="preserve">3.采样速率：100次/秒</w:t>
            </w:r>
            <w:r>
              <w:rPr>
                <w:rFonts w:hint="eastAsia" w:cs="宋体" w:asciiTheme="minorEastAsia" w:hAnsiTheme="minorEastAsia" w:eastAsiaTheme="minorEastAsia"/>
                <w:sz w:val="20"/>
                <w:szCs w:val="20"/>
                <w:lang w:bidi="ar"/>
              </w:rPr>
              <w:br/>
              <w:t xml:space="preserve">4.连续使用时间：≥120小时</w:t>
            </w:r>
            <w:r>
              <w:rPr>
                <w:rFonts w:hint="eastAsia" w:cs="宋体" w:asciiTheme="minorEastAsia" w:hAnsiTheme="minorEastAsia" w:eastAsiaTheme="minorEastAsia"/>
                <w:sz w:val="20"/>
                <w:szCs w:val="20"/>
                <w:lang w:bidi="ar"/>
              </w:rPr>
              <w:br/>
              <w:t xml:space="preserve">5.防水等级：IP67</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7.电池型号：CR2032</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探究二氧化碳的性质、二氧化碳的溶解性实验、比较不同盐溶液的酸碱性、观察氢氧化钠与二氧化碳的反应、酸碱中和反应、探究洗发剂和护发剂的酸碱性、钠与水的反应、测量盐溶液的酸碱性、强酸和强碱的中和滴定、酸雨对生物的影响、影响酶活性的条件等实验。</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975"/>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无线智能温度传感器</w:t>
            </w:r>
            <w:r/>
          </w:p>
        </w:tc>
        <w:tc>
          <w:tcPr>
            <w:shd w:val="clear" w:color="auto" w:fill="ffffff"/>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由传感器主体和前端探头连接构成。主体正面有电源按钮、电源和蓝牙指示灯、传感器名称；背面有蓝牙编号及电池仓，机身外壳与电池仓用密封圈密封。</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1.用于测量物体表面、气体、酸碱等液体的温度。</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6.使用纽扣电池，电池可更换，一枚电池可正常课堂使用1年以上。</w:t>
            </w:r>
            <w:r>
              <w:rPr>
                <w:rFonts w:hint="eastAsia" w:cs="宋体" w:asciiTheme="minorEastAsia" w:hAnsiTheme="minorEastAsia" w:eastAsiaTheme="minorEastAsia"/>
                <w:sz w:val="20"/>
                <w:szCs w:val="20"/>
                <w:lang w:bidi="ar"/>
              </w:rPr>
              <w:br/>
              <w:t xml:space="preserve">7.测量灵敏、精确，反应快速，包括对微小温度变化的快速采样。</w:t>
            </w:r>
            <w:r>
              <w:rPr>
                <w:rFonts w:hint="eastAsia" w:cs="宋体" w:asciiTheme="minorEastAsia" w:hAnsiTheme="minorEastAsia" w:eastAsiaTheme="minorEastAsia"/>
                <w:sz w:val="20"/>
                <w:szCs w:val="20"/>
                <w:lang w:bidi="ar"/>
              </w:rPr>
              <w:br/>
              <w:t xml:space="preserve">8.无需校准，即连即用。</w:t>
            </w:r>
            <w:r>
              <w:rPr>
                <w:rFonts w:hint="eastAsia" w:cs="宋体" w:asciiTheme="minorEastAsia" w:hAnsiTheme="minorEastAsia" w:eastAsiaTheme="minorEastAsia"/>
                <w:sz w:val="20"/>
                <w:szCs w:val="20"/>
                <w:lang w:bidi="ar"/>
              </w:rPr>
              <w:br/>
              <w:t xml:space="preserve">9.连接方式：蓝牙无线。</w:t>
            </w:r>
            <w:r>
              <w:rPr>
                <w:rFonts w:hint="eastAsia" w:cs="宋体" w:asciiTheme="minorEastAsia" w:hAnsiTheme="minorEastAsia" w:eastAsiaTheme="minorEastAsia"/>
                <w:sz w:val="20"/>
                <w:szCs w:val="20"/>
                <w:lang w:bidi="ar"/>
              </w:rPr>
              <w:br/>
              <w:t xml:space="preserve">10.节能方式：传感器打开电源，无连接或连接无活动，几分钟后自动关闭电源。</w:t>
            </w:r>
            <w:r>
              <w:rPr>
                <w:rFonts w:hint="eastAsia" w:cs="宋体" w:asciiTheme="minorEastAsia" w:hAnsiTheme="minorEastAsia" w:eastAsiaTheme="minorEastAsia"/>
                <w:sz w:val="20"/>
                <w:szCs w:val="20"/>
                <w:lang w:bidi="ar"/>
              </w:rPr>
              <w:br/>
              <w:t xml:space="preserve">11.支持固件空中升级。</w:t>
            </w:r>
            <w:r>
              <w:rPr>
                <w:rFonts w:hint="eastAsia" w:cs="宋体" w:asciiTheme="minorEastAsia" w:hAnsiTheme="minorEastAsia" w:eastAsiaTheme="minorEastAsia"/>
                <w:sz w:val="20"/>
                <w:szCs w:val="20"/>
                <w:lang w:bidi="ar"/>
              </w:rPr>
              <w:br/>
              <w:t xml:space="preserve">12.可切换单位：℃、℉、K。</w:t>
            </w:r>
            <w:r>
              <w:rPr>
                <w:rFonts w:hint="eastAsia" w:cs="宋体" w:asciiTheme="minorEastAsia" w:hAnsiTheme="minorEastAsia" w:eastAsiaTheme="minorEastAsia"/>
                <w:sz w:val="20"/>
                <w:szCs w:val="20"/>
                <w:lang w:bidi="ar"/>
              </w:rPr>
              <w:br/>
              <w:t xml:space="preserve">13.支持平台：Windows、Android、iOS/iPadOS、MacOS、 Linux、Harmony OS、统信UOS等。 </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1.量程：-40℃~125℃</w:t>
            </w:r>
            <w:r>
              <w:rPr>
                <w:rFonts w:hint="eastAsia" w:cs="宋体" w:asciiTheme="minorEastAsia" w:hAnsiTheme="minorEastAsia" w:eastAsiaTheme="minorEastAsia"/>
                <w:sz w:val="20"/>
                <w:szCs w:val="20"/>
                <w:lang w:bidi="ar"/>
              </w:rPr>
              <w:br/>
              <w:t xml:space="preserve">2.分辨率：0.01℃</w:t>
            </w:r>
            <w:r>
              <w:rPr>
                <w:rFonts w:hint="eastAsia" w:cs="宋体" w:asciiTheme="minorEastAsia" w:hAnsiTheme="minorEastAsia" w:eastAsiaTheme="minorEastAsia"/>
                <w:sz w:val="20"/>
                <w:szCs w:val="20"/>
                <w:lang w:bidi="ar"/>
              </w:rPr>
              <w:br/>
              <w:t xml:space="preserve">3.精度：±0.5℃</w:t>
            </w:r>
            <w:r>
              <w:rPr>
                <w:rFonts w:hint="eastAsia" w:cs="宋体" w:asciiTheme="minorEastAsia" w:hAnsiTheme="minorEastAsia" w:eastAsiaTheme="minorEastAsia"/>
                <w:sz w:val="20"/>
                <w:szCs w:val="20"/>
                <w:lang w:bidi="ar"/>
              </w:rPr>
              <w:br/>
              <w:t xml:space="preserve">4.采样速率：10次/秒</w:t>
            </w:r>
            <w:r>
              <w:rPr>
                <w:rFonts w:hint="eastAsia" w:cs="宋体" w:asciiTheme="minorEastAsia" w:hAnsiTheme="minorEastAsia" w:eastAsiaTheme="minorEastAsia"/>
                <w:sz w:val="20"/>
                <w:szCs w:val="20"/>
                <w:lang w:bidi="ar"/>
              </w:rPr>
              <w:br/>
              <w:t xml:space="preserve">5.连续使用时间：≥120小时</w:t>
            </w:r>
            <w:r>
              <w:rPr>
                <w:rFonts w:hint="eastAsia" w:cs="宋体" w:asciiTheme="minorEastAsia" w:hAnsiTheme="minorEastAsia" w:eastAsiaTheme="minorEastAsia"/>
                <w:sz w:val="20"/>
                <w:szCs w:val="20"/>
                <w:lang w:bidi="ar"/>
              </w:rPr>
              <w:br/>
              <w:t xml:space="preserve">6.防水等级：IP67</w:t>
            </w:r>
            <w:r>
              <w:rPr>
                <w:rFonts w:hint="eastAsia" w:cs="宋体" w:asciiTheme="minorEastAsia" w:hAnsiTheme="minorEastAsia" w:eastAsiaTheme="minorEastAsia"/>
                <w:sz w:val="20"/>
                <w:szCs w:val="20"/>
                <w:lang w:bidi="ar"/>
              </w:rPr>
              <w:br/>
              <w:t xml:space="preserve">7.通讯距离：≥30m（空旷无遮挡）</w:t>
            </w:r>
            <w:r>
              <w:rPr>
                <w:rFonts w:hint="eastAsia" w:cs="宋体" w:asciiTheme="minorEastAsia" w:hAnsiTheme="minorEastAsia" w:eastAsiaTheme="minorEastAsia"/>
                <w:sz w:val="20"/>
                <w:szCs w:val="20"/>
                <w:lang w:bidi="ar"/>
              </w:rPr>
              <w:br/>
              <w:t xml:space="preserve">8.电池型号：CR2032</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493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无线智能溶氧气氧传感器</w:t>
            </w:r>
            <w:r/>
          </w:p>
        </w:tc>
        <w:tc>
          <w:tcPr>
            <w:shd w:val="clear" w:color="auto" w:fill="ffffff"/>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溶氧气氧传感器内置溶解氧、氧气两种传感器，无需连接数据采集器，通过蓝牙或USB直连电脑、手机或平板等终端可直接进行数据采集，在终端上实时显示并记录溶解氧、氧气的变化，并绘制相应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由传感器主体和溶解氧气氧探头构成。主体正面有电源按钮、电源和蓝牙指示灯、传感器名称；背面有蓝牙编号；底部有Type-C接口；主体前端为BNC接口，可与溶解氧气氧探头连接用于测量溶解氧/氧气含量。</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1.用于测量气体和液体中的氧气含量，测量灵敏、精确，反应快速。</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3.传感器与数据采集终端（电脑、平板或手机）直接通过蓝牙无线连接，便于运动情况下的数据测量及各种实验环境中的数据采集，无需数据采集器；传感器多种测量多合一，可测量溶解氧、气氧。</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6.可实现溶解氧标定，气氧校准功能。</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w:t>
            </w:r>
            <w:r>
              <w:rPr>
                <w:rFonts w:hint="eastAsia" w:cs="宋体" w:asciiTheme="minorEastAsia" w:hAnsiTheme="minorEastAsia" w:eastAsiaTheme="minorEastAsia"/>
                <w:sz w:val="20"/>
                <w:szCs w:val="20"/>
                <w:lang w:bidi="ar"/>
              </w:rPr>
              <w:br/>
              <w:t xml:space="preserve">溶解氧：0~20 mg/L；氧气：0~100%</w:t>
            </w:r>
            <w:r>
              <w:rPr>
                <w:rFonts w:hint="eastAsia" w:cs="宋体" w:asciiTheme="minorEastAsia" w:hAnsiTheme="minorEastAsia" w:eastAsiaTheme="minorEastAsia"/>
                <w:sz w:val="20"/>
                <w:szCs w:val="20"/>
                <w:lang w:bidi="ar"/>
              </w:rPr>
              <w:br/>
              <w:t xml:space="preserve">2.分辨率</w:t>
            </w:r>
            <w:r>
              <w:rPr>
                <w:rFonts w:hint="eastAsia" w:cs="宋体" w:asciiTheme="minorEastAsia" w:hAnsiTheme="minorEastAsia" w:eastAsiaTheme="minorEastAsia"/>
                <w:sz w:val="20"/>
                <w:szCs w:val="20"/>
                <w:lang w:bidi="ar"/>
              </w:rPr>
              <w:br/>
              <w:t xml:space="preserve">溶解氧：0.01 mg/L；氧气：0.1%</w:t>
            </w:r>
            <w:r>
              <w:rPr>
                <w:rFonts w:hint="eastAsia" w:cs="宋体" w:asciiTheme="minorEastAsia" w:hAnsiTheme="minorEastAsia" w:eastAsiaTheme="minorEastAsia"/>
                <w:sz w:val="20"/>
                <w:szCs w:val="20"/>
                <w:lang w:bidi="ar"/>
              </w:rPr>
              <w:br/>
              <w:t xml:space="preserve">3.精度</w:t>
            </w:r>
            <w:r>
              <w:rPr>
                <w:rFonts w:hint="eastAsia" w:cs="宋体" w:asciiTheme="minorEastAsia" w:hAnsiTheme="minorEastAsia" w:eastAsiaTheme="minorEastAsia"/>
                <w:sz w:val="20"/>
                <w:szCs w:val="20"/>
                <w:lang w:bidi="ar"/>
              </w:rPr>
              <w:br/>
              <w:t xml:space="preserve">溶解氧：±0.5mg/L（10~35℃）；氧气：±2%F.S</w:t>
            </w:r>
            <w:r>
              <w:rPr>
                <w:rFonts w:hint="eastAsia" w:cs="宋体" w:asciiTheme="minorEastAsia" w:hAnsiTheme="minorEastAsia" w:eastAsiaTheme="minorEastAsia"/>
                <w:sz w:val="20"/>
                <w:szCs w:val="20"/>
                <w:lang w:bidi="ar"/>
              </w:rPr>
              <w:br/>
              <w:t xml:space="preserve">4.采样速率:100次/秒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蜡烛及其燃烧的探究、探究人体吸入的空气与呼出的气体的不同、观察氧气中的燃烧现象、探究灭火的原理、过氧化钠与水反应及产物探究、种子萌发的环境条件（模拟实验）、光合作用的影响、设计并制作生态缸，观察其稳定性等实验。</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025"/>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无线智能二氧化碳传感器</w:t>
            </w:r>
            <w:r/>
          </w:p>
        </w:tc>
        <w:tc>
          <w:tcPr>
            <w:shd w:val="clear" w:color="auto" w:fill="ffffff"/>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二氧化碳传感器无需连接数据采集器，通过蓝牙或USB直连电脑、手机或平板等终端可直接进行数据采集，在终端上实时显示并记录二氧化碳的变化，并绘制相应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由传感器主体和前端探头连接构成。主体正面有电源按钮、电源和蓝牙指示灯、传感器名称；背面有蓝牙编号；底部有Type-C接口。探头外壳为黑色塑料，通过数个栅栏与外界相通，栅栏内有过滤层。</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1.用于测量气体中二氧化碳的含量。</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6.无需校准，即连即用。</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1.量程：0~100000 ppm</w:t>
            </w:r>
            <w:r>
              <w:rPr>
                <w:rFonts w:hint="eastAsia" w:cs="宋体" w:asciiTheme="minorEastAsia" w:hAnsiTheme="minorEastAsia" w:eastAsiaTheme="minorEastAsia"/>
                <w:sz w:val="20"/>
                <w:szCs w:val="20"/>
                <w:lang w:bidi="ar"/>
              </w:rPr>
              <w:br/>
              <w:t xml:space="preserve">2.分辨率：2ppm</w:t>
            </w:r>
            <w:r>
              <w:rPr>
                <w:rFonts w:hint="eastAsia" w:cs="宋体" w:asciiTheme="minorEastAsia" w:hAnsiTheme="minorEastAsia" w:eastAsiaTheme="minorEastAsia"/>
                <w:sz w:val="20"/>
                <w:szCs w:val="20"/>
                <w:lang w:bidi="ar"/>
              </w:rPr>
              <w:br/>
              <w:t xml:space="preserve">3.精度：3%(0~5000ppm)；4%(5000~50000ppm)；6%(50000~100000ppm)</w:t>
            </w:r>
            <w:r>
              <w:rPr>
                <w:rFonts w:hint="eastAsia" w:cs="宋体" w:asciiTheme="minorEastAsia" w:hAnsiTheme="minorEastAsia" w:eastAsiaTheme="minorEastAsia"/>
                <w:sz w:val="20"/>
                <w:szCs w:val="20"/>
                <w:lang w:bidi="ar"/>
              </w:rPr>
              <w:br/>
              <w:t xml:space="preserve">4.采样速率:1次/秒</w:t>
            </w:r>
            <w:r>
              <w:rPr>
                <w:rFonts w:hint="eastAsia" w:cs="宋体" w:asciiTheme="minorEastAsia" w:hAnsiTheme="minorEastAsia" w:eastAsiaTheme="minorEastAsia"/>
                <w:sz w:val="20"/>
                <w:szCs w:val="20"/>
                <w:lang w:bidi="ar"/>
              </w:rPr>
              <w:br/>
              <w:t xml:space="preserve">5.连续使用时间:≥10小时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1000mAh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蜡烛及其燃烧的探究、探究人体吸入的空气与呼出的气体的不同、碳还原氧化物的反应、实验室制取二氧化碳、碳酸钠与盐酸的反应、探究酸碱盐之间反应条件、比较碳酸钠与碳酸氢钠的热稳定性、种子萌发的环境条件、二氧化碳是光合作用必需的原料吗、植物的呼吸作用产生二氧化碳、设计并制作生态缸，观察其稳定性等实验。</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485"/>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无线智能绝对压强传感器</w:t>
            </w:r>
            <w:r/>
          </w:p>
        </w:tc>
        <w:tc>
          <w:tcPr>
            <w:shd w:val="clear" w:color="auto" w:fill="ffffff"/>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绝对压强传感器无需连接数据采集器，探头与传感器一体设计，通过蓝牙或USB直连电脑、手机或平板等终端可直接进行数据采集，在终端上实时显示并记录绝对压强的变化，绘制绝对压强-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由传感器主体正面有电源按钮、电源和蓝牙指示灯、传感器名称；背面有蓝牙编号；底部有Type-C接口，前端是鲁尔公接头，可连接软管等多种附件接入环境中进行测量。</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1.用于测量大气环境下或密闭空间内的气体的压强。</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6.可实现校准功能。</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1.量程：0~400kPa</w:t>
            </w:r>
            <w:r>
              <w:rPr>
                <w:rFonts w:hint="eastAsia" w:cs="宋体" w:asciiTheme="minorEastAsia" w:hAnsiTheme="minorEastAsia" w:eastAsiaTheme="minorEastAsia"/>
                <w:sz w:val="20"/>
                <w:szCs w:val="20"/>
                <w:lang w:bidi="ar"/>
              </w:rPr>
              <w:br/>
              <w:t xml:space="preserve">2.分辨率：0.1kPa</w:t>
            </w:r>
            <w:r>
              <w:rPr>
                <w:rFonts w:hint="eastAsia" w:cs="宋体" w:asciiTheme="minorEastAsia" w:hAnsiTheme="minorEastAsia" w:eastAsiaTheme="minorEastAsia"/>
                <w:sz w:val="20"/>
                <w:szCs w:val="20"/>
                <w:lang w:bidi="ar"/>
              </w:rPr>
              <w:br/>
              <w:t xml:space="preserve">3.精度：±2%</w:t>
            </w:r>
            <w:r>
              <w:rPr>
                <w:rFonts w:hint="eastAsia" w:cs="宋体" w:asciiTheme="minorEastAsia" w:hAnsiTheme="minorEastAsia" w:eastAsiaTheme="minorEastAsia"/>
                <w:sz w:val="20"/>
                <w:szCs w:val="20"/>
                <w:lang w:bidi="ar"/>
              </w:rPr>
              <w:br/>
              <w:t xml:space="preserve">4.采样速率：500次/秒</w:t>
            </w:r>
            <w:r>
              <w:rPr>
                <w:rFonts w:hint="eastAsia" w:cs="宋体" w:asciiTheme="minorEastAsia" w:hAnsiTheme="minorEastAsia" w:eastAsiaTheme="minorEastAsia"/>
                <w:sz w:val="20"/>
                <w:szCs w:val="20"/>
                <w:lang w:bidi="ar"/>
              </w:rPr>
              <w:br/>
              <w:t xml:space="preserve">5.连续使用时间：≥30小时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225"/>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无线智能光强传感器</w:t>
            </w:r>
            <w:r/>
          </w:p>
        </w:tc>
        <w:tc>
          <w:tcPr>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光强传感器无需连接数据采集器，探头与传感器一体设计，通过蓝牙或USB直连电脑、手机或平板等终端可直接进行数据采集，在终端上实时显示并记录光强的变化，绘制光强-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由传感器主体正面有电源按钮、电源和蓝牙指示灯、传感器名称、进光孔；背面有蓝牙编号；底部有Type-C接口。</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1.用于测量被测环境的光强值。</w:t>
            </w:r>
            <w:r>
              <w:rPr>
                <w:rFonts w:hint="eastAsia" w:cs="宋体" w:asciiTheme="minorEastAsia" w:hAnsiTheme="minorEastAsia" w:eastAsiaTheme="minorEastAsia"/>
                <w:sz w:val="20"/>
                <w:szCs w:val="20"/>
                <w:lang w:bidi="ar"/>
              </w:rPr>
              <w:br/>
              <w:t xml:space="preserve">2.传感器内置蓝牙无线模块：使用蓝牙5.0技术，该技术拥</w:t>
            </w:r>
            <w:r>
              <w:rPr>
                <w:rFonts w:hint="eastAsia" w:cs="宋体" w:asciiTheme="minorEastAsia" w:hAnsiTheme="minorEastAsia" w:eastAsiaTheme="minorEastAsia"/>
                <w:sz w:val="20"/>
                <w:szCs w:val="20"/>
                <w:lang w:bidi="ar"/>
              </w:rPr>
              <w:t xml:space="preserve">有极低的运行和待机功耗。</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6.无需校准，即连即用。</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1.量程：0~128kLux</w:t>
            </w:r>
            <w:r>
              <w:rPr>
                <w:rFonts w:hint="eastAsia" w:cs="宋体" w:asciiTheme="minorEastAsia" w:hAnsiTheme="minorEastAsia" w:eastAsiaTheme="minorEastAsia"/>
                <w:sz w:val="20"/>
                <w:szCs w:val="20"/>
                <w:lang w:bidi="ar"/>
              </w:rPr>
              <w:br/>
              <w:t xml:space="preserve">2.分辨率：1Lux</w:t>
            </w:r>
            <w:r>
              <w:rPr>
                <w:rFonts w:hint="eastAsia" w:cs="宋体" w:asciiTheme="minorEastAsia" w:hAnsiTheme="minorEastAsia" w:eastAsiaTheme="minorEastAsia"/>
                <w:sz w:val="20"/>
                <w:szCs w:val="20"/>
                <w:lang w:bidi="ar"/>
              </w:rPr>
              <w:br/>
              <w:t xml:space="preserve">3.精度：±4%F.S</w:t>
            </w:r>
            <w:r>
              <w:rPr>
                <w:rFonts w:hint="eastAsia" w:cs="宋体" w:asciiTheme="minorEastAsia" w:hAnsiTheme="minorEastAsia" w:eastAsiaTheme="minorEastAsia"/>
                <w:sz w:val="20"/>
                <w:szCs w:val="20"/>
                <w:lang w:bidi="ar"/>
              </w:rPr>
              <w:br/>
              <w:t xml:space="preserve">4.采样速率：10次/秒</w:t>
            </w:r>
            <w:r>
              <w:rPr>
                <w:rFonts w:hint="eastAsia" w:cs="宋体" w:asciiTheme="minorEastAsia" w:hAnsiTheme="minorEastAsia" w:eastAsiaTheme="minorEastAsia"/>
                <w:sz w:val="20"/>
                <w:szCs w:val="20"/>
                <w:lang w:bidi="ar"/>
              </w:rPr>
              <w:br/>
              <w:t xml:space="preserve">5.连续使用时间：≥20小时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光强的测量、探究光照强度与距离的关系、外界条件对植物光合作用的影响因素实验等。</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93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无线智能相对湿度传感器</w:t>
            </w:r>
            <w:r/>
          </w:p>
        </w:tc>
        <w:tc>
          <w:tcPr>
            <w:shd w:val="clear" w:color="auto" w:fill="ffffff"/>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相对湿度传感器无需连接数据采集器，探头与传感器一体设计，通过蓝牙或USB直连电脑、手机或平板等终端可直接进行数据采集，在终端上实时显示并记录相对湿度的变化，绘制相对湿度-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由传感器主体和前端探头连接构成。主体正面有电源按钮、电源和蓝牙指示灯、传感器名称；背面有蓝牙编号；底部有Type-C接口。</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1.用于测量空气的相对湿度，测量灵敏、精确，反应快速。</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6.无需校准，即连即用。</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1.量程：0~100%</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2.分辨率：0.1%</w:t>
            </w:r>
            <w:r>
              <w:rPr>
                <w:rFonts w:hint="eastAsia" w:cs="宋体" w:asciiTheme="minorEastAsia" w:hAnsiTheme="minorEastAsia" w:eastAsiaTheme="minorEastAsia"/>
                <w:sz w:val="20"/>
                <w:szCs w:val="20"/>
                <w:lang w:bidi="ar"/>
              </w:rPr>
              <w:br/>
              <w:t xml:space="preserve">3.精度:±4%  (0~80%)</w:t>
            </w:r>
            <w:r>
              <w:rPr>
                <w:rFonts w:hint="eastAsia" w:cs="宋体" w:asciiTheme="minorEastAsia" w:hAnsiTheme="minorEastAsia" w:eastAsiaTheme="minorEastAsia"/>
                <w:sz w:val="20"/>
                <w:szCs w:val="20"/>
                <w:lang w:bidi="ar"/>
              </w:rPr>
              <w:br/>
              <w:t xml:space="preserve">4.采样速率：10次/秒</w:t>
            </w:r>
            <w:r>
              <w:rPr>
                <w:rFonts w:hint="eastAsia" w:cs="宋体" w:asciiTheme="minorEastAsia" w:hAnsiTheme="minorEastAsia" w:eastAsiaTheme="minorEastAsia"/>
                <w:sz w:val="20"/>
                <w:szCs w:val="20"/>
                <w:lang w:bidi="ar"/>
              </w:rPr>
              <w:br/>
              <w:t xml:space="preserve">5.连续使用时间:≥20小时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150mAh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蜡烛及其燃烧的探究、探究人体吸入的空气与呼出的气体的不同、设计并制作生态缸，观察其稳定性等实验。</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7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无线智能乙醇气体传感器</w:t>
            </w:r>
            <w:r/>
          </w:p>
        </w:tc>
        <w:tc>
          <w:tcPr>
            <w:shd w:val="clear" w:color="auto" w:fill="ffffff"/>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乙醇气体传感器无需连接数据采集器，通过蓝牙或USB直连电脑、手机或平板等终端可直接进行数据采集，在终端上实时显示并记录乙醇气体浓度的变化，绘制相应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由传感器主体和前端电导率探头连接构成。主体正面有电源按钮、电源和蓝牙指示灯、传感器名称；背面有蓝牙编号；底部有Type-C接口。</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1.用于测量气体中乙醇气体的含量。</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5.传感器具有唯一蓝牙编号，便于数据终端选择性连接。</w:t>
            </w:r>
            <w:r>
              <w:rPr>
                <w:rFonts w:hint="eastAsia" w:cs="宋体" w:asciiTheme="minorEastAsia" w:hAnsiTheme="minorEastAsia" w:eastAsiaTheme="minorEastAsia"/>
                <w:sz w:val="20"/>
                <w:szCs w:val="20"/>
                <w:lang w:bidi="ar"/>
              </w:rPr>
              <w:br/>
              <w:t xml:space="preserve">6.无需校准，即连即用。</w:t>
            </w:r>
            <w:r>
              <w:rPr>
                <w:rFonts w:hint="eastAsia" w:cs="宋体" w:asciiTheme="minorEastAsia" w:hAnsiTheme="minorEastAsia" w:eastAsiaTheme="minorEastAsia"/>
                <w:sz w:val="20"/>
                <w:szCs w:val="20"/>
                <w:lang w:bidi="ar"/>
              </w:rPr>
              <w:br/>
              <w:t xml:space="preserve">7.连接方式：蓝牙无线或有线。</w:t>
            </w:r>
            <w:r>
              <w:rPr>
                <w:rFonts w:hint="eastAsia" w:cs="宋体" w:asciiTheme="minorEastAsia" w:hAnsiTheme="minorEastAsia" w:eastAsiaTheme="minorEastAsia"/>
                <w:sz w:val="20"/>
                <w:szCs w:val="20"/>
                <w:lang w:bidi="ar"/>
              </w:rPr>
              <w:br/>
              <w:t xml:space="preserve">8.节能方式：传感器打开电源，但无连接或连接无活动，几分钟后自动关闭电源。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9.支持固件空中升级。</w:t>
            </w:r>
            <w:r>
              <w:rPr>
                <w:rFonts w:hint="eastAsia" w:cs="宋体" w:asciiTheme="minorEastAsia" w:hAnsiTheme="minorEastAsia" w:eastAsiaTheme="minorEastAsia"/>
                <w:sz w:val="20"/>
                <w:szCs w:val="20"/>
                <w:lang w:bidi="ar"/>
              </w:rPr>
              <w:br/>
              <w:t xml:space="preserve">10.支持平台：Windows、Android、iOS/iPadOS、MacOS、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1.量程：0~30000ppm</w:t>
            </w:r>
            <w:r>
              <w:rPr>
                <w:rFonts w:hint="eastAsia" w:cs="宋体" w:asciiTheme="minorEastAsia" w:hAnsiTheme="minorEastAsia" w:eastAsiaTheme="minorEastAsia"/>
                <w:sz w:val="20"/>
                <w:szCs w:val="20"/>
                <w:lang w:bidi="ar"/>
              </w:rPr>
              <w:br/>
              <w:t xml:space="preserve">2.分辨率：1ppm（0~10000ppm）；10ppm（10000ppm~30000ppm）</w:t>
            </w:r>
            <w:r>
              <w:rPr>
                <w:rFonts w:hint="eastAsia" w:cs="宋体" w:asciiTheme="minorEastAsia" w:hAnsiTheme="minorEastAsia" w:eastAsiaTheme="minorEastAsia"/>
                <w:sz w:val="20"/>
                <w:szCs w:val="20"/>
                <w:lang w:bidi="ar"/>
              </w:rPr>
              <w:br/>
              <w:t xml:space="preserve">3.精度：±1.5%F.S</w:t>
            </w:r>
            <w:r>
              <w:rPr>
                <w:rFonts w:hint="eastAsia" w:cs="宋体" w:asciiTheme="minorEastAsia" w:hAnsiTheme="minorEastAsia" w:eastAsiaTheme="minorEastAsia"/>
                <w:sz w:val="20"/>
                <w:szCs w:val="20"/>
                <w:lang w:bidi="ar"/>
              </w:rPr>
              <w:br/>
              <w:t xml:space="preserve">4.连续使用时间：≥30小时</w:t>
            </w:r>
            <w:r>
              <w:rPr>
                <w:rFonts w:hint="eastAsia" w:cs="宋体" w:asciiTheme="minorEastAsia" w:hAnsiTheme="minorEastAsia" w:eastAsiaTheme="minorEastAsia"/>
                <w:sz w:val="20"/>
                <w:szCs w:val="20"/>
                <w:lang w:bidi="ar"/>
              </w:rPr>
              <w:br/>
              <w:t xml:space="preserve">5.通讯距离：≥30m（空旷无遮挡）</w:t>
            </w:r>
            <w:r>
              <w:rPr>
                <w:rFonts w:hint="eastAsia" w:cs="宋体" w:asciiTheme="minorEastAsia" w:hAnsiTheme="minorEastAsia" w:eastAsiaTheme="minorEastAsia"/>
                <w:sz w:val="20"/>
                <w:szCs w:val="20"/>
                <w:lang w:bidi="ar"/>
              </w:rPr>
              <w:br/>
              <w:t xml:space="preserve">6.可充电锂电池，电池型号：3.7V 250mAh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探究乙醇的主要性质；乙醇含量的测定、探究酵母菌细胞呼吸的方式等实验。</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818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无线智能色度计&amp;浊度计</w:t>
            </w:r>
            <w:r/>
          </w:p>
        </w:tc>
        <w:tc>
          <w:tcPr>
            <w:shd w:val="clear" w:color="auto" w:fill="ffffff"/>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lang w:bidi="ar"/>
              </w:rPr>
            </w:pPr>
            <w:r>
              <w:rPr>
                <w:rFonts w:hint="eastAsia" w:cs="宋体" w:asciiTheme="minorEastAsia" w:hAnsiTheme="minorEastAsia" w:eastAsiaTheme="minorEastAsia"/>
                <w:sz w:val="20"/>
                <w:szCs w:val="20"/>
                <w:lang w:bidi="ar"/>
              </w:rPr>
              <w:t xml:space="preserve">无线智能色度计&amp;浊度计内置色度计、浊度计2种传感器模块，无需连接数据采集器，通过蓝牙或USB直连电脑、手机或平板等终端可直接进行数据采集，在终端上实时显示并记录数据的变化，绘制相应图像。使用电源按钮或软件设置切换色度、浊度功能，并且可切换红、橙、黄、绿、蓝、紫6种入射光。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传感器主体正面有电源按钮、电源和蓝牙指示灯、传感器名称、蓝牙编号、0.96英寸OLED显示屏；主体前部为开合舱体，可放入比色皿进行实验。</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1.用于测量溶液对于不同颜色的入射光的吸光度、透光率，以及溶液的浊度。</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3.传感器与数据采集终端（电脑、平板或手机）直接通过蓝牙无线连接，便于运动情况下的数据测量及各种实验环境中的数据采集，无需数据采集器；多种传感器合一，可测量：透光率、吸光度、浊度等。</w:t>
            </w:r>
            <w:r>
              <w:rPr>
                <w:rFonts w:hint="eastAsia" w:cs="宋体" w:asciiTheme="minorEastAsia" w:hAnsiTheme="minorEastAsia" w:eastAsiaTheme="minorEastAsia"/>
                <w:sz w:val="20"/>
                <w:szCs w:val="20"/>
                <w:lang w:bidi="ar"/>
              </w:rPr>
              <w:br/>
              <w:t xml:space="preserve">4.可脱机进行数据采集。</w:t>
            </w:r>
            <w:r>
              <w:rPr>
                <w:rFonts w:hint="eastAsia" w:cs="宋体" w:asciiTheme="minorEastAsia" w:hAnsiTheme="minorEastAsia" w:eastAsiaTheme="minorEastAsia"/>
                <w:sz w:val="20"/>
                <w:szCs w:val="20"/>
                <w:lang w:bidi="ar"/>
              </w:rPr>
              <w:br/>
              <w:t xml:space="preserve">5.色度/浊度切换简单，通过电源按钮或软件设置切换，提供多种波长选择。</w:t>
            </w:r>
            <w:r>
              <w:rPr>
                <w:rFonts w:hint="eastAsia" w:cs="宋体" w:asciiTheme="minorEastAsia" w:hAnsiTheme="minorEastAsia" w:eastAsiaTheme="minorEastAsia"/>
                <w:sz w:val="20"/>
                <w:szCs w:val="20"/>
                <w:lang w:bidi="ar"/>
              </w:rPr>
              <w:br/>
              <w:t xml:space="preserve">6.传感器具有唯一蓝牙编号，便于数据终端选择性连接。</w:t>
            </w:r>
            <w:r>
              <w:rPr>
                <w:rFonts w:hint="eastAsia" w:cs="宋体" w:asciiTheme="minorEastAsia" w:hAnsiTheme="minorEastAsia" w:eastAsiaTheme="minorEastAsia"/>
                <w:sz w:val="20"/>
                <w:szCs w:val="20"/>
                <w:lang w:bidi="ar"/>
              </w:rPr>
              <w:br/>
              <w:t xml:space="preserve">7.无需校准，即连即用。</w:t>
            </w:r>
            <w:r>
              <w:rPr>
                <w:rFonts w:hint="eastAsia" w:cs="宋体" w:asciiTheme="minorEastAsia" w:hAnsiTheme="minorEastAsia" w:eastAsiaTheme="minorEastAsia"/>
                <w:sz w:val="20"/>
                <w:szCs w:val="20"/>
                <w:lang w:bidi="ar"/>
              </w:rPr>
              <w:br/>
              <w:t xml:space="preserve">8.连接方式：蓝牙无线或有线。</w:t>
            </w:r>
            <w:r>
              <w:rPr>
                <w:rFonts w:hint="eastAsia" w:cs="宋体" w:asciiTheme="minorEastAsia" w:hAnsiTheme="minorEastAsia" w:eastAsiaTheme="minorEastAsia"/>
                <w:sz w:val="20"/>
                <w:szCs w:val="20"/>
                <w:lang w:bidi="ar"/>
              </w:rPr>
              <w:br/>
              <w:t xml:space="preserve">9.节能方式：传感器打开电源，但无连接或连接无活动，几分钟后自动关闭电源。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10.支持固件空中升级。</w:t>
            </w:r>
            <w:r>
              <w:rPr>
                <w:rFonts w:hint="eastAsia" w:cs="宋体" w:asciiTheme="minorEastAsia" w:hAnsiTheme="minorEastAsia" w:eastAsiaTheme="minorEastAsia"/>
                <w:sz w:val="20"/>
                <w:szCs w:val="20"/>
                <w:lang w:bidi="ar"/>
              </w:rPr>
              <w:br/>
              <w:t xml:space="preserve">11.支持平台：Windows、Android、iOS/iPadOS、MacOS、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1.量程：</w:t>
            </w:r>
            <w:r>
              <w:rPr>
                <w:rFonts w:hint="eastAsia" w:cs="宋体" w:asciiTheme="minorEastAsia" w:hAnsiTheme="minorEastAsia" w:eastAsiaTheme="minorEastAsia"/>
                <w:sz w:val="20"/>
                <w:szCs w:val="20"/>
                <w:lang w:bidi="ar"/>
              </w:rPr>
              <w:br/>
              <w:t xml:space="preserve">红光（645nm）：透光率0~100%、吸光度0~3A</w:t>
            </w:r>
            <w:r>
              <w:rPr>
                <w:rFonts w:hint="eastAsia" w:cs="宋体" w:asciiTheme="minorEastAsia" w:hAnsiTheme="minorEastAsia" w:eastAsiaTheme="minorEastAsia"/>
                <w:sz w:val="20"/>
                <w:szCs w:val="20"/>
                <w:lang w:bidi="ar"/>
              </w:rPr>
              <w:br/>
              <w:t xml:space="preserve">橙光（611nm）：透光率0~100%、吸光度0~3A</w:t>
            </w:r>
            <w:r>
              <w:rPr>
                <w:rFonts w:hint="eastAsia" w:cs="宋体" w:asciiTheme="minorEastAsia" w:hAnsiTheme="minorEastAsia" w:eastAsiaTheme="minorEastAsia"/>
                <w:sz w:val="20"/>
                <w:szCs w:val="20"/>
                <w:lang w:bidi="ar"/>
              </w:rPr>
              <w:br/>
              <w:t xml:space="preserve">黄光（570nm）：透光率0~100%、吸光度0~3A</w:t>
            </w:r>
            <w:r>
              <w:rPr>
                <w:rFonts w:hint="eastAsia" w:cs="宋体" w:asciiTheme="minorEastAsia" w:hAnsiTheme="minorEastAsia" w:eastAsiaTheme="minorEastAsia"/>
                <w:sz w:val="20"/>
                <w:szCs w:val="20"/>
                <w:lang w:bidi="ar"/>
              </w:rPr>
              <w:br/>
              <w:t xml:space="preserve">绿光（520nm）：透光率0~100%、吸光度0~3A</w:t>
            </w:r>
            <w:r>
              <w:rPr>
                <w:rFonts w:hint="eastAsia" w:cs="宋体" w:asciiTheme="minorEastAsia" w:hAnsiTheme="minorEastAsia" w:eastAsiaTheme="minorEastAsia"/>
                <w:sz w:val="20"/>
                <w:szCs w:val="20"/>
                <w:lang w:bidi="ar"/>
              </w:rPr>
              <w:br/>
              <w:t xml:space="preserve">蓝光（470nm）：透光率0~100%、吸光度0~3A</w:t>
            </w:r>
            <w:r>
              <w:rPr>
                <w:rFonts w:hint="eastAsia" w:cs="宋体" w:asciiTheme="minorEastAsia" w:hAnsiTheme="minorEastAsia" w:eastAsiaTheme="minorEastAsia"/>
                <w:sz w:val="20"/>
                <w:szCs w:val="20"/>
                <w:lang w:bidi="ar"/>
              </w:rPr>
              <w:br/>
              <w:t xml:space="preserve">紫光（430nm）：透光率0~100%、吸光度0~3A</w:t>
            </w:r>
            <w:r>
              <w:rPr>
                <w:rFonts w:hint="eastAsia" w:cs="宋体" w:asciiTheme="minorEastAsia" w:hAnsiTheme="minorEastAsia" w:eastAsiaTheme="minorEastAsia"/>
                <w:sz w:val="20"/>
                <w:szCs w:val="20"/>
                <w:lang w:bidi="ar"/>
              </w:rPr>
              <w:br/>
              <w:t xml:space="preserve">浊度：0~400 NTU</w:t>
            </w:r>
            <w:r>
              <w:rPr>
                <w:rFonts w:hint="eastAsia" w:cs="宋体" w:asciiTheme="minorEastAsia" w:hAnsiTheme="minorEastAsia" w:eastAsiaTheme="minorEastAsia"/>
                <w:sz w:val="20"/>
                <w:szCs w:val="20"/>
                <w:lang w:bidi="ar"/>
              </w:rPr>
              <w:br/>
              <w:t xml:space="preserve">2.精度：</w:t>
            </w:r>
            <w:r>
              <w:rPr>
                <w:rFonts w:hint="eastAsia" w:cs="宋体" w:asciiTheme="minorEastAsia" w:hAnsiTheme="minorEastAsia" w:eastAsiaTheme="minorEastAsia"/>
                <w:sz w:val="20"/>
                <w:szCs w:val="20"/>
                <w:lang w:bidi="ar"/>
              </w:rPr>
              <w:br/>
              <w:t xml:space="preserve">红光（645nm）：透光率±2%F.S、吸光度±0.03A</w:t>
            </w:r>
            <w:r>
              <w:rPr>
                <w:rFonts w:hint="eastAsia" w:cs="宋体" w:asciiTheme="minorEastAsia" w:hAnsiTheme="minorEastAsia" w:eastAsiaTheme="minorEastAsia"/>
                <w:sz w:val="20"/>
                <w:szCs w:val="20"/>
                <w:lang w:bidi="ar"/>
              </w:rPr>
              <w:br/>
              <w:t xml:space="preserve">橙光（611nm）：透光率±2%F.S、吸光度±0.03A</w:t>
            </w:r>
            <w:r>
              <w:rPr>
                <w:rFonts w:hint="eastAsia" w:cs="宋体" w:asciiTheme="minorEastAsia" w:hAnsiTheme="minorEastAsia" w:eastAsiaTheme="minorEastAsia"/>
                <w:sz w:val="20"/>
                <w:szCs w:val="20"/>
                <w:lang w:bidi="ar"/>
              </w:rPr>
              <w:br/>
              <w:t xml:space="preserve">黄光（570nm）：透光率±2%F.S、吸光度±0.03A</w:t>
            </w:r>
            <w:r>
              <w:rPr>
                <w:rFonts w:hint="eastAsia" w:cs="宋体" w:asciiTheme="minorEastAsia" w:hAnsiTheme="minorEastAsia" w:eastAsiaTheme="minorEastAsia"/>
                <w:sz w:val="20"/>
                <w:szCs w:val="20"/>
                <w:lang w:bidi="ar"/>
              </w:rPr>
              <w:br/>
              <w:t xml:space="preserve">绿光（520nm）：透光率±2%F.S、吸光度±0.03A</w:t>
            </w:r>
            <w:r>
              <w:rPr>
                <w:rFonts w:hint="eastAsia" w:cs="宋体" w:asciiTheme="minorEastAsia" w:hAnsiTheme="minorEastAsia" w:eastAsiaTheme="minorEastAsia"/>
                <w:sz w:val="20"/>
                <w:szCs w:val="20"/>
                <w:lang w:bidi="ar"/>
              </w:rPr>
              <w:br/>
              <w:t xml:space="preserve">蓝光（470nm）：透光率±2%F.S、吸光度±0.03A</w:t>
            </w:r>
            <w:r>
              <w:rPr>
                <w:rFonts w:hint="eastAsia" w:cs="宋体" w:asciiTheme="minorEastAsia" w:hAnsiTheme="minorEastAsia" w:eastAsiaTheme="minorEastAsia"/>
                <w:sz w:val="20"/>
                <w:szCs w:val="20"/>
                <w:lang w:bidi="ar"/>
              </w:rPr>
              <w:br/>
              <w:t xml:space="preserve">紫光（430nm）：透光率±2%F.S、吸光度±0.03A</w:t>
            </w:r>
            <w:r>
              <w:rPr>
                <w:rFonts w:hint="eastAsia" w:cs="宋体" w:asciiTheme="minorEastAsia" w:hAnsiTheme="minorEastAsia" w:eastAsiaTheme="minorEastAsia"/>
                <w:sz w:val="20"/>
                <w:szCs w:val="20"/>
                <w:lang w:bidi="ar"/>
              </w:rPr>
              <w:br/>
              <w:t xml:space="preserve">浊度：±5% NTU</w:t>
            </w:r>
            <w:r>
              <w:rPr>
                <w:rFonts w:hint="eastAsia" w:cs="宋体" w:asciiTheme="minorEastAsia" w:hAnsiTheme="minorEastAsia" w:eastAsiaTheme="minorEastAsia"/>
                <w:sz w:val="20"/>
                <w:szCs w:val="20"/>
                <w:lang w:bidi="ar"/>
              </w:rPr>
              <w:br/>
              <w:t xml:space="preserve">3.分辨率：</w:t>
            </w:r>
            <w:r>
              <w:rPr>
                <w:rFonts w:hint="eastAsia" w:cs="宋体" w:asciiTheme="minorEastAsia" w:hAnsiTheme="minorEastAsia" w:eastAsiaTheme="minorEastAsia"/>
                <w:sz w:val="20"/>
                <w:szCs w:val="20"/>
                <w:lang w:bidi="ar"/>
              </w:rPr>
              <w:br/>
              <w:t xml:space="preserve">红光（645nm）：透光率0.1%、吸光度0.01A</w:t>
            </w:r>
            <w:r>
              <w:rPr>
                <w:rFonts w:hint="eastAsia" w:cs="宋体" w:asciiTheme="minorEastAsia" w:hAnsiTheme="minorEastAsia" w:eastAsiaTheme="minorEastAsia"/>
                <w:sz w:val="20"/>
                <w:szCs w:val="20"/>
                <w:lang w:bidi="ar"/>
              </w:rPr>
              <w:br/>
              <w:t xml:space="preserve">橙光（611nm）：透光率0.1%、吸光度0.01A</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黄光（570nm）：透光率0.1%、吸光度0.01A</w:t>
            </w:r>
            <w:r>
              <w:rPr>
                <w:rFonts w:hint="eastAsia" w:cs="宋体" w:asciiTheme="minorEastAsia" w:hAnsiTheme="minorEastAsia" w:eastAsiaTheme="minorEastAsia"/>
                <w:sz w:val="20"/>
                <w:szCs w:val="20"/>
                <w:lang w:bidi="ar"/>
              </w:rPr>
              <w:br/>
              <w:t xml:space="preserve">绿光（520nm）：透光率0.1%、吸光度0.01A</w:t>
            </w:r>
            <w:r>
              <w:rPr>
                <w:rFonts w:hint="eastAsia" w:cs="宋体" w:asciiTheme="minorEastAsia" w:hAnsiTheme="minorEastAsia" w:eastAsiaTheme="minorEastAsia"/>
                <w:sz w:val="20"/>
                <w:szCs w:val="20"/>
                <w:lang w:bidi="ar"/>
              </w:rPr>
              <w:br/>
              <w:t xml:space="preserve">蓝光（470nm）：透光率0.1%、吸光度0.01A</w:t>
            </w:r>
            <w:r>
              <w:rPr>
                <w:rFonts w:hint="eastAsia" w:cs="宋体" w:asciiTheme="minorEastAsia" w:hAnsiTheme="minorEastAsia" w:eastAsiaTheme="minorEastAsia"/>
                <w:sz w:val="20"/>
                <w:szCs w:val="20"/>
                <w:lang w:bidi="ar"/>
              </w:rPr>
              <w:br/>
              <w:t xml:space="preserve">紫光（430nm）：透光率0.1%、吸光度0.01A</w:t>
            </w:r>
            <w:r>
              <w:rPr>
                <w:rFonts w:hint="eastAsia" w:cs="宋体" w:asciiTheme="minorEastAsia" w:hAnsiTheme="minorEastAsia" w:eastAsiaTheme="minorEastAsia"/>
                <w:sz w:val="20"/>
                <w:szCs w:val="20"/>
                <w:lang w:bidi="ar"/>
              </w:rPr>
              <w:br/>
              <w:t xml:space="preserve">浊度：0.1 NTU</w:t>
            </w:r>
            <w:r>
              <w:rPr>
                <w:rFonts w:hint="eastAsia" w:cs="宋体" w:asciiTheme="minorEastAsia" w:hAnsiTheme="minorEastAsia" w:eastAsiaTheme="minorEastAsia"/>
                <w:sz w:val="20"/>
                <w:szCs w:val="20"/>
                <w:lang w:bidi="ar"/>
              </w:rPr>
              <w:br/>
              <w:t xml:space="preserve">4.采样速率:10次/秒</w:t>
            </w:r>
            <w:r>
              <w:rPr>
                <w:rFonts w:hint="eastAsia" w:cs="宋体" w:asciiTheme="minorEastAsia" w:hAnsiTheme="minorEastAsia" w:eastAsiaTheme="minorEastAsia"/>
                <w:sz w:val="20"/>
                <w:szCs w:val="20"/>
                <w:lang w:bidi="ar"/>
              </w:rPr>
              <w:br/>
              <w:t xml:space="preserve">5.连续使用时间:≥50 小时</w:t>
            </w:r>
            <w:r>
              <w:rPr>
                <w:rFonts w:hint="eastAsia" w:cs="宋体" w:asciiTheme="minorEastAsia" w:hAnsiTheme="minorEastAsia" w:eastAsiaTheme="minorEastAsia"/>
                <w:sz w:val="20"/>
                <w:szCs w:val="20"/>
                <w:lang w:bidi="ar"/>
              </w:rPr>
              <w:br/>
              <w:t xml:space="preserve">6.通讯距离:≥30m（空旷无遮挡）</w:t>
            </w:r>
            <w:r>
              <w:rPr>
                <w:rFonts w:hint="eastAsia" w:cs="宋体" w:asciiTheme="minorEastAsia" w:hAnsiTheme="minorEastAsia" w:eastAsiaTheme="minorEastAsia"/>
                <w:sz w:val="20"/>
                <w:szCs w:val="20"/>
                <w:lang w:bidi="ar"/>
              </w:rPr>
              <w:br/>
              <w:t xml:space="preserve">7.可充电锂电池，电池型号：3.7V 1000mAh</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水质检测、用肥皂水区分软水和硬水、观察氢氧化钙与二氧化碳的反应、探究反应条件对氯化铁水解平衡的影响、绿叶中色素的提取和分离等实验。</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295"/>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无线智能电导率传感器</w:t>
            </w:r>
            <w:r/>
          </w:p>
        </w:tc>
        <w:tc>
          <w:tcPr>
            <w:shd w:val="clear" w:color="auto" w:fill="ffffff"/>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无线智能电导率传感器内置电导率、温度两种传感器模块，无需连接数据采集器，通过蓝牙直连电脑、手机或平板等终端可直接进行数据采集，在终端上实时显示并记录电导率/温度的变化，绘制电导率/温度-时间图像。可脱离终端而独立地记录所探测到的实验数据并加以保存，并随时供下载和分析。</w:t>
            </w:r>
            <w:r>
              <w:rPr>
                <w:rFonts w:hint="eastAsia" w:cs="宋体" w:asciiTheme="minorEastAsia" w:hAnsiTheme="minorEastAsia" w:eastAsiaTheme="minorEastAsia"/>
                <w:sz w:val="20"/>
                <w:szCs w:val="20"/>
                <w:lang w:bidi="ar"/>
              </w:rPr>
              <w:br/>
              <w:t xml:space="preserve">一、结构及外观</w:t>
            </w:r>
            <w:r>
              <w:rPr>
                <w:rFonts w:hint="eastAsia" w:cs="宋体" w:asciiTheme="minorEastAsia" w:hAnsiTheme="minorEastAsia" w:eastAsiaTheme="minorEastAsia"/>
                <w:sz w:val="20"/>
                <w:szCs w:val="20"/>
                <w:lang w:bidi="ar"/>
              </w:rPr>
              <w:br/>
              <w:t xml:space="preserve">由传感器主体和前端电导率探头连接构成。主体正面有电源按钮、电源和蓝牙指示灯、传感器名称；背面有蓝牙编号及电池仓，机身外壳与电池仓用密封圈密封。</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1.用于测量溶液的电导率值和温度值。</w:t>
            </w:r>
            <w:r>
              <w:rPr>
                <w:rFonts w:hint="eastAsia" w:cs="宋体" w:asciiTheme="minorEastAsia" w:hAnsiTheme="minorEastAsia" w:eastAsiaTheme="minorEastAsia"/>
                <w:sz w:val="20"/>
                <w:szCs w:val="20"/>
                <w:lang w:bidi="ar"/>
              </w:rPr>
              <w:br/>
              <w:t xml:space="preserve">2.传感器内置蓝牙无线模块：使用蓝牙5.0技术，该技术拥有极低的运行和待机功耗。 </w:t>
            </w:r>
            <w:r>
              <w:rPr>
                <w:rFonts w:hint="eastAsia" w:cs="宋体" w:asciiTheme="minorEastAsia" w:hAnsiTheme="minorEastAsia" w:eastAsiaTheme="minorEastAsia"/>
                <w:sz w:val="20"/>
                <w:szCs w:val="20"/>
                <w:lang w:bidi="ar"/>
              </w:rPr>
              <w:br/>
              <w:t xml:space="preserve">3.传感器与数据采集终端（电脑、平板或手机）直接通过蓝牙无线连接，便于运动情况下的数据测量及各种实验环境中的数据采集，无需数据采集器；传感器两种测量二合一，可测量电导率、温度。 </w:t>
            </w:r>
            <w:r>
              <w:rPr>
                <w:rFonts w:hint="eastAsia" w:cs="宋体" w:asciiTheme="minorEastAsia" w:hAnsiTheme="minorEastAsia" w:eastAsiaTheme="minorEastAsia"/>
                <w:sz w:val="20"/>
                <w:szCs w:val="20"/>
                <w:lang w:bidi="ar"/>
              </w:rPr>
              <w:br/>
              <w:t xml:space="preserve">4.可脱机进行数据采集。 </w:t>
            </w:r>
            <w:r>
              <w:rPr>
                <w:rFonts w:hint="eastAsia" w:cs="宋体" w:asciiTheme="minorEastAsia" w:hAnsiTheme="minorEastAsia" w:eastAsiaTheme="minorEastAsia"/>
                <w:sz w:val="20"/>
                <w:szCs w:val="20"/>
                <w:lang w:bidi="ar"/>
              </w:rPr>
              <w:br/>
              <w:t xml:space="preserve">5.传感器具有唯一蓝牙编号，便于数据终端选择性连接。 </w:t>
            </w:r>
            <w:r>
              <w:rPr>
                <w:rFonts w:hint="eastAsia" w:cs="宋体" w:asciiTheme="minorEastAsia" w:hAnsiTheme="minorEastAsia" w:eastAsiaTheme="minorEastAsia"/>
                <w:sz w:val="20"/>
                <w:szCs w:val="20"/>
                <w:lang w:bidi="ar"/>
              </w:rPr>
              <w:br/>
              <w:t xml:space="preserve">6.使用纽扣电池，电池可更换，一枚电池可正常课堂使用2年。 </w:t>
            </w:r>
            <w:r>
              <w:rPr>
                <w:rFonts w:hint="eastAsia" w:cs="宋体" w:asciiTheme="minorEastAsia" w:hAnsiTheme="minorEastAsia" w:eastAsiaTheme="minorEastAsia"/>
                <w:sz w:val="20"/>
                <w:szCs w:val="20"/>
                <w:lang w:bidi="ar"/>
              </w:rPr>
              <w:br/>
              <w:t xml:space="preserve">7.测量数据可用于测定总溶解固体。 </w:t>
            </w:r>
            <w:r>
              <w:rPr>
                <w:rFonts w:hint="eastAsia" w:cs="宋体" w:asciiTheme="minorEastAsia" w:hAnsiTheme="minorEastAsia" w:eastAsiaTheme="minorEastAsia"/>
                <w:sz w:val="20"/>
                <w:szCs w:val="20"/>
                <w:lang w:bidi="ar"/>
              </w:rPr>
              <w:br/>
              <w:t xml:space="preserve">8.传感器会自动进行温度补偿。 </w:t>
            </w:r>
            <w:r>
              <w:rPr>
                <w:rFonts w:hint="eastAsia" w:cs="宋体" w:asciiTheme="minorEastAsia" w:hAnsiTheme="minorEastAsia" w:eastAsiaTheme="minorEastAsia"/>
                <w:sz w:val="20"/>
                <w:szCs w:val="20"/>
                <w:lang w:bidi="ar"/>
              </w:rPr>
              <w:br/>
              <w:t xml:space="preserve">9.可实现标定功能。 </w:t>
            </w:r>
            <w:r>
              <w:rPr>
                <w:rFonts w:hint="eastAsia" w:cs="宋体" w:asciiTheme="minorEastAsia" w:hAnsiTheme="minorEastAsia" w:eastAsiaTheme="minorEastAsia"/>
                <w:sz w:val="20"/>
                <w:szCs w:val="20"/>
                <w:lang w:bidi="ar"/>
              </w:rPr>
              <w:br/>
              <w:t xml:space="preserve">10.连接方式：蓝牙无线。 </w:t>
            </w:r>
            <w:r>
              <w:rPr>
                <w:rFonts w:hint="eastAsia" w:cs="宋体" w:asciiTheme="minorEastAsia" w:hAnsiTheme="minorEastAsia" w:eastAsiaTheme="minorEastAsia"/>
                <w:sz w:val="20"/>
                <w:szCs w:val="20"/>
                <w:lang w:bidi="ar"/>
              </w:rPr>
              <w:br/>
              <w:t xml:space="preserve">11.节能方式：传感器打开电源，但无连接或连接无活动，几分钟后自动关闭电源。</w:t>
            </w:r>
            <w:r>
              <w:rPr>
                <w:rFonts w:hint="eastAsia" w:cs="宋体" w:asciiTheme="minorEastAsia" w:hAnsiTheme="minorEastAsia" w:eastAsiaTheme="minorEastAsia"/>
                <w:sz w:val="20"/>
                <w:szCs w:val="20"/>
                <w:lang w:bidi="ar"/>
              </w:rPr>
              <w:br/>
              <w:t xml:space="preserve">12.支持平台：Windows、Android、iOS/iPadOS、MacOS、 Linux、Harmony OS、统信UOS等。</w:t>
            </w:r>
            <w:r>
              <w:rPr>
                <w:rFonts w:hint="eastAsia" w:cs="宋体" w:asciiTheme="minorEastAsia" w:hAnsiTheme="minorEastAsia" w:eastAsiaTheme="minorEastAsia"/>
                <w:sz w:val="20"/>
                <w:szCs w:val="20"/>
                <w:lang w:bidi="ar"/>
              </w:rPr>
              <w:br/>
              <w:t xml:space="preserve">三、规格</w:t>
            </w:r>
            <w:r>
              <w:rPr>
                <w:rFonts w:hint="eastAsia" w:cs="宋体" w:asciiTheme="minorEastAsia" w:hAnsiTheme="minorEastAsia" w:eastAsiaTheme="minorEastAsia"/>
                <w:sz w:val="20"/>
                <w:szCs w:val="20"/>
                <w:lang w:bidi="ar"/>
              </w:rPr>
              <w:br/>
              <w:t xml:space="preserve">电导率：</w:t>
            </w:r>
            <w:r>
              <w:rPr>
                <w:rFonts w:hint="eastAsia" w:cs="宋体" w:asciiTheme="minorEastAsia" w:hAnsiTheme="minorEastAsia" w:eastAsiaTheme="minorEastAsia"/>
                <w:sz w:val="20"/>
                <w:szCs w:val="20"/>
                <w:lang w:bidi="ar"/>
              </w:rPr>
              <w:br/>
              <w:t xml:space="preserve">1.量程：0~20000μS/cm</w:t>
            </w:r>
            <w:r>
              <w:rPr>
                <w:rFonts w:hint="eastAsia" w:cs="宋体" w:asciiTheme="minorEastAsia" w:hAnsiTheme="minorEastAsia" w:eastAsiaTheme="minorEastAsia"/>
                <w:sz w:val="20"/>
                <w:szCs w:val="20"/>
                <w:lang w:bidi="ar"/>
              </w:rPr>
              <w:br/>
              <w:t xml:space="preserve">2.分辨率：8μS/cm</w:t>
            </w:r>
            <w:r>
              <w:rPr>
                <w:rFonts w:hint="eastAsia" w:cs="宋体" w:asciiTheme="minorEastAsia" w:hAnsiTheme="minorEastAsia" w:eastAsiaTheme="minorEastAsia"/>
                <w:sz w:val="20"/>
                <w:szCs w:val="20"/>
                <w:lang w:bidi="ar"/>
              </w:rPr>
              <w:br/>
              <w:t xml:space="preserve">3.精度：±3%F.S</w:t>
            </w:r>
            <w:r>
              <w:rPr>
                <w:rFonts w:hint="eastAsia" w:cs="宋体" w:asciiTheme="minorEastAsia" w:hAnsiTheme="minorEastAsia" w:eastAsiaTheme="minorEastAsia"/>
                <w:sz w:val="20"/>
                <w:szCs w:val="20"/>
                <w:lang w:bidi="ar"/>
              </w:rPr>
              <w:br/>
              <w:t xml:space="preserve">温度：</w:t>
            </w:r>
            <w:r>
              <w:rPr>
                <w:rFonts w:hint="eastAsia" w:cs="宋体" w:asciiTheme="minorEastAsia" w:hAnsiTheme="minorEastAsia" w:eastAsiaTheme="minorEastAsia"/>
                <w:sz w:val="20"/>
                <w:szCs w:val="20"/>
                <w:lang w:bidi="ar"/>
              </w:rPr>
              <w:br/>
              <w:t xml:space="preserve">1.量程：0~60℃   </w:t>
            </w:r>
            <w:r>
              <w:rPr>
                <w:rFonts w:hint="eastAsia" w:cs="宋体" w:asciiTheme="minorEastAsia" w:hAnsiTheme="minorEastAsia" w:eastAsiaTheme="minorEastAsia"/>
                <w:sz w:val="20"/>
                <w:szCs w:val="20"/>
                <w:lang w:bidi="ar"/>
              </w:rPr>
              <w:br/>
              <w:t xml:space="preserve">2.分辨率：0.1℃  </w:t>
            </w:r>
            <w:r>
              <w:rPr>
                <w:rFonts w:hint="eastAsia" w:cs="宋体" w:asciiTheme="minorEastAsia" w:hAnsiTheme="minorEastAsia" w:eastAsiaTheme="minorEastAsia"/>
                <w:sz w:val="20"/>
                <w:szCs w:val="20"/>
                <w:lang w:bidi="ar"/>
              </w:rPr>
              <w:br/>
              <w:t xml:space="preserve">3.精度：0.5℃</w:t>
            </w:r>
            <w:r>
              <w:rPr>
                <w:rFonts w:hint="eastAsia" w:cs="宋体" w:asciiTheme="minorEastAsia" w:hAnsiTheme="minorEastAsia" w:eastAsiaTheme="minorEastAsia"/>
                <w:sz w:val="20"/>
                <w:szCs w:val="20"/>
                <w:lang w:bidi="ar"/>
              </w:rPr>
              <w:br/>
              <w:t xml:space="preserve">4.采样速率：10次/秒</w:t>
            </w:r>
            <w:r>
              <w:rPr>
                <w:rFonts w:hint="eastAsia" w:cs="宋体" w:asciiTheme="minorEastAsia" w:hAnsiTheme="minorEastAsia" w:eastAsiaTheme="minorEastAsia"/>
                <w:sz w:val="20"/>
                <w:szCs w:val="20"/>
                <w:lang w:bidi="ar"/>
              </w:rPr>
              <w:br/>
              <w:t xml:space="preserve">5.连续使用时间：≥120小时</w:t>
            </w:r>
            <w:r>
              <w:rPr>
                <w:rFonts w:hint="eastAsia" w:cs="宋体" w:asciiTheme="minorEastAsia" w:hAnsiTheme="minorEastAsia" w:eastAsiaTheme="minorEastAsia"/>
                <w:sz w:val="20"/>
                <w:szCs w:val="20"/>
                <w:lang w:bidi="ar"/>
              </w:rPr>
              <w:br/>
              <w:t xml:space="preserve">6.防水等级：IP67</w:t>
            </w:r>
            <w:r>
              <w:rPr>
                <w:rFonts w:hint="eastAsia" w:cs="宋体" w:asciiTheme="minorEastAsia" w:hAnsiTheme="minorEastAsia" w:eastAsiaTheme="minorEastAsia"/>
                <w:sz w:val="20"/>
                <w:szCs w:val="20"/>
                <w:lang w:bidi="ar"/>
              </w:rPr>
              <w:br/>
              <w:t xml:space="preserve">7.通讯距离：≥30m（空旷无遮挡）</w:t>
            </w:r>
            <w:r>
              <w:rPr>
                <w:rFonts w:hint="eastAsia" w:cs="宋体" w:asciiTheme="minorEastAsia" w:hAnsiTheme="minorEastAsia" w:eastAsiaTheme="minorEastAsia"/>
                <w:sz w:val="20"/>
                <w:szCs w:val="20"/>
                <w:lang w:bidi="ar"/>
              </w:rPr>
              <w:br/>
              <w:t xml:space="preserve">8.电池型号：CR2032</w:t>
            </w:r>
            <w:r>
              <w:rPr>
                <w:rFonts w:hint="eastAsia" w:cs="宋体" w:asciiTheme="minorEastAsia" w:hAnsiTheme="minorEastAsia" w:eastAsiaTheme="minorEastAsia"/>
                <w:sz w:val="20"/>
                <w:szCs w:val="20"/>
                <w:lang w:bidi="ar"/>
              </w:rPr>
              <w:br/>
              <w:t xml:space="preserve">四、典型实验</w:t>
            </w:r>
            <w:r>
              <w:rPr>
                <w:rFonts w:hint="eastAsia" w:cs="宋体" w:asciiTheme="minorEastAsia" w:hAnsiTheme="minorEastAsia" w:eastAsiaTheme="minorEastAsia"/>
                <w:sz w:val="20"/>
                <w:szCs w:val="20"/>
                <w:lang w:bidi="ar"/>
              </w:rPr>
              <w:br/>
              <w:t xml:space="preserve">观察氢氧化钙与二氧化碳的反应、测量溶液的电导率、试验物质的导电性、渗透研究等实验。</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non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71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气液相密</w:t>
            </w:r>
            <w:r>
              <w:rPr>
                <w:rFonts w:hint="eastAsia" w:cs="宋体" w:asciiTheme="minorEastAsia" w:hAnsiTheme="minorEastAsia" w:eastAsiaTheme="minorEastAsia"/>
                <w:sz w:val="20"/>
                <w:szCs w:val="20"/>
                <w:lang w:bidi="ar"/>
              </w:rPr>
              <w:t xml:space="preserve">封实验器</w:t>
            </w:r>
            <w:r/>
          </w:p>
        </w:tc>
        <w:tc>
          <w:tcPr>
            <w:shd w:val="clear" w:color="auto" w:fill="ffffff"/>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实验器罐体、护线圈*5、硅胶堵头*5、塑料吸管*20</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1.用于生化实验中光合作用、酵母菌的呼吸作用等实验。</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2.实验器罐体配合硅胶堵头、护线圈，可连接气体酒精传感器、氧气传感器、二氧化碳传感器、相对湿度传感器等，轻松搭建密封实验环境，配合传感器使用可在Windows、安卓、iOS系统终端上实时呈现数据。</w:t>
            </w:r>
            <w:r>
              <w:rPr>
                <w:rFonts w:hint="eastAsia" w:cs="宋体" w:asciiTheme="minorEastAsia" w:hAnsiTheme="minorEastAsia" w:eastAsiaTheme="minorEastAsia"/>
                <w:sz w:val="20"/>
                <w:szCs w:val="20"/>
                <w:lang w:bidi="ar"/>
              </w:rPr>
              <w:br/>
              <w:t xml:space="preserve">3.实验桶透明设计，便于观察实验现象。</w:t>
            </w:r>
            <w:r>
              <w:rPr>
                <w:rFonts w:hint="eastAsia" w:cs="宋体" w:asciiTheme="minorEastAsia" w:hAnsiTheme="minorEastAsia" w:eastAsiaTheme="minorEastAsia"/>
                <w:sz w:val="20"/>
                <w:szCs w:val="20"/>
                <w:lang w:bidi="ar"/>
              </w:rPr>
              <w:br/>
              <w:t xml:space="preserve">4.配合二氧化碳传感器、氧气传感器可做光合作用吸收二氧化碳产生氧气的实验。</w:t>
            </w:r>
            <w:r>
              <w:rPr>
                <w:rFonts w:hint="eastAsia" w:cs="宋体" w:asciiTheme="minorEastAsia" w:hAnsiTheme="minorEastAsia" w:eastAsiaTheme="minorEastAsia"/>
                <w:sz w:val="20"/>
                <w:szCs w:val="20"/>
                <w:lang w:bidi="ar"/>
              </w:rPr>
              <w:br/>
              <w:t xml:space="preserve">5.配合二氧化碳传感器、氧气传感器、气体酒精传感器可做酵母菌的细胞呼吸实验。</w:t>
            </w:r>
            <w:r>
              <w:rPr>
                <w:rFonts w:hint="eastAsia" w:cs="宋体" w:asciiTheme="minorEastAsia" w:hAnsiTheme="minorEastAsia" w:eastAsiaTheme="minorEastAsia"/>
                <w:sz w:val="20"/>
                <w:szCs w:val="20"/>
                <w:lang w:bidi="ar"/>
              </w:rPr>
              <w:br/>
              <w:t xml:space="preserve">6.配合二氧化碳传感器、氧气传感器、相对湿度传感器可做人体吸入与呼出气体成分的探究实验。</w:t>
            </w:r>
            <w:r>
              <w:rPr>
                <w:rFonts w:hint="eastAsia" w:cs="宋体" w:asciiTheme="minorEastAsia" w:hAnsiTheme="minorEastAsia" w:eastAsiaTheme="minorEastAsia"/>
                <w:sz w:val="20"/>
                <w:szCs w:val="20"/>
                <w:lang w:bidi="ar"/>
              </w:rPr>
              <w:br/>
              <w:t xml:space="preserve">7.通过移动终端扫描仪器上的二维码可浏览该仪器配套的使用说明。</w:t>
            </w:r>
            <w:r>
              <w:rPr>
                <w:rFonts w:hint="eastAsia" w:cs="宋体" w:asciiTheme="minorEastAsia" w:hAnsiTheme="minorEastAsia" w:eastAsiaTheme="minorEastAsia"/>
                <w:sz w:val="20"/>
                <w:szCs w:val="20"/>
                <w:lang w:bidi="ar"/>
              </w:rPr>
              <w:br/>
              <w:t xml:space="preserve">8.配套专用实验软件，预设模板，以表格和曲线等形式自动记录数据变化情况，实验结果更直观明显。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光合作用、酵母菌的细胞呼吸、人体吸入与呼出气体成分的探究等实验。</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635"/>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橡胶塞配件包</w:t>
            </w:r>
            <w:r/>
          </w:p>
        </w:tc>
        <w:tc>
          <w:tcPr>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单孔塞（φ37*φ30-31，孔φ5mm）、单孔塞（φ37*φ30-31，带直通接头）、单孔塞（φ37*φ30-31，孔φ15.5mm）、三孔塞（φ37*φ30-31，两孔φ8mm，一孔φ12.5mm）、三孔塞（φ37*φ30-31，两孔φ8mm，一孔φ15.5mm）</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单孔塞搭配锥形瓶，孔径与传感器适配性高，可接入温度传感器、绝对压强传感器、二氧化碳传感器等，密封性好，可用于需要在密封环境中测量温度、压强、二氧化碳浓度的相关生化类实验，并在Windows、安卓、iOS系统终端上实时呈现数据。</w:t>
            </w:r>
            <w:r>
              <w:rPr>
                <w:rFonts w:hint="eastAsia" w:cs="宋体" w:asciiTheme="minorEastAsia" w:hAnsiTheme="minorEastAsia" w:eastAsiaTheme="minorEastAsia"/>
                <w:sz w:val="20"/>
                <w:szCs w:val="20"/>
                <w:lang w:bidi="ar"/>
              </w:rPr>
              <w:br/>
              <w:t xml:space="preserve">2.三孔塞搭配锥形瓶，孔径适合玻璃导管、长颈漏斗、二氧化碳传感器、溶解氧-气中氧一体传感器等组合使用，可用于需要在密封环境中进行的生化类实验，如固液生成气体的实验、化学反应速率、生成气体导入和导出等实验。</w:t>
            </w:r>
            <w:r>
              <w:rPr>
                <w:rFonts w:hint="eastAsia" w:cs="宋体" w:asciiTheme="minorEastAsia" w:hAnsiTheme="minorEastAsia" w:eastAsiaTheme="minorEastAsia"/>
                <w:sz w:val="20"/>
                <w:szCs w:val="20"/>
                <w:lang w:bidi="ar"/>
              </w:rPr>
              <w:br/>
              <w:t xml:space="preserve">3.适用于多种实验，减轻教师准备或自制器材的负担，解决适配性难题，轻松满足教师的实验教学需要。</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铁的吸氧腐蚀、种子的萌发等实验。</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1415"/>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光合作用实验箱</w:t>
            </w:r>
            <w:r/>
          </w:p>
        </w:tc>
        <w:tc>
          <w:tcPr>
            <w:shd w:val="clear" w:color="auto" w:fill="ffffff"/>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透明亚克力实验箱、密封盖、橡胶塞14个（含侧面全封塞*2（φ30mm）、顶面全封塞*3（φ33mm）、单边槽无孔塞*2（φ33mm，开槽φ4mm）、双边槽无孔塞*3（开槽φ4mm）、温度传感器探头孔塞*1（中孔φ5mm）、二氧化碳传感器探头孔塞*1（中孔φ15mm）、湿度传感器探头孔塞*1（中孔φ10mm）、溶解氧-气中氧一体传感器探头孔塞*1（中孔φ12mm））</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1.用于水陆生植物的光合作用、种子萌发、呼吸作用、酶的特性、蒸腾作用等实验。</w:t>
            </w:r>
            <w:r>
              <w:rPr>
                <w:rFonts w:hint="eastAsia" w:cs="宋体" w:asciiTheme="minorEastAsia" w:hAnsiTheme="minorEastAsia" w:eastAsiaTheme="minorEastAsia"/>
                <w:sz w:val="20"/>
                <w:szCs w:val="20"/>
                <w:lang w:bidi="ar"/>
              </w:rPr>
              <w:br/>
              <w:t xml:space="preserve">2.实验箱、密封盖、橡胶塞可轻松搭建密闭实验环境，透明箱体便于观察箱体内部的实验现象。</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3.可配合温度传感器、二氧化碳传感器、溶解氧-气中氧一体传感器、相对湿度传感器等多个传感器使用，也可单独测量某一个量，并在Windows、安卓、iOS系统终端上实时呈现数据。</w:t>
            </w:r>
            <w:r>
              <w:rPr>
                <w:rFonts w:hint="eastAsia" w:cs="宋体" w:asciiTheme="minorEastAsia" w:hAnsiTheme="minorEastAsia" w:eastAsiaTheme="minorEastAsia"/>
                <w:sz w:val="20"/>
                <w:szCs w:val="20"/>
                <w:lang w:bidi="ar"/>
              </w:rPr>
              <w:br/>
              <w:t xml:space="preserve">4.支持带线的传感器（如电导率、pH传感器、溶氧、溶解二氧化碳、盐度等传感器的电缆线）探头主体完全进入实验器，支持教师DIY设计实验。</w:t>
            </w:r>
            <w:r>
              <w:rPr>
                <w:rFonts w:hint="eastAsia" w:cs="宋体" w:asciiTheme="minorEastAsia" w:hAnsiTheme="minorEastAsia" w:eastAsiaTheme="minorEastAsia"/>
                <w:sz w:val="20"/>
                <w:szCs w:val="20"/>
                <w:lang w:bidi="ar"/>
              </w:rPr>
              <w:br/>
              <w:t xml:space="preserve">5.配套专用实验软件，预设模板，以表格和曲线等形式自动记录数据变化情况，实验结果更直观明显。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植物的光合作用、呼吸作用、种子萌发、蒸腾作用、酶的特性、蜡烛的燃烧、模拟生态环境等实验。</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265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化学反应速率实验器</w:t>
            </w:r>
            <w:r/>
          </w:p>
        </w:tc>
        <w:tc>
          <w:tcPr>
            <w:shd w:val="clear" w:color="auto" w:fill="ffffff"/>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密封反应瓶、注液阀门开关、注射器（10mL）、压强传感器接口、泄压组件（260±10kPa）</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1.用于探究催化剂对过氧化氢分解的影响、金属与酸反应、酶催化的高效性等。</w:t>
            </w:r>
            <w:r>
              <w:rPr>
                <w:rFonts w:hint="eastAsia" w:cs="宋体" w:asciiTheme="minorEastAsia" w:hAnsiTheme="minorEastAsia" w:eastAsiaTheme="minorEastAsia"/>
                <w:sz w:val="20"/>
                <w:szCs w:val="20"/>
                <w:lang w:bidi="ar"/>
              </w:rPr>
              <w:br/>
              <w:t xml:space="preserve">2.密封反应瓶，保证实验器的密封性，实验数据更加精确，支持固体、液体和气体任意组合的产气或吸收气体的相关的生化反应，配合绝对压强传感器，通过测量压强的变化，探究化学反应速率的快慢，在Windows、安卓、iOS系统终端上实时呈现数据，实验规律更加直观，适用范围广泛。</w:t>
            </w:r>
            <w:r>
              <w:rPr>
                <w:rFonts w:hint="eastAsia" w:cs="宋体" w:asciiTheme="minorEastAsia" w:hAnsiTheme="minorEastAsia" w:eastAsiaTheme="minorEastAsia"/>
                <w:sz w:val="20"/>
                <w:szCs w:val="20"/>
                <w:lang w:bidi="ar"/>
              </w:rPr>
              <w:br/>
              <w:t xml:space="preserve">3.装置设有螺口注射器及注液阀门开关，保证全程密封的情况下，注入液体定量可控，可一次或分段多次注入，实验高效且保证安全性。</w:t>
            </w:r>
            <w:r>
              <w:rPr>
                <w:rFonts w:hint="eastAsia" w:cs="宋体" w:asciiTheme="minorEastAsia" w:hAnsiTheme="minorEastAsia" w:eastAsiaTheme="minorEastAsia"/>
                <w:sz w:val="20"/>
                <w:szCs w:val="20"/>
                <w:lang w:bidi="ar"/>
              </w:rPr>
              <w:br/>
              <w:t xml:space="preserve">4.装置设有泄压阀（泄压阀安全值260±10kPa），压强过高时会自动泄压，充分保证了实验的安全性。</w:t>
            </w:r>
            <w:r>
              <w:rPr>
                <w:rFonts w:hint="eastAsia" w:cs="宋体" w:asciiTheme="minorEastAsia" w:hAnsiTheme="minorEastAsia" w:eastAsiaTheme="minorEastAsia"/>
                <w:sz w:val="20"/>
                <w:szCs w:val="20"/>
                <w:lang w:bidi="ar"/>
              </w:rPr>
              <w:br/>
              <w:t xml:space="preserve">5.透明瓶体设计，便于观察实验现象，可从多维度了解实验。</w:t>
            </w:r>
            <w:r>
              <w:rPr>
                <w:rFonts w:hint="eastAsia" w:cs="宋体" w:asciiTheme="minorEastAsia" w:hAnsiTheme="minorEastAsia" w:eastAsiaTheme="minorEastAsia"/>
                <w:sz w:val="20"/>
                <w:szCs w:val="20"/>
                <w:lang w:bidi="ar"/>
              </w:rPr>
              <w:br/>
              <w:t xml:space="preserve">6.与传感器适配性好，轻松搭建密封的实验环境，减轻准备器材的负担，轻松满足演示及分组实验，让课堂教学更高效。</w:t>
            </w:r>
            <w:r>
              <w:rPr>
                <w:rFonts w:hint="eastAsia" w:cs="宋体" w:asciiTheme="minorEastAsia" w:hAnsiTheme="minorEastAsia" w:eastAsiaTheme="minorEastAsia"/>
                <w:sz w:val="20"/>
                <w:szCs w:val="20"/>
                <w:lang w:bidi="ar"/>
              </w:rPr>
              <w:br/>
              <w:t xml:space="preserve">7.通过移动终端扫描仪器上的二维码可浏览该仪器配套的使用说明。</w:t>
            </w:r>
            <w:r>
              <w:rPr>
                <w:rFonts w:hint="eastAsia" w:cs="宋体" w:asciiTheme="minorEastAsia" w:hAnsiTheme="minorEastAsia" w:eastAsiaTheme="minorEastAsia"/>
                <w:sz w:val="20"/>
                <w:szCs w:val="20"/>
                <w:lang w:bidi="ar"/>
              </w:rPr>
              <w:br/>
              <w:t xml:space="preserve">8.配套专用实验软件，预设模板，以表格和曲线等形式自动记录数据变化情况，实验结果更直观明显。</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催化剂对化学反应速率的影响、金属与酸反应、酶催化的高效性等实验。</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865"/>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数码显微镜</w:t>
            </w:r>
            <w:r/>
          </w:p>
        </w:tc>
        <w:tc>
          <w:tcPr>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1.光路要求：非无限远光学系统。</w:t>
            </w:r>
            <w:r>
              <w:rPr>
                <w:rFonts w:hint="eastAsia" w:cs="宋体" w:asciiTheme="minorEastAsia" w:hAnsiTheme="minorEastAsia" w:eastAsiaTheme="minorEastAsia"/>
                <w:sz w:val="20"/>
                <w:szCs w:val="20"/>
                <w:lang w:bidi="ar"/>
              </w:rPr>
              <w:br/>
              <w:t xml:space="preserve">2.观察筒要求：单目镜筒观察倾斜角度不大于30°，观察筒须和机身为一体化结构，不可分离，避免发生坠落。</w:t>
            </w:r>
            <w:r>
              <w:rPr>
                <w:rFonts w:hint="eastAsia" w:cs="宋体" w:asciiTheme="minorEastAsia" w:hAnsiTheme="minorEastAsia" w:eastAsiaTheme="minorEastAsia"/>
                <w:sz w:val="20"/>
                <w:szCs w:val="20"/>
                <w:lang w:bidi="ar"/>
              </w:rPr>
              <w:br/>
              <w:t xml:space="preserve">3.目镜：12.5×大视野、高眼点平场目镜，带指针，可固定。</w:t>
            </w:r>
            <w:r>
              <w:rPr>
                <w:rFonts w:hint="eastAsia" w:cs="宋体" w:asciiTheme="minorEastAsia" w:hAnsiTheme="minorEastAsia" w:eastAsiaTheme="minorEastAsia"/>
                <w:sz w:val="20"/>
                <w:szCs w:val="20"/>
                <w:lang w:bidi="ar"/>
              </w:rPr>
              <w:br/>
              <w:t xml:space="preserve">4.专业消色差减光物镜三只： 4×0.1，10×0.25，40X；</w:t>
            </w:r>
            <w:r>
              <w:rPr>
                <w:rFonts w:hint="eastAsia" w:cs="宋体" w:asciiTheme="minorEastAsia" w:hAnsiTheme="minorEastAsia" w:eastAsiaTheme="minorEastAsia"/>
                <w:sz w:val="20"/>
                <w:szCs w:val="20"/>
                <w:lang w:bidi="ar"/>
              </w:rPr>
              <w:br/>
              <w:t xml:space="preserve">5.机械移动载物台：硬膜涂层表面，防腐、耐磨，进口三角导轨，移动范围可完全覆盖整张标准切片。</w:t>
            </w:r>
            <w:r>
              <w:rPr>
                <w:rFonts w:hint="eastAsia" w:cs="宋体" w:asciiTheme="minorEastAsia" w:hAnsiTheme="minorEastAsia" w:eastAsiaTheme="minorEastAsia"/>
                <w:sz w:val="20"/>
                <w:szCs w:val="20"/>
                <w:lang w:bidi="ar"/>
              </w:rPr>
              <w:br/>
              <w:t xml:space="preserve">6.物镜转换器：向机身内倾式内定位四孔转换器，带防霉装置。</w:t>
            </w:r>
            <w:r>
              <w:rPr>
                <w:rFonts w:hint="eastAsia" w:cs="宋体" w:asciiTheme="minorEastAsia" w:hAnsiTheme="minorEastAsia" w:eastAsiaTheme="minorEastAsia"/>
                <w:sz w:val="20"/>
                <w:szCs w:val="20"/>
                <w:lang w:bidi="ar"/>
              </w:rPr>
              <w:br/>
              <w:t xml:space="preserve">7.调焦装置：粗微动同轴调焦，微调格值2um；调焦行程不小于25mm，便于放入和移除切片；调焦上限位出厂预设，学生不能将上限位自行进行调节。  </w:t>
            </w:r>
            <w:r>
              <w:rPr>
                <w:rFonts w:hint="eastAsia" w:cs="宋体" w:asciiTheme="minorEastAsia" w:hAnsiTheme="minorEastAsia" w:eastAsiaTheme="minorEastAsia"/>
                <w:sz w:val="20"/>
                <w:szCs w:val="20"/>
                <w:lang w:bidi="ar"/>
              </w:rPr>
              <w:br/>
              <w:t xml:space="preserve">8.安全照明电路：LED冷光源，不高于5-12V低电压输入（手机充电器也可为显微镜供电），确保产品用电安全(可使用充电宝、手提电脑、车载充电等外置电源供电)；每次开启电源开关确保光源亮度处于最低值，即可保护人眼，也可减少开机瞬间大电流对灯泡的冲击。</w:t>
            </w:r>
            <w:r>
              <w:rPr>
                <w:rFonts w:hint="eastAsia" w:cs="宋体" w:asciiTheme="minorEastAsia" w:hAnsiTheme="minorEastAsia" w:eastAsiaTheme="minorEastAsia"/>
                <w:sz w:val="20"/>
                <w:szCs w:val="20"/>
                <w:lang w:bidi="ar"/>
              </w:rPr>
              <w:br/>
              <w:t xml:space="preserve">9.聚光镜：NA1.25阿贝聚光镜，带可变孔径光阑。</w:t>
            </w:r>
            <w:r>
              <w:rPr>
                <w:rFonts w:hint="eastAsia" w:cs="宋体" w:asciiTheme="minorEastAsia" w:hAnsiTheme="minorEastAsia" w:eastAsiaTheme="minorEastAsia"/>
                <w:sz w:val="20"/>
                <w:szCs w:val="20"/>
                <w:lang w:bidi="ar"/>
              </w:rPr>
              <w:br/>
              <w:t xml:space="preserve">10.机身后部储物空间，用于放置电源线，充电宝等，便于搬运和储藏。</w:t>
            </w:r>
            <w:r>
              <w:rPr>
                <w:rFonts w:hint="eastAsia" w:cs="宋体" w:asciiTheme="minorEastAsia" w:hAnsiTheme="minorEastAsia" w:eastAsiaTheme="minorEastAsia"/>
                <w:sz w:val="20"/>
                <w:szCs w:val="20"/>
                <w:lang w:bidi="ar"/>
              </w:rPr>
              <w:br/>
              <w:t xml:space="preserve">11.光学系统：芯片类型：高性能逐行扫描芯片（非CCD芯片）；物理分辨率不低于630万；传感器尺寸大于1/1.9 “；像元尺寸不小于2.4 um×2.4 um；图像帧率：全像素下不低于15fps；曝光范围与方式：0.1ms~1h,ROI自动或手动；</w:t>
            </w:r>
            <w:r>
              <w:rPr>
                <w:rFonts w:hint="eastAsia" w:cs="宋体" w:asciiTheme="minorEastAsia" w:hAnsiTheme="minorEastAsia" w:eastAsiaTheme="minorEastAsia"/>
                <w:sz w:val="20"/>
                <w:szCs w:val="20"/>
                <w:lang w:bidi="ar"/>
              </w:rPr>
              <w:br/>
              <w:t xml:space="preserve">12.成像系统：屏幕≥10.5英寸，分辨率≥1920 x 1280（220 PPI），≥10点触控，处理器不低于英特尔4425Y，存储≥128GB，内存≥4GB，电池续航常规使用时间不低于10小时。</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r>
        <w:trPr>
          <w:trHeight w:val="3260"/>
        </w:trPr>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218"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光纤光谱仪</w:t>
            </w:r>
            <w:r/>
          </w:p>
        </w:tc>
        <w:tc>
          <w:tcPr>
            <w:tcBorders>
              <w:top w:val="single" w:color="000000" w:sz="4" w:space="0"/>
              <w:left w:val="single" w:color="000000" w:sz="4" w:space="0"/>
              <w:bottom w:val="single" w:color="000000" w:sz="4" w:space="0"/>
              <w:right w:val="single" w:color="000000" w:sz="4" w:space="0"/>
            </w:tcBorders>
            <w:tcW w:w="2864" w:type="pct"/>
            <w:vAlign w:val="center"/>
            <w:textDirection w:val="lrTb"/>
            <w:noWrap w:val="false"/>
          </w:tcPr>
          <w:p>
            <w:pPr>
              <w:jc w:val="left"/>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一、组成</w:t>
            </w:r>
            <w:r>
              <w:rPr>
                <w:rFonts w:hint="eastAsia" w:cs="宋体" w:asciiTheme="minorEastAsia" w:hAnsiTheme="minorEastAsia" w:eastAsiaTheme="minorEastAsia"/>
                <w:sz w:val="20"/>
                <w:szCs w:val="20"/>
                <w:lang w:bidi="ar"/>
              </w:rPr>
              <w:br/>
              <w:t xml:space="preserve">光纤光谱仪实验器主体（含开关、工作指示灯、USB接口、漏液孔、电池电源、比色皿槽）、比色皿*10、光纤、USB数据线、干电池*4</w:t>
            </w:r>
            <w:r>
              <w:rPr>
                <w:rFonts w:hint="eastAsia" w:cs="宋体" w:asciiTheme="minorEastAsia" w:hAnsiTheme="minorEastAsia" w:eastAsiaTheme="minorEastAsia"/>
                <w:sz w:val="20"/>
                <w:szCs w:val="20"/>
                <w:lang w:bidi="ar"/>
              </w:rPr>
              <w:br/>
              <w:t xml:space="preserve">二、功能</w:t>
            </w:r>
            <w:r>
              <w:rPr>
                <w:rFonts w:hint="eastAsia" w:cs="宋体" w:asciiTheme="minorEastAsia" w:hAnsiTheme="minorEastAsia" w:eastAsiaTheme="minorEastAsia"/>
                <w:sz w:val="20"/>
                <w:szCs w:val="20"/>
                <w:lang w:bidi="ar"/>
              </w:rPr>
              <w:br/>
              <w:t xml:space="preserve">1.用于测量强度、吸光度、透光率和荧光等。</w:t>
            </w:r>
            <w:r>
              <w:rPr>
                <w:rFonts w:hint="eastAsia" w:cs="宋体" w:asciiTheme="minorEastAsia" w:hAnsiTheme="minorEastAsia" w:eastAsiaTheme="minorEastAsia"/>
                <w:sz w:val="20"/>
                <w:szCs w:val="20"/>
                <w:lang w:bidi="ar"/>
              </w:rPr>
              <w:br/>
              <w:t xml:space="preserve">2.实验器采用了交叉非对称 C-T 光学系统，结构简单，体积小。内置CCD探测器，无需外接传感器及采集器，可直接与终端连接，在专用软件上，可实现数据连续记录并以数值、图像等多种形式在Windows系统终端上实时呈现，可探究分析叶绿素的吸收光谱、各种色光的光谱测量、高锰酸钾溶液浓度测定等实验，涉及到教学中的多个学科，广泛应用于中学教育或者大学的初级教学。</w:t>
            </w:r>
            <w:r>
              <w:rPr>
                <w:rFonts w:hint="eastAsia" w:cs="宋体" w:asciiTheme="minorEastAsia" w:hAnsiTheme="minorEastAsia" w:eastAsiaTheme="minorEastAsia"/>
                <w:sz w:val="20"/>
                <w:szCs w:val="20"/>
                <w:lang w:bidi="ar"/>
              </w:rPr>
              <w:br/>
              <w:t xml:space="preserve">3.采用集成LED钨光光源和两段荧光激光光源，可自由切换，安全实用。</w:t>
            </w:r>
            <w:r>
              <w:rPr>
                <w:rFonts w:hint="eastAsia" w:cs="宋体" w:asciiTheme="minorEastAsia" w:hAnsiTheme="minorEastAsia" w:eastAsiaTheme="minorEastAsia"/>
                <w:sz w:val="20"/>
                <w:szCs w:val="20"/>
                <w:lang w:bidi="ar"/>
              </w:rPr>
              <w:br/>
              <w:t xml:space="preserve">4.具有高质量的衍射光栅，可以将不同光谱的谱线分开，并且入射到反射镜上。</w:t>
            </w:r>
            <w:r>
              <w:rPr>
                <w:rFonts w:hint="eastAsia" w:cs="宋体" w:asciiTheme="minorEastAsia" w:hAnsiTheme="minorEastAsia" w:eastAsiaTheme="minorEastAsia"/>
                <w:sz w:val="20"/>
                <w:szCs w:val="20"/>
                <w:lang w:bidi="ar"/>
              </w:rPr>
              <w:br/>
              <w:t xml:space="preserve">5.配置10个比色皿，可对溶液进行浓度、吸光度、透光率等测量。</w:t>
            </w:r>
            <w:r>
              <w:rPr>
                <w:rFonts w:hint="eastAsia" w:cs="宋体" w:asciiTheme="minorEastAsia" w:hAnsiTheme="minorEastAsia" w:eastAsiaTheme="minorEastAsia"/>
                <w:sz w:val="20"/>
                <w:szCs w:val="20"/>
                <w:lang w:bidi="ar"/>
              </w:rPr>
              <w:br/>
              <w:t xml:space="preserve">6.主体下方设有漏液孔，可有效避免比色皿槽中液体残留损坏测量窗口。</w:t>
            </w:r>
            <w:r>
              <w:rPr>
                <w:rFonts w:hint="eastAsia" w:cs="宋体" w:asciiTheme="minorEastAsia" w:hAnsiTheme="minorEastAsia" w:eastAsiaTheme="minorEastAsia"/>
                <w:sz w:val="20"/>
                <w:szCs w:val="20"/>
                <w:lang w:bidi="ar"/>
              </w:rPr>
              <w:br/>
            </w:r>
            <w:r>
              <w:rPr>
                <w:rFonts w:hint="eastAsia" w:cs="宋体" w:asciiTheme="minorEastAsia" w:hAnsiTheme="minorEastAsia" w:eastAsiaTheme="minorEastAsia"/>
                <w:sz w:val="20"/>
                <w:szCs w:val="20"/>
                <w:lang w:bidi="ar"/>
              </w:rPr>
              <w:t xml:space="preserve">7.配置光纤，可实现对各种色光的光谱测量。</w:t>
            </w:r>
            <w:r>
              <w:rPr>
                <w:rFonts w:hint="eastAsia" w:cs="宋体" w:asciiTheme="minorEastAsia" w:hAnsiTheme="minorEastAsia" w:eastAsiaTheme="minorEastAsia"/>
                <w:sz w:val="20"/>
                <w:szCs w:val="20"/>
                <w:lang w:bidi="ar"/>
              </w:rPr>
              <w:br/>
              <w:t xml:space="preserve">三、实验</w:t>
            </w:r>
            <w:r>
              <w:rPr>
                <w:rFonts w:hint="eastAsia" w:cs="宋体" w:asciiTheme="minorEastAsia" w:hAnsiTheme="minorEastAsia" w:eastAsiaTheme="minorEastAsia"/>
                <w:sz w:val="20"/>
                <w:szCs w:val="20"/>
                <w:lang w:bidi="ar"/>
              </w:rPr>
              <w:br/>
              <w:t xml:space="preserve">高锰酸钾溶液浓度测定、硫酸铜溶液浓度测定、测定实验室黄铜样品的铜含量、测定自制硫酸亚铁铵的纯度、测量化学反应速率、分析叶绿素的吸收光谱、探究酶浓度对酶促反应速率的影响、荧光光谱的测量、各种色光的光谱测量、气体放电管的放射光谱测量等实验。</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widowControl/>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rPr>
                <w:rFonts w:hint="eastAsia" w:cs="宋体" w:asciiTheme="minorEastAsia" w:hAnsiTheme="minorEastAsia" w:eastAsiaTheme="minorEastAsia"/>
                <w:sz w:val="20"/>
                <w:szCs w:val="20"/>
              </w:rPr>
            </w:pPr>
            <w:r>
              <w:rPr>
                <w:rFonts w:hint="eastAsia" w:cs="宋体" w:asciiTheme="minorEastAsia" w:hAnsiTheme="minorEastAsia" w:eastAsiaTheme="minorEastAsia"/>
                <w:sz w:val="20"/>
                <w:szCs w:val="20"/>
              </w:rPr>
            </w:r>
            <w:r/>
          </w:p>
        </w:tc>
      </w:tr>
    </w:tbl>
    <w:p>
      <w:pPr>
        <w:ind w:firstLine="482"/>
        <w:spacing w:line="56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left"/>
        <w:widowControl/>
        <w:rPr>
          <w:rFonts w:hint="eastAsia" w:cs="宋体" w:asciiTheme="minorEastAsia" w:hAnsiTheme="minorEastAsia" w:eastAsiaTheme="minorEastAsia"/>
          <w:b/>
          <w:bCs/>
          <w:sz w:val="24"/>
        </w:rPr>
      </w:pPr>
      <w:r>
        <w:rPr>
          <w:rFonts w:cs="宋体" w:asciiTheme="minorEastAsia" w:hAnsiTheme="minorEastAsia" w:eastAsiaTheme="minorEastAsia"/>
          <w:b/>
          <w:bCs/>
          <w:sz w:val="24"/>
        </w:rPr>
        <w:br w:type="page" w:clear="all"/>
      </w:r>
      <w:r/>
    </w:p>
    <w:p>
      <w:pPr>
        <w:ind w:firstLine="482"/>
        <w:spacing w:line="56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注：采购清单表中某一参数为固定值，均指该项参数的最低要求，投标人可选择优于或等于最低要求的产品进行响应。其中★代表实质性指标（含政府采购强制采购的节能产品,需提供经国家确定的认证机构出具的处于有效期内的节能产品认证证书），未提供证书或不满足该指标项将导致投标无效。▲代表重要性指标，未提供相应检测报告或证明材料的，将扣减分数。如提供了相关点位图和平面布置图，仅供投标人参考。具体以投标人实地考察后，依据现场实际情况自行合理设计。</w:t>
      </w:r>
      <w:r/>
    </w:p>
    <w:p>
      <w:pPr>
        <w:ind w:firstLine="482"/>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
          <w:bCs/>
          <w:sz w:val="24"/>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bCs/>
          <w:sz w:val="24"/>
        </w:rPr>
        <w:t xml:space="preserve">其内容包含</w:t>
      </w:r>
      <w:r>
        <w:rPr>
          <w:rFonts w:cs="宋体" w:asciiTheme="minorEastAsia" w:hAnsiTheme="minorEastAsia" w:eastAsiaTheme="minorEastAsia"/>
          <w:bCs/>
          <w:sz w:val="24"/>
        </w:rPr>
        <w:t xml:space="preserve">但不限于</w:t>
      </w:r>
      <w:r>
        <w:rPr>
          <w:rFonts w:hint="eastAsia" w:cs="宋体" w:asciiTheme="minorEastAsia" w:hAnsiTheme="minorEastAsia" w:eastAsiaTheme="minorEastAsia"/>
          <w:bCs/>
          <w:sz w:val="24"/>
        </w:rPr>
        <w:t xml:space="preserve">以下</w:t>
      </w:r>
      <w:r>
        <w:rPr>
          <w:rFonts w:cs="宋体" w:asciiTheme="minorEastAsia" w:hAnsiTheme="minorEastAsia" w:eastAsiaTheme="minorEastAsia"/>
          <w:bCs/>
          <w:sz w:val="24"/>
        </w:rPr>
        <w:t xml:space="preserve">内容：</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1.采购标的需实现的功能或者目标，以及为落实政府采购政策需满足的要求：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1.目标定位：设施设备要满足日常教学、课程拓展等要求。实验室硬件、软件搭配要完美、准确实现教、学等相关功能。</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相关要求：投标人应从规格、材质、数量、技术要求、设计和制造标准等角度综合考量，提供技术先进、质量优质的全新合格产品。各设备要确保安全可靠，软件运行时要流畅、准确；数据存储、调用安全可靠；确保软硬件配套实施功能的一致性。</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2.采购标的需执行的国家相关标准、行业标准、地方标准或者其他标准、规范：</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1.投标产品的技术标准按相关国家标准执行，无国家标准的，按行业标准等执行；在文件中有特别要求的，按文件中规定的要求执行，并且符合相关法律、法规规定的要求。 </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2.项目提供的技术要求(规格)只是对产品的一些原则性要求，并不是最详尽的描述和要求，投标人有责任依据相关设计技术规范和有关行业国家标准执行。 </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3.投标人应保证提供的产品不侵犯任何第三人的知识产权等权利。否则，应负全部责任，并承担由此引起的一切后果。</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3.采购标的需满足的质量、安全、技术规格、物理特性及各实验室功能等要求：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3.1镇江市朱方高级中学各室功能描述：</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（1）化学实验室</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为完成高中化学学科实验教学、课标实验操作、探究学习、培养科学素养等提供场所。</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实验室可容纳56名学生，分为28组进行实验；给排水、电（含网络接口）连接到桌；通过吊装提供通风到桌；具备多媒体教学功能、录播功能；采用健康照明、无感扩声。</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教室前端为教学核心区域，给排水、电（含网络接口）连接到桌；通过吊装提供通风到桌；具备可便捷操作一体机、视频展台、录播、灯光等设备；可集中分组控制学生端电源、通风的通断、低压电源电压值。</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通风设备将实验废气抽至活性炭废气处理装置，经处理后排放。</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（2）物理实验室</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为完成高中物理学科实验教学、课标实验操作、探究学习、培养科学素养等提供场所。</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实验室可容纳56名学生，分为28组进行实验；给排水、电（含网络接口）连接到桌；具备多媒体教学功能、录播功能；采用健康照明、无感扩声。</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教室前端为教学核心区域，给排水、电（含网络接口）连接到桌；具备可便捷操作一体机、视频展台、录播、灯光等设备；可集中分组控制学生端电源的通断、低压电源电压值。</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（3）生物实验室</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为完成高中生物学科实验教学、课标实验操作、探究学习、培养科学素养等提供场所。</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实验室可容纳56名学生，分为28组进行实验；给排水、电（含网络接口）、</w:t>
      </w:r>
      <w:r>
        <w:rPr>
          <w:rFonts w:cs="宋体" w:asciiTheme="minorEastAsia" w:hAnsiTheme="minorEastAsia" w:eastAsiaTheme="minorEastAsia"/>
          <w:sz w:val="24"/>
        </w:rPr>
        <w:t xml:space="preserve">辅助光源</w:t>
      </w:r>
      <w:r>
        <w:rPr>
          <w:rFonts w:hint="eastAsia" w:cs="宋体" w:asciiTheme="minorEastAsia" w:hAnsiTheme="minorEastAsia" w:eastAsiaTheme="minorEastAsia"/>
          <w:sz w:val="24"/>
        </w:rPr>
        <w:t xml:space="preserve">连接到桌；具备多媒体教学功能、录播功能；采用健康照明、无感扩声。</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教室前端为教学核心区域，给排水、电（含网络接口）连接到桌；具备可便捷操作一体机、视频展台、录播、灯光等设备；可集中分组控制学生端电源的通断、低压电源电压值。</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（4）危化品室</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提供危化品的分类</w:t>
      </w:r>
      <w:r>
        <w:rPr>
          <w:rFonts w:cs="宋体" w:asciiTheme="minorEastAsia" w:hAnsiTheme="minorEastAsia" w:eastAsiaTheme="minorEastAsia"/>
          <w:sz w:val="24"/>
        </w:rPr>
        <w:t xml:space="preserve">存储、普通药品</w:t>
      </w:r>
      <w:r>
        <w:rPr>
          <w:rFonts w:hint="eastAsia" w:cs="宋体" w:asciiTheme="minorEastAsia" w:hAnsiTheme="minorEastAsia" w:eastAsiaTheme="minorEastAsia"/>
          <w:sz w:val="24"/>
        </w:rPr>
        <w:t xml:space="preserve">分类</w:t>
      </w:r>
      <w:r>
        <w:rPr>
          <w:rFonts w:cs="宋体" w:asciiTheme="minorEastAsia" w:hAnsiTheme="minorEastAsia" w:eastAsiaTheme="minorEastAsia"/>
          <w:sz w:val="24"/>
        </w:rPr>
        <w:t xml:space="preserve">存储</w:t>
      </w:r>
      <w:r>
        <w:rPr>
          <w:rFonts w:hint="eastAsia" w:cs="宋体" w:asciiTheme="minorEastAsia" w:hAnsiTheme="minorEastAsia" w:eastAsiaTheme="minorEastAsia"/>
          <w:sz w:val="24"/>
        </w:rPr>
        <w:t xml:space="preserve">与教学用具</w:t>
      </w:r>
      <w:r>
        <w:rPr>
          <w:rFonts w:cs="宋体" w:asciiTheme="minorEastAsia" w:hAnsiTheme="minorEastAsia" w:eastAsiaTheme="minorEastAsia"/>
          <w:sz w:val="24"/>
        </w:rPr>
        <w:t xml:space="preserve">展示</w:t>
      </w:r>
      <w:r>
        <w:rPr>
          <w:rFonts w:hint="eastAsia" w:cs="宋体" w:asciiTheme="minorEastAsia" w:hAnsiTheme="minorEastAsia" w:eastAsiaTheme="minorEastAsia"/>
          <w:sz w:val="24"/>
        </w:rPr>
        <w:t xml:space="preserve">的空间；通风系统</w:t>
      </w:r>
      <w:r>
        <w:rPr>
          <w:rFonts w:cs="宋体" w:asciiTheme="minorEastAsia" w:hAnsiTheme="minorEastAsia" w:eastAsiaTheme="minorEastAsia"/>
          <w:sz w:val="24"/>
        </w:rPr>
        <w:t xml:space="preserve">到</w:t>
      </w:r>
      <w:r>
        <w:rPr>
          <w:rFonts w:hint="eastAsia" w:cs="宋体" w:asciiTheme="minorEastAsia" w:hAnsiTheme="minorEastAsia" w:eastAsiaTheme="minorEastAsia"/>
          <w:sz w:val="24"/>
        </w:rPr>
        <w:t xml:space="preserve">柜；</w:t>
      </w:r>
      <w:r>
        <w:rPr>
          <w:rFonts w:cs="宋体" w:asciiTheme="minorEastAsia" w:hAnsiTheme="minorEastAsia" w:eastAsiaTheme="minorEastAsia"/>
          <w:sz w:val="24"/>
        </w:rPr>
        <w:t xml:space="preserve">各项设备</w:t>
      </w:r>
      <w:r>
        <w:rPr>
          <w:rFonts w:hint="eastAsia" w:cs="宋体" w:asciiTheme="minorEastAsia" w:hAnsiTheme="minorEastAsia" w:eastAsiaTheme="minorEastAsia"/>
          <w:sz w:val="24"/>
        </w:rPr>
        <w:t xml:space="preserve">符合</w:t>
      </w:r>
      <w:r>
        <w:rPr>
          <w:rFonts w:cs="宋体" w:asciiTheme="minorEastAsia" w:hAnsiTheme="minorEastAsia" w:eastAsiaTheme="minorEastAsia"/>
          <w:sz w:val="24"/>
        </w:rPr>
        <w:t xml:space="preserve">中小学实验室危化品管理</w:t>
      </w:r>
      <w:r>
        <w:rPr>
          <w:rFonts w:hint="eastAsia" w:cs="宋体" w:asciiTheme="minorEastAsia" w:hAnsiTheme="minorEastAsia" w:eastAsiaTheme="minorEastAsia"/>
          <w:sz w:val="24"/>
        </w:rPr>
        <w:t xml:space="preserve">相关</w:t>
      </w:r>
      <w:r>
        <w:rPr>
          <w:rFonts w:cs="宋体" w:asciiTheme="minorEastAsia" w:hAnsiTheme="minorEastAsia" w:eastAsiaTheme="minorEastAsia"/>
          <w:sz w:val="24"/>
        </w:rPr>
        <w:t xml:space="preserve">存储要求。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（5）准备室</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提供仪器</w:t>
      </w:r>
      <w:r>
        <w:rPr>
          <w:rFonts w:cs="宋体" w:asciiTheme="minorEastAsia" w:hAnsiTheme="minorEastAsia" w:eastAsiaTheme="minorEastAsia"/>
          <w:sz w:val="24"/>
        </w:rPr>
        <w:t xml:space="preserve">存储与</w:t>
      </w:r>
      <w:r>
        <w:rPr>
          <w:rFonts w:hint="eastAsia" w:cs="宋体" w:asciiTheme="minorEastAsia" w:hAnsiTheme="minorEastAsia" w:eastAsiaTheme="minorEastAsia"/>
          <w:sz w:val="24"/>
        </w:rPr>
        <w:t xml:space="preserve">教学用具</w:t>
      </w:r>
      <w:r>
        <w:rPr>
          <w:rFonts w:cs="宋体" w:asciiTheme="minorEastAsia" w:hAnsiTheme="minorEastAsia" w:eastAsiaTheme="minorEastAsia"/>
          <w:sz w:val="24"/>
        </w:rPr>
        <w:t xml:space="preserve">展示</w:t>
      </w:r>
      <w:r>
        <w:rPr>
          <w:rFonts w:hint="eastAsia" w:cs="宋体" w:asciiTheme="minorEastAsia" w:hAnsiTheme="minorEastAsia" w:eastAsiaTheme="minorEastAsia"/>
          <w:sz w:val="24"/>
        </w:rPr>
        <w:t xml:space="preserve">的空间</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提供实验器材与药品的准备、器材维护保养所需的空间，给排水、电（含网络接口）连接到准备台；满足实验</w:t>
      </w:r>
      <w:r>
        <w:rPr>
          <w:rFonts w:cs="宋体" w:asciiTheme="minorEastAsia" w:hAnsiTheme="minorEastAsia" w:eastAsiaTheme="minorEastAsia"/>
          <w:sz w:val="24"/>
        </w:rPr>
        <w:t xml:space="preserve">室</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操作柜通风</w:t>
      </w:r>
      <w:r>
        <w:rPr>
          <w:rFonts w:hint="eastAsia" w:cs="宋体" w:asciiTheme="minorEastAsia" w:hAnsiTheme="minorEastAsia" w:eastAsiaTheme="minorEastAsia"/>
          <w:sz w:val="24"/>
        </w:rPr>
        <w:t xml:space="preserve">要求。</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4.采购标的的数量、采购项目交付或者实施的时间和地点： </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1.采购标的的数量：详见货物清单。</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2.交付时间：自合同签订之日起</w:t>
      </w:r>
      <w:r>
        <w:rPr>
          <w:rFonts w:hint="eastAsia" w:cs="宋体" w:asciiTheme="minorEastAsia" w:hAnsiTheme="minorEastAsia" w:eastAsiaTheme="minorEastAsia"/>
          <w:sz w:val="24"/>
          <w:u w:val="single"/>
        </w:rPr>
        <w:t xml:space="preserve"> 45 </w:t>
      </w:r>
      <w:r>
        <w:rPr>
          <w:rFonts w:hint="eastAsia" w:cs="宋体" w:asciiTheme="minorEastAsia" w:hAnsiTheme="minorEastAsia" w:eastAsiaTheme="minorEastAsia"/>
          <w:sz w:val="24"/>
        </w:rPr>
        <w:t xml:space="preserve">日内。</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3.交付地点：镇江市朱方高级中学。</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5.采购标的需满足的服务标准、期限、效率等要求： </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1.时限要求：自合同签订之日起</w:t>
      </w:r>
      <w:r>
        <w:rPr>
          <w:rFonts w:hint="eastAsia" w:cs="宋体" w:asciiTheme="minorEastAsia" w:hAnsiTheme="minorEastAsia" w:eastAsiaTheme="minorEastAsia"/>
          <w:bCs/>
          <w:sz w:val="24"/>
          <w:u w:val="single"/>
        </w:rPr>
        <w:t xml:space="preserve">  45 </w:t>
      </w:r>
      <w:r>
        <w:rPr>
          <w:rFonts w:hint="eastAsia" w:cs="宋体" w:asciiTheme="minorEastAsia" w:hAnsiTheme="minorEastAsia" w:eastAsiaTheme="minorEastAsia"/>
          <w:bCs/>
          <w:sz w:val="24"/>
        </w:rPr>
        <w:t xml:space="preserve">日内，完成本项目实施。每逾期1天，扣除合同总额的1‰。因招标人原因造成的逾期除外。</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2.质保要求：本项目整体免费质保3年（自交货并总验收合格之日起计），3年内软件免费升级且保持版本最新，硬件免费更换或维修。签订合同后，必须提供产品原生产厂商针对本项目的三年原厂质保函原件，加盖生产厂商公章。</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3.售后要求：在免费质保期内，招标人或设备使用学校，发出故障通知后，应当在1小时以内响应，24小时内解决，不能在24小时内解决的，应提供备件支持。在质保期内，同一商品、同一质量问题连续两次维修仍无法正常使用，必须无条件给予全套更新。质保期外，应提供免费维护和技术支持，维修只收材料成本费。签订合同后，提供针对本项目的售后服务承诺函原件。</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4.确认要求：</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4.1本项目实验室设施设备布局、可选设施设备颜色、环境提升效果等在供货、施工前须与使用学校确认，同意后方可供货、施工。</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4.2供应商应保证设备的整体安装效果，保证整套设备系统安装、调试、集成完成后的良好运行状态。</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5.施工部分实施要求：</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5.1主要包含教室原有墙地面、吊顶部分拆除、出新；通风系统安装；地上和地下的</w:t>
      </w:r>
      <w:r>
        <w:rPr>
          <w:rFonts w:hint="eastAsia" w:cs="宋体" w:asciiTheme="minorEastAsia" w:hAnsiTheme="minorEastAsia" w:eastAsiaTheme="minorEastAsia"/>
          <w:bCs/>
          <w:sz w:val="24"/>
        </w:rPr>
        <w:t xml:space="preserve">水、电、网络等管线的布置；轻钢龙骨隔墙安装；灯具的安装；垃圾清运等内容。</w:t>
      </w:r>
      <w:r/>
    </w:p>
    <w:p>
      <w:pPr>
        <w:ind w:firstLine="480"/>
        <w:spacing w:line="560" w:lineRule="exact"/>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5.2施工要求：要及时做好施工围挡、材料搬运、施工过程中垃圾清理与卫生清洁、零星修补、成品保护、建筑垃圾外运、精保洁等。施工过程中要不影响学校师生正常工作学习。</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bCs/>
          <w:sz w:val="24"/>
        </w:rPr>
        <w:t xml:space="preserve">5.3安装要求：项目整体安装要符合规范、安全可靠。</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6.采购标的的其他技术、服务等要求：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6.1安装要求：安装工作必须由专业人员进行施工，安装施工须符合规范。</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6.2安全责任要求：要采取安全措施，加强施工安全管理，严格执行操作规程。项目在运输、安装、调试、运维等过程中一切安全责任由中标人承担。施工人员必须有意外伤害险，以保证项目施工的平安、顺畅，按期完工。因项目施工产生的施工人员和学校师生人身安全问题由中标人承担全部责任。由于施工现场为学校，施工期间不得影响学校师生日常工作与学习。签订合同后，提供针对本项目的安全责任承诺书，施工前，需与相关学校签订安全责任书。</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6.3培训要求：要提供免费培训服务，包含但不限于设备软件使用服务、课程培训服务等。在项目验收前，使用服务应面向学校相关人员至少提供1次现场培训，同时提供主要设备、软件的操作视频。</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6.4勘察要求：本项目施工场所为教室，项目实施包含教室内外环境改造，采购人将组织统一现场勘察，投标人中标后不得以不了解现场为由提出增加费用的要求。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6.6报价要求：投标人投标报价应包括本项目涉及的所有货物、辅材及运输、装卸、安装、调试、人工、质保、培训，环境改造、垃圾清运等全部费用。无论本招标文件是否以文字形式规定，投标人应具备足够的专业知识和能力判定本项目所需的一切费用，中标人不得提出任何增加费用的要求，不得降低产品及安装施工质量。各投标人在报价时请充分考虑各种因素。</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6.7包装要求： </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6.7.1商品包装环保要求：应当按《关于印发〈商品包装政府采购需求标准（试</w:t>
      </w:r>
      <w:r>
        <w:rPr>
          <w:rFonts w:hint="eastAsia" w:cs="宋体" w:asciiTheme="minorEastAsia" w:hAnsiTheme="minorEastAsia" w:eastAsiaTheme="minorEastAsia"/>
          <w:sz w:val="24"/>
        </w:rPr>
        <w:t xml:space="preserve">行）〉、〈快递包装政府采购需求标准（试行）〉的通知》（财办库〔2020〕123号）文件执行。</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（1）商品包装层数不得超过 3 层，空隙率不大于 40%；</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（2）商品包装尽可能使用单一材质的包装材料，如因功能需求必需使用不同材质，不同材质间应便于分离；</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（3）商品包装中铅、汞、镉、六价铬的总含量应不大于100mg/kg；</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（4）商品包装印刷使用的油墨中挥发性有机化合物(VOCs)含量应不大于 5%（以重量计）；</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（5）塑料材质商品包装上呈现的印刷颜色不得超过6色；</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（6）纸质商品包装应使用75%以上的可再生纤维原料生产；</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（7）木质商品包装的原料应来源于可持续性森林。</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6.7.2快递包装环保要求：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（1）快递包装中重金属（铅、汞、镉、六价铬）总量应不大于 100mg/kg；</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（2）快递包装印刷使用的油墨中不应添加邻苯二甲酸酯，其挥发性有机化合物(VOCs)含量应不大于5%（以重量计）；</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（3）快递包装中使用纸基材的包装材料，纸基材中的有机氯的含量应不大于 150 mg/kg；</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（5）快递中使用的塑料包装袋不得使用聚氯乙烯作为原料，且原料应为单一材质制成，生物分解率大于60%；</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（6）快递中使用的充气类填充物不得使用聚氯乙烯作为 原料，且原料为单一材质制成，生物分解率大于60%；</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（7）快递中使用的集装袋应为单一材质制成，其重复使用次数应不小于 80 次；</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（8）快递中应使用幅宽不大于45mm 的生物降解胶带；</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（9）快递包装中不得使用溶剂型胶粘剂；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（11）快递应使用电子面单；</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（12）直接使用商品包装作为快递包装的商品，其商品包装满足《商品包装政府采购需求标准（试行）》即可；</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（13）快递包装产品质量和封装方式应符合相关国家或行业标准技术指标要求。</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6.8绿色数据中心</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6.9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6.10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6.11绿色低碳管理目标和服务要求：在物业、合同能源管理等服务类采购项目需求中，要强化绿色低碳管理目标和服务要求，促进绿色产品和服务推广应用。</w:t>
      </w:r>
      <w:r/>
    </w:p>
    <w:p>
      <w:pPr>
        <w:ind w:firstLine="482"/>
        <w:spacing w:line="560" w:lineRule="exact"/>
        <w:rPr>
          <w:rFonts w:hint="eastAsia" w:cs="宋体" w:asciiTheme="minorEastAsia" w:hAnsiTheme="minorEastAsia" w:eastAsiaTheme="minorEastAsia"/>
          <w:b/>
          <w:sz w:val="24"/>
          <w:u w:val="single"/>
        </w:rPr>
      </w:pPr>
      <w:r>
        <w:rPr>
          <w:rFonts w:hint="eastAsia" w:cs="宋体" w:asciiTheme="minorEastAsia" w:hAnsiTheme="minorEastAsia" w:eastAsiaTheme="minorEastAsia"/>
          <w:b/>
          <w:sz w:val="24"/>
        </w:rPr>
        <w:t xml:space="preserve">7.非单一产品采购项目，采购标的中的核心产品：</w:t>
      </w:r>
      <w:r>
        <w:rPr>
          <w:rFonts w:hint="eastAsia" w:cs="宋体" w:asciiTheme="minorEastAsia" w:hAnsiTheme="minorEastAsia" w:eastAsiaTheme="minorEastAsia"/>
          <w:b/>
          <w:sz w:val="24"/>
          <w:u w:val="single"/>
        </w:rPr>
        <w:t xml:space="preserve">详见前附表</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8.</w:t>
      </w:r>
      <w:r>
        <w:rPr>
          <w:rFonts w:hint="eastAsia" w:cs="宋体" w:asciiTheme="minorEastAsia" w:hAnsiTheme="minorEastAsia" w:eastAsiaTheme="minorEastAsia"/>
          <w:b/>
          <w:sz w:val="24"/>
          <w:u w:val="single"/>
        </w:rPr>
        <w:t xml:space="preserve">采购需求中必须满足的实质性要求</w:t>
      </w:r>
      <w:r>
        <w:rPr>
          <w:rFonts w:hint="eastAsia" w:cs="宋体" w:asciiTheme="minorEastAsia" w:hAnsiTheme="minorEastAsia" w:eastAsiaTheme="minorEastAsia"/>
          <w:b/>
          <w:sz w:val="24"/>
        </w:rPr>
        <w:t xml:space="preserve">：</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★1。诚信承诺：投标人必须保证投标文件中方案及货物的真实性，</w:t>
      </w:r>
      <w:r>
        <w:rPr>
          <w:rFonts w:hint="eastAsia" w:cs="宋体" w:asciiTheme="minorEastAsia" w:hAnsiTheme="minorEastAsia" w:eastAsiaTheme="minorEastAsia"/>
          <w:b/>
          <w:bCs/>
          <w:sz w:val="24"/>
        </w:rPr>
        <w:t xml:space="preserve">投标时，须提供包含上述内容的承诺函（加盖投标人公章）。</w:t>
      </w:r>
      <w:r/>
    </w:p>
    <w:p>
      <w:pPr>
        <w:ind w:firstLine="480"/>
        <w:spacing w:line="56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sz w:val="24"/>
        </w:rPr>
        <w:t xml:space="preserve">★2其他支持：质保期内，按招标人实际需要，提供软件功能补充、更新，以适配本地区教育主管部门最新考试要求。</w:t>
      </w:r>
      <w:r>
        <w:rPr>
          <w:rFonts w:hint="eastAsia" w:cs="宋体" w:asciiTheme="minorEastAsia" w:hAnsiTheme="minorEastAsia" w:eastAsiaTheme="minorEastAsia"/>
          <w:b/>
          <w:bCs/>
          <w:sz w:val="24"/>
        </w:rPr>
        <w:t xml:space="preserve">投标时，须提供包含上述支持的承诺函（加盖投标人公</w:t>
      </w:r>
      <w:r>
        <w:rPr>
          <w:rFonts w:hint="eastAsia" w:cs="宋体" w:asciiTheme="minorEastAsia" w:hAnsiTheme="minorEastAsia" w:eastAsiaTheme="minorEastAsia"/>
          <w:b/>
          <w:bCs/>
          <w:sz w:val="24"/>
        </w:rPr>
        <w:t xml:space="preserve">章）。</w:t>
      </w:r>
      <w:r/>
    </w:p>
    <w:p>
      <w:pPr>
        <w:ind w:firstLine="482"/>
        <w:spacing w:line="56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★3.投标供应商须提供每种实验仪器的分类代码（符合《JY/T 0595-2019  基础教育装备分类与代码》要求），并承诺协助学校完成实验仪器分类入库入柜和在“ 中小学实验室及实验教学管理平台”中的登记入库入柜。（格式自拟）</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9.付款方式：详见合同</w:t>
      </w:r>
      <w:r/>
    </w:p>
    <w:p>
      <w:pPr>
        <w:ind w:firstLine="482"/>
        <w:spacing w:line="560" w:lineRule="exact"/>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10.履约保证金：</w:t>
      </w:r>
      <w:r/>
    </w:p>
    <w:p>
      <w:pPr>
        <w:ind w:firstLine="480"/>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10.1本项目免收履约保证金。</w:t>
      </w:r>
      <w:r/>
    </w:p>
    <w:p>
      <w:pPr>
        <w:jc w:val="left"/>
        <w:widowControl/>
        <w:rPr>
          <w:rFonts w:hint="eastAsia" w:cs="宋体" w:asciiTheme="minorEastAsia" w:hAnsiTheme="minorEastAsia" w:eastAsiaTheme="minorEastAsia"/>
          <w:sz w:val="24"/>
        </w:rPr>
      </w:pPr>
      <w:r>
        <w:rPr>
          <w:rFonts w:cs="宋体" w:asciiTheme="minorEastAsia" w:hAnsiTheme="minorEastAsia" w:eastAsiaTheme="minorEastAsia"/>
          <w:sz w:val="24"/>
        </w:rPr>
        <w:br w:type="page" w:clear="all"/>
      </w:r>
      <w:r/>
    </w:p>
    <w:p>
      <w:pPr>
        <w:jc w:val="center"/>
        <w:spacing w:before="200" w:after="200" w:line="360" w:lineRule="auto"/>
        <w:rPr>
          <w:rFonts w:hint="eastAsia" w:cs="宋体" w:asciiTheme="minorEastAsia" w:hAnsiTheme="minorEastAsia" w:eastAsiaTheme="minorEastAsia"/>
          <w:b/>
          <w:bCs/>
          <w:sz w:val="36"/>
          <w:szCs w:val="36"/>
        </w:rPr>
        <w:outlineLvl w:val="0"/>
      </w:pPr>
      <w:r/>
      <w:bookmarkStart w:id="241" w:name="_Toc15735"/>
      <w:r>
        <w:rPr>
          <w:rFonts w:hint="eastAsia" w:cs="宋体" w:asciiTheme="minorEastAsia" w:hAnsiTheme="minorEastAsia" w:eastAsiaTheme="minorEastAsia"/>
          <w:b/>
          <w:bCs/>
          <w:sz w:val="36"/>
          <w:szCs w:val="36"/>
        </w:rPr>
        <w:t xml:space="preserve">第五部分</w:t>
      </w:r>
      <w:bookmarkStart w:id="242" w:name="_Toc98669372"/>
      <w:r/>
      <w:bookmarkStart w:id="243" w:name="_Toc76955302"/>
      <w:r/>
      <w:bookmarkStart w:id="244" w:name="_Toc98669730"/>
      <w:r/>
      <w:bookmarkStart w:id="245" w:name="_Toc100386076"/>
      <w:r/>
      <w:bookmarkStart w:id="246" w:name="_Toc20821546"/>
      <w:r>
        <w:rPr>
          <w:rFonts w:hint="eastAsia" w:cs="宋体" w:asciiTheme="minorEastAsia" w:hAnsiTheme="minorEastAsia" w:eastAsiaTheme="minorEastAsia"/>
          <w:b/>
          <w:bCs/>
          <w:sz w:val="36"/>
          <w:szCs w:val="36"/>
        </w:rPr>
        <w:t xml:space="preserve"> 评标办法和标准</w:t>
      </w:r>
      <w:bookmarkEnd w:id="241"/>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1.采购代理机构职责</w:t>
      </w:r>
      <w:r/>
    </w:p>
    <w:p>
      <w:pPr>
        <w:pStyle w:val="1085"/>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1.1 采购代理机构负责组织评标工作，并履行下列职责：</w:t>
      </w:r>
      <w:r/>
    </w:p>
    <w:p>
      <w:pPr>
        <w:pStyle w:val="1085"/>
        <w:ind w:firstLine="36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（1）核对评审专家身份和采购人代表授权函，对评审专家在政府采购活动中的职责履行情况予以记录，并及时将有关违法违规行为向政府采购监管部门报告；</w:t>
      </w:r>
      <w:r/>
    </w:p>
    <w:p>
      <w:pPr>
        <w:pStyle w:val="1085"/>
        <w:ind w:firstLine="36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（2）宣布评标纪律；</w:t>
      </w:r>
      <w:r/>
    </w:p>
    <w:p>
      <w:pPr>
        <w:pStyle w:val="1085"/>
        <w:ind w:firstLine="36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（3）公布投标人名单，告知评审专家应当回避的情形；</w:t>
      </w:r>
      <w:r/>
    </w:p>
    <w:p>
      <w:pPr>
        <w:pStyle w:val="1085"/>
        <w:ind w:firstLine="36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（4）组织评标委员会推选评标组长，采购人代表不得担任组长；</w:t>
      </w:r>
      <w:r/>
    </w:p>
    <w:p>
      <w:pPr>
        <w:pStyle w:val="1085"/>
        <w:ind w:firstLine="36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（5）在评标期间采取必要的通讯管理措施，保证评标活动不受外界干扰；</w:t>
      </w:r>
      <w:r/>
    </w:p>
    <w:p>
      <w:pPr>
        <w:pStyle w:val="1085"/>
        <w:ind w:firstLine="36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（6）根据评标委员会的要求介绍政府采购相关政策法规、招标文件；</w:t>
      </w:r>
      <w:r/>
    </w:p>
    <w:p>
      <w:pPr>
        <w:pStyle w:val="1085"/>
        <w:ind w:firstLine="36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（7）维护评标秩序，监督评标委员会依照招标文件规定的评标程序、方法和标准进行独立评审，及时制止和纠正采购人代表、评审专家的倾向性言论或者违法违规行为；</w:t>
      </w:r>
      <w:r/>
    </w:p>
    <w:p>
      <w:pPr>
        <w:pStyle w:val="1085"/>
        <w:ind w:firstLine="36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1085"/>
        <w:ind w:firstLine="36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（9）评审工作完成后，按照规定向评审专家支付劳务报酬和异地评审差旅费，不得向评审专家以外的其他人员支付评审劳务报酬；</w:t>
      </w:r>
      <w:r/>
    </w:p>
    <w:p>
      <w:pPr>
        <w:pStyle w:val="1085"/>
        <w:ind w:firstLine="36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（10）处理与评标有关的其他事项。</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2.评标委员会职责</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2.1 评标委员会负责具体评标事务，并独立履行下列职责： </w:t>
      </w:r>
      <w:r/>
    </w:p>
    <w:p>
      <w:pPr>
        <w:ind w:firstLine="42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（1）审查、评价投标文件是否符合招标文件的商务、技术等实质性要求；  </w:t>
      </w:r>
      <w:r/>
    </w:p>
    <w:p>
      <w:pPr>
        <w:ind w:firstLine="42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（2）要求投标人对投标文件有关事项作出澄清或者说明；  </w:t>
      </w:r>
      <w:r/>
    </w:p>
    <w:p>
      <w:pPr>
        <w:ind w:firstLine="42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（3）对投标文件进行比较和评价；  </w:t>
      </w:r>
      <w:r/>
    </w:p>
    <w:p>
      <w:pPr>
        <w:ind w:firstLine="42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（4）确定中标候选人名单，以及根据采购人委托直接确定中标人；  </w:t>
      </w:r>
      <w:r/>
    </w:p>
    <w:p>
      <w:pPr>
        <w:ind w:firstLine="42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（5）向采购人、采购代理机构或者有关部门报告评标中发现的违法行为。</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3.评标注意事项</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3.1评标时，评标委员会各成员应当独立对每个投标人的投标文件进行评价，并汇总</w:t>
      </w:r>
      <w:r>
        <w:rPr>
          <w:rFonts w:hint="eastAsia" w:cs="宋体" w:asciiTheme="minorEastAsia" w:hAnsiTheme="minorEastAsia" w:eastAsiaTheme="minorEastAsia"/>
          <w:sz w:val="24"/>
        </w:rPr>
        <w:t xml:space="preserve">每个投标人的得分。</w:t>
      </w:r>
      <w:r/>
    </w:p>
    <w:p>
      <w:pPr>
        <w:ind w:left="1" w:firstLine="480"/>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3.2</w:t>
      </w:r>
      <w:r>
        <w:rPr>
          <w:rFonts w:hint="eastAsia" w:cs="宋体" w:asciiTheme="minorEastAsia" w:hAnsiTheme="minorEastAsia" w:eastAsiaTheme="minorEastAsia"/>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3.5评标委员会及其成员不得有下列行为：</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（1）确定参与评标至评标结束前私自接触投标人；</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（3）违反评标纪律发表倾向性意见或者征询采购人的倾向性意见；</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（4）对需要专业判断的主观评审因素协商评分；</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（5）在评标过程中擅离职守，影响评标程序正常进行；</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（6）记录、复制或者带走任何评标资料；</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（7）其他不遵守评标纪律的行为。</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招标文件一并存档。</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4.评标过程的保密</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4.3</w:t>
      </w:r>
      <w:r>
        <w:rPr>
          <w:rFonts w:hint="eastAsia" w:cs="宋体" w:asciiTheme="minorEastAsia" w:hAnsiTheme="minorEastAsia" w:eastAsiaTheme="minorEastAsia"/>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bCs/>
          <w:sz w:val="30"/>
        </w:rPr>
        <w:t xml:space="preserve">5.报价前后不一致的处理原则</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5.1投标文件报价出现前后不一致的，按照下列规定修正：</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（1）投标文件中开标一览表内容与投标文件中相应内容不一致的，以开标一览表为准；</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（2）大写金额和小写金额不一致的，以大写金额为准；</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（3）单价金额小数点或者百分比有明显错位的，以开标一览表的总价为准，并修改单价；</w:t>
      </w:r>
      <w:r/>
    </w:p>
    <w:p>
      <w:pPr>
        <w:ind w:left="1"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（4）总价金额与按单价汇总金额不一致的，以单价金额计算结果为准。</w:t>
      </w:r>
      <w:r/>
    </w:p>
    <w:p>
      <w:pPr>
        <w:ind w:left="1" w:firstLine="482"/>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b/>
          <w:sz w:val="24"/>
        </w:rPr>
        <w:t xml:space="preserve">同时出现两种以上不一致的，按上述规定排序在先的原则进行修正</w:t>
      </w:r>
      <w:r>
        <w:rPr>
          <w:rFonts w:hint="eastAsia" w:cs="宋体" w:asciiTheme="minorEastAsia" w:hAnsiTheme="minorEastAsia" w:eastAsiaTheme="minorEastAsia"/>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cs="宋体" w:asciiTheme="minorEastAsia" w:hAnsiTheme="minorEastAsia" w:eastAsiaTheme="minorEastAsia"/>
          <w:b/>
          <w:sz w:val="30"/>
          <w:szCs w:val="30"/>
        </w:rPr>
      </w:pPr>
      <w:r>
        <w:rPr>
          <w:rFonts w:hint="eastAsia" w:cs="宋体" w:asciiTheme="minorEastAsia" w:hAnsiTheme="minorEastAsia" w:eastAsiaTheme="minorEastAsia"/>
          <w:b/>
          <w:bCs/>
          <w:sz w:val="30"/>
        </w:rPr>
        <w:t xml:space="preserve">6.投标人资格审查</w:t>
      </w:r>
      <w:r/>
    </w:p>
    <w:p>
      <w:pPr>
        <w:ind w:firstLine="480"/>
        <w:jc w:val="left"/>
        <w:spacing w:line="360" w:lineRule="auto"/>
        <w:widowControl/>
        <w:rPr>
          <w:rFonts w:hint="eastAsia" w:cs="宋体" w:asciiTheme="minorEastAsia" w:hAnsiTheme="minorEastAsia" w:eastAsiaTheme="minorEastAsia"/>
          <w:sz w:val="24"/>
        </w:rPr>
      </w:pPr>
      <w:r>
        <w:rPr>
          <w:rFonts w:hint="eastAsia" w:ascii="MS Gothic" w:hAnsi="MS Gothic" w:eastAsia="MS Gothic" w:cs="MS Gothic"/>
          <w:sz w:val="24"/>
        </w:rPr>
        <w:t xml:space="preserve">☑</w:t>
      </w:r>
      <w:r>
        <w:rPr>
          <w:rFonts w:hint="eastAsia" w:cs="宋体" w:asciiTheme="minorEastAsia" w:hAnsiTheme="minorEastAsia" w:eastAsiaTheme="minorEastAsia"/>
          <w:sz w:val="24"/>
        </w:rPr>
        <w:t xml:space="preserve">6.1 采用资格后审方式</w:t>
      </w:r>
      <w:r/>
    </w:p>
    <w:p>
      <w:pPr>
        <w:ind w:firstLine="480"/>
        <w:jc w:val="left"/>
        <w:spacing w:line="360" w:lineRule="auto"/>
        <w:widowControl/>
        <w:rPr>
          <w:rFonts w:hint="eastAsia" w:cs="宋体" w:asciiTheme="minorEastAsia" w:hAnsiTheme="minorEastAsia" w:eastAsiaTheme="minorEastAsia"/>
          <w:b/>
          <w:sz w:val="24"/>
        </w:rPr>
      </w:pPr>
      <w:r>
        <w:rPr>
          <w:rFonts w:hint="eastAsia" w:cs="宋体" w:asciiTheme="minorEastAsia" w:hAnsiTheme="minorEastAsia" w:eastAsiaTheme="minorEastAsia"/>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tcW w:w="2263" w:type="pct"/>
            <w:vAlign w:val="center"/>
            <w:textDirection w:val="lrTb"/>
            <w:noWrap w:val="false"/>
          </w:tcPr>
          <w:p>
            <w:pP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审查要素</w:t>
            </w:r>
            <w:r/>
          </w:p>
        </w:tc>
        <w:tc>
          <w:tcPr>
            <w:tcW w:w="2294" w:type="pct"/>
            <w:textDirection w:val="lrTb"/>
            <w:noWrap w:val="false"/>
          </w:tcPr>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审查内容</w:t>
            </w:r>
            <w:r/>
          </w:p>
        </w:tc>
      </w:tr>
      <w:tr>
        <w:trPr/>
        <w:tc>
          <w:tcPr>
            <w:tcW w:w="443" w:type="pct"/>
            <w:vAlign w:val="center"/>
            <w:textDirection w:val="lrTb"/>
            <w:noWrap w:val="false"/>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2263" w:type="pct"/>
            <w:vAlign w:val="center"/>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w:t>
            </w:r>
            <w:r/>
          </w:p>
        </w:tc>
        <w:tc>
          <w:tcPr>
            <w:tcW w:w="2294" w:type="pct"/>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szCs w:val="28"/>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2263" w:type="pct"/>
            <w:vAlign w:val="center"/>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具有良好的商业信誉和健全的财务会计制度</w:t>
            </w:r>
            <w:r/>
          </w:p>
        </w:tc>
        <w:tc>
          <w:tcPr>
            <w:tcW w:w="2294" w:type="pct"/>
            <w:vAlign w:val="center"/>
            <w:textDirection w:val="lrTb"/>
            <w:noWrap w:val="false"/>
          </w:tcPr>
          <w:p>
            <w:pP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sz w:val="24"/>
              </w:rPr>
              <w:t xml:space="preserve">2024年度财务报告（成立不满一年的提供至少一个月），或银行出具的资信证明，或财政部门认可的政府采购专业担保机构出具的投标担保函等或资格承诺函。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2263" w:type="pct"/>
            <w:vAlign w:val="center"/>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具有履行合同所必需的设备和专业技术能力</w:t>
            </w:r>
            <w:r/>
          </w:p>
        </w:tc>
        <w:tc>
          <w:tcPr>
            <w:tcW w:w="2294" w:type="pct"/>
            <w:vAlign w:val="center"/>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2263" w:type="pct"/>
            <w:vAlign w:val="center"/>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有依法缴纳税收和社会保障资金的良好记录</w:t>
            </w:r>
            <w:r/>
          </w:p>
        </w:tc>
        <w:tc>
          <w:tcPr>
            <w:tcW w:w="2294" w:type="pct"/>
            <w:vAlign w:val="center"/>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参加本次政府采购活动前半年内至少一个月依法缴纳税收和社会保障资金的相关材料或资格承诺函。</w:t>
            </w:r>
            <w:r/>
          </w:p>
        </w:tc>
      </w:tr>
      <w:tr>
        <w:trPr/>
        <w:tc>
          <w:tcPr>
            <w:tcW w:w="443" w:type="pct"/>
            <w:vAlign w:val="center"/>
            <w:textDirection w:val="lrTb"/>
            <w:noWrap w:val="false"/>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2263" w:type="pct"/>
            <w:vAlign w:val="center"/>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rPr>
              <w:t xml:space="preserve">（1）投标函或资格承诺函。</w:t>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2263" w:type="pct"/>
            <w:vAlign w:val="center"/>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法律、行政法规规定的其他条件</w:t>
            </w:r>
            <w:r/>
          </w:p>
        </w:tc>
        <w:tc>
          <w:tcPr>
            <w:tcW w:w="2294" w:type="pct"/>
            <w:vAlign w:val="center"/>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szCs w:val="28"/>
              </w:rPr>
              <w:t xml:space="preserve">无</w:t>
            </w:r>
            <w:r/>
          </w:p>
        </w:tc>
      </w:tr>
      <w:tr>
        <w:trPr>
          <w:trHeight w:val="411"/>
        </w:trPr>
        <w:tc>
          <w:tcPr>
            <w:tcW w:w="443" w:type="pct"/>
            <w:vAlign w:val="center"/>
            <w:textDirection w:val="lrTb"/>
            <w:noWrap w:val="false"/>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2263" w:type="pct"/>
            <w:vAlign w:val="center"/>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落实政府采购政策需满足的资格要求</w:t>
            </w:r>
            <w:r/>
          </w:p>
        </w:tc>
        <w:tc>
          <w:tcPr>
            <w:tcW w:w="2294" w:type="pct"/>
            <w:vAlign w:val="center"/>
            <w:textDirection w:val="lrTb"/>
            <w:noWrap w:val="false"/>
          </w:tcPr>
          <w:p>
            <w:pPr>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4"/>
              </w:rPr>
              <w:t xml:space="preserve">中小企业声明函</w:t>
            </w:r>
            <w:r/>
          </w:p>
        </w:tc>
      </w:tr>
      <w:tr>
        <w:trPr/>
        <w:tc>
          <w:tcPr>
            <w:tcW w:w="443" w:type="pct"/>
            <w:vAlign w:val="center"/>
            <w:textDirection w:val="lrTb"/>
            <w:noWrap w:val="false"/>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2263" w:type="pct"/>
            <w:vAlign w:val="center"/>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szCs w:val="28"/>
              </w:rPr>
              <w:t xml:space="preserve">本项目的特定资格要求</w:t>
            </w:r>
            <w:r/>
          </w:p>
        </w:tc>
        <w:tc>
          <w:tcPr>
            <w:tcW w:w="2294" w:type="pct"/>
            <w:vAlign w:val="center"/>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szCs w:val="28"/>
              </w:rPr>
              <w:t xml:space="preserve">无</w:t>
            </w:r>
            <w:r>
              <w:rPr>
                <w:rFonts w:hint="eastAsia" w:cs="宋体" w:asciiTheme="minorEastAsia" w:hAnsiTheme="minorEastAsia" w:eastAsiaTheme="minorEastAsia"/>
                <w:sz w:val="24"/>
              </w:rPr>
              <w:t xml:space="preserve">。</w:t>
            </w:r>
            <w:r/>
          </w:p>
        </w:tc>
      </w:tr>
    </w:tbl>
    <w:p>
      <w:pPr>
        <w:jc w:val="left"/>
        <w:spacing w:line="360" w:lineRule="auto"/>
        <w:widowControl/>
        <w:rPr>
          <w:rFonts w:hint="eastAsia" w:cs="宋体" w:asciiTheme="minorEastAsia" w:hAnsiTheme="minorEastAsia" w:eastAsiaTheme="minorEastAsia"/>
          <w:b/>
          <w:sz w:val="24"/>
        </w:rPr>
      </w:pPr>
      <w:r>
        <w:rPr>
          <w:rFonts w:hint="eastAsia" w:cs="宋体" w:asciiTheme="minorEastAsia" w:hAnsiTheme="minorEastAsia" w:eastAsiaTheme="minorEastAsia"/>
          <w:sz w:val="24"/>
        </w:rPr>
        <w:t xml:space="preserve">□6.1 采用资格预审方式</w:t>
      </w:r>
      <w:r/>
    </w:p>
    <w:p>
      <w:pPr>
        <w:jc w:val="left"/>
        <w:spacing w:line="360" w:lineRule="auto"/>
        <w:widowControl/>
        <w:rPr>
          <w:rFonts w:hint="eastAsia" w:cs="宋体" w:asciiTheme="minorEastAsia" w:hAnsiTheme="minorEastAsia" w:eastAsiaTheme="minorEastAsia"/>
          <w:b/>
          <w:sz w:val="24"/>
        </w:rPr>
      </w:pPr>
      <w:r>
        <w:rPr>
          <w:rFonts w:hint="eastAsia" w:cs="宋体" w:asciiTheme="minorEastAsia" w:hAnsiTheme="minorEastAsia" w:eastAsiaTheme="minorEastAsia"/>
          <w:b/>
          <w:sz w:val="24"/>
        </w:rPr>
        <w:tab/>
      </w:r>
      <w:r>
        <w:rPr>
          <w:rFonts w:hint="eastAsia" w:cs="宋体" w:asciiTheme="minorEastAsia" w:hAnsiTheme="minorEastAsia" w:eastAsiaTheme="minorEastAsia"/>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7.投标人符合性审查</w:t>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8"/>
        <w:gridCol w:w="3819"/>
        <w:gridCol w:w="4892"/>
      </w:tblGrid>
      <w:tr>
        <w:trPr/>
        <w:tc>
          <w:tcPr>
            <w:tcW w:w="477" w:type="pct"/>
            <w:textDirection w:val="lrTb"/>
            <w:noWrap w:val="false"/>
          </w:tcPr>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tcW w:w="1982" w:type="pct"/>
            <w:textDirection w:val="lrTb"/>
            <w:noWrap w:val="false"/>
          </w:tcPr>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审查要素</w:t>
            </w:r>
            <w:r/>
          </w:p>
        </w:tc>
        <w:tc>
          <w:tcPr>
            <w:tcW w:w="2539" w:type="pct"/>
            <w:textDirection w:val="lrTb"/>
            <w:noWrap w:val="false"/>
          </w:tcPr>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审查内容</w:t>
            </w:r>
            <w:r/>
          </w:p>
        </w:tc>
      </w:tr>
      <w:tr>
        <w:trPr/>
        <w:tc>
          <w:tcPr>
            <w:tcW w:w="477" w:type="pct"/>
            <w:vAlign w:val="center"/>
            <w:vMerge w:val="restart"/>
            <w:textDirection w:val="lrTb"/>
            <w:noWrap w:val="false"/>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投标文件的有效电子签章。</w:t>
            </w:r>
            <w:r/>
          </w:p>
        </w:tc>
      </w:tr>
      <w:tr>
        <w:trPr>
          <w:trHeight w:val="569"/>
        </w:trPr>
        <w:tc>
          <w:tcPr>
            <w:tcW w:w="477" w:type="pct"/>
            <w:vAlign w:val="center"/>
            <w:vMerge w:val="continue"/>
            <w:textDirection w:val="lrTb"/>
            <w:noWrap w:val="false"/>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投标报价。</w:t>
            </w:r>
            <w:r/>
          </w:p>
        </w:tc>
      </w:tr>
      <w:tr>
        <w:trPr>
          <w:trHeight w:val="602"/>
        </w:trPr>
        <w:tc>
          <w:tcPr>
            <w:tcW w:w="477" w:type="pct"/>
            <w:vAlign w:val="center"/>
            <w:vMerge w:val="continue"/>
            <w:textDirection w:val="lrTb"/>
            <w:noWrap w:val="false"/>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未发现属无效投标的情形。</w:t>
            </w:r>
            <w:r/>
          </w:p>
        </w:tc>
      </w:tr>
      <w:tr>
        <w:trPr>
          <w:trHeight w:val="1424"/>
        </w:trPr>
        <w:tc>
          <w:tcPr>
            <w:tcW w:w="477" w:type="pct"/>
            <w:vAlign w:val="center"/>
            <w:textDirection w:val="lrTb"/>
            <w:noWrap w:val="false"/>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1982" w:type="pct"/>
            <w:vAlign w:val="center"/>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对招标文件响应程度</w:t>
            </w:r>
            <w:r/>
          </w:p>
        </w:tc>
        <w:tc>
          <w:tcPr>
            <w:tcW w:w="2539" w:type="pct"/>
            <w:textDirection w:val="lrTb"/>
            <w:noWrap w:val="false"/>
          </w:tcPr>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8.商务和技术评估</w:t>
      </w:r>
      <w:r/>
    </w:p>
    <w:p>
      <w:pPr>
        <w:ind w:firstLine="420"/>
        <w:jc w:val="left"/>
        <w:spacing w:line="360" w:lineRule="auto"/>
        <w:widowControl/>
        <w:rPr>
          <w:rFonts w:hint="eastAsia" w:cs="宋体" w:asciiTheme="minorEastAsia" w:hAnsiTheme="minorEastAsia" w:eastAsiaTheme="minorEastAsia"/>
          <w:sz w:val="24"/>
        </w:rPr>
      </w:pPr>
      <w:r>
        <w:rPr>
          <w:rFonts w:hint="eastAsia" w:ascii="MS Gothic" w:hAnsi="MS Gothic" w:eastAsia="MS Gothic" w:cs="MS Gothic"/>
          <w:sz w:val="24"/>
        </w:rPr>
        <w:t xml:space="preserve">☑</w:t>
      </w:r>
      <w:r>
        <w:rPr>
          <w:rFonts w:hint="eastAsia" w:cs="宋体" w:asciiTheme="minorEastAsia" w:hAnsiTheme="minorEastAsia" w:eastAsiaTheme="minorEastAsia"/>
          <w:sz w:val="24"/>
        </w:rPr>
        <w:t xml:space="preserve">8.1 </w:t>
      </w:r>
      <w:r>
        <w:rPr>
          <w:rFonts w:hint="eastAsia" w:cs="宋体" w:asciiTheme="minorEastAsia" w:hAnsiTheme="minorEastAsia" w:eastAsiaTheme="minorEastAsia"/>
          <w:b/>
          <w:sz w:val="24"/>
        </w:rPr>
        <w:t xml:space="preserve">本项目采用综合评分法。</w:t>
      </w:r>
      <w:r/>
    </w:p>
    <w:p>
      <w:pPr>
        <w:spacing w:line="360" w:lineRule="auto"/>
        <w:widowControl/>
        <w:rPr>
          <w:rFonts w:hint="eastAsia" w:cs="宋体" w:asciiTheme="minorEastAsia" w:hAnsiTheme="minorEastAsia" w:eastAsiaTheme="minorEastAsia"/>
          <w:b/>
          <w:sz w:val="28"/>
          <w:szCs w:val="28"/>
        </w:rPr>
      </w:pPr>
      <w:r/>
      <w:bookmarkStart w:id="247" w:name="_Hlk146716146"/>
      <w:r/>
      <w:bookmarkEnd w:id="242"/>
      <w:r/>
      <w:bookmarkEnd w:id="243"/>
      <w:r/>
      <w:bookmarkEnd w:id="244"/>
      <w:r/>
      <w:bookmarkEnd w:id="245"/>
      <w:r/>
      <w:bookmarkEnd w:id="246"/>
      <w:r>
        <w:rPr>
          <w:rFonts w:hint="eastAsia" w:cs="宋体" w:asciiTheme="minorEastAsia" w:hAnsiTheme="minorEastAsia" w:eastAsiaTheme="minorEastAsia"/>
          <w:b/>
          <w:sz w:val="28"/>
          <w:szCs w:val="28"/>
        </w:rPr>
        <w:t xml:space="preserve">标段一：</w:t>
      </w:r>
      <w:bookmarkEnd w:id="247"/>
      <w:r>
        <w:rPr>
          <w:rFonts w:hint="eastAsia" w:cs="宋体" w:asciiTheme="minorEastAsia" w:hAnsiTheme="minorEastAsia" w:eastAsiaTheme="minorEastAsia"/>
          <w:b/>
          <w:sz w:val="28"/>
          <w:szCs w:val="28"/>
        </w:rPr>
        <w:t xml:space="preserve">江苏省镇江中学实验室改造及设备购置</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7"/>
        <w:gridCol w:w="1518"/>
        <w:gridCol w:w="1177"/>
        <w:gridCol w:w="6357"/>
      </w:tblGrid>
      <w:tr>
        <w:trPr>
          <w:trHeight w:val="405"/>
        </w:trPr>
        <w:tc>
          <w:tcPr>
            <w:tcW w:w="300"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 </w:t>
            </w:r>
            <w:r/>
          </w:p>
        </w:tc>
        <w:tc>
          <w:tcPr>
            <w:tcW w:w="788"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评分点名称 </w:t>
            </w:r>
            <w:r/>
          </w:p>
        </w:tc>
        <w:tc>
          <w:tcPr>
            <w:tcW w:w="611"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分值</w:t>
            </w:r>
            <w:r/>
          </w:p>
        </w:tc>
        <w:tc>
          <w:tcPr>
            <w:tcW w:w="3300"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评审标准</w:t>
            </w:r>
            <w:r/>
          </w:p>
        </w:tc>
      </w:tr>
      <w:tr>
        <w:trPr>
          <w:trHeight w:val="1140"/>
        </w:trPr>
        <w:tc>
          <w:tcPr>
            <w:tcW w:w="300"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788"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技术指标符合程度评价</w:t>
            </w:r>
            <w:r/>
          </w:p>
        </w:tc>
        <w:tc>
          <w:tcPr>
            <w:tcW w:w="611"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20</w:t>
            </w:r>
            <w:r/>
          </w:p>
        </w:tc>
        <w:tc>
          <w:tcPr>
            <w:tcW w:w="3300" w:type="pct"/>
            <w:vAlign w:val="center"/>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关于“教师演示设备、学生实验设备、多功能移动水槽台、实验准备台、智能吊装系统、通风系统、实验室综合废水处理系统、照明系统及理化生实验仪器”设备的相关检测报告：根据投标人提供的《技术要求响应及偏离表》，结合投标人提供的相关厂商图册或检测报告等，就其对各设备的理解是否响应招标文件要求，功能是否合理、参数是否响应、设备性能是否满足进行详细评审。</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产品技术参数和配置完全满足或优于招标文件要求的，得20分；▲技术指标有负偏离的一项扣1分，扣完为止。（以提供的技术参数响应及偏离表和采购需求中要求的相关证明材料为准，投标人须在《技术参数响应及偏离表》中如实列明。技术参数相同的产品不重复扣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如采购需求中要求提供但未提供相关证明材料的视为负偏离。证明材料内容与原文相同或经评委认定功能或指标不低于招标文件要求的视为符合。技术参数相同的产品不重复扣分。</w:t>
            </w:r>
            <w:r/>
          </w:p>
        </w:tc>
      </w:tr>
      <w:tr>
        <w:trPr>
          <w:trHeight w:val="1140"/>
        </w:trPr>
        <w:tc>
          <w:tcPr>
            <w:tcW w:w="300"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151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产品功能演示(9分)</w:t>
            </w:r>
            <w:r/>
          </w:p>
        </w:tc>
        <w:tc>
          <w:tcPr>
            <w:tcW w:w="1177" w:type="dxa"/>
            <w:vAlign w:val="center"/>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w:t>
            </w:r>
            <w:r/>
          </w:p>
        </w:tc>
        <w:tc>
          <w:tcPr>
            <w:tcW w:w="6356" w:type="dxa"/>
            <w:vAlign w:val="center"/>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（注：未上传视频介绍或上传的视频介绍不能满足以下功能要求、视频文件无法播放的，此项不得分）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实验一：验证安培力公式：F=nBILsinθ（3分）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1、能够直接测量F、n、B、I、L、θ这6个物理量，而不是通过安培力公式计算得出。</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2、公式验证的误差（理论计算得到的力F值，和实际测量的F值）必须在10%以内</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3、实验中θ必须可以自主改变，能连续可调变化</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4、实验中n、B、I、L这4个物理量中，必须要至少能够自主改变其中的3个量</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5、使用数字化安培力实验器,计算机完成此实验</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注：以上5项，有一项不符合或者缺项，该实验不得分。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实验二：验证机械能守恒定律（3分）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1、能够自定义采集挡光点的序号，可单点也可多点测量</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2、最多可采集10个点的实验数据，验证多点机械能保持不变，误差在5%以内</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3、要求在软件中能够自定义采集挡光点的序号，可单点也可多点测量，软件上对选中点有明显区分，方便学生发现机械能守恒定律</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4、在Windows、ios平台上分别进行实验</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5、使用数字化机械能守恒实验器,计算机完成此实验</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注：以上5项，有一项不符合或者缺项，该实验不得分。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实验三：光电效应（3分）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1、要求在软件中能够直接得到光电流与电压的关系曲线，同时能在实验器上直接读取电流、电压数值</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2、要求演示不同频率的光照射光电管产生光电效应的现象，</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3、要求演示随电压增加光电流增加；电流达到一定值后就基本不变的变化趋势</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4、要求可以改变光照强度，能够得出光强度越大，饱和电流越大的结论</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5.要求可以直接改变电压方向，得出当前光照频率和强度下的遏止电压</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6.使用数字化光电效应实验器,计算机完成此实验</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注：以上6项，有一项不符合或者缺项，该实验不得分。</w:t>
            </w:r>
            <w:r/>
          </w:p>
        </w:tc>
      </w:tr>
      <w:tr>
        <w:trPr>
          <w:trHeight w:val="168"/>
        </w:trPr>
        <w:tc>
          <w:tcPr>
            <w:tcW w:w="300" w:type="pct"/>
            <w:vAlign w:val="center"/>
            <w:vMerge w:val="restart"/>
            <w:textDirection w:val="lrTb"/>
            <w:noWrap/>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788" w:type="pct"/>
            <w:vAlign w:val="center"/>
            <w:vMerge w:val="restart"/>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项目实施方案</w:t>
            </w:r>
            <w:r/>
          </w:p>
        </w:tc>
        <w:tc>
          <w:tcPr>
            <w:tcW w:w="611" w:type="pct"/>
            <w:vAlign w:val="center"/>
            <w:vMerge w:val="restart"/>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24</w:t>
            </w:r>
            <w:r/>
          </w:p>
        </w:tc>
        <w:tc>
          <w:tcPr>
            <w:tcW w:w="3300" w:type="pct"/>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总体施工部署</w:t>
            </w:r>
            <w:r>
              <w:rPr>
                <w:rFonts w:hint="eastAsia" w:cs="宋体" w:asciiTheme="minorEastAsia" w:hAnsiTheme="minorEastAsia" w:eastAsiaTheme="minorEastAsia"/>
                <w:sz w:val="24"/>
              </w:rPr>
              <w:t xml:space="preserve">（4分）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投标人提供的方案，包含以下内容：（1）</w:t>
            </w:r>
            <w:r>
              <w:rPr>
                <w:rFonts w:cs="宋体" w:asciiTheme="minorEastAsia" w:hAnsiTheme="minorEastAsia" w:eastAsiaTheme="minorEastAsia"/>
                <w:sz w:val="24"/>
              </w:rPr>
              <w:t xml:space="preserve">施工目标</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施工顺序及流程</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资源配置计划</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方案内容中施工目标明确，能够</w:t>
            </w:r>
            <w:r>
              <w:rPr>
                <w:rFonts w:cs="宋体" w:asciiTheme="minorEastAsia" w:hAnsiTheme="minorEastAsia" w:eastAsiaTheme="minorEastAsia"/>
                <w:sz w:val="24"/>
              </w:rPr>
              <w:t xml:space="preserve">清晰阐述质量、进度、安全、环保等目标</w:t>
            </w:r>
            <w:r>
              <w:rPr>
                <w:rFonts w:hint="eastAsia" w:cs="宋体" w:asciiTheme="minorEastAsia" w:hAnsiTheme="minorEastAsia" w:eastAsiaTheme="minorEastAsia"/>
                <w:sz w:val="24"/>
              </w:rPr>
              <w:t xml:space="preserve">；施工顺序及流程</w:t>
            </w:r>
            <w:r>
              <w:rPr>
                <w:rFonts w:cs="宋体" w:asciiTheme="minorEastAsia" w:hAnsiTheme="minorEastAsia" w:eastAsiaTheme="minorEastAsia"/>
                <w:sz w:val="24"/>
              </w:rPr>
              <w:t xml:space="preserve">合理</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对设备安装与环境美化事项的先后顺序、交叉作业等安排科学合理，有详细流程图</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资源配置计划对人力、材料、机械设备等资源的投入计划详细、合理，满足项目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4</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；方案要点齐全但内容不够详细合理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；方案要点不齐全且</w:t>
            </w:r>
            <w:r>
              <w:rPr>
                <w:rFonts w:cs="宋体" w:asciiTheme="minorEastAsia" w:hAnsiTheme="minorEastAsia" w:eastAsiaTheme="minorEastAsia"/>
                <w:sz w:val="24"/>
              </w:rPr>
              <w:t xml:space="preserve">不合理得</w:t>
            </w: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为提供方案不得分。</w:t>
            </w:r>
            <w:r/>
          </w:p>
        </w:tc>
      </w:tr>
      <w:tr>
        <w:trPr>
          <w:trHeight w:val="168"/>
        </w:trPr>
        <w:tc>
          <w:tcPr>
            <w:tcW w:w="300" w:type="pct"/>
            <w:vAlign w:val="center"/>
            <w:vMerge w:val="continue"/>
            <w:textDirection w:val="lrTb"/>
            <w:noWrap/>
          </w:tcPr>
          <w:p>
            <w:pPr>
              <w:jc w:val="center"/>
              <w:widowControl/>
              <w:rPr>
                <w:rFonts w:hint="eastAsia" w:asciiTheme="minorEastAsia" w:hAnsiTheme="minorEastAsia" w:eastAsiaTheme="minorEastAsia"/>
              </w:rPr>
            </w:pPr>
            <w:r>
              <w:rPr>
                <w:rFonts w:hint="eastAsia" w:asciiTheme="minorEastAsia" w:hAnsiTheme="minorEastAsia" w:eastAsiaTheme="minorEastAsia"/>
              </w:rPr>
            </w:r>
            <w:r/>
          </w:p>
        </w:tc>
        <w:tc>
          <w:tcPr>
            <w:tcW w:w="788" w:type="pct"/>
            <w:vAlign w:val="center"/>
            <w:vMerge w:val="continue"/>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r>
            <w:r/>
          </w:p>
        </w:tc>
        <w:tc>
          <w:tcPr>
            <w:tcW w:w="611" w:type="pct"/>
            <w:vAlign w:val="center"/>
            <w:vMerge w:val="continue"/>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3300" w:type="pct"/>
            <w:vAlign w:val="center"/>
            <w:textDirection w:val="lrTb"/>
            <w:noWrap w:val="false"/>
          </w:tcPr>
          <w:p>
            <w:pP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施工进度计划（</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投标人提供的进度计划包含以下内容：（1）</w:t>
            </w:r>
            <w:r>
              <w:rPr>
                <w:rFonts w:cs="宋体" w:asciiTheme="minorEastAsia" w:hAnsiTheme="minorEastAsia" w:eastAsiaTheme="minorEastAsia"/>
                <w:sz w:val="24"/>
              </w:rPr>
              <w:t xml:space="preserve">进度计划合理性</w:t>
            </w:r>
            <w:r>
              <w:rPr>
                <w:rFonts w:hint="eastAsia" w:cs="宋体" w:asciiTheme="minorEastAsia" w:hAnsiTheme="minorEastAsia" w:eastAsiaTheme="minorEastAsia"/>
                <w:sz w:val="24"/>
              </w:rPr>
              <w:t xml:space="preserve">分析；（2）</w:t>
            </w:r>
            <w:r>
              <w:rPr>
                <w:rFonts w:cs="宋体" w:asciiTheme="minorEastAsia" w:hAnsiTheme="minorEastAsia" w:eastAsiaTheme="minorEastAsia"/>
                <w:sz w:val="24"/>
              </w:rPr>
              <w:t xml:space="preserve">进度保障措施</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施工</w:t>
            </w:r>
            <w:r>
              <w:rPr>
                <w:rFonts w:cs="宋体" w:asciiTheme="minorEastAsia" w:hAnsiTheme="minorEastAsia" w:eastAsiaTheme="minorEastAsia"/>
                <w:sz w:val="24"/>
              </w:rPr>
              <w:t xml:space="preserve">进度计划符合项目总工期要求，各阶段工期安排</w:t>
            </w:r>
            <w:r>
              <w:rPr>
                <w:rFonts w:cs="宋体" w:asciiTheme="minorEastAsia" w:hAnsiTheme="minorEastAsia" w:eastAsiaTheme="minorEastAsia"/>
                <w:sz w:val="24"/>
              </w:rPr>
              <w:t xml:space="preserve">合理，有明确的里程碑节点</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制定有效的进度保障措施，如人员调配、材料供应、设备维护等</w:t>
            </w:r>
            <w:r>
              <w:rPr>
                <w:rFonts w:hint="eastAsia" w:cs="宋体" w:asciiTheme="minorEastAsia" w:hAnsiTheme="minorEastAsia" w:eastAsiaTheme="minorEastAsia"/>
                <w:sz w:val="24"/>
              </w:rPr>
              <w:t xml:space="preserve">；计划</w:t>
            </w:r>
            <w:r>
              <w:rPr>
                <w:rFonts w:cs="宋体" w:asciiTheme="minorEastAsia" w:hAnsiTheme="minorEastAsia" w:eastAsiaTheme="minorEastAsia"/>
                <w:sz w:val="24"/>
              </w:rPr>
              <w:t xml:space="preserve">措施</w:t>
            </w:r>
            <w:r>
              <w:rPr>
                <w:rFonts w:hint="eastAsia" w:cs="宋体" w:asciiTheme="minorEastAsia" w:hAnsiTheme="minorEastAsia" w:eastAsiaTheme="minorEastAsia"/>
                <w:sz w:val="24"/>
              </w:rPr>
              <w:t xml:space="preserve">内容详细、科学合理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；计划措施内容一般，</w:t>
            </w:r>
            <w:r>
              <w:rPr>
                <w:rFonts w:cs="宋体" w:asciiTheme="minorEastAsia" w:hAnsiTheme="minorEastAsia" w:eastAsiaTheme="minorEastAsia"/>
                <w:sz w:val="24"/>
              </w:rPr>
              <w:t xml:space="preserve">较</w:t>
            </w:r>
            <w:r>
              <w:rPr>
                <w:rFonts w:hint="eastAsia" w:cs="宋体" w:asciiTheme="minorEastAsia" w:hAnsiTheme="minorEastAsia" w:eastAsiaTheme="minorEastAsia"/>
                <w:sz w:val="24"/>
              </w:rPr>
              <w:t xml:space="preserve">科学合理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；计划措施内容差，不合理得1分。未提供方案不得分。</w:t>
            </w:r>
            <w:r/>
          </w:p>
        </w:tc>
      </w:tr>
      <w:tr>
        <w:trPr>
          <w:trHeight w:val="168"/>
        </w:trPr>
        <w:tc>
          <w:tcPr>
            <w:tcW w:w="300" w:type="pct"/>
            <w:vAlign w:val="center"/>
            <w:vMerge w:val="continue"/>
            <w:textDirection w:val="lrTb"/>
            <w:noWrap/>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788" w:type="pct"/>
            <w:vAlign w:val="center"/>
            <w:vMerge w:val="continue"/>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611" w:type="pct"/>
            <w:vAlign w:val="center"/>
            <w:vMerge w:val="continue"/>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3300" w:type="pct"/>
            <w:vAlign w:val="center"/>
            <w:textDirection w:val="lrTb"/>
            <w:noWrap w:val="false"/>
          </w:tcPr>
          <w:p>
            <w:pP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通风系统安装方案（</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投标人提供的安装方案包含以下内容：（1）对本项目的</w:t>
            </w:r>
            <w:r>
              <w:rPr>
                <w:rFonts w:cs="宋体" w:asciiTheme="minorEastAsia" w:hAnsiTheme="minorEastAsia" w:eastAsiaTheme="minorEastAsia"/>
                <w:sz w:val="24"/>
              </w:rPr>
              <w:t xml:space="preserve">系统设计理解</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安装工艺及技术措施</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系统调试与检测</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安装方案</w:t>
            </w:r>
            <w:r>
              <w:rPr>
                <w:rFonts w:cs="宋体" w:asciiTheme="minorEastAsia" w:hAnsiTheme="minorEastAsia" w:eastAsiaTheme="minorEastAsia"/>
                <w:sz w:val="24"/>
              </w:rPr>
              <w:t xml:space="preserve">对通风系统的设计原理、风量要求、通风路径等理解深刻，阐述清晰</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安装工艺及技术措施针对通风系统的特点，如风管连接、风机安装、风口定位等，阐述详细的安装工艺、技术标准及质量控制措施，技术先进、措施可行</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制定详细的系统调试与检测方案，包括风量平衡调试、风速检测、负压检测等内容</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方案</w:t>
            </w:r>
            <w:r>
              <w:rPr>
                <w:rFonts w:hint="eastAsia" w:cs="宋体" w:asciiTheme="minorEastAsia" w:hAnsiTheme="minorEastAsia" w:eastAsiaTheme="minorEastAsia"/>
                <w:sz w:val="24"/>
              </w:rPr>
              <w:t xml:space="preserve">内容详细、科学合理，</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；方案要点齐全但内容不够详细合理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；方案要点不齐全、内容不合理得1分；未提供方案不得分</w:t>
            </w:r>
            <w:r>
              <w:rPr>
                <w:rFonts w:cs="宋体" w:asciiTheme="minorEastAsia" w:hAnsiTheme="minorEastAsia" w:eastAsiaTheme="minorEastAsia"/>
                <w:sz w:val="24"/>
              </w:rPr>
              <w:t xml:space="preserve">。</w:t>
            </w:r>
            <w:r/>
          </w:p>
        </w:tc>
      </w:tr>
      <w:tr>
        <w:trPr>
          <w:trHeight w:val="168"/>
        </w:trPr>
        <w:tc>
          <w:tcPr>
            <w:tcW w:w="300" w:type="pct"/>
            <w:vAlign w:val="center"/>
            <w:vMerge w:val="continue"/>
            <w:textDirection w:val="lrTb"/>
            <w:noWrap/>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788" w:type="pct"/>
            <w:vAlign w:val="center"/>
            <w:vMerge w:val="continue"/>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611" w:type="pct"/>
            <w:vAlign w:val="center"/>
            <w:vMerge w:val="continue"/>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3300" w:type="pct"/>
            <w:vAlign w:val="center"/>
            <w:textDirection w:val="lrTb"/>
            <w:noWrap w:val="false"/>
          </w:tcPr>
          <w:p>
            <w:pP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rPr>
                <w:rFonts w:cs="宋体" w:asciiTheme="minorEastAsia" w:hAnsiTheme="minorEastAsia" w:eastAsiaTheme="minorEastAsia"/>
                <w:sz w:val="24"/>
              </w:rPr>
              <w:t xml:space="preserve">吊装系统安装方案（</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投标人提供的安装方案包含以下内容：（1）</w:t>
            </w:r>
            <w:r>
              <w:rPr>
                <w:rFonts w:cs="宋体" w:asciiTheme="minorEastAsia" w:hAnsiTheme="minorEastAsia" w:eastAsiaTheme="minorEastAsia"/>
                <w:sz w:val="24"/>
              </w:rPr>
              <w:t xml:space="preserve">吊装系统安装设计</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安装工艺及技术措施</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系统调试与检测</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吊装系统安装设计合理、布局清晰，吊装系统设计符合学校教学需求</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根据吊装系统与原建筑主体的固定连接件承载情况，针对吊装系统的特点，如布管、布线、升降系统定位等，阐述详细的安装工艺、技术标准</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吊装系统调试与检测方案涵盖了电路测试、产品使用等所有关键方面，且每个方面都有具体的步骤和方法</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方案</w:t>
            </w:r>
            <w:r>
              <w:rPr>
                <w:rFonts w:hint="eastAsia" w:cs="宋体" w:asciiTheme="minorEastAsia" w:hAnsiTheme="minorEastAsia" w:eastAsiaTheme="minorEastAsia"/>
                <w:sz w:val="24"/>
              </w:rPr>
              <w:t xml:space="preserve">设计科学合理、内容详细全面，</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方案</w:t>
            </w:r>
            <w:r>
              <w:rPr>
                <w:rFonts w:hint="eastAsia" w:cs="宋体" w:asciiTheme="minorEastAsia" w:hAnsiTheme="minorEastAsia" w:eastAsiaTheme="minorEastAsia"/>
                <w:sz w:val="24"/>
              </w:rPr>
              <w:t xml:space="preserve">设计较为合理，要点齐全但内容不够详细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；方案设计差，要点不齐全，内容关键点缺失得1分；未提供方案不得分</w:t>
            </w:r>
            <w:r>
              <w:rPr>
                <w:rFonts w:cs="宋体" w:asciiTheme="minorEastAsia" w:hAnsiTheme="minorEastAsia" w:eastAsiaTheme="minorEastAsia"/>
                <w:sz w:val="24"/>
              </w:rPr>
              <w:t xml:space="preserve">。</w:t>
            </w:r>
            <w:r/>
          </w:p>
        </w:tc>
      </w:tr>
      <w:tr>
        <w:trPr>
          <w:trHeight w:val="168"/>
        </w:trPr>
        <w:tc>
          <w:tcPr>
            <w:tcW w:w="300" w:type="pct"/>
            <w:vAlign w:val="center"/>
            <w:vMerge w:val="continue"/>
            <w:textDirection w:val="lrTb"/>
            <w:noWrap/>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788" w:type="pct"/>
            <w:vAlign w:val="center"/>
            <w:vMerge w:val="continue"/>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611" w:type="pct"/>
            <w:vAlign w:val="center"/>
            <w:vMerge w:val="continue"/>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3300" w:type="pct"/>
            <w:vAlign w:val="center"/>
            <w:textDirection w:val="lrTb"/>
            <w:noWrap w:val="false"/>
          </w:tcPr>
          <w:p>
            <w:pP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教师演示设备、学生实验设备安装方案（</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投标人提供的安装方案包含以下内容：（1）</w:t>
            </w:r>
            <w:r>
              <w:rPr>
                <w:rFonts w:cs="宋体" w:asciiTheme="minorEastAsia" w:hAnsiTheme="minorEastAsia" w:eastAsiaTheme="minorEastAsia"/>
                <w:sz w:val="24"/>
              </w:rPr>
              <w:t xml:space="preserve">安装工艺及精度控制</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与通风系统及水电衔接</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稳定性与安全性</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安装方案针</w:t>
            </w:r>
            <w:r>
              <w:rPr>
                <w:rFonts w:cs="宋体" w:asciiTheme="minorEastAsia" w:hAnsiTheme="minorEastAsia" w:eastAsiaTheme="minorEastAsia"/>
                <w:sz w:val="24"/>
              </w:rPr>
              <w:t xml:space="preserve">对教师演示设备、学生实验设备的安装工艺，如框架组装、台面安装、配件固定等，有详细说明，且对安装精度控制有明确措施，如水平度、垂直度控制，工艺合理、精度控制措施</w:t>
            </w:r>
            <w:r>
              <w:rPr>
                <w:rFonts w:hint="eastAsia" w:cs="宋体" w:asciiTheme="minorEastAsia" w:hAnsiTheme="minorEastAsia" w:eastAsiaTheme="minorEastAsia"/>
                <w:sz w:val="24"/>
              </w:rPr>
              <w:t xml:space="preserve">；详细</w:t>
            </w:r>
            <w:r>
              <w:rPr>
                <w:rFonts w:cs="宋体" w:asciiTheme="minorEastAsia" w:hAnsiTheme="minorEastAsia" w:eastAsiaTheme="minorEastAsia"/>
                <w:sz w:val="24"/>
              </w:rPr>
              <w:t xml:space="preserve">说明教师演示设备、学生实验设备与通风系统以及水电线路的衔接方式，确保接口匹配、位置准确，衔接方案</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阐述保证教师演示设备、学生实验设备稳定性和安全性的措施，如防倾倒设计、边角处理等</w:t>
            </w:r>
            <w:r>
              <w:rPr>
                <w:rFonts w:hint="eastAsia" w:cs="宋体" w:asciiTheme="minorEastAsia" w:hAnsiTheme="minorEastAsia" w:eastAsiaTheme="minorEastAsia"/>
                <w:sz w:val="24"/>
              </w:rPr>
              <w:t xml:space="preserve">。方案</w:t>
            </w:r>
            <w:r>
              <w:rPr>
                <w:rFonts w:cs="宋体" w:asciiTheme="minorEastAsia" w:hAnsiTheme="minorEastAsia" w:eastAsiaTheme="minorEastAsia"/>
                <w:sz w:val="24"/>
              </w:rPr>
              <w:t xml:space="preserve">措施</w:t>
            </w:r>
            <w:r>
              <w:rPr>
                <w:rFonts w:hint="eastAsia" w:cs="宋体" w:asciiTheme="minorEastAsia" w:hAnsiTheme="minorEastAsia" w:eastAsiaTheme="minorEastAsia"/>
                <w:sz w:val="24"/>
              </w:rPr>
              <w:t xml:space="preserve">科学合理、</w:t>
            </w:r>
            <w:r>
              <w:rPr>
                <w:rFonts w:cs="宋体" w:asciiTheme="minorEastAsia" w:hAnsiTheme="minorEastAsia" w:eastAsiaTheme="minorEastAsia"/>
                <w:sz w:val="24"/>
              </w:rPr>
              <w:t xml:space="preserve">完善</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，方案措施较合理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方案措施不合理，内容不</w:t>
            </w:r>
            <w:r>
              <w:rPr>
                <w:rFonts w:hint="eastAsia" w:cs="宋体" w:asciiTheme="minorEastAsia" w:hAnsiTheme="minorEastAsia" w:eastAsiaTheme="minorEastAsia"/>
                <w:sz w:val="24"/>
              </w:rPr>
              <w:t xml:space="preserve">完善得1分</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未提供方案不得分。</w:t>
            </w:r>
            <w:r/>
          </w:p>
        </w:tc>
      </w:tr>
      <w:tr>
        <w:trPr>
          <w:trHeight w:val="168"/>
        </w:trPr>
        <w:tc>
          <w:tcPr>
            <w:tcW w:w="300" w:type="pct"/>
            <w:vAlign w:val="center"/>
            <w:vMerge w:val="continue"/>
            <w:textDirection w:val="lrTb"/>
            <w:noWrap/>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788" w:type="pct"/>
            <w:vAlign w:val="center"/>
            <w:vMerge w:val="continue"/>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611" w:type="pct"/>
            <w:vAlign w:val="center"/>
            <w:vMerge w:val="continue"/>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3300" w:type="pct"/>
            <w:vAlign w:val="center"/>
            <w:textDirection w:val="lrTb"/>
            <w:noWrap w:val="false"/>
          </w:tcPr>
          <w:p>
            <w:pP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w:t>
            </w:r>
            <w:r>
              <w:rPr>
                <w:rFonts w:cs="宋体" w:asciiTheme="minorEastAsia" w:hAnsiTheme="minorEastAsia" w:eastAsiaTheme="minorEastAsia"/>
                <w:sz w:val="24"/>
              </w:rPr>
              <w:t xml:space="preserve">照明系统安装方案（</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投标人提供的安装方案包含以下内容：（1）</w:t>
            </w:r>
            <w:r>
              <w:rPr>
                <w:rFonts w:cs="宋体" w:asciiTheme="minorEastAsia" w:hAnsiTheme="minorEastAsia" w:eastAsiaTheme="minorEastAsia"/>
                <w:sz w:val="24"/>
              </w:rPr>
              <w:t xml:space="preserve">提供每间实验室由DIALux或类似设计工具仿真设计的完整报表，报表中的教室尺寸等信息由甲方提供，报表中的灯具参数必须和投标人提供的灯具检测报告上的参数一致。计算结果数据达到以下指标，维护系数取值1.0，全部灯具点亮时，课桌面平均照度≥375lx、均匀度≥0.7，板书面平均照度≥625lx、均匀度≥0.8，统一眩光值UGR&lt;19。</w:t>
            </w:r>
            <w:r/>
          </w:p>
          <w:p>
            <w:pPr>
              <w:numPr>
                <w:ilvl w:val="0"/>
                <w:numId w:val="2"/>
              </w:numPr>
              <w:jc w:val="lef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施工流程</w:t>
            </w:r>
            <w:r>
              <w:rPr>
                <w:rFonts w:hint="eastAsia" w:cs="宋体" w:asciiTheme="minorEastAsia" w:hAnsiTheme="minorEastAsia" w:eastAsiaTheme="minorEastAsia"/>
                <w:sz w:val="24"/>
              </w:rPr>
              <w:t xml:space="preserve">及</w:t>
            </w:r>
            <w:r>
              <w:rPr>
                <w:rFonts w:cs="宋体" w:asciiTheme="minorEastAsia" w:hAnsiTheme="minorEastAsia" w:eastAsiaTheme="minorEastAsia"/>
                <w:sz w:val="24"/>
              </w:rPr>
              <w:t xml:space="preserve">安全措施：系统安装所需材料、工具及安装的顺序，确保系统安装的精准和安全，制定安装过程的安全措施方案，包括施工区域管理、警示、保护措施、操作流程等内容</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投标人提供的照明系统安装方案满足上述要求且措施</w:t>
            </w:r>
            <w:r>
              <w:rPr>
                <w:rFonts w:cs="宋体" w:asciiTheme="minorEastAsia" w:hAnsiTheme="minorEastAsia" w:eastAsiaTheme="minorEastAsia"/>
                <w:sz w:val="24"/>
              </w:rPr>
              <w:t xml:space="preserve">阐述明确、清晰</w:t>
            </w:r>
            <w:r>
              <w:rPr>
                <w:rFonts w:hint="eastAsia" w:cs="宋体" w:asciiTheme="minorEastAsia" w:hAnsiTheme="minorEastAsia" w:eastAsiaTheme="minorEastAsia"/>
                <w:sz w:val="24"/>
              </w:rPr>
              <w:t xml:space="preserve">，内容详细、科学合理，</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，措施</w:t>
            </w:r>
            <w:r>
              <w:rPr>
                <w:rFonts w:cs="宋体" w:asciiTheme="minorEastAsia" w:hAnsiTheme="minorEastAsia" w:eastAsiaTheme="minorEastAsia"/>
                <w:sz w:val="24"/>
              </w:rPr>
              <w:t xml:space="preserve">较为明确、清晰</w:t>
            </w:r>
            <w:r>
              <w:rPr>
                <w:rFonts w:hint="eastAsia" w:cs="宋体" w:asciiTheme="minorEastAsia" w:hAnsiTheme="minorEastAsia" w:eastAsiaTheme="minorEastAsia"/>
                <w:sz w:val="24"/>
              </w:rPr>
              <w:t xml:space="preserve">，内容</w:t>
            </w:r>
            <w:r>
              <w:rPr>
                <w:rFonts w:cs="宋体" w:asciiTheme="minorEastAsia" w:hAnsiTheme="minorEastAsia" w:eastAsiaTheme="minorEastAsia"/>
                <w:sz w:val="24"/>
              </w:rPr>
              <w:t xml:space="preserve">较完善得</w:t>
            </w: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措施方案差或未提供不得分。</w:t>
            </w:r>
            <w:r/>
          </w:p>
        </w:tc>
      </w:tr>
      <w:tr>
        <w:trPr>
          <w:trHeight w:val="168"/>
        </w:trPr>
        <w:tc>
          <w:tcPr>
            <w:tcW w:w="300" w:type="pct"/>
            <w:vAlign w:val="center"/>
            <w:vMerge w:val="continue"/>
            <w:textDirection w:val="lrTb"/>
            <w:noWrap/>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788" w:type="pct"/>
            <w:vAlign w:val="center"/>
            <w:vMerge w:val="continue"/>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611" w:type="pct"/>
            <w:vAlign w:val="center"/>
            <w:vMerge w:val="continue"/>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3300" w:type="pct"/>
            <w:vAlign w:val="center"/>
            <w:textDirection w:val="lrTb"/>
            <w:noWrap w:val="false"/>
          </w:tcPr>
          <w:p>
            <w:pP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w:t>
            </w:r>
            <w:r>
              <w:rPr>
                <w:rFonts w:cs="宋体" w:asciiTheme="minorEastAsia" w:hAnsiTheme="minorEastAsia" w:eastAsiaTheme="minorEastAsia"/>
                <w:sz w:val="24"/>
              </w:rPr>
              <w:t xml:space="preserve">实验室废水处理系统安装方案（</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投标人提供的安装方案包含以下内容：（1）</w:t>
            </w:r>
            <w:r>
              <w:rPr>
                <w:rFonts w:cs="宋体" w:asciiTheme="minorEastAsia" w:hAnsiTheme="minorEastAsia" w:eastAsiaTheme="minorEastAsia"/>
                <w:sz w:val="24"/>
              </w:rPr>
              <w:t xml:space="preserve">处理装置与各污水排放单元对接安装总系统</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系统安装前期准备要求</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系统施工工艺控制</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安装方案</w:t>
            </w:r>
            <w:r>
              <w:rPr>
                <w:rFonts w:cs="宋体" w:asciiTheme="minorEastAsia" w:hAnsiTheme="minorEastAsia" w:eastAsiaTheme="minorEastAsia"/>
                <w:sz w:val="24"/>
              </w:rPr>
              <w:t xml:space="preserve">说明处理装置与各个排放单元的接口方式，确保接口管径相匹配、管路排布设计</w:t>
            </w:r>
            <w:r>
              <w:rPr>
                <w:rFonts w:hint="eastAsia" w:cs="宋体" w:asciiTheme="minorEastAsia" w:hAnsiTheme="minorEastAsia" w:eastAsiaTheme="minorEastAsia"/>
                <w:sz w:val="24"/>
              </w:rPr>
              <w:t xml:space="preserve">；针</w:t>
            </w:r>
            <w:r>
              <w:rPr>
                <w:rFonts w:cs="宋体" w:asciiTheme="minorEastAsia" w:hAnsiTheme="minorEastAsia" w:eastAsiaTheme="minorEastAsia"/>
                <w:sz w:val="24"/>
              </w:rPr>
              <w:t xml:space="preserve">对一体化设备到货后设备开箱验收、搬运、摆放环境（垫铁布置及抄平）、产品保护等内容说明</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对系统废水处理设备工艺流程、设备的找正、找平等内容</w:t>
            </w:r>
            <w:r>
              <w:rPr>
                <w:rFonts w:hint="eastAsia" w:cs="宋体" w:asciiTheme="minorEastAsia" w:hAnsiTheme="minorEastAsia" w:eastAsiaTheme="minorEastAsia"/>
                <w:sz w:val="24"/>
              </w:rPr>
              <w:t xml:space="preserve">。方案内容</w:t>
            </w:r>
            <w:r>
              <w:rPr>
                <w:rFonts w:cs="宋体" w:asciiTheme="minorEastAsia" w:hAnsiTheme="minorEastAsia" w:eastAsiaTheme="minorEastAsia"/>
                <w:sz w:val="24"/>
              </w:rPr>
              <w:t xml:space="preserve">详细，阐述明确、清晰</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方案内容全面但不够详细，</w:t>
            </w:r>
            <w:r>
              <w:rPr>
                <w:rFonts w:cs="宋体" w:asciiTheme="minorEastAsia" w:hAnsiTheme="minorEastAsia" w:eastAsiaTheme="minorEastAsia"/>
                <w:sz w:val="24"/>
              </w:rPr>
              <w:t xml:space="preserve">较为明确、清晰得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方案内容不齐全，不合理得1分</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未提供方案不得分。</w:t>
            </w:r>
            <w:r/>
          </w:p>
        </w:tc>
      </w:tr>
      <w:tr>
        <w:trPr>
          <w:trHeight w:val="168"/>
        </w:trPr>
        <w:tc>
          <w:tcPr>
            <w:tcW w:w="300" w:type="pct"/>
            <w:vAlign w:val="center"/>
            <w:vMerge w:val="continue"/>
            <w:textDirection w:val="lrTb"/>
            <w:noWrap/>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788" w:type="pct"/>
            <w:vAlign w:val="center"/>
            <w:vMerge w:val="continue"/>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611" w:type="pct"/>
            <w:vAlign w:val="center"/>
            <w:vMerge w:val="continue"/>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3300" w:type="pct"/>
            <w:vAlign w:val="center"/>
            <w:textDirection w:val="lrTb"/>
            <w:noWrap w:val="false"/>
          </w:tcPr>
          <w:p>
            <w:pP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w:t>
            </w:r>
            <w:r>
              <w:rPr>
                <w:rFonts w:cs="宋体" w:asciiTheme="minorEastAsia" w:hAnsiTheme="minorEastAsia" w:eastAsiaTheme="minorEastAsia"/>
                <w:sz w:val="24"/>
              </w:rPr>
              <w:t xml:space="preserve">实验室环境美化方案（</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投标人提供的美化方案包含以下内容：（1）</w:t>
            </w:r>
            <w:r>
              <w:rPr>
                <w:rFonts w:cs="宋体" w:asciiTheme="minorEastAsia" w:hAnsiTheme="minorEastAsia" w:eastAsiaTheme="minorEastAsia"/>
                <w:sz w:val="24"/>
              </w:rPr>
              <w:t xml:space="preserve">装修工艺及质量控制</w:t>
            </w:r>
            <w:r>
              <w:rPr>
                <w:rFonts w:hint="eastAsia" w:cs="宋体" w:asciiTheme="minorEastAsia" w:hAnsiTheme="minorEastAsia" w:eastAsiaTheme="minorEastAsia"/>
                <w:sz w:val="24"/>
              </w:rPr>
              <w:t xml:space="preserve">，（2）材料选用，（3）</w:t>
            </w:r>
            <w:r>
              <w:rPr>
                <w:rFonts w:cs="宋体" w:asciiTheme="minorEastAsia" w:hAnsiTheme="minorEastAsia" w:eastAsiaTheme="minorEastAsia"/>
                <w:sz w:val="24"/>
              </w:rPr>
              <w:t xml:space="preserve">成品保护措施</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方案内容针</w:t>
            </w:r>
            <w:r>
              <w:rPr>
                <w:rFonts w:cs="宋体" w:asciiTheme="minorEastAsia" w:hAnsiTheme="minorEastAsia" w:eastAsiaTheme="minorEastAsia"/>
                <w:sz w:val="24"/>
              </w:rPr>
              <w:t xml:space="preserve">对墙面、地面、天花板等装修部位的施工工艺、质量标准</w:t>
            </w:r>
            <w:r>
              <w:rPr>
                <w:rFonts w:hint="eastAsia" w:cs="宋体" w:asciiTheme="minorEastAsia" w:hAnsiTheme="minorEastAsia" w:eastAsiaTheme="minorEastAsia"/>
                <w:sz w:val="24"/>
              </w:rPr>
              <w:t xml:space="preserve">；材料选用符合项目要求，环保、耐用，提供清单及品牌、规格说明；</w:t>
            </w:r>
            <w:r>
              <w:rPr>
                <w:rFonts w:cs="宋体" w:asciiTheme="minorEastAsia" w:hAnsiTheme="minorEastAsia" w:eastAsiaTheme="minorEastAsia"/>
                <w:sz w:val="24"/>
              </w:rPr>
              <w:t xml:space="preserve">制定完善的装修成品保护措施</w:t>
            </w:r>
            <w:r>
              <w:rPr>
                <w:rFonts w:hint="eastAsia" w:cs="宋体" w:asciiTheme="minorEastAsia" w:hAnsiTheme="minorEastAsia" w:eastAsiaTheme="minorEastAsia"/>
                <w:sz w:val="24"/>
              </w:rPr>
              <w:t xml:space="preserve">。方案内容</w:t>
            </w:r>
            <w:r>
              <w:rPr>
                <w:rFonts w:cs="宋体" w:asciiTheme="minorEastAsia" w:hAnsiTheme="minorEastAsia" w:eastAsiaTheme="minorEastAsia"/>
                <w:sz w:val="24"/>
              </w:rPr>
              <w:t xml:space="preserve">详细，工艺</w:t>
            </w:r>
            <w:r>
              <w:rPr>
                <w:rFonts w:hint="eastAsia" w:cs="宋体" w:asciiTheme="minorEastAsia" w:hAnsiTheme="minorEastAsia" w:eastAsiaTheme="minorEastAsia"/>
                <w:sz w:val="24"/>
              </w:rPr>
              <w:t xml:space="preserve">材料</w:t>
            </w:r>
            <w:r>
              <w:rPr>
                <w:rFonts w:cs="宋体" w:asciiTheme="minorEastAsia" w:hAnsiTheme="minorEastAsia" w:eastAsiaTheme="minorEastAsia"/>
                <w:sz w:val="24"/>
              </w:rPr>
              <w:t xml:space="preserve">合理、质量控制措施</w:t>
            </w:r>
            <w:r>
              <w:rPr>
                <w:rFonts w:hint="eastAsia" w:cs="宋体" w:asciiTheme="minorEastAsia" w:hAnsiTheme="minorEastAsia" w:eastAsiaTheme="minorEastAsia"/>
                <w:sz w:val="24"/>
              </w:rPr>
              <w:t xml:space="preserve">科学，</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方案内容全面但不够详细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方案内容不齐全，不合理得1分</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未提供方案不得分。</w:t>
            </w:r>
            <w:r/>
          </w:p>
        </w:tc>
      </w:tr>
      <w:tr>
        <w:trPr>
          <w:trHeight w:val="1355"/>
        </w:trPr>
        <w:tc>
          <w:tcPr>
            <w:tcW w:w="300" w:type="pct"/>
            <w:vAlign w:val="center"/>
            <w:textDirection w:val="lrTb"/>
            <w:noWrap/>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788"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售后服务方案</w:t>
            </w:r>
            <w:r/>
          </w:p>
        </w:tc>
        <w:tc>
          <w:tcPr>
            <w:tcW w:w="611"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3300" w:type="pct"/>
            <w:vAlign w:val="center"/>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售后服务方案（3分）：（1）提供详细的售后服务承诺，包括质保期、响应时间、维修方式等。（2）制定完善的售后服务方案，包括人员培训、定期回访、故障处理等内容。方案要点齐全、内容详细且切合本项目需求得3分；方案要点齐全但内容一般，基本满足项目需求得2分；方案内容要点不全，得1分；未提供不得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2、延保年限（1分）：满足质保年限后每增加一年得0.5分，最高1分。</w:t>
            </w:r>
            <w:r/>
          </w:p>
        </w:tc>
      </w:tr>
      <w:tr>
        <w:trPr>
          <w:trHeight w:val="1860"/>
        </w:trPr>
        <w:tc>
          <w:tcPr>
            <w:tcW w:w="300" w:type="pct"/>
            <w:vAlign w:val="center"/>
            <w:textDirection w:val="lrTb"/>
            <w:noWrap/>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788"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类似业绩</w:t>
            </w:r>
            <w:r/>
          </w:p>
        </w:tc>
        <w:tc>
          <w:tcPr>
            <w:tcW w:w="611"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3300" w:type="pct"/>
            <w:vAlign w:val="center"/>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自2022年1月1日以来，投标人具有类似项目业绩，每提供一份业绩得1分，本项最高得4分。提供相应业绩的合同、中标通知书和验收报告复印件加盖投标人公章（时间以合同签订为准。提供的资料不全或业绩与本项目不符不得分）。</w:t>
            </w:r>
            <w:r/>
          </w:p>
        </w:tc>
      </w:tr>
      <w:tr>
        <w:trPr>
          <w:trHeight w:val="2220"/>
        </w:trPr>
        <w:tc>
          <w:tcPr>
            <w:tcW w:w="300"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788"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企业实力评价</w:t>
            </w:r>
            <w:r/>
          </w:p>
        </w:tc>
        <w:tc>
          <w:tcPr>
            <w:tcW w:w="611"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3300" w:type="pct"/>
            <w:vAlign w:val="center"/>
            <w:textDirection w:val="lrTb"/>
            <w:noWrap w:val="false"/>
          </w:tcPr>
          <w:p>
            <w:pPr>
              <w:pStyle w:val="1402"/>
              <w:ind w:firstLine="480"/>
              <w:jc w:val="left"/>
              <w:rPr>
                <w:rFonts w:hint="eastAsia" w:cs="宋体" w:asciiTheme="minorEastAsia" w:hAnsiTheme="minorEastAsia"/>
              </w:rPr>
            </w:pPr>
            <w:r>
              <w:rPr>
                <w:rFonts w:hint="eastAsia" w:cs="宋体" w:asciiTheme="minorEastAsia" w:hAnsiTheme="minorEastAsia"/>
                <w:lang w:val="zh-CN"/>
              </w:rPr>
              <w:t xml:space="preserve">投标人具有有效期内的质量管理体系认证、环境管理体系认证、职业健康管理体系证书、服务质量评价体系认证证书、合规管理体系认证证书，有一份证书得1分，最高得</w:t>
            </w:r>
            <w:r>
              <w:rPr>
                <w:rFonts w:hint="eastAsia" w:cs="宋体" w:asciiTheme="minorEastAsia" w:hAnsiTheme="minorEastAsia"/>
              </w:rPr>
              <w:t xml:space="preserve">3</w:t>
            </w:r>
            <w:r>
              <w:rPr>
                <w:rFonts w:hint="eastAsia" w:cs="宋体" w:asciiTheme="minorEastAsia" w:hAnsiTheme="minorEastAsia"/>
                <w:lang w:val="zh-CN"/>
              </w:rPr>
              <w:t xml:space="preserve">分；（投标时须</w:t>
            </w:r>
            <w:r>
              <w:rPr>
                <w:rFonts w:hint="eastAsia" w:cs="宋体" w:asciiTheme="minorEastAsia" w:hAnsiTheme="minorEastAsia"/>
              </w:rPr>
              <w:t xml:space="preserve">同时</w:t>
            </w:r>
            <w:r>
              <w:rPr>
                <w:rFonts w:hint="eastAsia" w:cs="宋体" w:asciiTheme="minorEastAsia" w:hAnsiTheme="minorEastAsia"/>
                <w:lang w:val="zh-CN"/>
              </w:rPr>
              <w:t xml:space="preserve">提供证书复印件和官网查询截图并加盖投标人公章）。认证证书查询官网“全国认证认可信息公共服务平台http://cx.cnca.cn/CertECloud/index/index/page”。</w:t>
            </w:r>
            <w:r/>
          </w:p>
        </w:tc>
      </w:tr>
      <w:tr>
        <w:trPr>
          <w:trHeight w:val="2220"/>
        </w:trPr>
        <w:tc>
          <w:tcPr>
            <w:tcW w:w="300"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788"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项目管理团队</w:t>
            </w:r>
            <w:r/>
          </w:p>
        </w:tc>
        <w:tc>
          <w:tcPr>
            <w:tcW w:w="611"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3300" w:type="pct"/>
            <w:vAlign w:val="center"/>
            <w:textDirection w:val="lrTb"/>
            <w:noWrap w:val="false"/>
          </w:tcPr>
          <w:p>
            <w:pPr>
              <w:pStyle w:val="1402"/>
              <w:ind w:firstLine="480"/>
              <w:jc w:val="left"/>
              <w:rPr>
                <w:rFonts w:hint="eastAsia" w:cs="宋体" w:asciiTheme="minorEastAsia" w:hAnsiTheme="minorEastAsia"/>
              </w:rPr>
            </w:pPr>
            <w:r>
              <w:rPr>
                <w:rFonts w:hint="eastAsia" w:cs="宋体" w:asciiTheme="minorEastAsia" w:hAnsiTheme="minorEastAsia"/>
                <w:lang w:val="zh-CN"/>
              </w:rPr>
              <w:t xml:space="preserve">（</w:t>
            </w:r>
            <w:r>
              <w:rPr>
                <w:rFonts w:hint="eastAsia" w:cs="宋体" w:asciiTheme="minorEastAsia" w:hAnsiTheme="minorEastAsia"/>
              </w:rPr>
              <w:t xml:space="preserve">1</w:t>
            </w:r>
            <w:r>
              <w:rPr>
                <w:rFonts w:hint="eastAsia" w:cs="宋体" w:asciiTheme="minorEastAsia" w:hAnsiTheme="minorEastAsia"/>
                <w:lang w:val="zh-CN"/>
              </w:rPr>
              <w:t xml:space="preserve">）项目</w:t>
            </w:r>
            <w:r>
              <w:rPr>
                <w:rFonts w:hint="eastAsia" w:cs="宋体" w:asciiTheme="minorEastAsia" w:hAnsiTheme="minorEastAsia"/>
              </w:rPr>
              <w:t xml:space="preserve">团队管理制度</w:t>
            </w:r>
            <w:r>
              <w:rPr>
                <w:rFonts w:hint="eastAsia" w:cs="宋体" w:asciiTheme="minorEastAsia" w:hAnsiTheme="minorEastAsia"/>
                <w:lang w:val="zh-CN"/>
              </w:rPr>
              <w:t xml:space="preserve">（</w:t>
            </w:r>
            <w:r>
              <w:rPr>
                <w:rFonts w:hint="eastAsia" w:cs="宋体" w:asciiTheme="minorEastAsia" w:hAnsiTheme="minorEastAsia"/>
              </w:rPr>
              <w:t xml:space="preserve">3</w:t>
            </w:r>
            <w:r>
              <w:rPr>
                <w:rFonts w:hint="eastAsia" w:cs="宋体" w:asciiTheme="minorEastAsia" w:hAnsiTheme="minorEastAsia"/>
                <w:lang w:val="zh-CN"/>
              </w:rPr>
              <w:t xml:space="preserve">分）：制定项目管理团队的组织架构、岗位职责、项目目标的理解</w:t>
            </w:r>
            <w:r>
              <w:rPr>
                <w:rFonts w:hint="eastAsia" w:cs="宋体" w:asciiTheme="minorEastAsia" w:hAnsiTheme="minorEastAsia"/>
              </w:rPr>
              <w:t xml:space="preserve">以及人员管理制度</w:t>
            </w:r>
            <w:r>
              <w:rPr>
                <w:rFonts w:hint="eastAsia" w:cs="宋体" w:asciiTheme="minorEastAsia" w:hAnsiTheme="minorEastAsia"/>
                <w:lang w:val="zh-CN"/>
              </w:rPr>
              <w:t xml:space="preserve">等，</w:t>
            </w:r>
            <w:r>
              <w:rPr>
                <w:rFonts w:hint="eastAsia" w:cs="宋体" w:asciiTheme="minorEastAsia" w:hAnsiTheme="minorEastAsia"/>
              </w:rPr>
              <w:t xml:space="preserve">制度</w:t>
            </w:r>
            <w:r>
              <w:rPr>
                <w:rFonts w:hint="eastAsia" w:cs="宋体" w:asciiTheme="minorEastAsia" w:hAnsiTheme="minorEastAsia"/>
                <w:lang w:val="zh-CN"/>
              </w:rPr>
              <w:t xml:space="preserve">完善，</w:t>
            </w:r>
            <w:r>
              <w:rPr>
                <w:rFonts w:hint="eastAsia" w:cs="宋体" w:asciiTheme="minorEastAsia" w:hAnsiTheme="minorEastAsia"/>
              </w:rPr>
              <w:t xml:space="preserve">科学合理</w:t>
            </w:r>
            <w:r>
              <w:rPr>
                <w:rFonts w:hint="eastAsia" w:cs="宋体" w:asciiTheme="minorEastAsia" w:hAnsiTheme="minorEastAsia"/>
                <w:lang w:val="zh-CN"/>
              </w:rPr>
              <w:t xml:space="preserve">得</w:t>
            </w:r>
            <w:r>
              <w:rPr>
                <w:rFonts w:hint="eastAsia" w:cs="宋体" w:asciiTheme="minorEastAsia" w:hAnsiTheme="minorEastAsia"/>
              </w:rPr>
              <w:t xml:space="preserve">3</w:t>
            </w:r>
            <w:r>
              <w:rPr>
                <w:rFonts w:hint="eastAsia" w:cs="宋体" w:asciiTheme="minorEastAsia" w:hAnsiTheme="minorEastAsia"/>
                <w:lang w:val="zh-CN"/>
              </w:rPr>
              <w:t xml:space="preserve">分，</w:t>
            </w:r>
            <w:r>
              <w:rPr>
                <w:rFonts w:hint="eastAsia" w:cs="宋体" w:asciiTheme="minorEastAsia" w:hAnsiTheme="minorEastAsia"/>
              </w:rPr>
              <w:t xml:space="preserve">制度全面但内容一般，较为合理</w:t>
            </w:r>
            <w:r>
              <w:rPr>
                <w:rFonts w:hint="eastAsia" w:cs="宋体" w:asciiTheme="minorEastAsia" w:hAnsiTheme="minorEastAsia"/>
                <w:lang w:val="zh-CN"/>
              </w:rPr>
              <w:t xml:space="preserve">得</w:t>
            </w:r>
            <w:r>
              <w:rPr>
                <w:rFonts w:hint="eastAsia" w:cs="宋体" w:asciiTheme="minorEastAsia" w:hAnsiTheme="minorEastAsia"/>
              </w:rPr>
              <w:t xml:space="preserve">2</w:t>
            </w:r>
            <w:r>
              <w:rPr>
                <w:rFonts w:hint="eastAsia" w:cs="宋体" w:asciiTheme="minorEastAsia" w:hAnsiTheme="minorEastAsia"/>
                <w:lang w:val="zh-CN"/>
              </w:rPr>
              <w:t xml:space="preserve">分，</w:t>
            </w:r>
            <w:r>
              <w:rPr>
                <w:rFonts w:hint="eastAsia" w:cs="宋体" w:asciiTheme="minorEastAsia" w:hAnsiTheme="minorEastAsia"/>
              </w:rPr>
              <w:t xml:space="preserve">制度内容差，不全面得1分，未提供不得分</w:t>
            </w:r>
            <w:r>
              <w:rPr>
                <w:rFonts w:hint="eastAsia" w:cs="宋体" w:asciiTheme="minorEastAsia" w:hAnsiTheme="minorEastAsia"/>
                <w:lang w:val="zh-CN"/>
              </w:rPr>
              <w:t xml:space="preserve">。</w:t>
            </w:r>
            <w:r/>
          </w:p>
          <w:p>
            <w:pPr>
              <w:pStyle w:val="1402"/>
              <w:ind w:firstLine="480"/>
              <w:jc w:val="left"/>
              <w:rPr>
                <w:rFonts w:hint="eastAsia" w:cs="宋体" w:asciiTheme="minorEastAsia" w:hAnsiTheme="minorEastAsia"/>
              </w:rPr>
            </w:pPr>
            <w:r>
              <w:rPr>
                <w:rFonts w:hint="eastAsia" w:cs="宋体" w:asciiTheme="minorEastAsia" w:hAnsiTheme="minorEastAsia"/>
                <w:lang w:val="zh-CN"/>
              </w:rPr>
              <w:t xml:space="preserve">（</w:t>
            </w:r>
            <w:r>
              <w:rPr>
                <w:rFonts w:hint="eastAsia" w:cs="宋体" w:asciiTheme="minorEastAsia" w:hAnsiTheme="minorEastAsia"/>
              </w:rPr>
              <w:t xml:space="preserve">2</w:t>
            </w:r>
            <w:r>
              <w:rPr>
                <w:rFonts w:hint="eastAsia" w:cs="宋体" w:asciiTheme="minorEastAsia" w:hAnsiTheme="minorEastAsia"/>
                <w:lang w:val="zh-CN"/>
              </w:rPr>
              <w:t xml:space="preserve">）项目人员技术能力（</w:t>
            </w:r>
            <w:r>
              <w:rPr>
                <w:rFonts w:hint="eastAsia" w:cs="宋体" w:asciiTheme="minorEastAsia" w:hAnsiTheme="minorEastAsia"/>
              </w:rPr>
              <w:t xml:space="preserve">3</w:t>
            </w:r>
            <w:r>
              <w:rPr>
                <w:rFonts w:hint="eastAsia" w:cs="宋体" w:asciiTheme="minorEastAsia" w:hAnsiTheme="minorEastAsia"/>
                <w:lang w:val="zh-CN"/>
              </w:rPr>
              <w:t xml:space="preserve"> 分）：</w:t>
            </w:r>
            <w:r>
              <w:rPr>
                <w:rFonts w:hint="eastAsia" w:cs="宋体" w:asciiTheme="minorEastAsia" w:hAnsiTheme="minorEastAsia"/>
                <w:lang w:val="zh-CN"/>
              </w:rPr>
              <w:t xml:space="preserve">项目团队成员具有二级及以上注册建造师（建筑工程或安装专业）得1.5分；项目团队成员具有计算机技术与软件专业技术资格（系统集成项目管理工程师）得1.5分。提供上述人员证书扫描件及近半年任意一个月的社会保险缴纳证明，未提供不得分。</w:t>
            </w:r>
            <w:r/>
          </w:p>
        </w:tc>
      </w:tr>
      <w:tr>
        <w:trPr>
          <w:trHeight w:val="1725"/>
        </w:trPr>
        <w:tc>
          <w:tcPr>
            <w:tcW w:w="300"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788"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Cs w:val="21"/>
              </w:rPr>
              <w:t xml:space="preserve">投标报价</w:t>
            </w:r>
            <w:r/>
          </w:p>
        </w:tc>
        <w:tc>
          <w:tcPr>
            <w:tcW w:w="611" w:type="pct"/>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30</w:t>
            </w:r>
            <w:r/>
          </w:p>
        </w:tc>
        <w:tc>
          <w:tcPr>
            <w:tcW w:w="3300" w:type="pct"/>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价格分统一采用低价优先法计算，即满足招标文件要求且投标价格最低的投标报价为评标基准价，其价格分为满分。其他投标人的价格分统一按照下列公式计算：</w:t>
            </w:r>
            <w:r/>
          </w:p>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投标报价得分=（评标基准价/投标报价）×30</w:t>
            </w:r>
            <w:r/>
          </w:p>
        </w:tc>
      </w:tr>
    </w:tbl>
    <w:p>
      <w:pPr>
        <w:rPr>
          <w:rFonts w:hint="eastAsia" w:cs="宋体" w:asciiTheme="minorEastAsia" w:hAnsiTheme="minorEastAsia" w:eastAsiaTheme="minorEastAsia"/>
        </w:rPr>
      </w:pPr>
      <w:r>
        <w:rPr>
          <w:rFonts w:hint="eastAsia" w:cs="宋体" w:asciiTheme="minorEastAsia" w:hAnsiTheme="minorEastAsia" w:eastAsiaTheme="minorEastAsia"/>
        </w:rPr>
      </w:r>
      <w:r/>
    </w:p>
    <w:p>
      <w:pPr>
        <w:spacing w:line="360" w:lineRule="auto"/>
        <w:widowControl/>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标段二：镇江市实验高级中学实验室改造及设备购置</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3"/>
        <w:gridCol w:w="1727"/>
        <w:gridCol w:w="828"/>
        <w:gridCol w:w="6453"/>
      </w:tblGrid>
      <w:tr>
        <w:trPr>
          <w:jc w:val="center"/>
          <w:trHeight w:val="936"/>
        </w:trPr>
        <w:tc>
          <w:tcPr>
            <w:tcW w:w="614" w:type="dxa"/>
            <w:vAlign w:val="center"/>
            <w:textDirection w:val="lrTb"/>
            <w:noWrap w:val="false"/>
          </w:tcPr>
          <w:p>
            <w:pPr>
              <w:jc w:val="center"/>
              <w:widowControl/>
              <w:rPr>
                <w:rFonts w:hint="eastAsia" w:cs="宋体" w:asciiTheme="minorEastAsia" w:hAnsiTheme="minorEastAsia" w:eastAsiaTheme="minorEastAsia"/>
                <w:b/>
              </w:rPr>
            </w:pPr>
            <w:r>
              <w:rPr>
                <w:rFonts w:hint="eastAsia" w:cs="宋体" w:asciiTheme="minorEastAsia" w:hAnsiTheme="minorEastAsia" w:eastAsiaTheme="minorEastAsia"/>
                <w:sz w:val="24"/>
              </w:rPr>
              <w:t xml:space="preserve">序号 </w:t>
            </w:r>
            <w:r/>
          </w:p>
        </w:tc>
        <w:tc>
          <w:tcPr>
            <w:tcW w:w="1728" w:type="dxa"/>
            <w:vAlign w:val="center"/>
            <w:textDirection w:val="lrTb"/>
            <w:noWrap w:val="false"/>
          </w:tcPr>
          <w:p>
            <w:pPr>
              <w:jc w:val="center"/>
              <w:widowControl/>
              <w:rPr>
                <w:rFonts w:hint="eastAsia" w:cs="宋体" w:asciiTheme="minorEastAsia" w:hAnsiTheme="minorEastAsia" w:eastAsiaTheme="minorEastAsia"/>
                <w:b/>
              </w:rPr>
            </w:pPr>
            <w:r>
              <w:rPr>
                <w:rFonts w:hint="eastAsia" w:cs="宋体" w:asciiTheme="minorEastAsia" w:hAnsiTheme="minorEastAsia" w:eastAsiaTheme="minorEastAsia"/>
                <w:sz w:val="24"/>
              </w:rPr>
              <w:t xml:space="preserve">评分点名称 </w:t>
            </w:r>
            <w:r/>
          </w:p>
        </w:tc>
        <w:tc>
          <w:tcPr>
            <w:tcW w:w="828" w:type="dxa"/>
            <w:vAlign w:val="center"/>
            <w:textDirection w:val="lrTb"/>
            <w:noWrap w:val="false"/>
          </w:tcPr>
          <w:p>
            <w:pPr>
              <w:jc w:val="center"/>
              <w:widowControl/>
              <w:rPr>
                <w:rFonts w:hint="eastAsia" w:cs="宋体" w:asciiTheme="minorEastAsia" w:hAnsiTheme="minorEastAsia" w:eastAsiaTheme="minorEastAsia"/>
                <w:b/>
              </w:rPr>
            </w:pPr>
            <w:r>
              <w:rPr>
                <w:rFonts w:hint="eastAsia" w:cs="宋体" w:asciiTheme="minorEastAsia" w:hAnsiTheme="minorEastAsia" w:eastAsiaTheme="minorEastAsia"/>
                <w:sz w:val="24"/>
              </w:rPr>
              <w:t xml:space="preserve">分值</w:t>
            </w:r>
            <w:r/>
          </w:p>
        </w:tc>
        <w:tc>
          <w:tcPr>
            <w:tcW w:w="6453" w:type="dxa"/>
            <w:vAlign w:val="center"/>
            <w:textDirection w:val="lrTb"/>
            <w:noWrap w:val="false"/>
          </w:tcPr>
          <w:p>
            <w:pPr>
              <w:jc w:val="center"/>
              <w:widowControl/>
              <w:rPr>
                <w:rFonts w:hint="eastAsia" w:cs="宋体" w:asciiTheme="minorEastAsia" w:hAnsiTheme="minorEastAsia" w:eastAsiaTheme="minorEastAsia"/>
                <w:b/>
              </w:rPr>
            </w:pPr>
            <w:r>
              <w:rPr>
                <w:rFonts w:hint="eastAsia" w:cs="宋体" w:asciiTheme="minorEastAsia" w:hAnsiTheme="minorEastAsia" w:eastAsiaTheme="minorEastAsia"/>
                <w:sz w:val="24"/>
              </w:rPr>
              <w:t xml:space="preserve">评审标准</w:t>
            </w:r>
            <w:r/>
          </w:p>
        </w:tc>
      </w:tr>
      <w:tr>
        <w:trPr>
          <w:jc w:val="center"/>
          <w:trHeight w:val="1419"/>
        </w:trPr>
        <w:tc>
          <w:tcPr>
            <w:tcW w:w="614"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17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投标报价</w:t>
            </w:r>
            <w:r/>
          </w:p>
        </w:tc>
        <w:tc>
          <w:tcPr>
            <w:tcW w:w="8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30分</w:t>
            </w:r>
            <w:r/>
          </w:p>
        </w:tc>
        <w:tc>
          <w:tcPr>
            <w:tcW w:w="6453"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满足招标文件要求且投标价格最低的投标报价为评标基准价，其价格分为满分。其他投标人的价格分统一按照下列公式计算：投标报价得分=（评标基准价／投标报价）×30（该结果四舍五入，保留两位小数）。 </w:t>
            </w:r>
            <w:r/>
          </w:p>
        </w:tc>
      </w:tr>
      <w:tr>
        <w:trPr>
          <w:jc w:val="center"/>
          <w:trHeight w:val="1157"/>
        </w:trPr>
        <w:tc>
          <w:tcPr>
            <w:tcW w:w="614"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17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技术参数</w:t>
            </w:r>
            <w:r/>
          </w:p>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响应</w:t>
            </w:r>
            <w:r/>
          </w:p>
        </w:tc>
        <w:tc>
          <w:tcPr>
            <w:tcW w:w="8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15</w:t>
            </w:r>
            <w:r>
              <w:rPr>
                <w:rFonts w:hint="eastAsia" w:cs="宋体" w:asciiTheme="minorEastAsia" w:hAnsiTheme="minorEastAsia" w:eastAsiaTheme="minorEastAsia"/>
                <w:sz w:val="24"/>
                <w:lang w:val="zh-CN"/>
              </w:rPr>
              <w:t xml:space="preserve">分</w:t>
            </w:r>
            <w:r/>
          </w:p>
        </w:tc>
        <w:tc>
          <w:tcPr>
            <w:tcW w:w="6453" w:type="dxa"/>
            <w:vAlign w:val="center"/>
            <w:textDirection w:val="lrTb"/>
            <w:noWrap w:val="false"/>
          </w:tcPr>
          <w:p>
            <w:pPr>
              <w:pStyle w:val="1095"/>
              <w:ind w:firstLine="480"/>
              <w:rPr>
                <w:rFonts w:hint="eastAsia" w:cs="宋体" w:asciiTheme="minorEastAsia" w:hAnsiTheme="minorEastAsia"/>
                <w:sz w:val="24"/>
              </w:rPr>
            </w:pPr>
            <w:r>
              <w:rPr>
                <w:rFonts w:hint="eastAsia" w:cs="宋体" w:asciiTheme="minorEastAsia" w:hAnsiTheme="minorEastAsia"/>
                <w:sz w:val="24"/>
              </w:rPr>
              <w:t xml:space="preserve">关于“教师演示设备、学生实验设备、多功能移动水槽台、实验准备台、智能吊装系统、通风系统、实验室综合废水处理系统、照明系统及理化生实验仪器”设备的相关检测报告：根据投标人提供的《技术部分正负偏离表》及佐证材料进行评审，投标产品技术参数和配置完全满足或优于招标文件要求的，得15分。带“▲”项每有1项负偏离扣1分，扣完为止。（以提供的技术参数响应及偏离表和采购需求中要求的相关证明材料为准，投标人须在《技术参数响应及偏离表》中如实列明，技术参数相同的产品不重复扣分。）</w:t>
            </w:r>
            <w:r/>
          </w:p>
        </w:tc>
      </w:tr>
      <w:tr>
        <w:trPr>
          <w:jc w:val="center"/>
          <w:trHeight w:val="921"/>
        </w:trPr>
        <w:tc>
          <w:tcPr>
            <w:tcW w:w="614"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17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综合实力</w:t>
            </w:r>
            <w:r/>
          </w:p>
        </w:tc>
        <w:tc>
          <w:tcPr>
            <w:tcW w:w="8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分</w:t>
            </w:r>
            <w:r/>
          </w:p>
        </w:tc>
        <w:tc>
          <w:tcPr>
            <w:tcW w:w="6453" w:type="dxa"/>
            <w:vAlign w:val="center"/>
            <w:textDirection w:val="lrTb"/>
            <w:noWrap w:val="false"/>
          </w:tcPr>
          <w:p>
            <w:pPr>
              <w:pStyle w:val="1402"/>
              <w:ind w:firstLine="480"/>
              <w:jc w:val="left"/>
              <w:rPr>
                <w:rFonts w:hint="eastAsia" w:cs="宋体" w:asciiTheme="minorEastAsia" w:hAnsiTheme="minorEastAsia"/>
              </w:rPr>
            </w:pPr>
            <w:r>
              <w:rPr>
                <w:rFonts w:hint="eastAsia" w:cs="宋体" w:asciiTheme="minorEastAsia" w:hAnsiTheme="minorEastAsia"/>
              </w:rPr>
              <w:t xml:space="preserve">1、</w:t>
            </w:r>
            <w:r>
              <w:rPr>
                <w:rFonts w:hint="eastAsia" w:cs="宋体" w:asciiTheme="minorEastAsia" w:hAnsiTheme="minorEastAsia"/>
                <w:lang w:val="zh-CN"/>
              </w:rPr>
              <w:t xml:space="preserve">投标人具有有效期内的质量管理体系认证、环境管理体系认证、职业健康管理体系证书，有一份证书得</w:t>
            </w:r>
            <w:r>
              <w:rPr>
                <w:rFonts w:hint="eastAsia" w:cs="宋体" w:asciiTheme="minorEastAsia" w:hAnsiTheme="minorEastAsia"/>
              </w:rPr>
              <w:t xml:space="preserve">1</w:t>
            </w:r>
            <w:r>
              <w:rPr>
                <w:rFonts w:hint="eastAsia" w:cs="宋体" w:asciiTheme="minorEastAsia" w:hAnsiTheme="minorEastAsia"/>
                <w:lang w:val="zh-CN"/>
              </w:rPr>
              <w:t xml:space="preserve">分，最高得</w:t>
            </w:r>
            <w:r>
              <w:rPr>
                <w:rFonts w:hint="eastAsia" w:cs="宋体" w:asciiTheme="minorEastAsia" w:hAnsiTheme="minorEastAsia"/>
              </w:rPr>
              <w:t xml:space="preserve">3</w:t>
            </w:r>
            <w:r>
              <w:rPr>
                <w:rFonts w:hint="eastAsia" w:cs="宋体" w:asciiTheme="minorEastAsia" w:hAnsiTheme="minorEastAsia"/>
                <w:lang w:val="zh-CN"/>
              </w:rPr>
              <w:t xml:space="preserve">分；（投标时须</w:t>
            </w:r>
            <w:r>
              <w:rPr>
                <w:rFonts w:hint="eastAsia" w:cs="宋体" w:asciiTheme="minorEastAsia" w:hAnsiTheme="minorEastAsia"/>
              </w:rPr>
              <w:t xml:space="preserve">同时</w:t>
            </w:r>
            <w:r>
              <w:rPr>
                <w:rFonts w:hint="eastAsia" w:cs="宋体" w:asciiTheme="minorEastAsia" w:hAnsiTheme="minorEastAsia"/>
                <w:lang w:val="zh-CN"/>
              </w:rPr>
              <w:t xml:space="preserve">提供证书复印件和官网查询截图并加盖投标人公章，提供不全不得分）。认证证书查询官网“全国认证认可信息公共服务平台</w:t>
            </w:r>
            <w:hyperlink r:id="rId40" w:tooltip="http://cx.cnca.cn/CertECloud/index/index/page" w:history="1">
              <w:r>
                <w:rPr>
                  <w:rStyle w:val="1149"/>
                  <w:rFonts w:hint="eastAsia" w:cs="宋体" w:asciiTheme="minorEastAsia" w:hAnsiTheme="minorEastAsia"/>
                  <w:color w:val="auto"/>
                  <w:lang w:val="zh-CN"/>
                </w:rPr>
                <w:t xml:space="preserve">http://cx.cnca.cn/CertECloud/index/index/page”。</w:t>
              </w:r>
            </w:hyperlink>
            <w:r/>
            <w:r/>
          </w:p>
          <w:p>
            <w:pPr>
              <w:pStyle w:val="1402"/>
              <w:ind w:firstLine="480"/>
              <w:jc w:val="left"/>
              <w:rPr>
                <w:rFonts w:hint="eastAsia" w:cs="宋体" w:asciiTheme="minorEastAsia" w:hAnsiTheme="minorEastAsia"/>
              </w:rPr>
            </w:pPr>
            <w:r>
              <w:rPr>
                <w:rFonts w:hint="eastAsia" w:cs="宋体" w:asciiTheme="minorEastAsia" w:hAnsiTheme="minorEastAsia"/>
              </w:rPr>
              <w:t xml:space="preserve">2、投标人或制造商所提供产品属于节能产品政府采购品目清单范围中优先采购的，且提供依据国家确定的认证机构出具的、处于有效期之内的节能产品认证证书扫描件的，得1分。</w:t>
            </w:r>
            <w:r/>
          </w:p>
          <w:p>
            <w:pPr>
              <w:pStyle w:val="1402"/>
              <w:ind w:firstLine="480"/>
              <w:jc w:val="left"/>
              <w:rPr>
                <w:rFonts w:hint="eastAsia" w:cs="宋体" w:asciiTheme="minorEastAsia" w:hAnsiTheme="minorEastAsia"/>
              </w:rPr>
            </w:pPr>
            <w:r>
              <w:rPr>
                <w:rFonts w:hint="eastAsia" w:cs="宋体" w:asciiTheme="minorEastAsia" w:hAnsiTheme="minorEastAsia"/>
              </w:rPr>
              <w:t xml:space="preserve">投标人或制造商所提供产品属于环境标志产品政府采购品目清单范围中优先采购的，且提供依据国家确定的认证机构出具的、处于有效期之内的环境标志产品认证证书扫描件的，得1分。</w:t>
            </w:r>
            <w:r/>
          </w:p>
        </w:tc>
      </w:tr>
      <w:tr>
        <w:trPr>
          <w:jc w:val="center"/>
          <w:trHeight w:val="1535"/>
        </w:trPr>
        <w:tc>
          <w:tcPr>
            <w:tcW w:w="614"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17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类似业绩</w:t>
            </w:r>
            <w:r/>
          </w:p>
        </w:tc>
        <w:tc>
          <w:tcPr>
            <w:tcW w:w="8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3分</w:t>
            </w:r>
            <w:r/>
          </w:p>
        </w:tc>
        <w:tc>
          <w:tcPr>
            <w:tcW w:w="6453" w:type="dxa"/>
            <w:vAlign w:val="center"/>
            <w:textDirection w:val="lrTb"/>
            <w:noWrap w:val="false"/>
          </w:tcPr>
          <w:p>
            <w:pPr>
              <w:pStyle w:val="1402"/>
              <w:ind w:firstLine="480"/>
              <w:jc w:val="left"/>
              <w:rPr>
                <w:rFonts w:hint="eastAsia" w:cs="宋体" w:asciiTheme="minorEastAsia" w:hAnsiTheme="minorEastAsia"/>
              </w:rPr>
            </w:pPr>
            <w:r>
              <w:rPr>
                <w:rFonts w:hint="eastAsia" w:cs="宋体" w:asciiTheme="minorEastAsia" w:hAnsiTheme="minorEastAsia"/>
                <w:lang w:val="zh-CN"/>
              </w:rPr>
              <w:t xml:space="preserve">投标人</w:t>
            </w:r>
            <w:r>
              <w:rPr>
                <w:rFonts w:hint="eastAsia" w:cs="宋体" w:asciiTheme="minorEastAsia" w:hAnsiTheme="minorEastAsia"/>
              </w:rPr>
              <w:t xml:space="preserve">2022年1月1日以来</w:t>
            </w:r>
            <w:r>
              <w:rPr>
                <w:rFonts w:hint="eastAsia" w:cs="宋体" w:asciiTheme="minorEastAsia" w:hAnsiTheme="minorEastAsia"/>
                <w:lang w:val="zh-CN"/>
              </w:rPr>
              <w:t xml:space="preserve">具有类似本项目业绩，每提供一份业绩得</w:t>
            </w:r>
            <w:r>
              <w:rPr>
                <w:rFonts w:hint="eastAsia" w:cs="宋体" w:asciiTheme="minorEastAsia" w:hAnsiTheme="minorEastAsia"/>
              </w:rPr>
              <w:t xml:space="preserve">1</w:t>
            </w:r>
            <w:r>
              <w:rPr>
                <w:rFonts w:hint="eastAsia" w:cs="宋体" w:asciiTheme="minorEastAsia" w:hAnsiTheme="minorEastAsia"/>
                <w:lang w:val="zh-CN"/>
              </w:rPr>
              <w:t xml:space="preserve">分，本项最高得</w:t>
            </w:r>
            <w:r>
              <w:rPr>
                <w:rFonts w:hint="eastAsia" w:cs="宋体" w:asciiTheme="minorEastAsia" w:hAnsiTheme="minorEastAsia"/>
              </w:rPr>
              <w:t xml:space="preserve">3</w:t>
            </w:r>
            <w:r>
              <w:rPr>
                <w:rFonts w:hint="eastAsia" w:cs="宋体" w:asciiTheme="minorEastAsia" w:hAnsiTheme="minorEastAsia"/>
                <w:lang w:val="zh-CN"/>
              </w:rPr>
              <w:t xml:space="preserve">分。提供相应业绩的合同、</w:t>
            </w:r>
            <w:r>
              <w:rPr>
                <w:rFonts w:hint="eastAsia" w:cs="宋体" w:asciiTheme="minorEastAsia" w:hAnsiTheme="minorEastAsia"/>
              </w:rPr>
              <w:t xml:space="preserve">中标通知书和</w:t>
            </w:r>
            <w:r>
              <w:rPr>
                <w:rFonts w:hint="eastAsia" w:cs="宋体" w:asciiTheme="minorEastAsia" w:hAnsiTheme="minorEastAsia"/>
                <w:lang w:val="zh-CN"/>
              </w:rPr>
              <w:t xml:space="preserve">验收报告复印件加盖投标人公章（提供的资料不全或业绩与本项目不符不得分）。</w:t>
            </w:r>
            <w:r/>
          </w:p>
        </w:tc>
      </w:tr>
      <w:tr>
        <w:trPr>
          <w:jc w:val="center"/>
          <w:trHeight w:val="1535"/>
        </w:trPr>
        <w:tc>
          <w:tcPr>
            <w:tcW w:w="614"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17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项目管理团队</w:t>
            </w:r>
            <w:r/>
          </w:p>
        </w:tc>
        <w:tc>
          <w:tcPr>
            <w:tcW w:w="8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4分</w:t>
            </w:r>
            <w:r/>
          </w:p>
        </w:tc>
        <w:tc>
          <w:tcPr>
            <w:tcW w:w="6453" w:type="dxa"/>
            <w:vAlign w:val="center"/>
            <w:textDirection w:val="lrTb"/>
            <w:noWrap w:val="false"/>
          </w:tcPr>
          <w:p>
            <w:pPr>
              <w:pStyle w:val="1402"/>
              <w:ind w:firstLine="480"/>
              <w:jc w:val="left"/>
              <w:rPr>
                <w:rFonts w:hint="eastAsia" w:cs="宋体" w:asciiTheme="minorEastAsia" w:hAnsiTheme="minorEastAsia"/>
              </w:rPr>
            </w:pPr>
            <w:r>
              <w:rPr>
                <w:rFonts w:hint="eastAsia" w:cs="宋体" w:asciiTheme="minorEastAsia" w:hAnsiTheme="minorEastAsia"/>
                <w:lang w:val="zh-CN"/>
              </w:rPr>
              <w:t xml:space="preserve">项目团队配备：包括技术、质量、安装、进度</w:t>
            </w:r>
            <w:r>
              <w:rPr>
                <w:rFonts w:hint="eastAsia" w:cs="宋体" w:asciiTheme="minorEastAsia" w:hAnsiTheme="minorEastAsia"/>
              </w:rPr>
              <w:t xml:space="preserve">的</w:t>
            </w:r>
            <w:r>
              <w:rPr>
                <w:rFonts w:hint="eastAsia" w:cs="宋体" w:asciiTheme="minorEastAsia" w:hAnsiTheme="minorEastAsia"/>
                <w:lang w:val="zh-CN"/>
              </w:rPr>
              <w:t xml:space="preserve">关键岗位，项目团队配备齐全</w:t>
            </w:r>
            <w:r>
              <w:rPr>
                <w:rFonts w:hint="eastAsia" w:cs="宋体" w:asciiTheme="minorEastAsia" w:hAnsiTheme="minorEastAsia"/>
              </w:rPr>
              <w:t xml:space="preserve">且提供</w:t>
            </w:r>
            <w:r>
              <w:rPr>
                <w:rFonts w:hint="eastAsia" w:cs="宋体" w:asciiTheme="minorEastAsia" w:hAnsiTheme="minorEastAsia"/>
                <w:lang w:val="zh-CN"/>
              </w:rPr>
              <w:t xml:space="preserve">关键岗位人员相应资格证书得</w:t>
            </w:r>
            <w:r>
              <w:rPr>
                <w:rFonts w:hint="eastAsia" w:cs="宋体" w:asciiTheme="minorEastAsia" w:hAnsiTheme="minorEastAsia"/>
              </w:rPr>
              <w:t xml:space="preserve">4</w:t>
            </w:r>
            <w:r>
              <w:rPr>
                <w:rFonts w:hint="eastAsia" w:cs="宋体" w:asciiTheme="minorEastAsia" w:hAnsiTheme="minorEastAsia"/>
                <w:lang w:val="zh-CN"/>
              </w:rPr>
              <w:t xml:space="preserve">分，项目团队人员配备不齐全或关键岗位人员不具备资格证书</w:t>
            </w:r>
            <w:r>
              <w:rPr>
                <w:rFonts w:hint="eastAsia" w:cs="宋体" w:asciiTheme="minorEastAsia" w:hAnsiTheme="minorEastAsia"/>
              </w:rPr>
              <w:t xml:space="preserve">每少一位扣1分，扣完为止。</w:t>
            </w:r>
            <w:r/>
          </w:p>
        </w:tc>
      </w:tr>
      <w:tr>
        <w:trPr>
          <w:jc w:val="center"/>
          <w:trHeight w:val="33"/>
        </w:trPr>
        <w:tc>
          <w:tcPr>
            <w:tcW w:w="614" w:type="dxa"/>
            <w:vAlign w:val="center"/>
            <w:vMerge w:val="restart"/>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1728" w:type="dxa"/>
            <w:vAlign w:val="center"/>
            <w:vMerge w:val="restart"/>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实施方案</w:t>
            </w:r>
            <w:r/>
          </w:p>
        </w:tc>
        <w:tc>
          <w:tcPr>
            <w:tcW w:w="828" w:type="dxa"/>
            <w:vAlign w:val="center"/>
            <w:vMerge w:val="restart"/>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37</w:t>
            </w:r>
            <w:r>
              <w:rPr>
                <w:rFonts w:hint="eastAsia" w:cs="宋体" w:asciiTheme="minorEastAsia" w:hAnsiTheme="minorEastAsia" w:eastAsiaTheme="minorEastAsia"/>
                <w:sz w:val="24"/>
                <w:lang w:val="zh-CN"/>
              </w:rPr>
              <w:t xml:space="preserve">分</w:t>
            </w:r>
            <w:r/>
          </w:p>
        </w:tc>
        <w:tc>
          <w:tcPr>
            <w:tcW w:w="6453"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总体施工部署（</w:t>
            </w:r>
            <w:r>
              <w:rPr>
                <w:rFonts w:hint="eastAsia" w:cs="宋体" w:asciiTheme="minorEastAsia" w:hAnsiTheme="minorEastAsia" w:eastAsiaTheme="minorEastAsia"/>
                <w:sz w:val="24"/>
              </w:rPr>
              <w:t xml:space="preserve">4</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投标人提供的方案包含以下内容：（1）</w:t>
            </w:r>
            <w:r>
              <w:rPr>
                <w:rFonts w:cs="宋体" w:asciiTheme="minorEastAsia" w:hAnsiTheme="minorEastAsia" w:eastAsiaTheme="minorEastAsia"/>
                <w:sz w:val="24"/>
              </w:rPr>
              <w:t xml:space="preserve">施工目标</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施工顺序及流程</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资源配置计划</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方案内容中施工目标明确，能够</w:t>
            </w:r>
            <w:r>
              <w:rPr>
                <w:rFonts w:cs="宋体" w:asciiTheme="minorEastAsia" w:hAnsiTheme="minorEastAsia" w:eastAsiaTheme="minorEastAsia"/>
                <w:sz w:val="24"/>
              </w:rPr>
              <w:t xml:space="preserve">清晰阐述质量、进度、安全、环保等目标</w:t>
            </w:r>
            <w:r>
              <w:rPr>
                <w:rFonts w:hint="eastAsia" w:cs="宋体" w:asciiTheme="minorEastAsia" w:hAnsiTheme="minorEastAsia" w:eastAsiaTheme="minorEastAsia"/>
                <w:sz w:val="24"/>
              </w:rPr>
              <w:t xml:space="preserve">；施工顺序及流程</w:t>
            </w:r>
            <w:r>
              <w:rPr>
                <w:rFonts w:cs="宋体" w:asciiTheme="minorEastAsia" w:hAnsiTheme="minorEastAsia" w:eastAsiaTheme="minorEastAsia"/>
                <w:sz w:val="24"/>
              </w:rPr>
              <w:t xml:space="preserve">合理</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对设备安装与环境美化事项的先后顺序、交叉作业等安排科学合理，有详细流程图</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资源配置计划对人力、材料、机械设备等资源的投入计划详细、合理，满足项目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4</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；方案要点齐全但内容不够详细合理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；方案要点不齐全且</w:t>
            </w:r>
            <w:r>
              <w:rPr>
                <w:rFonts w:cs="宋体" w:asciiTheme="minorEastAsia" w:hAnsiTheme="minorEastAsia" w:eastAsiaTheme="minorEastAsia"/>
                <w:sz w:val="24"/>
              </w:rPr>
              <w:t xml:space="preserve">不合理得</w:t>
            </w: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为提供方案不得分。</w:t>
            </w:r>
            <w:r/>
          </w:p>
        </w:tc>
      </w:tr>
      <w:tr>
        <w:trPr>
          <w:jc w:val="center"/>
          <w:trHeight w:val="33"/>
        </w:trPr>
        <w:tc>
          <w:tcPr>
            <w:tcW w:w="614" w:type="dxa"/>
            <w:vAlign w:val="center"/>
            <w:vMerge w:val="continue"/>
            <w:textDirection w:val="lrTb"/>
            <w:noWrap w:val="false"/>
          </w:tcPr>
          <w:p>
            <w:pPr>
              <w:ind w:firstLine="420"/>
              <w:jc w:val="left"/>
              <w:widowControl/>
              <w:rPr>
                <w:rFonts w:hint="eastAsia" w:asciiTheme="minorEastAsia" w:hAnsiTheme="minorEastAsia" w:eastAsiaTheme="minorEastAsia"/>
              </w:rPr>
            </w:pPr>
            <w:r>
              <w:rPr>
                <w:rFonts w:hint="eastAsia" w:asciiTheme="minorEastAsia" w:hAnsiTheme="minorEastAsia" w:eastAsiaTheme="minorEastAsia"/>
              </w:rPr>
            </w:r>
            <w:r/>
          </w:p>
        </w:tc>
        <w:tc>
          <w:tcPr>
            <w:tcW w:w="1728" w:type="dxa"/>
            <w:vAlign w:val="center"/>
            <w:vMerge w:val="continue"/>
            <w:textDirection w:val="lrTb"/>
            <w:noWrap w:val="false"/>
          </w:tcPr>
          <w:p>
            <w:pPr>
              <w:ind w:firstLine="420"/>
              <w:jc w:val="left"/>
              <w:widowControl/>
              <w:rPr>
                <w:rFonts w:hint="eastAsia" w:asciiTheme="minorEastAsia" w:hAnsiTheme="minorEastAsia" w:eastAsiaTheme="minorEastAsia"/>
              </w:rPr>
            </w:pPr>
            <w:r>
              <w:rPr>
                <w:rFonts w:hint="eastAsia" w:asciiTheme="minorEastAsia" w:hAnsiTheme="minorEastAsia" w:eastAsiaTheme="minorEastAsia"/>
              </w:rPr>
            </w:r>
            <w:r/>
          </w:p>
        </w:tc>
        <w:tc>
          <w:tcPr>
            <w:tcW w:w="828" w:type="dxa"/>
            <w:vAlign w:val="center"/>
            <w:vMerge w:val="continue"/>
            <w:textDirection w:val="lrTb"/>
            <w:noWrap w:val="false"/>
          </w:tcPr>
          <w:p>
            <w:pPr>
              <w:ind w:firstLine="420"/>
              <w:jc w:val="left"/>
              <w:widowControl/>
              <w:rPr>
                <w:rFonts w:hint="eastAsia" w:asciiTheme="minorEastAsia" w:hAnsiTheme="minorEastAsia" w:eastAsiaTheme="minorEastAsia"/>
              </w:rPr>
            </w:pPr>
            <w:r>
              <w:rPr>
                <w:rFonts w:hint="eastAsia" w:asciiTheme="minorEastAsia" w:hAnsiTheme="minorEastAsia" w:eastAsiaTheme="minorEastAsia"/>
              </w:rPr>
            </w:r>
            <w:r/>
          </w:p>
        </w:tc>
        <w:tc>
          <w:tcPr>
            <w:tcW w:w="6453"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通风系统安装方案（</w:t>
            </w:r>
            <w:r>
              <w:rPr>
                <w:rFonts w:hint="eastAsia" w:cs="宋体" w:asciiTheme="minorEastAsia" w:hAnsiTheme="minorEastAsia" w:eastAsiaTheme="minorEastAsia"/>
                <w:sz w:val="24"/>
              </w:rPr>
              <w:t xml:space="preserve">6</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投标人提供的安装方案包含以下内容：（1）对本项目</w:t>
            </w:r>
            <w:r>
              <w:rPr>
                <w:rFonts w:hint="eastAsia" w:cs="宋体" w:asciiTheme="minorEastAsia" w:hAnsiTheme="minorEastAsia" w:eastAsiaTheme="minorEastAsia"/>
                <w:sz w:val="24"/>
              </w:rPr>
              <w:t xml:space="preserve">的</w:t>
            </w:r>
            <w:r>
              <w:rPr>
                <w:rFonts w:cs="宋体" w:asciiTheme="minorEastAsia" w:hAnsiTheme="minorEastAsia" w:eastAsiaTheme="minorEastAsia"/>
                <w:sz w:val="24"/>
              </w:rPr>
              <w:t xml:space="preserve">系统设计理解</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安装工艺及技术措施</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系统调试与检测</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安装方案</w:t>
            </w:r>
            <w:r>
              <w:rPr>
                <w:rFonts w:cs="宋体" w:asciiTheme="minorEastAsia" w:hAnsiTheme="minorEastAsia" w:eastAsiaTheme="minorEastAsia"/>
                <w:sz w:val="24"/>
              </w:rPr>
              <w:t xml:space="preserve">对通风系统的设计原理、风量要求、通风路径等理解深刻，阐述清晰</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安装工艺及技术措施针对通风系统的特点，如风管连接、风机安装、风口定位等，阐述详细的安装工艺、技术标准及质量控制措施，技术先进、措施可行</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制定详细的系统调试与检测方案，包括风量平衡调试、风速检测、负压检测等内容</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方案</w:t>
            </w:r>
            <w:r>
              <w:rPr>
                <w:rFonts w:hint="eastAsia" w:cs="宋体" w:asciiTheme="minorEastAsia" w:hAnsiTheme="minorEastAsia" w:eastAsiaTheme="minorEastAsia"/>
                <w:sz w:val="24"/>
              </w:rPr>
              <w:t xml:space="preserve">内容详细、科学合理，</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6</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；方案要点齐全但内容不够详细合理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；方案要点不齐全、内容不合理得1分；未提供方案不得分</w:t>
            </w:r>
            <w:r>
              <w:rPr>
                <w:rFonts w:cs="宋体" w:asciiTheme="minorEastAsia" w:hAnsiTheme="minorEastAsia" w:eastAsiaTheme="minorEastAsia"/>
                <w:sz w:val="24"/>
              </w:rPr>
              <w:t xml:space="preserve">。</w:t>
            </w:r>
            <w:r/>
          </w:p>
        </w:tc>
      </w:tr>
      <w:tr>
        <w:trPr>
          <w:jc w:val="center"/>
          <w:trHeight w:val="33"/>
        </w:trPr>
        <w:tc>
          <w:tcPr>
            <w:tcW w:w="614"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1728"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828"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6453"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吊装系统安装方案（</w:t>
            </w:r>
            <w:r>
              <w:rPr>
                <w:rFonts w:hint="eastAsia" w:cs="宋体" w:asciiTheme="minorEastAsia" w:hAnsiTheme="minorEastAsia" w:eastAsiaTheme="minorEastAsia"/>
                <w:sz w:val="24"/>
              </w:rPr>
              <w:t xml:space="preserve">6</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投标人提供的安装方案包含以下内容：（1）</w:t>
            </w:r>
            <w:r>
              <w:rPr>
                <w:rFonts w:cs="宋体" w:asciiTheme="minorEastAsia" w:hAnsiTheme="minorEastAsia" w:eastAsiaTheme="minorEastAsia"/>
                <w:sz w:val="24"/>
              </w:rPr>
              <w:t xml:space="preserve">吊装系统安装设计</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安装工艺及技术措施</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系统调试与检测</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吊装系统安装设计合理、布局清晰，吊装系统设计符合学校教学需求</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根据吊装系统与原建筑主体的固定连接件承载情况，针对吊装系统的特点，如布管、布线、升降系统定位等，阐述详细的安装工艺、技术标准</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吊装系统调试与检测方案涵盖了电路测试、产品使用等所有关键方面，且每个方面都有具体的步骤和方法</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方案</w:t>
            </w:r>
            <w:r>
              <w:rPr>
                <w:rFonts w:hint="eastAsia" w:cs="宋体" w:asciiTheme="minorEastAsia" w:hAnsiTheme="minorEastAsia" w:eastAsiaTheme="minorEastAsia"/>
                <w:sz w:val="24"/>
              </w:rPr>
              <w:t xml:space="preserve">设计科学合理、内容详细全面，</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6</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方案</w:t>
            </w:r>
            <w:r>
              <w:rPr>
                <w:rFonts w:hint="eastAsia" w:cs="宋体" w:asciiTheme="minorEastAsia" w:hAnsiTheme="minorEastAsia" w:eastAsiaTheme="minorEastAsia"/>
                <w:sz w:val="24"/>
              </w:rPr>
              <w:t xml:space="preserve">设计较为合理，要点齐全但内容不够详细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；方案设计差，要点不齐全，内容关键点缺失得1分；未提供方案不得分</w:t>
            </w:r>
            <w:r>
              <w:rPr>
                <w:rFonts w:cs="宋体" w:asciiTheme="minorEastAsia" w:hAnsiTheme="minorEastAsia" w:eastAsiaTheme="minorEastAsia"/>
                <w:sz w:val="24"/>
              </w:rPr>
              <w:t xml:space="preserve">。</w:t>
            </w:r>
            <w:r/>
          </w:p>
        </w:tc>
      </w:tr>
      <w:tr>
        <w:trPr>
          <w:jc w:val="center"/>
          <w:trHeight w:val="33"/>
        </w:trPr>
        <w:tc>
          <w:tcPr>
            <w:tcW w:w="614"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1728"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828"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6453"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rPr>
                <w:rFonts w:cs="宋体" w:asciiTheme="minorEastAsia" w:hAnsiTheme="minorEastAsia" w:eastAsiaTheme="minorEastAsia"/>
                <w:sz w:val="24"/>
              </w:rPr>
              <w:t xml:space="preserve">教师演示设备、学生实验设备安装方案（</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投标人提供的安装方案包含以下内容：（1）</w:t>
            </w:r>
            <w:r>
              <w:rPr>
                <w:rFonts w:cs="宋体" w:asciiTheme="minorEastAsia" w:hAnsiTheme="minorEastAsia" w:eastAsiaTheme="minorEastAsia"/>
                <w:sz w:val="24"/>
              </w:rPr>
              <w:t xml:space="preserve">安装工艺及精度控制</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与通风系统及水电衔接</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稳定性与安全性</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安装方案针</w:t>
            </w:r>
            <w:r>
              <w:rPr>
                <w:rFonts w:cs="宋体" w:asciiTheme="minorEastAsia" w:hAnsiTheme="minorEastAsia" w:eastAsiaTheme="minorEastAsia"/>
                <w:sz w:val="24"/>
              </w:rPr>
              <w:t xml:space="preserve">对教师演示设备、学生实验设备的安装工艺，如框架组装、台面安装、配件固定等，有详细说明，且对安装精度控制有明确措施，如水平度、垂直度控制，工艺合理、精度控制措施</w:t>
            </w:r>
            <w:r>
              <w:rPr>
                <w:rFonts w:hint="eastAsia" w:cs="宋体" w:asciiTheme="minorEastAsia" w:hAnsiTheme="minorEastAsia" w:eastAsiaTheme="minorEastAsia"/>
                <w:sz w:val="24"/>
              </w:rPr>
              <w:t xml:space="preserve">；详细</w:t>
            </w:r>
            <w:r>
              <w:rPr>
                <w:rFonts w:cs="宋体" w:asciiTheme="minorEastAsia" w:hAnsiTheme="minorEastAsia" w:eastAsiaTheme="minorEastAsia"/>
                <w:sz w:val="24"/>
              </w:rPr>
              <w:t xml:space="preserve">说明教师演示设备、学生实验设备与通风系统以及水电线路的衔接方式，确保接口匹配、位置准确，衔接方案</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阐述保证教师演示设备、学生实验设备稳定性和安全性的措施，如防倾倒设计、边角处理等</w:t>
            </w:r>
            <w:r>
              <w:rPr>
                <w:rFonts w:hint="eastAsia" w:cs="宋体" w:asciiTheme="minorEastAsia" w:hAnsiTheme="minorEastAsia" w:eastAsiaTheme="minorEastAsia"/>
                <w:sz w:val="24"/>
              </w:rPr>
              <w:t xml:space="preserve">。方案</w:t>
            </w:r>
            <w:r>
              <w:rPr>
                <w:rFonts w:cs="宋体" w:asciiTheme="minorEastAsia" w:hAnsiTheme="minorEastAsia" w:eastAsiaTheme="minorEastAsia"/>
                <w:sz w:val="24"/>
              </w:rPr>
              <w:t xml:space="preserve">措施</w:t>
            </w:r>
            <w:r>
              <w:rPr>
                <w:rFonts w:hint="eastAsia" w:cs="宋体" w:asciiTheme="minorEastAsia" w:hAnsiTheme="minorEastAsia" w:eastAsiaTheme="minorEastAsia"/>
                <w:sz w:val="24"/>
              </w:rPr>
              <w:t xml:space="preserve">科学合理、</w:t>
            </w:r>
            <w:r>
              <w:rPr>
                <w:rFonts w:cs="宋体" w:asciiTheme="minorEastAsia" w:hAnsiTheme="minorEastAsia" w:eastAsiaTheme="minorEastAsia"/>
                <w:sz w:val="24"/>
              </w:rPr>
              <w:t xml:space="preserve">完善</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，方案措施较合理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方案措施不合理，内容不完善得1分</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未提供方案不得分。</w:t>
            </w:r>
            <w:r/>
          </w:p>
        </w:tc>
      </w:tr>
      <w:tr>
        <w:trPr>
          <w:jc w:val="center"/>
          <w:trHeight w:val="33"/>
        </w:trPr>
        <w:tc>
          <w:tcPr>
            <w:tcW w:w="614"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1728"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828"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6453"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照明系统安装方案（</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提供每间实验室由DIALux或类似设计工具仿真设计的完整报表，报表中的教室尺寸等信息由甲方提供，报表中的灯具参数必须和投标人提供的灯具检测报告上的参数一致。计算结果数据达到以下指标，维护系数取值1.0，全部灯具点亮时，课桌面平均照度≥375lx、均匀度≥0.7，板</w:t>
            </w:r>
            <w:r>
              <w:rPr>
                <w:rFonts w:cs="宋体" w:asciiTheme="minorEastAsia" w:hAnsiTheme="minorEastAsia" w:eastAsiaTheme="minorEastAsia"/>
                <w:sz w:val="24"/>
              </w:rPr>
              <w:t xml:space="preserve">书面平均照度≥625lx、均匀度≥0.8，统一眩光值UGR&lt;19。报表满足要求得</w:t>
            </w: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分，不满足得</w:t>
            </w:r>
            <w:r>
              <w:rPr>
                <w:rFonts w:hint="eastAsia" w:cs="宋体" w:asciiTheme="minorEastAsia" w:hAnsiTheme="minorEastAsia" w:eastAsiaTheme="minorEastAsia"/>
                <w:sz w:val="24"/>
              </w:rPr>
              <w:t xml:space="preserve">0</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安装工艺及精度控制：对教室灯与讲台灯的间距、高度、布线、控制、固定件等，有详细说明，且对安装精度控制有明确措施，如水平度、垂直度控制，工艺合理、精度控制措施得力</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措施</w:t>
            </w:r>
            <w:r>
              <w:rPr>
                <w:rFonts w:cs="宋体" w:asciiTheme="minorEastAsia" w:hAnsiTheme="minorEastAsia" w:eastAsiaTheme="minorEastAsia"/>
                <w:sz w:val="24"/>
              </w:rPr>
              <w:t xml:space="preserve">较为明确、清晰</w:t>
            </w:r>
            <w:r>
              <w:rPr>
                <w:rFonts w:hint="eastAsia" w:cs="宋体" w:asciiTheme="minorEastAsia" w:hAnsiTheme="minorEastAsia" w:eastAsiaTheme="minorEastAsia"/>
                <w:sz w:val="24"/>
              </w:rPr>
              <w:t xml:space="preserve">，内容</w:t>
            </w:r>
            <w:r>
              <w:rPr>
                <w:rFonts w:cs="宋体" w:asciiTheme="minorEastAsia" w:hAnsiTheme="minorEastAsia" w:eastAsiaTheme="minorEastAsia"/>
                <w:sz w:val="24"/>
              </w:rPr>
              <w:t xml:space="preserve">较完善得</w:t>
            </w: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措施方案差或未提供不得分</w:t>
            </w:r>
            <w:r>
              <w:rPr>
                <w:rFonts w:cs="宋体" w:asciiTheme="minorEastAsia" w:hAnsiTheme="minorEastAsia" w:eastAsiaTheme="minorEastAsia"/>
                <w:sz w:val="24"/>
              </w:rPr>
              <w:t xml:space="preserve">。</w:t>
            </w:r>
            <w:r/>
          </w:p>
        </w:tc>
      </w:tr>
      <w:tr>
        <w:trPr>
          <w:jc w:val="center"/>
          <w:trHeight w:val="33"/>
        </w:trPr>
        <w:tc>
          <w:tcPr>
            <w:tcW w:w="614"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1728"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828"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6453"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w:t>
            </w:r>
            <w:r>
              <w:rPr>
                <w:rFonts w:cs="宋体" w:asciiTheme="minorEastAsia" w:hAnsiTheme="minorEastAsia" w:eastAsiaTheme="minorEastAsia"/>
                <w:sz w:val="24"/>
              </w:rPr>
              <w:t xml:space="preserve">实验室废水处理系统安装方案（</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投标人提供的安装方案包含以下内容：（1）</w:t>
            </w:r>
            <w:r>
              <w:rPr>
                <w:rFonts w:cs="宋体" w:asciiTheme="minorEastAsia" w:hAnsiTheme="minorEastAsia" w:eastAsiaTheme="minorEastAsia"/>
                <w:sz w:val="24"/>
              </w:rPr>
              <w:t xml:space="preserve">处理装置与各污水排放单元对接安装总系统</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系统安装前期准备要求</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系统施工工艺控制</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安装方案</w:t>
            </w:r>
            <w:r>
              <w:rPr>
                <w:rFonts w:cs="宋体" w:asciiTheme="minorEastAsia" w:hAnsiTheme="minorEastAsia" w:eastAsiaTheme="minorEastAsia"/>
                <w:sz w:val="24"/>
              </w:rPr>
              <w:t xml:space="preserve">说明处理装置与各个排放单元的接口方式，确保接口管径相匹配、管路排布设计</w:t>
            </w:r>
            <w:r>
              <w:rPr>
                <w:rFonts w:hint="eastAsia" w:cs="宋体" w:asciiTheme="minorEastAsia" w:hAnsiTheme="minorEastAsia" w:eastAsiaTheme="minorEastAsia"/>
                <w:sz w:val="24"/>
              </w:rPr>
              <w:t xml:space="preserve">；针</w:t>
            </w:r>
            <w:r>
              <w:rPr>
                <w:rFonts w:cs="宋体" w:asciiTheme="minorEastAsia" w:hAnsiTheme="minorEastAsia" w:eastAsiaTheme="minorEastAsia"/>
                <w:sz w:val="24"/>
              </w:rPr>
              <w:t xml:space="preserve">对一体化设备到货后设备开箱验收、搬运、摆放环境（垫铁布置及抄平）、产品保护等内容说明</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对系统废水处理设备工艺流程、设备的找正、找平等内容</w:t>
            </w:r>
            <w:r>
              <w:rPr>
                <w:rFonts w:hint="eastAsia" w:cs="宋体" w:asciiTheme="minorEastAsia" w:hAnsiTheme="minorEastAsia" w:eastAsiaTheme="minorEastAsia"/>
                <w:sz w:val="24"/>
              </w:rPr>
              <w:t xml:space="preserve">。方案内容</w:t>
            </w:r>
            <w:r>
              <w:rPr>
                <w:rFonts w:cs="宋体" w:asciiTheme="minorEastAsia" w:hAnsiTheme="minorEastAsia" w:eastAsiaTheme="minorEastAsia"/>
                <w:sz w:val="24"/>
              </w:rPr>
              <w:t xml:space="preserve">详细，阐述明确、清晰</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方案内容全面但不够详细，</w:t>
            </w:r>
            <w:r>
              <w:rPr>
                <w:rFonts w:cs="宋体" w:asciiTheme="minorEastAsia" w:hAnsiTheme="minorEastAsia" w:eastAsiaTheme="minorEastAsia"/>
                <w:sz w:val="24"/>
              </w:rPr>
              <w:t xml:space="preserve">较为明确、清晰得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方案内容不齐全，不合理得1分</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未提供方案不得分。</w:t>
            </w:r>
            <w:r/>
          </w:p>
        </w:tc>
      </w:tr>
      <w:tr>
        <w:trPr>
          <w:jc w:val="center"/>
          <w:trHeight w:val="33"/>
        </w:trPr>
        <w:tc>
          <w:tcPr>
            <w:tcW w:w="614"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1728"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828"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6453"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w:t>
            </w:r>
            <w:r>
              <w:rPr>
                <w:rFonts w:cs="宋体" w:asciiTheme="minorEastAsia" w:hAnsiTheme="minorEastAsia" w:eastAsiaTheme="minorEastAsia"/>
                <w:sz w:val="24"/>
              </w:rPr>
              <w:t xml:space="preserve">实验室环境美化方案（</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投标人提供的美化方案包含以下内容：（1）</w:t>
            </w:r>
            <w:r>
              <w:rPr>
                <w:rFonts w:cs="宋体" w:asciiTheme="minorEastAsia" w:hAnsiTheme="minorEastAsia" w:eastAsiaTheme="minorEastAsia"/>
                <w:sz w:val="24"/>
              </w:rPr>
              <w:t xml:space="preserve">装修工艺及质量控制</w:t>
            </w:r>
            <w:r>
              <w:rPr>
                <w:rFonts w:hint="eastAsia" w:cs="宋体" w:asciiTheme="minorEastAsia" w:hAnsiTheme="minorEastAsia" w:eastAsiaTheme="minorEastAsia"/>
                <w:sz w:val="24"/>
              </w:rPr>
              <w:t xml:space="preserve">，（2）材料选用，（3）</w:t>
            </w:r>
            <w:r>
              <w:rPr>
                <w:rFonts w:cs="宋体" w:asciiTheme="minorEastAsia" w:hAnsiTheme="minorEastAsia" w:eastAsiaTheme="minorEastAsia"/>
                <w:sz w:val="24"/>
              </w:rPr>
              <w:t xml:space="preserve">成品保护措施</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方案内容针</w:t>
            </w:r>
            <w:r>
              <w:rPr>
                <w:rFonts w:cs="宋体" w:asciiTheme="minorEastAsia" w:hAnsiTheme="minorEastAsia" w:eastAsiaTheme="minorEastAsia"/>
                <w:sz w:val="24"/>
              </w:rPr>
              <w:t xml:space="preserve">对墙面、地面、天花板等装修部位的施工工艺、质量标准</w:t>
            </w:r>
            <w:r>
              <w:rPr>
                <w:rFonts w:hint="eastAsia" w:cs="宋体" w:asciiTheme="minorEastAsia" w:hAnsiTheme="minorEastAsia" w:eastAsiaTheme="minorEastAsia"/>
                <w:sz w:val="24"/>
              </w:rPr>
              <w:t xml:space="preserve">；材料选用符合项目要求，环保、耐用，提供清单及品牌、规格说明；</w:t>
            </w:r>
            <w:r>
              <w:rPr>
                <w:rFonts w:cs="宋体" w:asciiTheme="minorEastAsia" w:hAnsiTheme="minorEastAsia" w:eastAsiaTheme="minorEastAsia"/>
                <w:sz w:val="24"/>
              </w:rPr>
              <w:t xml:space="preserve">制定完善的装修成品保护措施</w:t>
            </w:r>
            <w:r>
              <w:rPr>
                <w:rFonts w:hint="eastAsia" w:cs="宋体" w:asciiTheme="minorEastAsia" w:hAnsiTheme="minorEastAsia" w:eastAsiaTheme="minorEastAsia"/>
                <w:sz w:val="24"/>
              </w:rPr>
              <w:t xml:space="preserve">。方案内容</w:t>
            </w:r>
            <w:r>
              <w:rPr>
                <w:rFonts w:cs="宋体" w:asciiTheme="minorEastAsia" w:hAnsiTheme="minorEastAsia" w:eastAsiaTheme="minorEastAsia"/>
                <w:sz w:val="24"/>
              </w:rPr>
              <w:t xml:space="preserve">详细，工艺</w:t>
            </w:r>
            <w:r>
              <w:rPr>
                <w:rFonts w:hint="eastAsia" w:cs="宋体" w:asciiTheme="minorEastAsia" w:hAnsiTheme="minorEastAsia" w:eastAsiaTheme="minorEastAsia"/>
                <w:sz w:val="24"/>
              </w:rPr>
              <w:t xml:space="preserve">材料</w:t>
            </w:r>
            <w:r>
              <w:rPr>
                <w:rFonts w:cs="宋体" w:asciiTheme="minorEastAsia" w:hAnsiTheme="minorEastAsia" w:eastAsiaTheme="minorEastAsia"/>
                <w:sz w:val="24"/>
              </w:rPr>
              <w:t xml:space="preserve">合理、质量控制措施</w:t>
            </w:r>
            <w:r>
              <w:rPr>
                <w:rFonts w:hint="eastAsia" w:cs="宋体" w:asciiTheme="minorEastAsia" w:hAnsiTheme="minorEastAsia" w:eastAsiaTheme="minorEastAsia"/>
                <w:sz w:val="24"/>
              </w:rPr>
              <w:t xml:space="preserve">科学，</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方案内容全面但不够详细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方案内容不齐全，不合理得1分</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未提供方案不得分。</w:t>
            </w:r>
            <w:r/>
          </w:p>
        </w:tc>
      </w:tr>
      <w:tr>
        <w:trPr>
          <w:jc w:val="center"/>
          <w:trHeight w:val="33"/>
        </w:trPr>
        <w:tc>
          <w:tcPr>
            <w:tcW w:w="614"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1728"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828"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6453"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w:t>
            </w:r>
            <w:r>
              <w:rPr>
                <w:rFonts w:cs="宋体" w:asciiTheme="minorEastAsia" w:hAnsiTheme="minorEastAsia" w:eastAsiaTheme="minorEastAsia"/>
                <w:sz w:val="24"/>
              </w:rPr>
              <w:t xml:space="preserve">隐蔽工程方案（</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投标人提供的方案包含以下内容：（1）</w:t>
            </w:r>
            <w:r>
              <w:rPr>
                <w:rFonts w:cs="宋体" w:asciiTheme="minorEastAsia" w:hAnsiTheme="minorEastAsia" w:eastAsiaTheme="minorEastAsia"/>
                <w:sz w:val="24"/>
              </w:rPr>
              <w:t xml:space="preserve">隐蔽工程范围及内容</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施工工艺及质量控制</w:t>
            </w:r>
            <w:r>
              <w:rPr>
                <w:rFonts w:hint="eastAsia" w:cs="宋体" w:asciiTheme="minorEastAsia" w:hAnsiTheme="minorEastAsia" w:eastAsiaTheme="minorEastAsia"/>
                <w:sz w:val="24"/>
              </w:rPr>
              <w:t xml:space="preserve">，（3）隐蔽工程</w:t>
            </w:r>
            <w:r>
              <w:rPr>
                <w:rFonts w:cs="宋体" w:asciiTheme="minorEastAsia" w:hAnsiTheme="minorEastAsia" w:eastAsiaTheme="minorEastAsia"/>
                <w:sz w:val="24"/>
              </w:rPr>
              <w:t xml:space="preserve">验收程序及记录</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方案</w:t>
            </w:r>
            <w:r>
              <w:rPr>
                <w:rFonts w:cs="宋体" w:asciiTheme="minorEastAsia" w:hAnsiTheme="minorEastAsia" w:eastAsiaTheme="minorEastAsia"/>
                <w:sz w:val="24"/>
              </w:rPr>
              <w:t xml:space="preserve">明确列出项目中涉及的隐蔽工程，如电气线路铺设、管道预埋等</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针对各项隐蔽工程，阐述详细的施工工艺和质量控制要点，如电气线路的接地、管道的密封性等</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制定完善的隐蔽工程验收程序，包括自检、专检、联合验收等，并有详细的验收记录要求</w:t>
            </w:r>
            <w:r>
              <w:rPr>
                <w:rFonts w:hint="eastAsia" w:cs="宋体" w:asciiTheme="minorEastAsia" w:hAnsiTheme="minorEastAsia" w:eastAsiaTheme="minorEastAsia"/>
                <w:sz w:val="24"/>
              </w:rPr>
              <w:t xml:space="preserve">。方案内容全面、工艺及验收程序科学合理，</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w:t>
            </w:r>
            <w:r>
              <w:rPr>
                <w:rFonts w:hint="eastAsia" w:cs="宋体" w:asciiTheme="minorEastAsia" w:hAnsiTheme="minorEastAsia" w:eastAsiaTheme="minorEastAsia"/>
                <w:sz w:val="24"/>
              </w:rPr>
              <w:t xml:space="preserve">得5分，方案内容较为完整，工艺及验收程序具有一定的操作性得3分，方案内容不齐全，工艺及验收程序不合理得1分。未提供方案不得分。</w:t>
            </w:r>
            <w:r/>
          </w:p>
        </w:tc>
      </w:tr>
      <w:tr>
        <w:trPr>
          <w:jc w:val="center"/>
          <w:trHeight w:val="33"/>
        </w:trPr>
        <w:tc>
          <w:tcPr>
            <w:tcW w:w="614"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1728"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828" w:type="dxa"/>
            <w:vAlign w:val="center"/>
            <w:vMerge w:val="continue"/>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W w:w="6453"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w:t>
            </w:r>
            <w:r>
              <w:rPr>
                <w:rFonts w:cs="宋体" w:asciiTheme="minorEastAsia" w:hAnsiTheme="minorEastAsia" w:eastAsiaTheme="minorEastAsia"/>
                <w:sz w:val="24"/>
              </w:rPr>
              <w:t xml:space="preserve">施工进度计划（</w:t>
            </w:r>
            <w:r>
              <w:rPr>
                <w:rFonts w:hint="eastAsia" w:cs="宋体" w:asciiTheme="minorEastAsia" w:hAnsiTheme="minorEastAsia" w:eastAsiaTheme="minorEastAsia"/>
                <w:sz w:val="24"/>
              </w:rPr>
              <w:t xml:space="preserve">4</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投标人提供的进度计划包含以下内容：（1）</w:t>
            </w:r>
            <w:r>
              <w:rPr>
                <w:rFonts w:cs="宋体" w:asciiTheme="minorEastAsia" w:hAnsiTheme="minorEastAsia" w:eastAsiaTheme="minorEastAsia"/>
                <w:sz w:val="24"/>
              </w:rPr>
              <w:t xml:space="preserve">进度计划合理性</w:t>
            </w:r>
            <w:r>
              <w:rPr>
                <w:rFonts w:hint="eastAsia" w:cs="宋体" w:asciiTheme="minorEastAsia" w:hAnsiTheme="minorEastAsia" w:eastAsiaTheme="minorEastAsia"/>
                <w:sz w:val="24"/>
              </w:rPr>
              <w:t xml:space="preserve">分析；（2）</w:t>
            </w:r>
            <w:r>
              <w:rPr>
                <w:rFonts w:cs="宋体" w:asciiTheme="minorEastAsia" w:hAnsiTheme="minorEastAsia" w:eastAsiaTheme="minorEastAsia"/>
                <w:sz w:val="24"/>
              </w:rPr>
              <w:t xml:space="preserve">进度保障措施</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施工</w:t>
            </w:r>
            <w:r>
              <w:rPr>
                <w:rFonts w:cs="宋体" w:asciiTheme="minorEastAsia" w:hAnsiTheme="minorEastAsia" w:eastAsiaTheme="minorEastAsia"/>
                <w:sz w:val="24"/>
              </w:rPr>
              <w:t xml:space="preserve">进度计划符合项目总工期要求，各阶段工期安排合理，有明确的里程碑节点</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制定有效的进度保障措施，如人员调配、材料供应、设备维护等</w:t>
            </w:r>
            <w:r>
              <w:rPr>
                <w:rFonts w:hint="eastAsia" w:cs="宋体" w:asciiTheme="minorEastAsia" w:hAnsiTheme="minorEastAsia" w:eastAsiaTheme="minorEastAsia"/>
                <w:sz w:val="24"/>
              </w:rPr>
              <w:t xml:space="preserve">；计划</w:t>
            </w:r>
            <w:r>
              <w:rPr>
                <w:rFonts w:cs="宋体" w:asciiTheme="minorEastAsia" w:hAnsiTheme="minorEastAsia" w:eastAsiaTheme="minorEastAsia"/>
                <w:sz w:val="24"/>
              </w:rPr>
              <w:t xml:space="preserve">措施</w:t>
            </w:r>
            <w:r>
              <w:rPr>
                <w:rFonts w:hint="eastAsia" w:cs="宋体" w:asciiTheme="minorEastAsia" w:hAnsiTheme="minorEastAsia" w:eastAsiaTheme="minorEastAsia"/>
                <w:sz w:val="24"/>
              </w:rPr>
              <w:t xml:space="preserve">内容详细、科学合理，</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4</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；计划措施内容一般，</w:t>
            </w:r>
            <w:r>
              <w:rPr>
                <w:rFonts w:cs="宋体" w:asciiTheme="minorEastAsia" w:hAnsiTheme="minorEastAsia" w:eastAsiaTheme="minorEastAsia"/>
                <w:sz w:val="24"/>
              </w:rPr>
              <w:t xml:space="preserve">较</w:t>
            </w:r>
            <w:r>
              <w:rPr>
                <w:rFonts w:hint="eastAsia" w:cs="宋体" w:asciiTheme="minorEastAsia" w:hAnsiTheme="minorEastAsia" w:eastAsiaTheme="minorEastAsia"/>
                <w:sz w:val="24"/>
              </w:rPr>
              <w:t xml:space="preserve">科学合理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；计划措施内容差，不合理得1分。未提供方案不得分。</w:t>
            </w:r>
            <w:r/>
          </w:p>
        </w:tc>
      </w:tr>
      <w:tr>
        <w:trPr>
          <w:jc w:val="center"/>
          <w:trHeight w:val="132"/>
        </w:trPr>
        <w:tc>
          <w:tcPr>
            <w:tcW w:w="614"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17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售后服务及培训方案</w:t>
            </w:r>
            <w:r/>
          </w:p>
        </w:tc>
        <w:tc>
          <w:tcPr>
            <w:tcW w:w="8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6分</w:t>
            </w:r>
            <w:r/>
          </w:p>
        </w:tc>
        <w:tc>
          <w:tcPr>
            <w:tcW w:w="6453" w:type="dxa"/>
            <w:vAlign w:val="center"/>
            <w:textDirection w:val="lrTb"/>
            <w:noWrap w:val="false"/>
          </w:tcPr>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评委根据投标人的售后服务</w:t>
            </w:r>
            <w:r>
              <w:rPr>
                <w:rFonts w:hint="eastAsia" w:cs="宋体" w:asciiTheme="minorEastAsia" w:hAnsiTheme="minorEastAsia" w:eastAsiaTheme="minorEastAsia"/>
                <w:sz w:val="24"/>
              </w:rPr>
              <w:t xml:space="preserve">承诺进行评分</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rPr>
              <w:t xml:space="preserve">方案</w:t>
            </w:r>
            <w:r>
              <w:rPr>
                <w:rFonts w:hint="eastAsia" w:cs="宋体" w:asciiTheme="minorEastAsia" w:hAnsiTheme="minorEastAsia" w:eastAsiaTheme="minorEastAsia"/>
                <w:sz w:val="24"/>
                <w:lang w:val="zh-CN"/>
              </w:rPr>
              <w:t xml:space="preserve">内容提出明确的售后服务方案、售后服务承诺、免费保修期限、到达故障现场时间以及定期维护、定期回访(注明时间)</w:t>
            </w:r>
            <w:r>
              <w:rPr>
                <w:rFonts w:hint="eastAsia" w:cs="宋体" w:asciiTheme="minorEastAsia" w:hAnsiTheme="minorEastAsia" w:eastAsiaTheme="minorEastAsia"/>
                <w:sz w:val="24"/>
              </w:rPr>
              <w:t xml:space="preserve">等内容，</w:t>
            </w:r>
            <w:r>
              <w:rPr>
                <w:rFonts w:hint="eastAsia" w:cs="宋体" w:asciiTheme="minorEastAsia" w:hAnsiTheme="minorEastAsia" w:eastAsiaTheme="minorEastAsia"/>
                <w:sz w:val="24"/>
                <w:lang w:val="zh-CN"/>
              </w:rPr>
              <w:t xml:space="preserve">得</w:t>
            </w: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分；</w:t>
            </w:r>
            <w:r>
              <w:rPr>
                <w:rFonts w:hint="eastAsia" w:cs="宋体" w:asciiTheme="minorEastAsia" w:hAnsiTheme="minorEastAsia" w:eastAsiaTheme="minorEastAsia"/>
                <w:sz w:val="24"/>
              </w:rPr>
              <w:t xml:space="preserve">方案内容基本完整，基本满足采购需求得2分；方案内容存在不足，缺陷较多的得1分。未提供不得分。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延保年限：满足质保年限后每增加一年得1分，最高2分</w:t>
            </w:r>
            <w:r/>
          </w:p>
        </w:tc>
      </w:tr>
    </w:tbl>
    <w:p>
      <w:pPr>
        <w:spacing w:line="360" w:lineRule="auto"/>
        <w:widowControl/>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r>
      <w:r/>
    </w:p>
    <w:p>
      <w:pPr>
        <w:spacing w:line="360" w:lineRule="auto"/>
        <w:widowControl/>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标段三：镇江市朱方高级中学实验室改造及设备购置</w:t>
      </w:r>
      <w:r/>
    </w:p>
    <w:tbl>
      <w:tblPr>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1"/>
        <w:gridCol w:w="1727"/>
        <w:gridCol w:w="828"/>
        <w:gridCol w:w="6453"/>
      </w:tblGrid>
      <w:tr>
        <w:trPr>
          <w:jc w:val="center"/>
          <w:trHeight w:val="936"/>
        </w:trPr>
        <w:tc>
          <w:tcPr>
            <w:tcW w:w="612" w:type="dxa"/>
            <w:vAlign w:val="center"/>
            <w:textDirection w:val="lrTb"/>
            <w:noWrap w:val="false"/>
          </w:tcPr>
          <w:p>
            <w:pPr>
              <w:jc w:val="center"/>
              <w:widowControl/>
              <w:rPr>
                <w:rFonts w:hint="eastAsia" w:cs="宋体" w:asciiTheme="minorEastAsia" w:hAnsiTheme="minorEastAsia" w:eastAsiaTheme="minorEastAsia"/>
                <w:b/>
              </w:rPr>
            </w:pPr>
            <w:r>
              <w:rPr>
                <w:rFonts w:hint="eastAsia" w:cs="宋体" w:asciiTheme="minorEastAsia" w:hAnsiTheme="minorEastAsia" w:eastAsiaTheme="minorEastAsia"/>
                <w:sz w:val="24"/>
              </w:rPr>
              <w:t xml:space="preserve">序号 </w:t>
            </w:r>
            <w:r/>
          </w:p>
        </w:tc>
        <w:tc>
          <w:tcPr>
            <w:tcW w:w="1728" w:type="dxa"/>
            <w:vAlign w:val="center"/>
            <w:textDirection w:val="lrTb"/>
            <w:noWrap w:val="false"/>
          </w:tcPr>
          <w:p>
            <w:pPr>
              <w:jc w:val="center"/>
              <w:widowControl/>
              <w:rPr>
                <w:rFonts w:hint="eastAsia" w:cs="宋体" w:asciiTheme="minorEastAsia" w:hAnsiTheme="minorEastAsia" w:eastAsiaTheme="minorEastAsia"/>
                <w:b/>
              </w:rPr>
            </w:pPr>
            <w:r>
              <w:rPr>
                <w:rFonts w:hint="eastAsia" w:cs="宋体" w:asciiTheme="minorEastAsia" w:hAnsiTheme="minorEastAsia" w:eastAsiaTheme="minorEastAsia"/>
                <w:sz w:val="24"/>
              </w:rPr>
              <w:t xml:space="preserve">评分点名称 </w:t>
            </w:r>
            <w:r/>
          </w:p>
        </w:tc>
        <w:tc>
          <w:tcPr>
            <w:tcW w:w="828" w:type="dxa"/>
            <w:vAlign w:val="center"/>
            <w:textDirection w:val="lrTb"/>
            <w:noWrap w:val="false"/>
          </w:tcPr>
          <w:p>
            <w:pPr>
              <w:jc w:val="center"/>
              <w:widowControl/>
              <w:rPr>
                <w:rFonts w:hint="eastAsia" w:cs="宋体" w:asciiTheme="minorEastAsia" w:hAnsiTheme="minorEastAsia" w:eastAsiaTheme="minorEastAsia"/>
                <w:b/>
              </w:rPr>
            </w:pPr>
            <w:r>
              <w:rPr>
                <w:rFonts w:hint="eastAsia" w:cs="宋体" w:asciiTheme="minorEastAsia" w:hAnsiTheme="minorEastAsia" w:eastAsiaTheme="minorEastAsia"/>
                <w:sz w:val="24"/>
              </w:rPr>
              <w:t xml:space="preserve">分值</w:t>
            </w:r>
            <w:r/>
          </w:p>
        </w:tc>
        <w:tc>
          <w:tcPr>
            <w:tcW w:w="6453" w:type="dxa"/>
            <w:vAlign w:val="center"/>
            <w:textDirection w:val="lrTb"/>
            <w:noWrap w:val="false"/>
          </w:tcPr>
          <w:p>
            <w:pPr>
              <w:jc w:val="center"/>
              <w:widowControl/>
              <w:rPr>
                <w:rFonts w:hint="eastAsia" w:cs="宋体" w:asciiTheme="minorEastAsia" w:hAnsiTheme="minorEastAsia" w:eastAsiaTheme="minorEastAsia"/>
                <w:b/>
              </w:rPr>
            </w:pPr>
            <w:r>
              <w:rPr>
                <w:rFonts w:hint="eastAsia" w:cs="宋体" w:asciiTheme="minorEastAsia" w:hAnsiTheme="minorEastAsia" w:eastAsiaTheme="minorEastAsia"/>
                <w:sz w:val="24"/>
              </w:rPr>
              <w:t xml:space="preserve">评审标准</w:t>
            </w:r>
            <w:r/>
          </w:p>
        </w:tc>
      </w:tr>
      <w:tr>
        <w:trPr>
          <w:jc w:val="center"/>
          <w:trHeight w:val="1445"/>
        </w:trPr>
        <w:tc>
          <w:tcPr>
            <w:tcW w:w="612"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17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投标报价</w:t>
            </w:r>
            <w:r/>
          </w:p>
        </w:tc>
        <w:tc>
          <w:tcPr>
            <w:tcW w:w="8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30分</w:t>
            </w:r>
            <w:r/>
          </w:p>
        </w:tc>
        <w:tc>
          <w:tcPr>
            <w:tcW w:w="6453"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满足招标文件要求且投标价格最低的投标报价为评标基准价，其价格分为满分。其他投标人的价格分统一按照下列公式计算：投标报价得分=（评标基准价／投标报价）×30（该结果四舍五入，保留两位小数）。 </w:t>
            </w:r>
            <w:r/>
          </w:p>
        </w:tc>
      </w:tr>
      <w:tr>
        <w:trPr>
          <w:jc w:val="center"/>
          <w:trHeight w:val="1157"/>
        </w:trPr>
        <w:tc>
          <w:tcPr>
            <w:tcW w:w="612"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17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技术参数</w:t>
            </w:r>
            <w:r/>
          </w:p>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响应</w:t>
            </w:r>
            <w:r/>
          </w:p>
        </w:tc>
        <w:tc>
          <w:tcPr>
            <w:tcW w:w="8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22</w:t>
            </w:r>
            <w:r>
              <w:rPr>
                <w:rFonts w:hint="eastAsia" w:cs="宋体" w:asciiTheme="minorEastAsia" w:hAnsiTheme="minorEastAsia" w:eastAsiaTheme="minorEastAsia"/>
                <w:sz w:val="24"/>
                <w:lang w:val="zh-CN"/>
              </w:rPr>
              <w:t xml:space="preserve">分</w:t>
            </w:r>
            <w:r/>
          </w:p>
        </w:tc>
        <w:tc>
          <w:tcPr>
            <w:tcW w:w="6453" w:type="dxa"/>
            <w:vAlign w:val="center"/>
            <w:textDirection w:val="lrTb"/>
            <w:noWrap w:val="false"/>
          </w:tcPr>
          <w:p>
            <w:pPr>
              <w:pStyle w:val="1095"/>
              <w:ind w:firstLine="480"/>
              <w:rPr>
                <w:rFonts w:hint="eastAsia" w:cs="宋体" w:asciiTheme="minorEastAsia" w:hAnsiTheme="minorEastAsia"/>
                <w:sz w:val="24"/>
              </w:rPr>
            </w:pPr>
            <w:r>
              <w:rPr>
                <w:rFonts w:hint="eastAsia" w:cs="宋体" w:asciiTheme="minorEastAsia" w:hAnsiTheme="minorEastAsia"/>
                <w:sz w:val="24"/>
              </w:rPr>
              <w:t xml:space="preserve">关于“教师演示设备、学生实验设备、仪器柜、通风系统”等设备的相关检测报告：根据投标人提供的《技术部分正负偏离表》及佐证材料进行评审，投标产品技术参数和配置完全满足或优于招标文件要求的，得22分。带“▲”项每有1项负偏离扣2分，扣完为止。（以提供的技术参数响应及偏离表和采购需求中要求的相关证明材料为准，投标人须在《技术参数响应及偏离表》中如实列明。技术参数相同的产品不重复扣分。）</w:t>
            </w:r>
            <w:r/>
          </w:p>
        </w:tc>
      </w:tr>
      <w:tr>
        <w:trPr>
          <w:jc w:val="center"/>
          <w:trHeight w:val="1157"/>
        </w:trPr>
        <w:tc>
          <w:tcPr>
            <w:tcW w:w="612"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17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产品功能演示</w:t>
            </w:r>
            <w:r/>
          </w:p>
        </w:tc>
        <w:tc>
          <w:tcPr>
            <w:tcW w:w="8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10分</w:t>
            </w:r>
            <w:r/>
          </w:p>
        </w:tc>
        <w:tc>
          <w:tcPr>
            <w:tcW w:w="6453" w:type="dxa"/>
            <w:vAlign w:val="center"/>
            <w:textDirection w:val="lrTb"/>
            <w:noWrap w:val="false"/>
          </w:tcPr>
          <w:p>
            <w:pPr>
              <w:pStyle w:val="1402"/>
              <w:ind w:firstLine="480"/>
              <w:jc w:val="left"/>
              <w:rPr>
                <w:rFonts w:hint="eastAsia" w:cs="宋体" w:asciiTheme="minorEastAsia" w:hAnsiTheme="minorEastAsia"/>
              </w:rPr>
            </w:pPr>
            <w:r>
              <w:rPr>
                <w:rFonts w:hint="eastAsia" w:cs="宋体" w:asciiTheme="minorEastAsia" w:hAnsiTheme="minorEastAsia"/>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pStyle w:val="1402"/>
              <w:jc w:val="left"/>
              <w:rPr>
                <w:rFonts w:hint="eastAsia" w:cs="宋体" w:asciiTheme="minorEastAsia" w:hAnsiTheme="minorEastAsia"/>
              </w:rPr>
            </w:pPr>
            <w:r>
              <w:rPr>
                <w:rFonts w:hint="eastAsia" w:cs="宋体" w:asciiTheme="minorEastAsia" w:hAnsiTheme="minorEastAsia"/>
              </w:rPr>
              <w:t xml:space="preserve">（注：未上传视频介绍或上传的视频介绍不能满足以下功能要求、视频文件无法播放的，此项不得分）</w:t>
            </w:r>
            <w:r/>
          </w:p>
          <w:p>
            <w:pPr>
              <w:pStyle w:val="1402"/>
              <w:jc w:val="left"/>
              <w:rPr>
                <w:rFonts w:hint="eastAsia" w:cs="宋体" w:asciiTheme="minorEastAsia" w:hAnsiTheme="minorEastAsia"/>
              </w:rPr>
            </w:pPr>
            <w:r>
              <w:rPr>
                <w:rFonts w:hint="eastAsia" w:cs="宋体" w:asciiTheme="minorEastAsia" w:hAnsiTheme="minorEastAsia"/>
              </w:rPr>
              <w:t xml:space="preserve">实验一：强酸与强碱的中和滴定（5分）</w:t>
            </w:r>
            <w:r/>
          </w:p>
          <w:p>
            <w:pPr>
              <w:pStyle w:val="1402"/>
              <w:jc w:val="left"/>
              <w:rPr>
                <w:rFonts w:hint="eastAsia" w:cs="宋体" w:asciiTheme="minorEastAsia" w:hAnsiTheme="minorEastAsia"/>
              </w:rPr>
            </w:pPr>
            <w:r>
              <w:rPr>
                <w:rFonts w:hint="eastAsia" w:cs="宋体" w:asciiTheme="minorEastAsia" w:hAnsiTheme="minorEastAsia"/>
              </w:rPr>
              <w:t xml:space="preserve">1、利用计算机、离子滴定计数装置完成此实验，无需多个</w:t>
            </w:r>
            <w:r>
              <w:rPr>
                <w:rFonts w:hint="eastAsia" w:cs="宋体" w:asciiTheme="minorEastAsia" w:hAnsiTheme="minorEastAsia"/>
              </w:rPr>
              <w:t xml:space="preserve">传感器；</w:t>
            </w:r>
            <w:r/>
          </w:p>
          <w:p>
            <w:pPr>
              <w:pStyle w:val="1402"/>
              <w:jc w:val="left"/>
              <w:rPr>
                <w:rFonts w:hint="eastAsia" w:cs="宋体" w:asciiTheme="minorEastAsia" w:hAnsiTheme="minorEastAsia"/>
              </w:rPr>
            </w:pPr>
            <w:r>
              <w:rPr>
                <w:rFonts w:hint="eastAsia" w:cs="宋体" w:asciiTheme="minorEastAsia" w:hAnsiTheme="minorEastAsia"/>
              </w:rPr>
              <w:t xml:space="preserve">2、实验需要通过铁架台搭建出完整的一套实验装置，器材间具有整体性；</w:t>
            </w:r>
            <w:r/>
          </w:p>
          <w:p>
            <w:pPr>
              <w:pStyle w:val="1402"/>
              <w:jc w:val="left"/>
              <w:rPr>
                <w:rFonts w:hint="eastAsia" w:cs="宋体" w:asciiTheme="minorEastAsia" w:hAnsiTheme="minorEastAsia"/>
              </w:rPr>
            </w:pPr>
            <w:r>
              <w:rPr>
                <w:rFonts w:hint="eastAsia" w:cs="宋体" w:asciiTheme="minorEastAsia" w:hAnsiTheme="minorEastAsia"/>
              </w:rPr>
              <w:t xml:space="preserve">3、要求在正式实验前控制好滴速，实验过程中需保持滴速恒定，不可频繁调节滴速；</w:t>
            </w:r>
            <w:r/>
          </w:p>
          <w:p>
            <w:pPr>
              <w:pStyle w:val="1402"/>
              <w:jc w:val="left"/>
              <w:rPr>
                <w:rFonts w:hint="eastAsia" w:cs="宋体" w:asciiTheme="minorEastAsia" w:hAnsiTheme="minorEastAsia"/>
              </w:rPr>
            </w:pPr>
            <w:r>
              <w:rPr>
                <w:rFonts w:hint="eastAsia" w:cs="宋体" w:asciiTheme="minorEastAsia" w:hAnsiTheme="minorEastAsia"/>
              </w:rPr>
              <w:t xml:space="preserve">4、要求软件中可直接将滴速转化为溶液体积，无需观察滴定容器中液体消耗的体积；</w:t>
            </w:r>
            <w:r/>
          </w:p>
          <w:p>
            <w:pPr>
              <w:pStyle w:val="1402"/>
              <w:jc w:val="left"/>
              <w:rPr>
                <w:rFonts w:hint="eastAsia" w:cs="宋体" w:asciiTheme="minorEastAsia" w:hAnsiTheme="minorEastAsia"/>
              </w:rPr>
            </w:pPr>
            <w:r>
              <w:rPr>
                <w:rFonts w:hint="eastAsia" w:cs="宋体" w:asciiTheme="minorEastAsia" w:hAnsiTheme="minorEastAsia"/>
              </w:rPr>
              <w:t xml:space="preserve">5、实验结果可直接显示溶液pH与滴加溶液体积的关系图，可直观看到反应终点；</w:t>
            </w:r>
            <w:r/>
          </w:p>
          <w:p>
            <w:pPr>
              <w:pStyle w:val="1402"/>
              <w:jc w:val="left"/>
              <w:rPr>
                <w:rFonts w:hint="eastAsia" w:cs="宋体" w:asciiTheme="minorEastAsia" w:hAnsiTheme="minorEastAsia"/>
              </w:rPr>
            </w:pPr>
            <w:r>
              <w:rPr>
                <w:rFonts w:hint="eastAsia" w:cs="宋体" w:asciiTheme="minorEastAsia" w:hAnsiTheme="minorEastAsia"/>
              </w:rPr>
              <w:t xml:space="preserve">6、可分别用有线、无线方式进行实验。</w:t>
            </w:r>
            <w:r/>
          </w:p>
          <w:p>
            <w:pPr>
              <w:pStyle w:val="1402"/>
              <w:jc w:val="left"/>
              <w:rPr>
                <w:rFonts w:hint="eastAsia" w:cs="宋体" w:asciiTheme="minorEastAsia" w:hAnsiTheme="minorEastAsia"/>
              </w:rPr>
            </w:pPr>
            <w:r>
              <w:rPr>
                <w:rFonts w:hint="eastAsia" w:cs="宋体" w:asciiTheme="minorEastAsia" w:hAnsiTheme="minorEastAsia"/>
              </w:rPr>
              <w:t xml:space="preserve">注：以上6项，有一项不符合或者缺项，该实验不得分。</w:t>
            </w:r>
            <w:r/>
          </w:p>
          <w:p>
            <w:pPr>
              <w:pStyle w:val="1402"/>
              <w:jc w:val="left"/>
              <w:rPr>
                <w:rFonts w:hint="eastAsia" w:cs="宋体" w:asciiTheme="minorEastAsia" w:hAnsiTheme="minorEastAsia"/>
              </w:rPr>
            </w:pPr>
            <w:r>
              <w:rPr>
                <w:rFonts w:hint="eastAsia" w:cs="宋体" w:asciiTheme="minorEastAsia" w:hAnsiTheme="minorEastAsia"/>
              </w:rPr>
              <w:t xml:space="preserve">实验二：定性与定量影响化学反应速率的因素（5分）</w:t>
            </w:r>
            <w:r/>
          </w:p>
          <w:p>
            <w:pPr>
              <w:pStyle w:val="1402"/>
              <w:jc w:val="left"/>
              <w:rPr>
                <w:rFonts w:hint="eastAsia" w:cs="宋体" w:asciiTheme="minorEastAsia" w:hAnsiTheme="minorEastAsia"/>
              </w:rPr>
            </w:pPr>
            <w:r>
              <w:rPr>
                <w:rFonts w:hint="eastAsia" w:cs="宋体" w:asciiTheme="minorEastAsia" w:hAnsiTheme="minorEastAsia"/>
              </w:rPr>
              <w:t xml:space="preserve">利用烧杯（250mL）、试管(16*160mm）、量筒（10mL）、试管架、胶头滴管、温度计、秒表、试剂瓶、分液漏斗、双孔橡胶塞、锥形瓶（250mL）、镊子、直角玻璃管、乳胶管、二通阀、针筒、铁架台底座、支撑杆、转接头、四爪夹、计算机、化学反应速率实验器、无线智能绝对压强传感器完成此实验；</w:t>
            </w:r>
            <w:r/>
          </w:p>
          <w:p>
            <w:pPr>
              <w:pStyle w:val="1402"/>
              <w:jc w:val="left"/>
              <w:rPr>
                <w:rFonts w:hint="eastAsia" w:cs="宋体" w:asciiTheme="minorEastAsia" w:hAnsiTheme="minorEastAsia"/>
              </w:rPr>
            </w:pPr>
            <w:r>
              <w:rPr>
                <w:rFonts w:hint="eastAsia" w:cs="宋体" w:asciiTheme="minorEastAsia" w:hAnsiTheme="minorEastAsia"/>
              </w:rPr>
              <w:t xml:space="preserve">1、器材质量优异，胶头滴管等器材不易自然损耗，温度计精度较高，各器材之间搭配合理，易于操作。</w:t>
            </w:r>
            <w:r/>
          </w:p>
          <w:p>
            <w:pPr>
              <w:pStyle w:val="1402"/>
              <w:jc w:val="left"/>
              <w:rPr>
                <w:rFonts w:hint="eastAsia" w:cs="宋体" w:asciiTheme="minorEastAsia" w:hAnsiTheme="minorEastAsia"/>
              </w:rPr>
            </w:pPr>
            <w:r>
              <w:rPr>
                <w:rFonts w:hint="eastAsia" w:cs="宋体" w:asciiTheme="minorEastAsia" w:hAnsiTheme="minorEastAsia"/>
              </w:rPr>
              <w:t xml:space="preserve">2、保证传统实验器材顺利完成该实验之外，亦可用数字化仪器进行实验：</w:t>
            </w:r>
            <w:r/>
          </w:p>
          <w:p>
            <w:pPr>
              <w:pStyle w:val="1402"/>
              <w:jc w:val="left"/>
              <w:rPr>
                <w:rFonts w:hint="eastAsia" w:cs="宋体" w:asciiTheme="minorEastAsia" w:hAnsiTheme="minorEastAsia"/>
              </w:rPr>
            </w:pPr>
            <w:r>
              <w:rPr>
                <w:rFonts w:hint="eastAsia" w:cs="宋体" w:asciiTheme="minorEastAsia" w:hAnsiTheme="minorEastAsia"/>
              </w:rPr>
              <w:t xml:space="preserve">（1）数字化仪器（化学反应速率实验器）与传感器（无线智能绝对压强传感器）之间可直接相连，无需额外器材组合；</w:t>
            </w:r>
            <w:r/>
          </w:p>
          <w:p>
            <w:pPr>
              <w:pStyle w:val="1402"/>
              <w:jc w:val="left"/>
              <w:rPr>
                <w:rFonts w:hint="eastAsia" w:cs="宋体" w:asciiTheme="minorEastAsia" w:hAnsiTheme="minorEastAsia"/>
              </w:rPr>
            </w:pPr>
            <w:r>
              <w:rPr>
                <w:rFonts w:hint="eastAsia" w:cs="宋体" w:asciiTheme="minorEastAsia" w:hAnsiTheme="minorEastAsia"/>
              </w:rPr>
              <w:t xml:space="preserve">（2）加液方便，使硫酸与锌粒接触后能立即密闭反应容器，减少实验误差，保证实验的准确性；</w:t>
            </w:r>
            <w:r/>
          </w:p>
          <w:p>
            <w:pPr>
              <w:pStyle w:val="1402"/>
              <w:jc w:val="left"/>
              <w:rPr>
                <w:rFonts w:hint="eastAsia" w:cs="宋体" w:asciiTheme="minorEastAsia" w:hAnsiTheme="minorEastAsia"/>
              </w:rPr>
            </w:pPr>
            <w:r>
              <w:rPr>
                <w:rFonts w:hint="eastAsia" w:cs="宋体" w:asciiTheme="minorEastAsia" w:hAnsiTheme="minorEastAsia"/>
              </w:rPr>
              <w:t xml:space="preserve">（3）可通过测试软件直观地得出不同浓度对化学反应速率的影响。</w:t>
            </w:r>
            <w:r/>
          </w:p>
          <w:p>
            <w:pPr>
              <w:pStyle w:val="1402"/>
              <w:jc w:val="left"/>
              <w:rPr>
                <w:rFonts w:hint="eastAsia" w:cs="宋体" w:asciiTheme="minorEastAsia" w:hAnsiTheme="minorEastAsia"/>
              </w:rPr>
            </w:pPr>
            <w:r>
              <w:rPr>
                <w:rFonts w:hint="eastAsia" w:cs="宋体" w:asciiTheme="minorEastAsia" w:hAnsiTheme="minorEastAsia"/>
              </w:rPr>
              <w:t xml:space="preserve">注：以上2项，有一项不符合或者缺项，该实验不得分。</w:t>
            </w:r>
            <w:r/>
          </w:p>
        </w:tc>
      </w:tr>
      <w:tr>
        <w:trPr>
          <w:jc w:val="center"/>
          <w:trHeight w:val="921"/>
        </w:trPr>
        <w:tc>
          <w:tcPr>
            <w:tcW w:w="612"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17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综合实力</w:t>
            </w:r>
            <w:r/>
          </w:p>
        </w:tc>
        <w:tc>
          <w:tcPr>
            <w:tcW w:w="8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lang w:val="zh-CN"/>
              </w:rPr>
              <w:t xml:space="preserve">分</w:t>
            </w:r>
            <w:r/>
          </w:p>
        </w:tc>
        <w:tc>
          <w:tcPr>
            <w:tcW w:w="6453" w:type="dxa"/>
            <w:vAlign w:val="center"/>
            <w:textDirection w:val="lrTb"/>
            <w:noWrap w:val="false"/>
          </w:tcPr>
          <w:p>
            <w:pPr>
              <w:pStyle w:val="1402"/>
              <w:ind w:firstLine="480"/>
              <w:jc w:val="left"/>
              <w:rPr>
                <w:rFonts w:hint="eastAsia" w:cs="宋体" w:asciiTheme="minorEastAsia" w:hAnsiTheme="minorEastAsia"/>
              </w:rPr>
            </w:pPr>
            <w:r>
              <w:rPr>
                <w:rFonts w:hint="eastAsia" w:cs="宋体" w:asciiTheme="minorEastAsia" w:hAnsiTheme="minorEastAsia"/>
              </w:rPr>
              <w:t xml:space="preserve">1、</w:t>
            </w:r>
            <w:r>
              <w:rPr>
                <w:rFonts w:hint="eastAsia" w:cs="宋体" w:asciiTheme="minorEastAsia" w:hAnsiTheme="minorEastAsia"/>
                <w:lang w:val="zh-CN"/>
              </w:rPr>
              <w:t xml:space="preserve">投标人具有有效期内的质量管理体系认证、环境管理体系认证、职业健康管理体系证书、服务质量评价体系认证证书、合规管理体系认证证书，有一份证书得</w:t>
            </w:r>
            <w:r>
              <w:rPr>
                <w:rFonts w:hint="eastAsia" w:cs="宋体" w:asciiTheme="minorEastAsia" w:hAnsiTheme="minorEastAsia"/>
              </w:rPr>
              <w:t xml:space="preserve">1</w:t>
            </w:r>
            <w:r>
              <w:rPr>
                <w:rFonts w:hint="eastAsia" w:cs="宋体" w:asciiTheme="minorEastAsia" w:hAnsiTheme="minorEastAsia"/>
                <w:lang w:val="zh-CN"/>
              </w:rPr>
              <w:t xml:space="preserve">分，最高得</w:t>
            </w:r>
            <w:r>
              <w:rPr>
                <w:rFonts w:hint="eastAsia" w:cs="宋体" w:asciiTheme="minorEastAsia" w:hAnsiTheme="minorEastAsia"/>
              </w:rPr>
              <w:t xml:space="preserve">3</w:t>
            </w:r>
            <w:r>
              <w:rPr>
                <w:rFonts w:hint="eastAsia" w:cs="宋体" w:asciiTheme="minorEastAsia" w:hAnsiTheme="minorEastAsia"/>
                <w:lang w:val="zh-CN"/>
              </w:rPr>
              <w:t xml:space="preserve">分；（投标时须</w:t>
            </w:r>
            <w:r>
              <w:rPr>
                <w:rFonts w:hint="eastAsia" w:cs="宋体" w:asciiTheme="minorEastAsia" w:hAnsiTheme="minorEastAsia"/>
              </w:rPr>
              <w:t xml:space="preserve">同时</w:t>
            </w:r>
            <w:r>
              <w:rPr>
                <w:rFonts w:hint="eastAsia" w:cs="宋体" w:asciiTheme="minorEastAsia" w:hAnsiTheme="minorEastAsia"/>
                <w:lang w:val="zh-CN"/>
              </w:rPr>
              <w:t xml:space="preserve">提供证书复印件和官网查询截图并加盖投标人公章，提供不全不得分）。认证证书查询官网“全国认证认可信息公共服务平台</w:t>
            </w:r>
            <w:hyperlink r:id="rId41" w:tooltip="http://cx.cnca.cn/CertECloud/index/index/page" w:history="1">
              <w:r>
                <w:rPr>
                  <w:rStyle w:val="1149"/>
                  <w:rFonts w:hint="eastAsia" w:cs="宋体" w:asciiTheme="minorEastAsia" w:hAnsiTheme="minorEastAsia"/>
                  <w:color w:val="auto"/>
                  <w:lang w:val="zh-CN"/>
                </w:rPr>
                <w:t xml:space="preserve">http://cx.cnca.cn/CertECloud/index/index/page”。</w:t>
              </w:r>
            </w:hyperlink>
            <w:r/>
            <w:r/>
          </w:p>
        </w:tc>
      </w:tr>
      <w:tr>
        <w:trPr>
          <w:jc w:val="center"/>
          <w:trHeight w:val="1535"/>
        </w:trPr>
        <w:tc>
          <w:tcPr>
            <w:tcW w:w="612"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17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类似业绩</w:t>
            </w:r>
            <w:r/>
          </w:p>
        </w:tc>
        <w:tc>
          <w:tcPr>
            <w:tcW w:w="828"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3分</w:t>
            </w:r>
            <w:r/>
          </w:p>
        </w:tc>
        <w:tc>
          <w:tcPr>
            <w:tcW w:w="6453" w:type="dxa"/>
            <w:vAlign w:val="center"/>
            <w:textDirection w:val="lrTb"/>
            <w:noWrap w:val="false"/>
          </w:tcPr>
          <w:p>
            <w:pPr>
              <w:pStyle w:val="1402"/>
              <w:ind w:firstLine="480"/>
              <w:jc w:val="left"/>
              <w:rPr>
                <w:rFonts w:hint="eastAsia" w:cs="宋体" w:asciiTheme="minorEastAsia" w:hAnsiTheme="minorEastAsia"/>
              </w:rPr>
            </w:pPr>
            <w:r>
              <w:rPr>
                <w:rFonts w:hint="eastAsia" w:cs="宋体" w:asciiTheme="minorEastAsia" w:hAnsiTheme="minorEastAsia"/>
                <w:lang w:val="zh-CN"/>
              </w:rPr>
              <w:t xml:space="preserve">投标人</w:t>
            </w:r>
            <w:r>
              <w:rPr>
                <w:rFonts w:hint="eastAsia" w:cs="宋体" w:asciiTheme="minorEastAsia" w:hAnsiTheme="minorEastAsia"/>
              </w:rPr>
              <w:t xml:space="preserve">自2022年1月1日以来</w:t>
            </w:r>
            <w:r>
              <w:rPr>
                <w:rFonts w:hint="eastAsia" w:cs="宋体" w:asciiTheme="minorEastAsia" w:hAnsiTheme="minorEastAsia"/>
                <w:lang w:val="zh-CN"/>
              </w:rPr>
              <w:t xml:space="preserve">具有类似本项目业绩，每提供一份业绩得</w:t>
            </w:r>
            <w:r>
              <w:rPr>
                <w:rFonts w:hint="eastAsia" w:cs="宋体" w:asciiTheme="minorEastAsia" w:hAnsiTheme="minorEastAsia"/>
              </w:rPr>
              <w:t xml:space="preserve">1</w:t>
            </w:r>
            <w:r>
              <w:rPr>
                <w:rFonts w:hint="eastAsia" w:cs="宋体" w:asciiTheme="minorEastAsia" w:hAnsiTheme="minorEastAsia"/>
                <w:lang w:val="zh-CN"/>
              </w:rPr>
              <w:t xml:space="preserve">分，本项最高得</w:t>
            </w:r>
            <w:r>
              <w:rPr>
                <w:rFonts w:hint="eastAsia" w:cs="宋体" w:asciiTheme="minorEastAsia" w:hAnsiTheme="minorEastAsia"/>
              </w:rPr>
              <w:t xml:space="preserve">3</w:t>
            </w:r>
            <w:r>
              <w:rPr>
                <w:rFonts w:hint="eastAsia" w:cs="宋体" w:asciiTheme="minorEastAsia" w:hAnsiTheme="minorEastAsia"/>
                <w:lang w:val="zh-CN"/>
              </w:rPr>
              <w:t xml:space="preserve">分。提供相应业绩的合同、</w:t>
            </w:r>
            <w:r>
              <w:rPr>
                <w:rFonts w:hint="eastAsia" w:cs="宋体" w:asciiTheme="minorEastAsia" w:hAnsiTheme="minorEastAsia"/>
              </w:rPr>
              <w:t xml:space="preserve">中标通知书和</w:t>
            </w:r>
            <w:r>
              <w:rPr>
                <w:rFonts w:hint="eastAsia" w:cs="宋体" w:asciiTheme="minorEastAsia" w:hAnsiTheme="minorEastAsia"/>
                <w:lang w:val="zh-CN"/>
              </w:rPr>
              <w:t xml:space="preserve">验收报告复印件加盖投标人公章（提供的资料不全或业绩与本项目不符不得分）。</w:t>
            </w:r>
            <w:r/>
          </w:p>
        </w:tc>
      </w:tr>
      <w:tr>
        <w:trPr>
          <w:jc w:val="center"/>
          <w:trHeight w:val="132"/>
        </w:trPr>
        <w:tc>
          <w:tcPr>
            <w:tcW w:w="612"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1728" w:type="dxa"/>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项目管理团队</w:t>
            </w:r>
            <w:r/>
          </w:p>
        </w:tc>
        <w:tc>
          <w:tcPr>
            <w:tcW w:w="828" w:type="dxa"/>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5分</w:t>
            </w:r>
            <w:r/>
          </w:p>
        </w:tc>
        <w:tc>
          <w:tcPr>
            <w:tcW w:w="6453" w:type="dxa"/>
            <w:vAlign w:val="center"/>
            <w:textDirection w:val="lrTb"/>
            <w:noWrap w:val="false"/>
          </w:tcPr>
          <w:p>
            <w:pPr>
              <w:pStyle w:val="1402"/>
              <w:ind w:firstLine="480"/>
              <w:jc w:val="left"/>
              <w:rPr>
                <w:rFonts w:hint="eastAsia" w:cs="宋体" w:asciiTheme="minorEastAsia" w:hAnsiTheme="minorEastAsia"/>
              </w:rPr>
            </w:pPr>
            <w:r>
              <w:rPr>
                <w:rFonts w:hint="eastAsia" w:cs="宋体" w:asciiTheme="minorEastAsia" w:hAnsiTheme="minorEastAsia"/>
                <w:lang w:val="zh-CN"/>
              </w:rPr>
              <w:t xml:space="preserve">（</w:t>
            </w:r>
            <w:r>
              <w:rPr>
                <w:rFonts w:hint="eastAsia" w:cs="宋体" w:asciiTheme="minorEastAsia" w:hAnsiTheme="minorEastAsia"/>
              </w:rPr>
              <w:t xml:space="preserve">1</w:t>
            </w:r>
            <w:r>
              <w:rPr>
                <w:rFonts w:hint="eastAsia" w:cs="宋体" w:asciiTheme="minorEastAsia" w:hAnsiTheme="minorEastAsia"/>
                <w:lang w:val="zh-CN"/>
              </w:rPr>
              <w:t xml:space="preserve">）项目</w:t>
            </w:r>
            <w:r>
              <w:rPr>
                <w:rFonts w:hint="eastAsia" w:cs="宋体" w:asciiTheme="minorEastAsia" w:hAnsiTheme="minorEastAsia"/>
              </w:rPr>
              <w:t xml:space="preserve">团队管理制度</w:t>
            </w:r>
            <w:r>
              <w:rPr>
                <w:rFonts w:hint="eastAsia" w:cs="宋体" w:asciiTheme="minorEastAsia" w:hAnsiTheme="minorEastAsia"/>
                <w:lang w:val="zh-CN"/>
              </w:rPr>
              <w:t xml:space="preserve">（</w:t>
            </w:r>
            <w:r>
              <w:rPr>
                <w:rFonts w:hint="eastAsia" w:cs="宋体" w:asciiTheme="minorEastAsia" w:hAnsiTheme="minorEastAsia"/>
              </w:rPr>
              <w:t xml:space="preserve">2</w:t>
            </w:r>
            <w:r>
              <w:rPr>
                <w:rFonts w:hint="eastAsia" w:cs="宋体" w:asciiTheme="minorEastAsia" w:hAnsiTheme="minorEastAsia"/>
                <w:lang w:val="zh-CN"/>
              </w:rPr>
              <w:t xml:space="preserve">分）：制定项目管理团队的组织架构、岗位职责、项目目标的理解</w:t>
            </w:r>
            <w:r>
              <w:rPr>
                <w:rFonts w:hint="eastAsia" w:cs="宋体" w:asciiTheme="minorEastAsia" w:hAnsiTheme="minorEastAsia"/>
              </w:rPr>
              <w:t xml:space="preserve">以及人员管理制度</w:t>
            </w:r>
            <w:r>
              <w:rPr>
                <w:rFonts w:hint="eastAsia" w:cs="宋体" w:asciiTheme="minorEastAsia" w:hAnsiTheme="minorEastAsia"/>
                <w:lang w:val="zh-CN"/>
              </w:rPr>
              <w:t xml:space="preserve">等，</w:t>
            </w:r>
            <w:r>
              <w:rPr>
                <w:rFonts w:hint="eastAsia" w:cs="宋体" w:asciiTheme="minorEastAsia" w:hAnsiTheme="minorEastAsia"/>
              </w:rPr>
              <w:t xml:space="preserve">制度</w:t>
            </w:r>
            <w:r>
              <w:rPr>
                <w:rFonts w:hint="eastAsia" w:cs="宋体" w:asciiTheme="minorEastAsia" w:hAnsiTheme="minorEastAsia"/>
                <w:lang w:val="zh-CN"/>
              </w:rPr>
              <w:t xml:space="preserve">完善，</w:t>
            </w:r>
            <w:r>
              <w:rPr>
                <w:rFonts w:hint="eastAsia" w:cs="宋体" w:asciiTheme="minorEastAsia" w:hAnsiTheme="minorEastAsia"/>
              </w:rPr>
              <w:t xml:space="preserve">科学合理</w:t>
            </w:r>
            <w:r>
              <w:rPr>
                <w:rFonts w:hint="eastAsia" w:cs="宋体" w:asciiTheme="minorEastAsia" w:hAnsiTheme="minorEastAsia"/>
                <w:lang w:val="zh-CN"/>
              </w:rPr>
              <w:t xml:space="preserve">得</w:t>
            </w:r>
            <w:r>
              <w:rPr>
                <w:rFonts w:hint="eastAsia" w:cs="宋体" w:asciiTheme="minorEastAsia" w:hAnsiTheme="minorEastAsia"/>
              </w:rPr>
              <w:t xml:space="preserve">2</w:t>
            </w:r>
            <w:r>
              <w:rPr>
                <w:rFonts w:hint="eastAsia" w:cs="宋体" w:asciiTheme="minorEastAsia" w:hAnsiTheme="minorEastAsia"/>
                <w:lang w:val="zh-CN"/>
              </w:rPr>
              <w:t xml:space="preserve">分，</w:t>
            </w:r>
            <w:r>
              <w:rPr>
                <w:rFonts w:hint="eastAsia" w:cs="宋体" w:asciiTheme="minorEastAsia" w:hAnsiTheme="minorEastAsia"/>
              </w:rPr>
              <w:t xml:space="preserve">制度全面但内容一</w:t>
            </w:r>
            <w:r>
              <w:rPr>
                <w:rFonts w:hint="eastAsia" w:cs="宋体" w:asciiTheme="minorEastAsia" w:hAnsiTheme="minorEastAsia"/>
              </w:rPr>
              <w:t xml:space="preserve">般，较为合理</w:t>
            </w:r>
            <w:r>
              <w:rPr>
                <w:rFonts w:hint="eastAsia" w:cs="宋体" w:asciiTheme="minorEastAsia" w:hAnsiTheme="minorEastAsia"/>
                <w:lang w:val="zh-CN"/>
              </w:rPr>
              <w:t xml:space="preserve">得</w:t>
            </w:r>
            <w:r>
              <w:rPr>
                <w:rFonts w:hint="eastAsia" w:cs="宋体" w:asciiTheme="minorEastAsia" w:hAnsiTheme="minorEastAsia"/>
              </w:rPr>
              <w:t xml:space="preserve">1</w:t>
            </w:r>
            <w:r>
              <w:rPr>
                <w:rFonts w:hint="eastAsia" w:cs="宋体" w:asciiTheme="minorEastAsia" w:hAnsiTheme="minorEastAsia"/>
                <w:lang w:val="zh-CN"/>
              </w:rPr>
              <w:t xml:space="preserve">分，</w:t>
            </w:r>
            <w:r>
              <w:rPr>
                <w:rFonts w:hint="eastAsia" w:cs="宋体" w:asciiTheme="minorEastAsia" w:hAnsiTheme="minorEastAsia"/>
              </w:rPr>
              <w:t xml:space="preserve">制度内容差或未提供不得分</w:t>
            </w:r>
            <w:r>
              <w:rPr>
                <w:rFonts w:hint="eastAsia" w:cs="宋体" w:asciiTheme="minorEastAsia" w:hAnsiTheme="minorEastAsia"/>
                <w:lang w:val="zh-CN"/>
              </w:rPr>
              <w:t xml:space="preserve">。</w:t>
            </w:r>
            <w:r/>
          </w:p>
          <w:p>
            <w:pPr>
              <w:pStyle w:val="1402"/>
              <w:ind w:firstLine="480"/>
              <w:jc w:val="left"/>
              <w:rPr>
                <w:rFonts w:hint="eastAsia" w:cs="宋体" w:asciiTheme="minorEastAsia" w:hAnsiTheme="minorEastAsia"/>
              </w:rPr>
            </w:pPr>
            <w:r>
              <w:rPr>
                <w:rFonts w:hint="eastAsia" w:cs="宋体" w:asciiTheme="minorEastAsia" w:hAnsiTheme="minorEastAsia"/>
                <w:lang w:val="zh-CN"/>
              </w:rPr>
              <w:t xml:space="preserve">（</w:t>
            </w:r>
            <w:r>
              <w:rPr>
                <w:rFonts w:hint="eastAsia" w:cs="宋体" w:asciiTheme="minorEastAsia" w:hAnsiTheme="minorEastAsia"/>
              </w:rPr>
              <w:t xml:space="preserve">2</w:t>
            </w:r>
            <w:r>
              <w:rPr>
                <w:rFonts w:hint="eastAsia" w:cs="宋体" w:asciiTheme="minorEastAsia" w:hAnsiTheme="minorEastAsia"/>
                <w:lang w:val="zh-CN"/>
              </w:rPr>
              <w:t xml:space="preserve">）</w:t>
            </w:r>
            <w:r>
              <w:rPr>
                <w:rFonts w:hint="eastAsia" w:cs="宋体" w:asciiTheme="minorEastAsia" w:hAnsiTheme="minorEastAsia"/>
                <w:lang w:val="zh-CN"/>
              </w:rPr>
              <w:t xml:space="preserve">项目人员技术能力（3 分）：项目团队成员具有二级及以上注册建造师（建筑工程或安装专业）得1.5分；项目团队成员具有计算机技术与软件专业技术资格（系统集成项目管理工程师）得1.5分。提供上述人员证书扫描件及近半年任意一个月的社会保险缴纳证明，未提供不得分。</w:t>
            </w:r>
            <w:r/>
          </w:p>
        </w:tc>
      </w:tr>
      <w:tr>
        <w:trPr>
          <w:jc w:val="center"/>
          <w:trHeight w:val="30"/>
        </w:trPr>
        <w:tc>
          <w:tcPr>
            <w:tcW w:w="612" w:type="dxa"/>
            <w:vAlign w:val="center"/>
            <w:vMerge w:val="restart"/>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1728" w:type="dxa"/>
            <w:vAlign w:val="center"/>
            <w:vMerge w:val="restart"/>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项目实施方案</w:t>
            </w:r>
            <w:r/>
          </w:p>
        </w:tc>
        <w:tc>
          <w:tcPr>
            <w:tcW w:w="828" w:type="dxa"/>
            <w:vAlign w:val="center"/>
            <w:vMerge w:val="restart"/>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22分</w:t>
            </w:r>
            <w:r/>
          </w:p>
        </w:tc>
        <w:tc>
          <w:tcPr>
            <w:tcW w:w="6453"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总体施工部署</w:t>
            </w:r>
            <w:r>
              <w:rPr>
                <w:rFonts w:hint="eastAsia" w:cs="宋体" w:asciiTheme="minorEastAsia" w:hAnsiTheme="minorEastAsia" w:eastAsiaTheme="minorEastAsia"/>
                <w:sz w:val="24"/>
              </w:rPr>
              <w:t xml:space="preserve">（3分）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投标人提供的方案，包含以下内容：（1）</w:t>
            </w:r>
            <w:r>
              <w:rPr>
                <w:rFonts w:cs="宋体" w:asciiTheme="minorEastAsia" w:hAnsiTheme="minorEastAsia" w:eastAsiaTheme="minorEastAsia"/>
                <w:sz w:val="24"/>
              </w:rPr>
              <w:t xml:space="preserve">施工目标</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施工顺序及流程</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资源配置计划</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方案内容中施工目标明确，能够</w:t>
            </w:r>
            <w:r>
              <w:rPr>
                <w:rFonts w:cs="宋体" w:asciiTheme="minorEastAsia" w:hAnsiTheme="minorEastAsia" w:eastAsiaTheme="minorEastAsia"/>
                <w:sz w:val="24"/>
              </w:rPr>
              <w:t xml:space="preserve">清晰阐述质量、进度、安全、环保等目标</w:t>
            </w:r>
            <w:r>
              <w:rPr>
                <w:rFonts w:hint="eastAsia" w:cs="宋体" w:asciiTheme="minorEastAsia" w:hAnsiTheme="minorEastAsia" w:eastAsiaTheme="minorEastAsia"/>
                <w:sz w:val="24"/>
              </w:rPr>
              <w:t xml:space="preserve">；施工顺序及流程</w:t>
            </w:r>
            <w:r>
              <w:rPr>
                <w:rFonts w:cs="宋体" w:asciiTheme="minorEastAsia" w:hAnsiTheme="minorEastAsia" w:eastAsiaTheme="minorEastAsia"/>
                <w:sz w:val="24"/>
              </w:rPr>
              <w:t xml:space="preserve">合理</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对设备安装与环境美化事项的先后顺序、交叉作业等安排科学合理，有详细流程图</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资源配置计划对人力、材料、机械设备等资源的投入计划详细、合理，满足项目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；方案要点齐全但内容不够详细合理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；方案要点不齐全且</w:t>
            </w:r>
            <w:r>
              <w:rPr>
                <w:rFonts w:cs="宋体" w:asciiTheme="minorEastAsia" w:hAnsiTheme="minorEastAsia" w:eastAsiaTheme="minorEastAsia"/>
                <w:sz w:val="24"/>
              </w:rPr>
              <w:t xml:space="preserve">不合理得</w:t>
            </w: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为提供方案不得分。</w:t>
            </w:r>
            <w:r/>
          </w:p>
        </w:tc>
      </w:tr>
      <w:tr>
        <w:trPr>
          <w:jc w:val="center"/>
          <w:trHeight w:val="30"/>
        </w:trPr>
        <w:tc>
          <w:tcPr>
            <w:tcW w:w="612" w:type="dxa"/>
            <w:vAlign w:val="center"/>
            <w:vMerge w:val="continue"/>
            <w:textDirection w:val="lrTb"/>
            <w:noWrap w:val="false"/>
          </w:tcPr>
          <w:p>
            <w:pPr>
              <w:jc w:val="left"/>
              <w:widowControl/>
              <w:rPr>
                <w:rFonts w:hint="eastAsia" w:asciiTheme="minorEastAsia" w:hAnsiTheme="minorEastAsia" w:eastAsiaTheme="minorEastAsia"/>
              </w:rPr>
            </w:pPr>
            <w:r>
              <w:rPr>
                <w:rFonts w:hint="eastAsia" w:asciiTheme="minorEastAsia" w:hAnsiTheme="minorEastAsia" w:eastAsiaTheme="minorEastAsia"/>
              </w:rPr>
            </w:r>
            <w:r/>
          </w:p>
        </w:tc>
        <w:tc>
          <w:tcPr>
            <w:tcW w:w="1728" w:type="dxa"/>
            <w:vAlign w:val="center"/>
            <w:vMerge w:val="continue"/>
            <w:textDirection w:val="lrTb"/>
            <w:noWrap w:val="false"/>
          </w:tcPr>
          <w:p>
            <w:pPr>
              <w:jc w:val="left"/>
              <w:widowControl/>
              <w:rPr>
                <w:rFonts w:hint="eastAsia" w:asciiTheme="minorEastAsia" w:hAnsiTheme="minorEastAsia" w:eastAsiaTheme="minorEastAsia"/>
              </w:rPr>
            </w:pPr>
            <w:r>
              <w:rPr>
                <w:rFonts w:hint="eastAsia" w:asciiTheme="minorEastAsia" w:hAnsiTheme="minorEastAsia" w:eastAsiaTheme="minorEastAsia"/>
              </w:rPr>
            </w:r>
            <w:r/>
          </w:p>
        </w:tc>
        <w:tc>
          <w:tcPr>
            <w:tcW w:w="828" w:type="dxa"/>
            <w:vAlign w:val="center"/>
            <w:vMerge w:val="continue"/>
            <w:textDirection w:val="lrTb"/>
            <w:noWrap w:val="false"/>
          </w:tcPr>
          <w:p>
            <w:pPr>
              <w:jc w:val="left"/>
              <w:widowControl/>
              <w:rPr>
                <w:rFonts w:hint="eastAsia" w:asciiTheme="minorEastAsia" w:hAnsiTheme="minorEastAsia" w:eastAsiaTheme="minorEastAsia"/>
              </w:rPr>
            </w:pPr>
            <w:r>
              <w:rPr>
                <w:rFonts w:hint="eastAsia" w:asciiTheme="minorEastAsia" w:hAnsiTheme="minorEastAsia" w:eastAsiaTheme="minorEastAsia"/>
              </w:rPr>
            </w:r>
            <w:r/>
          </w:p>
        </w:tc>
        <w:tc>
          <w:tcPr>
            <w:tcW w:w="6453" w:type="dxa"/>
            <w:vAlign w:val="center"/>
            <w:textDirection w:val="lrTb"/>
            <w:noWrap w:val="false"/>
          </w:tcPr>
          <w:p>
            <w:pP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施工进度计划（</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投标人提供的进度计划包含以下内容：（1）</w:t>
            </w:r>
            <w:r>
              <w:rPr>
                <w:rFonts w:cs="宋体" w:asciiTheme="minorEastAsia" w:hAnsiTheme="minorEastAsia" w:eastAsiaTheme="minorEastAsia"/>
                <w:sz w:val="24"/>
              </w:rPr>
              <w:t xml:space="preserve">进度计划合理性</w:t>
            </w:r>
            <w:r>
              <w:rPr>
                <w:rFonts w:hint="eastAsia" w:cs="宋体" w:asciiTheme="minorEastAsia" w:hAnsiTheme="minorEastAsia" w:eastAsiaTheme="minorEastAsia"/>
                <w:sz w:val="24"/>
              </w:rPr>
              <w:t xml:space="preserve">分析；（2）</w:t>
            </w:r>
            <w:r>
              <w:rPr>
                <w:rFonts w:cs="宋体" w:asciiTheme="minorEastAsia" w:hAnsiTheme="minorEastAsia" w:eastAsiaTheme="minorEastAsia"/>
                <w:sz w:val="24"/>
              </w:rPr>
              <w:t xml:space="preserve">进度保障措施</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施工</w:t>
            </w:r>
            <w:r>
              <w:rPr>
                <w:rFonts w:cs="宋体" w:asciiTheme="minorEastAsia" w:hAnsiTheme="minorEastAsia" w:eastAsiaTheme="minorEastAsia"/>
                <w:sz w:val="24"/>
              </w:rPr>
              <w:t xml:space="preserve">进度计划符合项目总工期要求，各阶段工期安排合理，有明确的里程碑节点</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制定有效的进度保障措施，如人员调配、材料供应、设备维护等</w:t>
            </w:r>
            <w:r>
              <w:rPr>
                <w:rFonts w:hint="eastAsia" w:cs="宋体" w:asciiTheme="minorEastAsia" w:hAnsiTheme="minorEastAsia" w:eastAsiaTheme="minorEastAsia"/>
                <w:sz w:val="24"/>
              </w:rPr>
              <w:t xml:space="preserve">；计划</w:t>
            </w:r>
            <w:r>
              <w:rPr>
                <w:rFonts w:cs="宋体" w:asciiTheme="minorEastAsia" w:hAnsiTheme="minorEastAsia" w:eastAsiaTheme="minorEastAsia"/>
                <w:sz w:val="24"/>
              </w:rPr>
              <w:t xml:space="preserve">措施</w:t>
            </w:r>
            <w:r>
              <w:rPr>
                <w:rFonts w:hint="eastAsia" w:cs="宋体" w:asciiTheme="minorEastAsia" w:hAnsiTheme="minorEastAsia" w:eastAsiaTheme="minorEastAsia"/>
                <w:sz w:val="24"/>
              </w:rPr>
              <w:t xml:space="preserve">内容详细、科学合理，</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；计划措施内容一般，</w:t>
            </w:r>
            <w:r>
              <w:rPr>
                <w:rFonts w:cs="宋体" w:asciiTheme="minorEastAsia" w:hAnsiTheme="minorEastAsia" w:eastAsiaTheme="minorEastAsia"/>
                <w:sz w:val="24"/>
              </w:rPr>
              <w:t xml:space="preserve">较</w:t>
            </w:r>
            <w:r>
              <w:rPr>
                <w:rFonts w:hint="eastAsia" w:cs="宋体" w:asciiTheme="minorEastAsia" w:hAnsiTheme="minorEastAsia" w:eastAsiaTheme="minorEastAsia"/>
                <w:sz w:val="24"/>
              </w:rPr>
              <w:t xml:space="preserve">科学合理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；计划措施内容差，不合理得1分。未提供方案不得分。</w:t>
            </w:r>
            <w:r/>
          </w:p>
        </w:tc>
      </w:tr>
      <w:tr>
        <w:trPr>
          <w:jc w:val="center"/>
          <w:trHeight w:val="30"/>
        </w:trPr>
        <w:tc>
          <w:tcPr>
            <w:tcW w:w="612"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1728"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828"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6453" w:type="dxa"/>
            <w:vAlign w:val="center"/>
            <w:textDirection w:val="lrTb"/>
            <w:noWrap w:val="false"/>
          </w:tcPr>
          <w:p>
            <w:pP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吊装系统安装方案（</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投标人提供的安装方案包含以下内容：（1）</w:t>
            </w:r>
            <w:r>
              <w:rPr>
                <w:rFonts w:cs="宋体" w:asciiTheme="minorEastAsia" w:hAnsiTheme="minorEastAsia" w:eastAsiaTheme="minorEastAsia"/>
                <w:sz w:val="24"/>
              </w:rPr>
              <w:t xml:space="preserve">吊装系统安装设计</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安装工艺及技术措施</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系统调试与检测</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吊装系统安装设计合理、布局清晰，吊装系统设计符合学校教学需求</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根据吊装系统与原建筑主体的固定连接件承载情况，针对吊装系统的特点，如布管、布线、升降系统定位等，阐述详细的安装工艺、技术标准</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吊装系统调试与检测方案涵盖了电路测试、产品使用等所有关键方面，且每个方面都有具体的步骤和方法</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方案</w:t>
            </w:r>
            <w:r>
              <w:rPr>
                <w:rFonts w:hint="eastAsia" w:cs="宋体" w:asciiTheme="minorEastAsia" w:hAnsiTheme="minorEastAsia" w:eastAsiaTheme="minorEastAsia"/>
                <w:sz w:val="24"/>
              </w:rPr>
              <w:t xml:space="preserve">设计科学合理、内容详细全面，</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方案</w:t>
            </w:r>
            <w:r>
              <w:rPr>
                <w:rFonts w:hint="eastAsia" w:cs="宋体" w:asciiTheme="minorEastAsia" w:hAnsiTheme="minorEastAsia" w:eastAsiaTheme="minorEastAsia"/>
                <w:sz w:val="24"/>
              </w:rPr>
              <w:t xml:space="preserve">设计较为合理，要点齐全但内容不够详细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；方案设计差，要点不齐全，内容关键点缺失得1分；未提供方案不得分</w:t>
            </w:r>
            <w:r>
              <w:rPr>
                <w:rFonts w:cs="宋体" w:asciiTheme="minorEastAsia" w:hAnsiTheme="minorEastAsia" w:eastAsiaTheme="minorEastAsia"/>
                <w:sz w:val="24"/>
              </w:rPr>
              <w:t xml:space="preserve">。</w:t>
            </w:r>
            <w:r/>
          </w:p>
        </w:tc>
      </w:tr>
      <w:tr>
        <w:trPr>
          <w:jc w:val="center"/>
          <w:trHeight w:val="30"/>
        </w:trPr>
        <w:tc>
          <w:tcPr>
            <w:tcW w:w="612"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1728"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828"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6453" w:type="dxa"/>
            <w:vAlign w:val="center"/>
            <w:textDirection w:val="lrTb"/>
            <w:noWrap w:val="false"/>
          </w:tcPr>
          <w:p>
            <w:pP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rPr>
                <w:rFonts w:cs="宋体" w:asciiTheme="minorEastAsia" w:hAnsiTheme="minorEastAsia" w:eastAsiaTheme="minorEastAsia"/>
                <w:sz w:val="24"/>
              </w:rPr>
              <w:t xml:space="preserve">教师演示设备、学生实验设备安装方案（</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投标人提供的安装方案包含以下内容：（1）</w:t>
            </w:r>
            <w:r>
              <w:rPr>
                <w:rFonts w:cs="宋体" w:asciiTheme="minorEastAsia" w:hAnsiTheme="minorEastAsia" w:eastAsiaTheme="minorEastAsia"/>
                <w:sz w:val="24"/>
              </w:rPr>
              <w:t xml:space="preserve">安装工艺及精度控制</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与通风系统及水电衔接</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稳定性与安全性</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安装方案针</w:t>
            </w:r>
            <w:r>
              <w:rPr>
                <w:rFonts w:cs="宋体" w:asciiTheme="minorEastAsia" w:hAnsiTheme="minorEastAsia" w:eastAsiaTheme="minorEastAsia"/>
                <w:sz w:val="24"/>
              </w:rPr>
              <w:t xml:space="preserve">对教师演示设备、学生实验设备的安装工</w:t>
            </w:r>
            <w:r>
              <w:rPr>
                <w:rFonts w:cs="宋体" w:asciiTheme="minorEastAsia" w:hAnsiTheme="minorEastAsia" w:eastAsiaTheme="minorEastAsia"/>
                <w:sz w:val="24"/>
              </w:rPr>
              <w:t xml:space="preserve">艺，如框架组装、台面安装、配件固定等，有详细说明，且对安装精度控制有明确措施，如水平度、垂直度控制，工艺合理、精度控制措施</w:t>
            </w:r>
            <w:r>
              <w:rPr>
                <w:rFonts w:hint="eastAsia" w:cs="宋体" w:asciiTheme="minorEastAsia" w:hAnsiTheme="minorEastAsia" w:eastAsiaTheme="minorEastAsia"/>
                <w:sz w:val="24"/>
              </w:rPr>
              <w:t xml:space="preserve">；详细</w:t>
            </w:r>
            <w:r>
              <w:rPr>
                <w:rFonts w:cs="宋体" w:asciiTheme="minorEastAsia" w:hAnsiTheme="minorEastAsia" w:eastAsiaTheme="minorEastAsia"/>
                <w:sz w:val="24"/>
              </w:rPr>
              <w:t xml:space="preserve">说明教师演示设备、学生实验设备与通风系统以及水电线路的衔接方式，确保接口匹配、位置准确，衔接方案</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阐述保证教师演示设备、学生实验设备稳定性和安全性的措施，如防倾倒设计、边角处理等</w:t>
            </w:r>
            <w:r>
              <w:rPr>
                <w:rFonts w:hint="eastAsia" w:cs="宋体" w:asciiTheme="minorEastAsia" w:hAnsiTheme="minorEastAsia" w:eastAsiaTheme="minorEastAsia"/>
                <w:sz w:val="24"/>
              </w:rPr>
              <w:t xml:space="preserve">。方案</w:t>
            </w:r>
            <w:r>
              <w:rPr>
                <w:rFonts w:cs="宋体" w:asciiTheme="minorEastAsia" w:hAnsiTheme="minorEastAsia" w:eastAsiaTheme="minorEastAsia"/>
                <w:sz w:val="24"/>
              </w:rPr>
              <w:t xml:space="preserve">措施</w:t>
            </w:r>
            <w:r>
              <w:rPr>
                <w:rFonts w:hint="eastAsia" w:cs="宋体" w:asciiTheme="minorEastAsia" w:hAnsiTheme="minorEastAsia" w:eastAsiaTheme="minorEastAsia"/>
                <w:sz w:val="24"/>
              </w:rPr>
              <w:t xml:space="preserve">科学合理、</w:t>
            </w:r>
            <w:r>
              <w:rPr>
                <w:rFonts w:cs="宋体" w:asciiTheme="minorEastAsia" w:hAnsiTheme="minorEastAsia" w:eastAsiaTheme="minorEastAsia"/>
                <w:sz w:val="24"/>
              </w:rPr>
              <w:t xml:space="preserve">完善</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，方案措施较合理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方案措施不合理，内容不完善得1分</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未提供方案不得分。</w:t>
            </w:r>
            <w:r/>
          </w:p>
        </w:tc>
      </w:tr>
      <w:tr>
        <w:trPr>
          <w:jc w:val="center"/>
          <w:trHeight w:val="30"/>
        </w:trPr>
        <w:tc>
          <w:tcPr>
            <w:tcW w:w="612"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1728"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828"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6453" w:type="dxa"/>
            <w:vAlign w:val="center"/>
            <w:textDirection w:val="lrTb"/>
            <w:noWrap w:val="false"/>
          </w:tcPr>
          <w:p>
            <w:pP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照明系统安装方案（</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投标人提供的安装方案包含以下内容：（1）</w:t>
            </w:r>
            <w:r>
              <w:rPr>
                <w:rFonts w:cs="宋体" w:asciiTheme="minorEastAsia" w:hAnsiTheme="minorEastAsia" w:eastAsiaTheme="minorEastAsia"/>
                <w:sz w:val="24"/>
              </w:rPr>
              <w:t xml:space="preserve">提供每间实验室由DIALux或类似设计工具仿真设计的完整报表，报表中的教室尺寸等信息由甲方提供，报表中的灯具参数必须和投标人提供的灯具检测报告上的参数一致。计算结果数据达到以下指标，维护系数取值1.0，全部灯具点亮时，课桌面平均照度≥375lx、均匀度≥0.7，板书面平均照度≥625lx、均匀度≥0.8，统一眩光值UGR&lt;19。</w:t>
            </w:r>
            <w:r/>
          </w:p>
          <w:p>
            <w:pPr>
              <w:numPr>
                <w:ilvl w:val="0"/>
                <w:numId w:val="3"/>
              </w:numPr>
              <w:jc w:val="left"/>
              <w:widowControl/>
              <w:rPr>
                <w:rFonts w:hint="eastAsia" w:cs="宋体" w:asciiTheme="minorEastAsia" w:hAnsiTheme="minorEastAsia" w:eastAsiaTheme="minorEastAsia"/>
                <w:sz w:val="24"/>
              </w:rPr>
            </w:pPr>
            <w:r>
              <w:rPr>
                <w:rFonts w:cs="宋体" w:asciiTheme="minorEastAsia" w:hAnsiTheme="minorEastAsia" w:eastAsiaTheme="minorEastAsia"/>
                <w:sz w:val="24"/>
              </w:rPr>
              <w:t xml:space="preserve">施工流程</w:t>
            </w:r>
            <w:r>
              <w:rPr>
                <w:rFonts w:hint="eastAsia" w:cs="宋体" w:asciiTheme="minorEastAsia" w:hAnsiTheme="minorEastAsia" w:eastAsiaTheme="minorEastAsia"/>
                <w:sz w:val="24"/>
              </w:rPr>
              <w:t xml:space="preserve">及</w:t>
            </w:r>
            <w:r>
              <w:rPr>
                <w:rFonts w:cs="宋体" w:asciiTheme="minorEastAsia" w:hAnsiTheme="minorEastAsia" w:eastAsiaTheme="minorEastAsia"/>
                <w:sz w:val="24"/>
              </w:rPr>
              <w:t xml:space="preserve">安全措施：系统安装所需材料、工具及安装的顺序，确保系统安装的精准和安全，制定安装过程的安全措施方案，包括施工区域管理、警示、保护措施、操作流程等内容</w:t>
            </w:r>
            <w:r>
              <w:rPr>
                <w:rFonts w:hint="eastAsia" w:cs="宋体" w:asciiTheme="minorEastAsia" w:hAnsiTheme="minorEastAsia" w:eastAsiaTheme="minorEastAsia"/>
                <w:sz w:val="24"/>
              </w:rPr>
              <w:t xml:space="preserve">。</w:t>
            </w:r>
            <w:r/>
          </w:p>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投标人提供的照明系统安装方案包含上述内容且措施</w:t>
            </w:r>
            <w:r>
              <w:rPr>
                <w:rFonts w:cs="宋体" w:asciiTheme="minorEastAsia" w:hAnsiTheme="minorEastAsia" w:eastAsiaTheme="minorEastAsia"/>
                <w:sz w:val="24"/>
              </w:rPr>
              <w:t xml:space="preserve">阐述明确、清晰</w:t>
            </w:r>
            <w:r>
              <w:rPr>
                <w:rFonts w:hint="eastAsia" w:cs="宋体" w:asciiTheme="minorEastAsia" w:hAnsiTheme="minorEastAsia" w:eastAsiaTheme="minorEastAsia"/>
                <w:sz w:val="24"/>
              </w:rPr>
              <w:t xml:space="preserve">，内容详细、科学合理，</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   分</w:t>
            </w:r>
            <w:r>
              <w:rPr>
                <w:rFonts w:hint="eastAsia" w:cs="宋体" w:asciiTheme="minorEastAsia" w:hAnsiTheme="minorEastAsia" w:eastAsiaTheme="minorEastAsia"/>
                <w:sz w:val="24"/>
              </w:rPr>
              <w:t xml:space="preserve">，措施</w:t>
            </w:r>
            <w:r>
              <w:rPr>
                <w:rFonts w:cs="宋体" w:asciiTheme="minorEastAsia" w:hAnsiTheme="minorEastAsia" w:eastAsiaTheme="minorEastAsia"/>
                <w:sz w:val="24"/>
              </w:rPr>
              <w:t xml:space="preserve">较为明确、清晰</w:t>
            </w:r>
            <w:r>
              <w:rPr>
                <w:rFonts w:hint="eastAsia" w:cs="宋体" w:asciiTheme="minorEastAsia" w:hAnsiTheme="minorEastAsia" w:eastAsiaTheme="minorEastAsia"/>
                <w:sz w:val="24"/>
              </w:rPr>
              <w:t xml:space="preserve">，内容</w:t>
            </w:r>
            <w:r>
              <w:rPr>
                <w:rFonts w:cs="宋体" w:asciiTheme="minorEastAsia" w:hAnsiTheme="minorEastAsia" w:eastAsiaTheme="minorEastAsia"/>
                <w:sz w:val="24"/>
              </w:rPr>
              <w:t xml:space="preserve">较完善得</w:t>
            </w: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措施方案差或未提供不得分。</w:t>
            </w:r>
            <w:r/>
          </w:p>
        </w:tc>
      </w:tr>
      <w:tr>
        <w:trPr>
          <w:jc w:val="center"/>
          <w:trHeight w:val="30"/>
        </w:trPr>
        <w:tc>
          <w:tcPr>
            <w:tcW w:w="612"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1728"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828"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6453" w:type="dxa"/>
            <w:vAlign w:val="center"/>
            <w:textDirection w:val="lrTb"/>
            <w:noWrap w:val="false"/>
          </w:tcPr>
          <w:p>
            <w:pPr>
              <w:numPr>
                <w:ilvl w:val="0"/>
                <w:numId w:val="4"/>
              </w:num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录播系统安装方案（2分）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投标人提供的安装方案包含以下内容：（1）施工安装工艺；（2）系统及设备的调试方案。</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安装方案阐述明确，条理清晰，科学合理，</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w:t>
            </w:r>
            <w:r>
              <w:rPr>
                <w:rFonts w:hint="eastAsia" w:cs="宋体" w:asciiTheme="minorEastAsia" w:hAnsiTheme="minorEastAsia" w:eastAsiaTheme="minorEastAsia"/>
                <w:sz w:val="24"/>
              </w:rPr>
              <w:t xml:space="preserve">得2分；方案内容整体可行，较为合理得1分；方案内容差，不合理或未提供不得分。</w:t>
            </w:r>
            <w:r/>
          </w:p>
        </w:tc>
      </w:tr>
      <w:tr>
        <w:trPr>
          <w:jc w:val="center"/>
          <w:trHeight w:val="30"/>
        </w:trPr>
        <w:tc>
          <w:tcPr>
            <w:tcW w:w="612"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1728"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828"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6453" w:type="dxa"/>
            <w:vAlign w:val="center"/>
            <w:textDirection w:val="lrTb"/>
            <w:noWrap w:val="false"/>
          </w:tcPr>
          <w:p>
            <w:pP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w:t>
            </w:r>
            <w:r>
              <w:rPr>
                <w:rFonts w:cs="宋体" w:asciiTheme="minorEastAsia" w:hAnsiTheme="minorEastAsia" w:eastAsiaTheme="minorEastAsia"/>
                <w:sz w:val="24"/>
              </w:rPr>
              <w:t xml:space="preserve">实验室环境美化方案（</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投标人提供的美化方案包含以下内容：（1）</w:t>
            </w:r>
            <w:r>
              <w:rPr>
                <w:rFonts w:cs="宋体" w:asciiTheme="minorEastAsia" w:hAnsiTheme="minorEastAsia" w:eastAsiaTheme="minorEastAsia"/>
                <w:sz w:val="24"/>
              </w:rPr>
              <w:t xml:space="preserve">装修工艺及质量控制</w:t>
            </w:r>
            <w:r>
              <w:rPr>
                <w:rFonts w:hint="eastAsia" w:cs="宋体" w:asciiTheme="minorEastAsia" w:hAnsiTheme="minorEastAsia" w:eastAsiaTheme="minorEastAsia"/>
                <w:sz w:val="24"/>
              </w:rPr>
              <w:t xml:space="preserve">，（2）材料选用，（3）</w:t>
            </w:r>
            <w:r>
              <w:rPr>
                <w:rFonts w:cs="宋体" w:asciiTheme="minorEastAsia" w:hAnsiTheme="minorEastAsia" w:eastAsiaTheme="minorEastAsia"/>
                <w:sz w:val="24"/>
              </w:rPr>
              <w:t xml:space="preserve">成品保护措施</w:t>
            </w:r>
            <w:r>
              <w:rPr>
                <w:rFonts w:hint="eastAsia" w:cs="宋体" w:asciiTheme="minorEastAsia" w:hAnsiTheme="minorEastAsia" w:eastAsiaTheme="minorEastAsia"/>
                <w:sz w:val="24"/>
              </w:rPr>
              <w:t xml:space="preserve">。</w:t>
            </w:r>
            <w:r/>
          </w:p>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方案内容针</w:t>
            </w:r>
            <w:r>
              <w:rPr>
                <w:rFonts w:cs="宋体" w:asciiTheme="minorEastAsia" w:hAnsiTheme="minorEastAsia" w:eastAsiaTheme="minorEastAsia"/>
                <w:sz w:val="24"/>
              </w:rPr>
              <w:t xml:space="preserve">对墙面、地面、天花板等装修部位的施工工艺、质量标准</w:t>
            </w:r>
            <w:r>
              <w:rPr>
                <w:rFonts w:hint="eastAsia" w:cs="宋体" w:asciiTheme="minorEastAsia" w:hAnsiTheme="minorEastAsia" w:eastAsiaTheme="minorEastAsia"/>
                <w:sz w:val="24"/>
              </w:rPr>
              <w:t xml:space="preserve">；材料选用符合项目要求，环保、耐用，提供清单及品牌、规格说明；</w:t>
            </w:r>
            <w:r>
              <w:rPr>
                <w:rFonts w:cs="宋体" w:asciiTheme="minorEastAsia" w:hAnsiTheme="minorEastAsia" w:eastAsiaTheme="minorEastAsia"/>
                <w:sz w:val="24"/>
              </w:rPr>
              <w:t xml:space="preserve">制定完善的装修成品保护措施</w:t>
            </w:r>
            <w:r>
              <w:rPr>
                <w:rFonts w:hint="eastAsia" w:cs="宋体" w:asciiTheme="minorEastAsia" w:hAnsiTheme="minorEastAsia" w:eastAsiaTheme="minorEastAsia"/>
                <w:sz w:val="24"/>
              </w:rPr>
              <w:t xml:space="preserve">。方案内容</w:t>
            </w:r>
            <w:r>
              <w:rPr>
                <w:rFonts w:cs="宋体" w:asciiTheme="minorEastAsia" w:hAnsiTheme="minorEastAsia" w:eastAsiaTheme="minorEastAsia"/>
                <w:sz w:val="24"/>
              </w:rPr>
              <w:t xml:space="preserve">详细，工艺</w:t>
            </w:r>
            <w:r>
              <w:rPr>
                <w:rFonts w:hint="eastAsia" w:cs="宋体" w:asciiTheme="minorEastAsia" w:hAnsiTheme="minorEastAsia" w:eastAsiaTheme="minorEastAsia"/>
                <w:sz w:val="24"/>
              </w:rPr>
              <w:t xml:space="preserve">材料</w:t>
            </w:r>
            <w:r>
              <w:rPr>
                <w:rFonts w:cs="宋体" w:asciiTheme="minorEastAsia" w:hAnsiTheme="minorEastAsia" w:eastAsiaTheme="minorEastAsia"/>
                <w:sz w:val="24"/>
              </w:rPr>
              <w:t xml:space="preserve">合理、质量控制措施</w:t>
            </w:r>
            <w:r>
              <w:rPr>
                <w:rFonts w:hint="eastAsia" w:cs="宋体" w:asciiTheme="minorEastAsia" w:hAnsiTheme="minorEastAsia" w:eastAsiaTheme="minorEastAsia"/>
                <w:sz w:val="24"/>
              </w:rPr>
              <w:t xml:space="preserve">科学，</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需求得</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方案内容全面但不够详细</w:t>
            </w:r>
            <w:r>
              <w:rPr>
                <w:rFonts w:cs="宋体" w:asciiTheme="minorEastAsia" w:hAnsiTheme="minorEastAsia" w:eastAsiaTheme="minorEastAsia"/>
                <w:sz w:val="24"/>
              </w:rPr>
              <w:t xml:space="preserve">得</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分，</w:t>
            </w:r>
            <w:r>
              <w:rPr>
                <w:rFonts w:hint="eastAsia" w:cs="宋体" w:asciiTheme="minorEastAsia" w:hAnsiTheme="minorEastAsia" w:eastAsiaTheme="minorEastAsia"/>
                <w:sz w:val="24"/>
              </w:rPr>
              <w:t xml:space="preserve">方案内容不齐全，不合理得1分</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未提供方案不得分。</w:t>
            </w:r>
            <w:r/>
          </w:p>
        </w:tc>
      </w:tr>
      <w:tr>
        <w:trPr>
          <w:jc w:val="center"/>
          <w:trHeight w:val="30"/>
        </w:trPr>
        <w:tc>
          <w:tcPr>
            <w:tcW w:w="612"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1728"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828" w:type="dxa"/>
            <w:vAlign w:val="center"/>
            <w:vMerge w:val="continue"/>
            <w:textDirection w:val="lrTb"/>
            <w:noWrap w:val="false"/>
          </w:tcPr>
          <w:p>
            <w:pPr>
              <w:jc w:val="left"/>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tc>
        <w:tc>
          <w:tcPr>
            <w:tcW w:w="6453"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w:t>
            </w:r>
            <w:r>
              <w:rPr>
                <w:rFonts w:cs="宋体" w:asciiTheme="minorEastAsia" w:hAnsiTheme="minorEastAsia" w:eastAsiaTheme="minorEastAsia"/>
                <w:sz w:val="24"/>
              </w:rPr>
              <w:t xml:space="preserve">隐蔽工程方案（</w:t>
            </w:r>
            <w:r>
              <w:rPr>
                <w:rFonts w:hint="eastAsia" w:cs="宋体" w:asciiTheme="minorEastAsia" w:hAnsiTheme="minorEastAsia" w:eastAsiaTheme="minorEastAsia"/>
                <w:sz w:val="24"/>
              </w:rPr>
              <w:t xml:space="preserve">3</w:t>
            </w:r>
            <w:r>
              <w:rPr>
                <w:rFonts w:cs="宋体" w:asciiTheme="minorEastAsia" w:hAnsiTheme="minorEastAsia" w:eastAsiaTheme="minorEastAsia"/>
                <w:sz w:val="24"/>
              </w:rPr>
              <w:t xml:space="preserve">分）</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投标人提供的方案包含以下内容：（1）</w:t>
            </w:r>
            <w:r>
              <w:rPr>
                <w:rFonts w:cs="宋体" w:asciiTheme="minorEastAsia" w:hAnsiTheme="minorEastAsia" w:eastAsiaTheme="minorEastAsia"/>
                <w:sz w:val="24"/>
              </w:rPr>
              <w:t xml:space="preserve">隐蔽工程范围及内容</w:t>
            </w:r>
            <w:r>
              <w:rPr>
                <w:rFonts w:hint="eastAsia" w:cs="宋体" w:asciiTheme="minorEastAsia" w:hAnsiTheme="minorEastAsia" w:eastAsiaTheme="minorEastAsia"/>
                <w:sz w:val="24"/>
              </w:rPr>
              <w:t xml:space="preserve">，（2）</w:t>
            </w:r>
            <w:r>
              <w:rPr>
                <w:rFonts w:cs="宋体" w:asciiTheme="minorEastAsia" w:hAnsiTheme="minorEastAsia" w:eastAsiaTheme="minorEastAsia"/>
                <w:sz w:val="24"/>
              </w:rPr>
              <w:t xml:space="preserve">施工工艺及质量控制</w:t>
            </w:r>
            <w:r>
              <w:rPr>
                <w:rFonts w:hint="eastAsia" w:cs="宋体" w:asciiTheme="minorEastAsia" w:hAnsiTheme="minorEastAsia" w:eastAsiaTheme="minorEastAsia"/>
                <w:sz w:val="24"/>
              </w:rPr>
              <w:t xml:space="preserve">，（3）隐蔽工程</w:t>
            </w:r>
            <w:r>
              <w:rPr>
                <w:rFonts w:cs="宋体" w:asciiTheme="minorEastAsia" w:hAnsiTheme="minorEastAsia" w:eastAsiaTheme="minorEastAsia"/>
                <w:sz w:val="24"/>
              </w:rPr>
              <w:t xml:space="preserve">验收程序及记录</w:t>
            </w:r>
            <w:r>
              <w:rPr>
                <w:rFonts w:hint="eastAsia" w:cs="宋体" w:asciiTheme="minorEastAsia" w:hAnsiTheme="minorEastAsia" w:eastAsiaTheme="minorEastAsia"/>
                <w:sz w:val="24"/>
              </w:rPr>
              <w:t xml:space="preserve">。</w:t>
            </w:r>
            <w:r/>
          </w:p>
          <w:p>
            <w:pPr>
              <w:ind w:firstLine="48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方案</w:t>
            </w:r>
            <w:r>
              <w:rPr>
                <w:rFonts w:cs="宋体" w:asciiTheme="minorEastAsia" w:hAnsiTheme="minorEastAsia" w:eastAsiaTheme="minorEastAsia"/>
                <w:sz w:val="24"/>
              </w:rPr>
              <w:t xml:space="preserve">明确列出项目中涉及的隐蔽工程，如电气线路铺设、管道预埋等</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针对各项隐蔽工程，阐述详细的施工工艺和质量控制要点，如电气线路的接地、管道的密封性等</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制定完善的隐蔽工程验收程序，包括自检、专检、联合验收等，并有详细的验收记录要求</w:t>
            </w:r>
            <w:r>
              <w:rPr>
                <w:rFonts w:hint="eastAsia" w:cs="宋体" w:asciiTheme="minorEastAsia" w:hAnsiTheme="minorEastAsia" w:eastAsiaTheme="minorEastAsia"/>
                <w:sz w:val="24"/>
              </w:rPr>
              <w:t xml:space="preserve">。方案内容全面、工艺及验收程序科学合理，</w:t>
            </w:r>
            <w:r>
              <w:rPr>
                <w:rFonts w:cs="宋体" w:asciiTheme="minorEastAsia" w:hAnsiTheme="minorEastAsia" w:eastAsiaTheme="minorEastAsia"/>
                <w:sz w:val="24"/>
              </w:rPr>
              <w:t xml:space="preserve">满足项目</w:t>
            </w:r>
            <w:r>
              <w:rPr>
                <w:rFonts w:hint="eastAsia" w:cs="宋体" w:asciiTheme="minorEastAsia" w:hAnsiTheme="minorEastAsia" w:eastAsiaTheme="minorEastAsia"/>
                <w:sz w:val="24"/>
              </w:rPr>
              <w:t xml:space="preserve">实际</w:t>
            </w:r>
            <w:r>
              <w:rPr>
                <w:rFonts w:cs="宋体" w:asciiTheme="minorEastAsia" w:hAnsiTheme="minorEastAsia" w:eastAsiaTheme="minorEastAsia"/>
                <w:sz w:val="24"/>
              </w:rPr>
              <w:t xml:space="preserve">需求</w:t>
            </w:r>
            <w:r>
              <w:rPr>
                <w:rFonts w:hint="eastAsia" w:cs="宋体" w:asciiTheme="minorEastAsia" w:hAnsiTheme="minorEastAsia" w:eastAsiaTheme="minorEastAsia"/>
                <w:sz w:val="24"/>
              </w:rPr>
              <w:t xml:space="preserve">得3分，方案内容较为完整，工艺及验收程序具有一定的操作性得2分，方案内容不齐全，工艺及验收程序不合理得1分。未提供方案不得分。</w:t>
            </w:r>
            <w:r/>
          </w:p>
        </w:tc>
      </w:tr>
      <w:tr>
        <w:trPr>
          <w:jc w:val="center"/>
          <w:trHeight w:val="132"/>
        </w:trPr>
        <w:tc>
          <w:tcPr>
            <w:tcW w:w="612"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1728" w:type="dxa"/>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售后服务方案</w:t>
            </w:r>
            <w:r/>
          </w:p>
        </w:tc>
        <w:tc>
          <w:tcPr>
            <w:tcW w:w="828" w:type="dxa"/>
            <w:vAlign w:val="center"/>
            <w:textDirection w:val="lrTb"/>
            <w:noWrap w:val="false"/>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5分</w:t>
            </w:r>
            <w:r/>
          </w:p>
        </w:tc>
        <w:tc>
          <w:tcPr>
            <w:tcW w:w="6453" w:type="dxa"/>
            <w:vAlign w:val="center"/>
            <w:textDirection w:val="lrTb"/>
            <w:noWrap w:val="false"/>
          </w:tcPr>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lang w:val="zh-CN"/>
              </w:rPr>
              <w:t xml:space="preserve">评委根据投标人提供的售后服务方案（如服务体系、服务内容、故障解决方案、故障响应</w:t>
            </w:r>
            <w:r>
              <w:rPr>
                <w:rFonts w:hint="eastAsia" w:cs="宋体" w:asciiTheme="minorEastAsia" w:hAnsiTheme="minorEastAsia" w:eastAsiaTheme="minorEastAsia"/>
                <w:sz w:val="24"/>
              </w:rPr>
              <w:t xml:space="preserve">时间</w:t>
            </w:r>
            <w:r>
              <w:rPr>
                <w:rFonts w:hint="eastAsia" w:cs="宋体" w:asciiTheme="minorEastAsia" w:hAnsiTheme="minorEastAsia" w:eastAsiaTheme="minorEastAsia"/>
                <w:sz w:val="24"/>
                <w:lang w:val="zh-CN"/>
              </w:rPr>
              <w:t xml:space="preserve">、专业技术人员保障、培训等）综合评分： （1）服务体系健全，服务内容满足采购人实际需求，解决方案切实有效，故障响应迅速，技术人员专业性强的得</w:t>
            </w: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分； （2）服务体系较健全，服务内容较能满足采购人实际需求，解决方案比较合理有效，故障响应较快，技术人员专业性较强的得</w:t>
            </w: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lang w:val="zh-CN"/>
              </w:rPr>
              <w:t xml:space="preserve">分； （3）服务体系基本健全，服务内容基本满足采购人实际需求，解决方案基本合理有效，故障响应、技术人员专业性基本满足要求，得2分； （4）未提供方案不得分。</w:t>
            </w:r>
            <w:r/>
          </w:p>
        </w:tc>
      </w:tr>
    </w:tbl>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优惠政策性审查内容如下：</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（1）节能产品、环境标志产品的优惠政策性审查。</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投标人所投产品属于</w:t>
      </w:r>
      <w:bookmarkStart w:id="248" w:name="_Hlk134197321"/>
      <w:r>
        <w:rPr>
          <w:rFonts w:hint="eastAsia" w:cs="宋体" w:asciiTheme="minorEastAsia" w:hAnsiTheme="minorEastAsia" w:eastAsiaTheme="minorEastAsia"/>
          <w:sz w:val="24"/>
        </w:rPr>
        <w:t xml:space="preserve">节能产品、环境标志产品</w:t>
      </w:r>
      <w:bookmarkEnd w:id="248"/>
      <w:r>
        <w:rPr>
          <w:rFonts w:hint="eastAsia" w:cs="宋体" w:asciiTheme="minorEastAsia" w:hAnsiTheme="minorEastAsia" w:eastAsiaTheme="minorEastAsia"/>
          <w:sz w:val="24"/>
        </w:rPr>
        <w:t xml:space="preserve">政府采购品目清单范围中非强制性采购品目的，对其节能产品、环境标志产品报价进行</w:t>
      </w:r>
      <w:r>
        <w:rPr>
          <w:rFonts w:hint="eastAsia" w:cs="宋体" w:asciiTheme="minorEastAsia" w:hAnsiTheme="minorEastAsia" w:eastAsiaTheme="minorEastAsia"/>
          <w:sz w:val="24"/>
          <w:u w:val="single"/>
        </w:rPr>
        <w:t xml:space="preserve">3％</w:t>
      </w:r>
      <w:r>
        <w:rPr>
          <w:rFonts w:hint="eastAsia" w:cs="宋体" w:asciiTheme="minorEastAsia" w:hAnsiTheme="minorEastAsia" w:eastAsiaTheme="minorEastAsia"/>
          <w:sz w:val="24"/>
        </w:rPr>
        <w:t xml:space="preserve">的调减。</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（2）中小企业的优惠政策性审查。</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cs="宋体" w:asciiTheme="minorEastAsia" w:hAnsiTheme="minorEastAsia" w:eastAsiaTheme="minorEastAsia"/>
          <w:i/>
          <w:iCs/>
          <w:sz w:val="24"/>
          <w:u w:val="single"/>
        </w:rPr>
        <w:t xml:space="preserve">10%—20%</w:t>
      </w:r>
      <w:r>
        <w:rPr>
          <w:rFonts w:hint="eastAsia" w:cs="宋体" w:asciiTheme="minorEastAsia" w:hAnsiTheme="minorEastAsia" w:eastAsiaTheme="minorEastAsia"/>
          <w:sz w:val="24"/>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w:t>
      </w:r>
      <w:r>
        <w:rPr>
          <w:rFonts w:hint="eastAsia" w:cs="宋体" w:asciiTheme="minorEastAsia" w:hAnsiTheme="minorEastAsia" w:eastAsiaTheme="minorEastAsia"/>
          <w:sz w:val="24"/>
        </w:rPr>
        <w:t xml:space="preserve">额占到合同总金额30%以上的，给予联合体4%（</w:t>
      </w:r>
      <w:r>
        <w:rPr>
          <w:rFonts w:hint="eastAsia" w:cs="宋体" w:asciiTheme="minorEastAsia" w:hAnsiTheme="minorEastAsia" w:eastAsiaTheme="minorEastAsia"/>
          <w:i/>
          <w:iCs/>
          <w:sz w:val="24"/>
          <w:u w:val="single"/>
        </w:rPr>
        <w:t xml:space="preserve">4%—6%</w:t>
      </w:r>
      <w:r>
        <w:rPr>
          <w:rFonts w:hint="eastAsia" w:cs="宋体" w:asciiTheme="minorEastAsia" w:hAnsiTheme="minorEastAsia" w:eastAsiaTheme="minorEastAsia"/>
          <w:sz w:val="24"/>
        </w:rPr>
        <w:t xml:space="preserve">）的价格调减。联合体各方均为小型、微型企业的，联合体视同为小型、微型企业享受10%（</w:t>
      </w:r>
      <w:r>
        <w:rPr>
          <w:rFonts w:hint="eastAsia" w:cs="宋体" w:asciiTheme="minorEastAsia" w:hAnsiTheme="minorEastAsia" w:eastAsiaTheme="minorEastAsia"/>
          <w:i/>
          <w:iCs/>
          <w:sz w:val="24"/>
          <w:u w:val="single"/>
        </w:rPr>
        <w:t xml:space="preserve">10%—20%</w:t>
      </w:r>
      <w:r>
        <w:rPr>
          <w:rFonts w:hint="eastAsia" w:cs="宋体" w:asciiTheme="minorEastAsia" w:hAnsiTheme="minorEastAsia" w:eastAsiaTheme="minorEastAsia"/>
          <w:sz w:val="24"/>
        </w:rPr>
        <w:t xml:space="preserve">）的价格调减，用调减后的价格计算评审价格。（本项目不涉及）</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44"/>
        <w:spacing w:before="200" w:after="200" w:line="360" w:lineRule="auto"/>
        <w:rPr>
          <w:rFonts w:hint="eastAsia"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9.相同品牌产品的处理原则</w:t>
      </w:r>
      <w:r/>
    </w:p>
    <w:p>
      <w:pPr>
        <w:ind w:firstLine="473"/>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9.2使用综合评分法的采购项目，核心产品提供相同品牌产品且通过资格审查、符合性审查的不同投标人参加同一合同项下投标的，按一家投标</w:t>
      </w:r>
      <w:r>
        <w:rPr>
          <w:rFonts w:hint="eastAsia" w:cs="宋体" w:asciiTheme="minorEastAsia" w:hAnsiTheme="minorEastAsia" w:eastAsiaTheme="minorEastAsia"/>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hint="eastAsia"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10.允许修改评标结果的情形</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10.1评标结果汇总完成后，除下列情形外，任何人不得修改评标结果：</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（1）分值汇总计算错误的；</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（2）分项评分超出评分标准范围的；</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（3）评标委员会成员对客观评审因素评分不一致的；</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（4）经评标委员会认定评分畸高、畸低的。</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9" w:name="_Toc98669361"/>
      <w:r/>
      <w:bookmarkStart w:id="250" w:name="_Toc100386064"/>
      <w:r/>
      <w:bookmarkStart w:id="251" w:name="_Toc20732998"/>
      <w:r/>
      <w:bookmarkStart w:id="252" w:name="_Toc98669719"/>
      <w:r/>
      <w:bookmarkStart w:id="253" w:name="_Toc92168030"/>
      <w:r/>
      <w:bookmarkEnd w:id="249"/>
      <w:r/>
      <w:bookmarkEnd w:id="250"/>
      <w:r/>
      <w:bookmarkEnd w:id="251"/>
      <w:r/>
      <w:bookmarkEnd w:id="252"/>
      <w:r/>
      <w:bookmarkEnd w:id="253"/>
      <w:r/>
      <w:r/>
    </w:p>
    <w:p>
      <w:pPr>
        <w:ind w:firstLine="444"/>
        <w:spacing w:before="200" w:after="200" w:line="360" w:lineRule="auto"/>
        <w:rPr>
          <w:rFonts w:hint="eastAsia" w:cs="宋体" w:asciiTheme="minorEastAsia" w:hAnsiTheme="minorEastAsia" w:eastAsiaTheme="minorEastAsia"/>
          <w:sz w:val="30"/>
          <w:szCs w:val="30"/>
        </w:rPr>
      </w:pPr>
      <w:r>
        <w:rPr>
          <w:rFonts w:hint="eastAsia" w:cs="宋体" w:asciiTheme="minorEastAsia" w:hAnsiTheme="minorEastAsia" w:eastAsiaTheme="minorEastAsia"/>
          <w:sz w:val="30"/>
          <w:szCs w:val="30"/>
        </w:rPr>
        <w:t xml:space="preserve">11.推荐中标候选人</w:t>
      </w:r>
      <w:r/>
    </w:p>
    <w:p>
      <w:pPr>
        <w:ind w:firstLine="420"/>
        <w:jc w:val="left"/>
        <w:spacing w:line="360" w:lineRule="auto"/>
        <w:widowControl/>
        <w:rPr>
          <w:rFonts w:hint="eastAsia" w:cs="宋体" w:asciiTheme="minorEastAsia" w:hAnsiTheme="minorEastAsia" w:eastAsiaTheme="minorEastAsia"/>
          <w:sz w:val="24"/>
        </w:rPr>
      </w:pPr>
      <w:r>
        <w:rPr>
          <w:rFonts w:hint="eastAsia" w:ascii="MS Gothic" w:hAnsi="MS Gothic" w:eastAsia="MS Gothic" w:cs="MS Gothic"/>
          <w:sz w:val="24"/>
        </w:rPr>
        <w:t xml:space="preserve">☑</w:t>
      </w:r>
      <w:r>
        <w:rPr>
          <w:rFonts w:hint="eastAsia" w:cs="宋体" w:asciiTheme="minorEastAsia" w:hAnsiTheme="minorEastAsia" w:eastAsiaTheme="minorEastAsia"/>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cs="宋体" w:asciiTheme="minorEastAsia" w:hAnsiTheme="minorEastAsia" w:eastAsiaTheme="minorEastAsia"/>
          <w:sz w:val="24"/>
        </w:rPr>
      </w:pPr>
      <w:r>
        <w:rPr>
          <w:rStyle w:val="2464"/>
          <w:rFonts w:hint="eastAsia" w:asciiTheme="minorEastAsia" w:hAnsiTheme="minorEastAsia" w:eastAsiaTheme="minorEastAsia"/>
          <w:b w:val="0"/>
          <w:bCs w:val="0"/>
          <w:color w:val="auto"/>
        </w:rPr>
        <w:t xml:space="preserve">本次采购确定的中标人数量：每标段1名，本项目评审按标段一至标段三的顺序进行，投标人可选择上述任意标段进行投报，同时提交中标标段选择说明，每个投标人中标标段数量1个。</w:t>
      </w:r>
      <w:r>
        <w:rPr>
          <w:rFonts w:hint="eastAsia" w:cs="宋体" w:asciiTheme="minorEastAsia" w:hAnsiTheme="minorEastAsia" w:eastAsiaTheme="minorEastAsia"/>
          <w:sz w:val="24"/>
        </w:rPr>
        <w:br w:type="page" w:clear="all"/>
      </w:r>
      <w:r/>
    </w:p>
    <w:p>
      <w:pPr>
        <w:jc w:val="center"/>
        <w:spacing w:before="200" w:after="200" w:line="360" w:lineRule="auto"/>
        <w:rPr>
          <w:rFonts w:hint="eastAsia" w:cs="宋体" w:asciiTheme="minorEastAsia" w:hAnsiTheme="minorEastAsia" w:eastAsiaTheme="minorEastAsia"/>
          <w:b/>
          <w:bCs/>
          <w:sz w:val="36"/>
          <w:szCs w:val="36"/>
        </w:rPr>
        <w:outlineLvl w:val="0"/>
      </w:pPr>
      <w:r/>
      <w:bookmarkStart w:id="254" w:name="_Toc22798"/>
      <w:r>
        <w:rPr>
          <w:rFonts w:hint="eastAsia" w:cs="宋体" w:asciiTheme="minorEastAsia" w:hAnsiTheme="minorEastAsia" w:eastAsiaTheme="minorEastAsia"/>
          <w:b/>
          <w:bCs/>
          <w:sz w:val="36"/>
          <w:szCs w:val="36"/>
        </w:rPr>
        <w:t xml:space="preserve">第六部分 投标文件（格式）</w:t>
      </w:r>
      <w:bookmarkEnd w:id="254"/>
      <w:r/>
      <w:r/>
    </w:p>
    <w:p>
      <w:pPr>
        <w:jc w:val="center"/>
        <w:spacing w:line="360" w:lineRule="auto"/>
        <w:rPr>
          <w:rFonts w:hint="eastAsia" w:cs="宋体" w:asciiTheme="minorEastAsia" w:hAnsiTheme="minorEastAsia" w:eastAsiaTheme="minorEastAsia"/>
          <w:b/>
          <w:sz w:val="72"/>
        </w:rPr>
      </w:pPr>
      <w:r>
        <w:rPr>
          <w:rFonts w:hint="eastAsia" w:cs="宋体" w:asciiTheme="minorEastAsia" w:hAnsiTheme="minorEastAsia" w:eastAsiaTheme="minorEastAsia"/>
          <w:b/>
          <w:sz w:val="72"/>
        </w:rPr>
      </w:r>
      <w:r/>
    </w:p>
    <w:p>
      <w:pPr>
        <w:jc w:val="center"/>
        <w:spacing w:line="360" w:lineRule="auto"/>
        <w:rPr>
          <w:rFonts w:hint="eastAsia" w:cs="宋体" w:asciiTheme="minorEastAsia" w:hAnsiTheme="minorEastAsia" w:eastAsiaTheme="minorEastAsia"/>
          <w:sz w:val="72"/>
        </w:rPr>
      </w:pPr>
      <w:r>
        <w:rPr>
          <w:rFonts w:hint="eastAsia" w:cs="宋体" w:asciiTheme="minorEastAsia" w:hAnsiTheme="minorEastAsia" w:eastAsiaTheme="minorEastAsia"/>
          <w:b/>
          <w:sz w:val="72"/>
        </w:rPr>
        <w:t xml:space="preserve">投   标   文   件</w:t>
      </w:r>
      <w:r/>
    </w:p>
    <w:p>
      <w:pPr>
        <w:ind w:firstLine="723"/>
        <w:jc w:val="center"/>
        <w:spacing w:line="360" w:lineRule="auto"/>
        <w:rPr>
          <w:rFonts w:hint="eastAsia" w:cs="宋体" w:asciiTheme="minorEastAsia" w:hAnsiTheme="minorEastAsia" w:eastAsiaTheme="minorEastAsia"/>
          <w:b/>
          <w:sz w:val="36"/>
        </w:rPr>
      </w:pPr>
      <w:r>
        <w:rPr>
          <w:rFonts w:hint="eastAsia" w:cs="宋体" w:asciiTheme="minorEastAsia" w:hAnsiTheme="minorEastAsia" w:eastAsiaTheme="minorEastAsia"/>
          <w:b/>
          <w:sz w:val="36"/>
        </w:rPr>
      </w:r>
      <w:r/>
    </w:p>
    <w:p>
      <w:pPr>
        <w:ind w:firstLine="643"/>
        <w:spacing w:line="360" w:lineRule="auto"/>
        <w:rPr>
          <w:rFonts w:hint="eastAsia" w:cs="宋体" w:asciiTheme="minorEastAsia" w:hAnsiTheme="minorEastAsia" w:eastAsiaTheme="minorEastAsia"/>
          <w:b/>
          <w:sz w:val="32"/>
        </w:rPr>
      </w:pPr>
      <w:r>
        <w:rPr>
          <w:rFonts w:hint="eastAsia" w:cs="宋体" w:asciiTheme="minorEastAsia" w:hAnsiTheme="minorEastAsia" w:eastAsiaTheme="minorEastAsia"/>
          <w:b/>
          <w:sz w:val="32"/>
        </w:rPr>
      </w:r>
      <w:r/>
    </w:p>
    <w:p>
      <w:pPr>
        <w:ind w:firstLine="643"/>
        <w:spacing w:line="360" w:lineRule="auto"/>
        <w:rPr>
          <w:rFonts w:hint="eastAsia" w:cs="宋体" w:asciiTheme="minorEastAsia" w:hAnsiTheme="minorEastAsia" w:eastAsiaTheme="minorEastAsia"/>
          <w:b/>
          <w:sz w:val="32"/>
        </w:rPr>
      </w:pPr>
      <w:r>
        <w:rPr>
          <w:rFonts w:hint="eastAsia" w:cs="宋体" w:asciiTheme="minorEastAsia" w:hAnsiTheme="minorEastAsia" w:eastAsiaTheme="minorEastAsia"/>
          <w:b/>
          <w:sz w:val="32"/>
        </w:rPr>
      </w:r>
      <w:r/>
    </w:p>
    <w:p>
      <w:pPr>
        <w:jc w:val="center"/>
        <w:spacing w:line="360" w:lineRule="auto"/>
        <w:rPr>
          <w:rFonts w:hint="eastAsia" w:cs="宋体" w:asciiTheme="minorEastAsia" w:hAnsiTheme="minorEastAsia" w:eastAsiaTheme="minorEastAsia"/>
          <w:b/>
          <w:sz w:val="32"/>
        </w:rPr>
      </w:pPr>
      <w:r>
        <w:rPr>
          <w:rFonts w:hint="eastAsia" w:cs="宋体" w:asciiTheme="minorEastAsia" w:hAnsiTheme="minorEastAsia" w:eastAsiaTheme="minorEastAsia"/>
          <w:b/>
          <w:sz w:val="32"/>
        </w:rPr>
        <w:t xml:space="preserve">项目编号：</w:t>
      </w:r>
      <w:r>
        <w:rPr>
          <w:rFonts w:cs="宋体" w:asciiTheme="minorEastAsia" w:hAnsiTheme="minorEastAsia" w:eastAsiaTheme="minorEastAsia"/>
          <w:b/>
          <w:sz w:val="32"/>
        </w:rPr>
        <w:tab/>
        <w:t xml:space="preserve">JSZC-321100-TXJS-G2025-0021</w:t>
      </w:r>
      <w:r>
        <w:rPr>
          <w:rFonts w:hint="eastAsia" w:cs="宋体" w:asciiTheme="minorEastAsia" w:hAnsiTheme="minorEastAsia" w:eastAsiaTheme="minorEastAsia"/>
          <w:b/>
          <w:sz w:val="32"/>
        </w:rPr>
        <w:t xml:space="preserve"> </w:t>
      </w:r>
      <w:r/>
    </w:p>
    <w:p>
      <w:pPr>
        <w:ind w:firstLine="560"/>
        <w:jc w:val="center"/>
        <w:spacing w:line="360" w:lineRule="auto"/>
        <w:rPr>
          <w:rFonts w:hint="eastAsia" w:cs="宋体" w:asciiTheme="minorEastAsia" w:hAnsiTheme="minorEastAsia" w:eastAsiaTheme="minorEastAsia"/>
          <w:sz w:val="28"/>
        </w:rPr>
      </w:pPr>
      <w:r>
        <w:rPr>
          <w:rFonts w:hint="eastAsia" w:cs="宋体" w:asciiTheme="minorEastAsia" w:hAnsiTheme="minorEastAsia" w:eastAsiaTheme="minorEastAsia"/>
          <w:sz w:val="28"/>
        </w:rPr>
      </w:r>
      <w:r/>
    </w:p>
    <w:p>
      <w:pPr>
        <w:ind w:firstLine="560"/>
        <w:jc w:val="center"/>
        <w:spacing w:line="360" w:lineRule="auto"/>
        <w:rPr>
          <w:rFonts w:hint="eastAsia" w:cs="宋体" w:asciiTheme="minorEastAsia" w:hAnsiTheme="minorEastAsia" w:eastAsiaTheme="minorEastAsia"/>
          <w:sz w:val="28"/>
        </w:rPr>
      </w:pPr>
      <w:r>
        <w:rPr>
          <w:rFonts w:hint="eastAsia" w:cs="宋体" w:asciiTheme="minorEastAsia" w:hAnsiTheme="minorEastAsia" w:eastAsiaTheme="minorEastAsia"/>
          <w:sz w:val="28"/>
        </w:rPr>
      </w:r>
      <w:r/>
    </w:p>
    <w:p>
      <w:pPr>
        <w:ind w:firstLine="560"/>
        <w:jc w:val="center"/>
        <w:spacing w:line="360" w:lineRule="auto"/>
        <w:rPr>
          <w:rFonts w:hint="eastAsia" w:cs="宋体" w:asciiTheme="minorEastAsia" w:hAnsiTheme="minorEastAsia" w:eastAsiaTheme="minorEastAsia"/>
          <w:sz w:val="28"/>
        </w:rPr>
      </w:pPr>
      <w:r>
        <w:rPr>
          <w:rFonts w:hint="eastAsia" w:cs="宋体" w:asciiTheme="minorEastAsia" w:hAnsiTheme="minorEastAsia" w:eastAsiaTheme="minorEastAsia"/>
          <w:sz w:val="28"/>
        </w:rPr>
      </w:r>
      <w:r/>
    </w:p>
    <w:p>
      <w:pPr>
        <w:ind w:firstLine="562"/>
        <w:jc w:val="center"/>
        <w:spacing w:line="360" w:lineRule="auto"/>
        <w:rPr>
          <w:rFonts w:hint="eastAsia" w:cs="宋体" w:asciiTheme="minorEastAsia" w:hAnsiTheme="minorEastAsia" w:eastAsiaTheme="minorEastAsia"/>
          <w:b/>
          <w:sz w:val="28"/>
        </w:rPr>
      </w:pPr>
      <w:r>
        <w:rPr>
          <w:rFonts w:hint="eastAsia" w:cs="宋体" w:asciiTheme="minorEastAsia" w:hAnsiTheme="minorEastAsia" w:eastAsiaTheme="minorEastAsia"/>
          <w:b/>
          <w:sz w:val="28"/>
        </w:rPr>
      </w:r>
      <w:r/>
    </w:p>
    <w:p>
      <w:pPr>
        <w:jc w:val="center"/>
        <w:spacing w:line="360" w:lineRule="auto"/>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项目名称：</w:t>
      </w:r>
      <w:r>
        <w:rPr>
          <w:rFonts w:hint="eastAsia" w:cs="宋体" w:asciiTheme="minorEastAsia" w:hAnsiTheme="minorEastAsia" w:eastAsiaTheme="minorEastAsia"/>
          <w:b/>
          <w:sz w:val="24"/>
          <w:u w:val="single"/>
        </w:rPr>
        <w:t xml:space="preserve">市属高中实验室改造及设备购置项目（标段    ）</w:t>
      </w:r>
      <w:r/>
    </w:p>
    <w:p>
      <w:pPr>
        <w:pStyle w:val="1123"/>
        <w:ind w:firstLine="643"/>
        <w:spacing w:line="360" w:lineRule="auto"/>
        <w:rPr>
          <w:rFonts w:hint="eastAsia" w:cs="宋体" w:asciiTheme="minorEastAsia" w:hAnsiTheme="minorEastAsia" w:eastAsiaTheme="minorEastAsia"/>
          <w:b/>
          <w:sz w:val="32"/>
        </w:rPr>
      </w:pPr>
      <w:r>
        <w:rPr>
          <w:rFonts w:hint="eastAsia" w:cs="宋体" w:asciiTheme="minorEastAsia" w:hAnsiTheme="minorEastAsia" w:eastAsiaTheme="minorEastAsia"/>
          <w:b/>
          <w:sz w:val="32"/>
        </w:rPr>
      </w:r>
      <w:r/>
    </w:p>
    <w:p>
      <w:pPr>
        <w:pStyle w:val="1123"/>
        <w:ind w:firstLine="643"/>
        <w:spacing w:line="360" w:lineRule="auto"/>
        <w:rPr>
          <w:rFonts w:hint="eastAsia" w:cs="宋体" w:asciiTheme="minorEastAsia" w:hAnsiTheme="minorEastAsia" w:eastAsiaTheme="minorEastAsia"/>
          <w:b/>
          <w:sz w:val="32"/>
        </w:rPr>
      </w:pPr>
      <w:r>
        <w:rPr>
          <w:rFonts w:hint="eastAsia" w:cs="宋体" w:asciiTheme="minorEastAsia" w:hAnsiTheme="minorEastAsia" w:eastAsiaTheme="minorEastAsia"/>
          <w:b/>
          <w:sz w:val="32"/>
        </w:rPr>
      </w:r>
      <w:r/>
    </w:p>
    <w:p>
      <w:pPr>
        <w:jc w:val="center"/>
        <w:spacing w:line="360" w:lineRule="auto"/>
        <w:rPr>
          <w:rFonts w:hint="eastAsia" w:cs="宋体" w:asciiTheme="minorEastAsia" w:hAnsiTheme="minorEastAsia" w:eastAsiaTheme="minorEastAsia"/>
          <w:b/>
          <w:sz w:val="32"/>
        </w:rPr>
      </w:pPr>
      <w:r>
        <w:rPr>
          <w:rFonts w:hint="eastAsia" w:cs="宋体" w:asciiTheme="minorEastAsia" w:hAnsiTheme="minorEastAsia" w:eastAsiaTheme="minorEastAsia"/>
          <w:b/>
          <w:sz w:val="32"/>
        </w:rPr>
        <w:t xml:space="preserve">投 标 人（公章）：</w:t>
      </w:r>
      <w:r>
        <w:rPr>
          <w:rFonts w:hint="eastAsia" w:cs="宋体" w:asciiTheme="minorEastAsia" w:hAnsiTheme="minorEastAsia" w:eastAsiaTheme="minorEastAsia"/>
          <w:b/>
          <w:sz w:val="24"/>
          <w:u w:val="single"/>
        </w:rPr>
        <w:t xml:space="preserve">××××</w:t>
      </w:r>
      <w:r/>
    </w:p>
    <w:p>
      <w:pPr>
        <w:ind w:firstLine="723"/>
        <w:jc w:val="center"/>
        <w:spacing w:line="360" w:lineRule="auto"/>
        <w:rPr>
          <w:rFonts w:hint="eastAsia" w:cs="宋体" w:asciiTheme="minorEastAsia" w:hAnsiTheme="minorEastAsia" w:eastAsiaTheme="minorEastAsia"/>
          <w:b/>
          <w:sz w:val="36"/>
        </w:rPr>
      </w:pPr>
      <w:r>
        <w:rPr>
          <w:rFonts w:hint="eastAsia" w:cs="宋体" w:asciiTheme="minorEastAsia" w:hAnsiTheme="minorEastAsia" w:eastAsiaTheme="minorEastAsia"/>
          <w:b/>
          <w:sz w:val="36"/>
        </w:rPr>
      </w:r>
      <w:r/>
    </w:p>
    <w:p>
      <w:pPr>
        <w:ind w:firstLine="723"/>
        <w:jc w:val="center"/>
        <w:spacing w:line="360" w:lineRule="auto"/>
        <w:rPr>
          <w:rFonts w:hint="eastAsia" w:cs="宋体" w:asciiTheme="minorEastAsia" w:hAnsiTheme="minorEastAsia" w:eastAsiaTheme="minorEastAsia"/>
          <w:b/>
          <w:sz w:val="36"/>
        </w:rPr>
      </w:pPr>
      <w:r>
        <w:rPr>
          <w:rFonts w:hint="eastAsia" w:cs="宋体" w:asciiTheme="minorEastAsia" w:hAnsiTheme="minorEastAsia" w:eastAsiaTheme="minorEastAsia"/>
          <w:b/>
          <w:sz w:val="36"/>
        </w:rPr>
      </w:r>
      <w:r/>
    </w:p>
    <w:p>
      <w:pPr>
        <w:ind w:firstLine="723"/>
        <w:jc w:val="center"/>
        <w:spacing w:line="360" w:lineRule="auto"/>
        <w:rPr>
          <w:rFonts w:hint="eastAsia" w:cs="宋体" w:asciiTheme="minorEastAsia" w:hAnsiTheme="minorEastAsia" w:eastAsiaTheme="minorEastAsia"/>
          <w:b/>
          <w:sz w:val="36"/>
        </w:rPr>
      </w:pPr>
      <w:r>
        <w:rPr>
          <w:rFonts w:hint="eastAsia" w:cs="宋体" w:asciiTheme="minorEastAsia" w:hAnsiTheme="minorEastAsia" w:eastAsiaTheme="minorEastAsia"/>
          <w:b/>
          <w:sz w:val="36"/>
        </w:rPr>
      </w:r>
      <w:r/>
    </w:p>
    <w:p>
      <w:pPr>
        <w:jc w:val="center"/>
        <w:spacing w:line="360" w:lineRule="auto"/>
        <w:rPr>
          <w:rFonts w:hint="eastAsia" w:cs="宋体" w:asciiTheme="minorEastAsia" w:hAnsiTheme="minorEastAsia" w:eastAsiaTheme="minorEastAsia"/>
          <w:sz w:val="32"/>
        </w:rPr>
      </w:pP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日</w:t>
      </w:r>
      <w:r>
        <w:rPr>
          <w:rFonts w:hint="eastAsia" w:cs="宋体" w:asciiTheme="minorEastAsia" w:hAnsiTheme="minorEastAsia" w:eastAsiaTheme="minorEastAsia"/>
          <w:sz w:val="32"/>
        </w:rPr>
        <w:br w:type="page" w:clear="all"/>
      </w:r>
      <w:r/>
    </w:p>
    <w:p>
      <w:pPr>
        <w:jc w:val="center"/>
        <w:spacing w:line="360" w:lineRule="auto"/>
        <w:rPr>
          <w:rFonts w:hint="eastAsia" w:cs="宋体" w:asciiTheme="minorEastAsia" w:hAnsiTheme="minorEastAsia" w:eastAsiaTheme="minorEastAsia"/>
          <w:b/>
          <w:bCs/>
          <w:sz w:val="32"/>
        </w:rPr>
      </w:pPr>
      <w:r>
        <w:rPr>
          <w:rFonts w:hint="eastAsia" w:cs="宋体" w:asciiTheme="minorEastAsia" w:hAnsiTheme="minorEastAsia" w:eastAsiaTheme="minorEastAsia"/>
          <w:b/>
          <w:bCs/>
          <w:sz w:val="32"/>
        </w:rPr>
        <w:t xml:space="preserve">一、资格部分</w:t>
      </w:r>
      <w:r/>
    </w:p>
    <w:p>
      <w:pPr>
        <w:jc w:val="center"/>
        <w:spacing w:line="360" w:lineRule="auto"/>
        <w:rPr>
          <w:rFonts w:hint="eastAsia" w:cs="宋体" w:asciiTheme="minorEastAsia" w:hAnsiTheme="minorEastAsia" w:eastAsiaTheme="minorEastAsia"/>
          <w:sz w:val="32"/>
        </w:rPr>
      </w:pPr>
      <w:r>
        <w:rPr>
          <w:rFonts w:hint="eastAsia" w:cs="宋体" w:asciiTheme="minorEastAsia" w:hAnsiTheme="minorEastAsia" w:eastAsiaTheme="minorEastAsia"/>
          <w:sz w:val="32"/>
        </w:rPr>
        <w:t xml:space="preserve">（一）投标函</w:t>
      </w:r>
      <w:r/>
    </w:p>
    <w:p>
      <w:pPr>
        <w:spacing w:line="360" w:lineRule="auto"/>
        <w:rPr>
          <w:rFonts w:hint="eastAsia" w:cs="宋体" w:asciiTheme="minorEastAsia" w:hAnsiTheme="minorEastAsia" w:eastAsiaTheme="minorEastAsia"/>
          <w:b/>
          <w:bCs/>
          <w:sz w:val="30"/>
        </w:rPr>
      </w:pPr>
      <w:r>
        <w:rPr>
          <w:rFonts w:hint="eastAsia" w:cs="宋体" w:asciiTheme="minorEastAsia" w:hAnsiTheme="minorEastAsia" w:eastAsiaTheme="minorEastAsia"/>
          <w:b/>
          <w:sz w:val="24"/>
          <w:u w:val="single"/>
        </w:rPr>
        <w:t xml:space="preserve">致江苏天信建设项目咨询有限公司</w:t>
      </w:r>
      <w:r>
        <w:rPr>
          <w:rFonts w:hint="eastAsia" w:cs="宋体" w:asciiTheme="minorEastAsia" w:hAnsiTheme="minorEastAsia" w:eastAsiaTheme="minorEastAsia"/>
          <w:b/>
          <w:sz w:val="24"/>
          <w:szCs w:val="16"/>
          <w:u w:val="single"/>
        </w:rPr>
        <w:t xml:space="preserve">（采购代理机构）</w:t>
      </w:r>
      <w:r>
        <w:rPr>
          <w:rFonts w:hint="eastAsia" w:cs="宋体" w:asciiTheme="minorEastAsia" w:hAnsiTheme="minorEastAsia" w:eastAsiaTheme="minorEastAsia"/>
          <w:b/>
          <w:bCs/>
          <w:sz w:val="30"/>
        </w:rPr>
        <w:t xml:space="preserve">：</w:t>
      </w:r>
      <w:r/>
    </w:p>
    <w:p>
      <w:pPr>
        <w:pStyle w:val="1123"/>
        <w:ind w:left="0" w:firstLine="560"/>
        <w:jc w:val="both"/>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4"/>
        </w:rPr>
        <w:t xml:space="preserve">根据贵方</w:t>
      </w:r>
      <w:r>
        <w:rPr>
          <w:rFonts w:hint="eastAsia" w:cs="宋体" w:asciiTheme="minorEastAsia" w:hAnsiTheme="minorEastAsia" w:eastAsiaTheme="minorEastAsia"/>
          <w:sz w:val="28"/>
          <w:szCs w:val="28"/>
        </w:rPr>
        <w:t xml:space="preserve">关于</w:t>
      </w:r>
      <w:r>
        <w:rPr>
          <w:rFonts w:hint="eastAsia" w:cs="宋体" w:asciiTheme="minorEastAsia" w:hAnsiTheme="minorEastAsia" w:eastAsiaTheme="minorEastAsia"/>
          <w:b/>
          <w:sz w:val="24"/>
          <w:szCs w:val="16"/>
          <w:u w:val="single"/>
        </w:rPr>
        <w:t xml:space="preserve">市属高中实验室改造及设备购置项目（项目名称）（项目编号：</w:t>
      </w:r>
      <w:r>
        <w:rPr>
          <w:rFonts w:cs="宋体" w:asciiTheme="minorEastAsia" w:hAnsiTheme="minorEastAsia" w:eastAsiaTheme="minorEastAsia"/>
          <w:b/>
          <w:sz w:val="24"/>
          <w:szCs w:val="16"/>
          <w:u w:val="single"/>
        </w:rPr>
        <w:t xml:space="preserve">JSZC-321100-TXJS-G2025-0021</w:t>
      </w:r>
      <w:r>
        <w:rPr>
          <w:rFonts w:hint="eastAsia" w:cs="宋体" w:asciiTheme="minorEastAsia" w:hAnsiTheme="minorEastAsia" w:eastAsiaTheme="minorEastAsia"/>
          <w:b/>
          <w:sz w:val="24"/>
          <w:szCs w:val="16"/>
          <w:u w:val="single"/>
        </w:rPr>
        <w:t xml:space="preserve">）（标段    ）</w:t>
      </w:r>
      <w:r>
        <w:rPr>
          <w:rFonts w:hint="eastAsia" w:cs="宋体" w:asciiTheme="minorEastAsia" w:hAnsiTheme="minorEastAsia" w:eastAsiaTheme="minorEastAsia"/>
          <w:sz w:val="28"/>
          <w:szCs w:val="24"/>
        </w:rPr>
        <w:t xml:space="preserve">的投标邀请</w:t>
      </w:r>
      <w:r>
        <w:rPr>
          <w:rFonts w:hint="eastAsia" w:cs="宋体" w:asciiTheme="minorEastAsia" w:hAnsiTheme="minorEastAsia" w:eastAsiaTheme="minorEastAsia"/>
          <w:sz w:val="28"/>
          <w:szCs w:val="28"/>
        </w:rPr>
        <w:t xml:space="preserve">，我方已完全理解招标文件的所有内容。</w:t>
      </w:r>
      <w:r/>
    </w:p>
    <w:p>
      <w:pPr>
        <w:pStyle w:val="1101"/>
        <w:ind w:left="1" w:firstLine="560"/>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据此函，我方兹宣布同意如下：</w:t>
      </w:r>
      <w:r/>
    </w:p>
    <w:p>
      <w:pPr>
        <w:ind w:firstLine="560"/>
        <w:spacing w:line="360" w:lineRule="auto"/>
        <w:tabs>
          <w:tab w:val="left" w:pos="1125" w:leader="none"/>
        </w:tabs>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1．按招标文件规定提供货物（服务）的唯一投标报价见开标一览表。</w: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27"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6" o:spid="_x0000_s26"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8"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7" o:spid="_x0000_s27"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29"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28" o:spid="_x0000_s28"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30"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9" o:spid="_x0000_s29"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cs="宋体" w:asciiTheme="minorEastAsia" w:hAnsiTheme="minorEastAsia" w:eastAsiaTheme="minorEastAsia"/>
          <w:sz w:val="28"/>
          <w:szCs w:val="28"/>
        </w:rPr>
      </w:pP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31"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30" o:spid="_x0000_s30"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32"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31" o:spid="_x0000_s31"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cs="宋体" w:asciiTheme="minorEastAsia" w:hAnsiTheme="minorEastAsia" w:eastAsiaTheme="minorEastAsia"/>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3．我方已</w:t>
      </w:r>
      <w:r>
        <w:rPr>
          <w:rFonts w:hint="eastAsia" w:cs="宋体" w:asciiTheme="minorEastAsia" w:hAnsiTheme="minorEastAsia" w:eastAsiaTheme="minorEastAsia"/>
          <w:sz w:val="28"/>
        </w:rPr>
        <w:t xml:space="preserve">详读</w:t>
      </w:r>
      <w:r>
        <w:rPr>
          <w:rFonts w:hint="eastAsia" w:cs="宋体" w:asciiTheme="minorEastAsia" w:hAnsiTheme="minorEastAsia" w:eastAsiaTheme="minorEastAsia"/>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w:t>
      </w:r>
      <w:r>
        <w:rPr>
          <w:rFonts w:hint="eastAsia" w:cs="宋体" w:asciiTheme="minorEastAsia" w:hAnsiTheme="minorEastAsia" w:eastAsiaTheme="minorEastAsia"/>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8．我方承诺：参加政府采购活动前三年内，在经营活动中没有重大违法记录。</w:t>
      </w:r>
      <w:r/>
    </w:p>
    <w:p>
      <w:pPr>
        <w:ind w:firstLine="562"/>
        <w:spacing w:line="360" w:lineRule="auto"/>
        <w:tabs>
          <w:tab w:val="left" w:pos="1125" w:leader="none"/>
        </w:tabs>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w:t>
      </w:r>
      <w:r>
        <w:rPr>
          <w:rFonts w:hint="eastAsia" w:cs="宋体" w:asciiTheme="minorEastAsia" w:hAnsiTheme="minorEastAsia" w:eastAsiaTheme="minorEastAsia"/>
          <w:b/>
          <w:bCs/>
          <w:sz w:val="28"/>
          <w:szCs w:val="28"/>
        </w:rPr>
        <w:t xml:space="preserve">隐瞒情况。</w:t>
      </w:r>
      <w:r/>
    </w:p>
    <w:p>
      <w:pPr>
        <w:ind w:firstLine="560"/>
        <w:spacing w:line="360" w:lineRule="auto"/>
        <w:tabs>
          <w:tab w:val="left" w:pos="1125" w:leader="none"/>
        </w:tabs>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9．本次投标文件内容与招标文件内容偏离情况见偏离说明（如果有）。</w:t>
      </w:r>
      <w:r/>
    </w:p>
    <w:p>
      <w:pPr>
        <w:ind w:firstLine="560"/>
        <w:spacing w:line="360" w:lineRule="auto"/>
        <w:tabs>
          <w:tab w:val="left" w:pos="1125" w:leader="none"/>
        </w:tabs>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10．遵守招标文件中要求的收费项目和标准。</w:t>
      </w:r>
      <w:r/>
    </w:p>
    <w:p>
      <w:pPr>
        <w:ind w:firstLine="560"/>
        <w:spacing w:line="360" w:lineRule="auto"/>
        <w:tabs>
          <w:tab w:val="left" w:pos="1125" w:leader="none"/>
        </w:tabs>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11．与本投标有关的一切正式往来通讯请寄：</w:t>
      </w:r>
      <w:r/>
    </w:p>
    <w:p>
      <w:pPr>
        <w:pStyle w:val="1101"/>
        <w:ind w:firstLine="560"/>
        <w:spacing w:line="360" w:lineRule="auto"/>
        <w:rPr>
          <w:rFonts w:hint="eastAsia"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地址： </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szCs w:val="24"/>
        </w:rPr>
        <w:t xml:space="preserve">                  电话： </w:t>
      </w:r>
      <w:r>
        <w:rPr>
          <w:rFonts w:hint="eastAsia" w:cs="宋体" w:asciiTheme="minorEastAsia" w:hAnsiTheme="minorEastAsia" w:eastAsiaTheme="minorEastAsia"/>
          <w:b/>
          <w:sz w:val="24"/>
          <w:u w:val="single"/>
        </w:rPr>
        <w:t xml:space="preserve">××</w:t>
      </w:r>
      <w:r/>
    </w:p>
    <w:p>
      <w:pPr>
        <w:pStyle w:val="1101"/>
        <w:ind w:firstLine="560"/>
        <w:spacing w:line="360" w:lineRule="auto"/>
        <w:rPr>
          <w:rFonts w:hint="eastAsia"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传真：</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szCs w:val="24"/>
        </w:rPr>
        <w:t xml:space="preserve">                   邮政编码：</w:t>
      </w:r>
      <w:r>
        <w:rPr>
          <w:rFonts w:hint="eastAsia" w:cs="宋体" w:asciiTheme="minorEastAsia" w:hAnsiTheme="minorEastAsia" w:eastAsiaTheme="minorEastAsia"/>
          <w:b/>
          <w:sz w:val="24"/>
          <w:u w:val="single"/>
        </w:rPr>
        <w:t xml:space="preserve">××</w:t>
      </w:r>
      <w:r/>
    </w:p>
    <w:p>
      <w:pPr>
        <w:pStyle w:val="1101"/>
        <w:ind w:firstLine="560"/>
        <w:spacing w:line="360" w:lineRule="auto"/>
        <w:rPr>
          <w:rFonts w:hint="eastAsia"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投标人（公章）：</w:t>
      </w:r>
      <w:r>
        <w:rPr>
          <w:rFonts w:hint="eastAsia" w:cs="宋体" w:asciiTheme="minorEastAsia" w:hAnsiTheme="minorEastAsia" w:eastAsiaTheme="minorEastAsia"/>
          <w:b/>
          <w:sz w:val="24"/>
          <w:u w:val="single"/>
        </w:rPr>
        <w:t xml:space="preserve">××</w:t>
      </w:r>
      <w:r/>
    </w:p>
    <w:p>
      <w:pPr>
        <w:pStyle w:val="1101"/>
        <w:ind w:firstLine="560"/>
        <w:spacing w:line="360" w:lineRule="auto"/>
        <w:rPr>
          <w:rFonts w:hint="eastAsia" w:cs="宋体" w:asciiTheme="minorEastAsia" w:hAnsiTheme="minorEastAsia" w:eastAsiaTheme="minorEastAsia"/>
          <w:sz w:val="28"/>
          <w:szCs w:val="24"/>
        </w:rPr>
      </w:pPr>
      <w:r>
        <w:rPr>
          <w:rFonts w:hint="eastAsia" w:cs="宋体" w:asciiTheme="minorEastAsia" w:hAnsiTheme="minorEastAsia" w:eastAsiaTheme="minorEastAsia"/>
          <w:sz w:val="28"/>
        </w:rPr>
        <w:t xml:space="preserve">法定代表人签字或盖章</w:t>
      </w:r>
      <w:r>
        <w:rPr>
          <w:rFonts w:hint="eastAsia" w:cs="宋体" w:asciiTheme="minorEastAsia" w:hAnsiTheme="minorEastAsia" w:eastAsiaTheme="minorEastAsia"/>
          <w:sz w:val="28"/>
          <w:szCs w:val="24"/>
        </w:rPr>
        <w:t xml:space="preserve">： </w:t>
      </w:r>
      <w:r>
        <w:rPr>
          <w:rFonts w:hint="eastAsia" w:cs="宋体" w:asciiTheme="minorEastAsia" w:hAnsiTheme="minorEastAsia" w:eastAsiaTheme="minorEastAsia"/>
          <w:b/>
          <w:sz w:val="24"/>
          <w:u w:val="single"/>
        </w:rPr>
        <w:t xml:space="preserve">××   </w:t>
      </w:r>
      <w:r/>
    </w:p>
    <w:p>
      <w:pPr>
        <w:pStyle w:val="1101"/>
        <w:ind w:right="1060" w:firstLine="560"/>
        <w:jc w:val="right"/>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rPr>
        <w:t xml:space="preserve">日期： </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日</w:t>
      </w:r>
      <w:r/>
    </w:p>
    <w:p>
      <w:pPr>
        <w:ind w:firstLine="420"/>
        <w:jc w:val="center"/>
        <w:spacing w:line="360" w:lineRule="auto"/>
        <w:rPr>
          <w:rFonts w:hint="eastAsia" w:cs="宋体" w:asciiTheme="minorEastAsia" w:hAnsiTheme="minorEastAsia" w:eastAsiaTheme="minorEastAsia"/>
          <w:sz w:val="32"/>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sz w:val="32"/>
        </w:rPr>
        <w:t xml:space="preserve">（二）独立承担民事责任的能力</w:t>
      </w:r>
      <w:r/>
    </w:p>
    <w:p>
      <w:pPr>
        <w:ind w:firstLine="560"/>
        <w:spacing w:line="360" w:lineRule="auto"/>
        <w:rPr>
          <w:rFonts w:hint="eastAsia" w:cs="宋体" w:asciiTheme="minorEastAsia" w:hAnsiTheme="minorEastAsia" w:eastAsiaTheme="minorEastAsia"/>
          <w:sz w:val="24"/>
          <w:szCs w:val="28"/>
        </w:rPr>
      </w:pPr>
      <w:r>
        <w:rPr>
          <w:rFonts w:hint="eastAsia" w:cs="宋体" w:asciiTheme="minorEastAsia" w:hAnsiTheme="minorEastAsia" w:eastAsiaTheme="minorEastAsia"/>
          <w:sz w:val="28"/>
          <w:szCs w:val="28"/>
        </w:rPr>
        <w:t xml:space="preserve">提供法人或者其他组织的营业执照等证明文件扫描件；投标人为自然人的，提供其身份证扫描件</w:t>
      </w:r>
      <w:r>
        <w:rPr>
          <w:rFonts w:hint="eastAsia" w:cs="宋体" w:asciiTheme="minorEastAsia" w:hAnsiTheme="minorEastAsia" w:eastAsiaTheme="minorEastAsia"/>
          <w:sz w:val="32"/>
        </w:rPr>
        <w:br w:type="page" w:clear="all"/>
      </w:r>
      <w:r/>
    </w:p>
    <w:p>
      <w:pPr>
        <w:jc w:val="center"/>
        <w:spacing w:line="360" w:lineRule="auto"/>
        <w:rPr>
          <w:rFonts w:hint="eastAsia" w:cs="宋体" w:asciiTheme="minorEastAsia" w:hAnsiTheme="minorEastAsia" w:eastAsiaTheme="minorEastAsia"/>
          <w:sz w:val="32"/>
        </w:rPr>
      </w:pPr>
      <w:r>
        <w:rPr>
          <w:rFonts w:hint="eastAsia" w:cs="宋体" w:asciiTheme="minorEastAsia" w:hAnsiTheme="minorEastAsia" w:eastAsiaTheme="minorEastAsia"/>
          <w:sz w:val="32"/>
        </w:rPr>
        <w:t xml:space="preserve">（三）良好的商业信誉和健全的财务会计制度</w:t>
      </w:r>
      <w:r/>
    </w:p>
    <w:p>
      <w:pPr>
        <w:ind w:firstLine="560"/>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提供2023年或2024年度财务报告、成立不满一年的提供至少一个月财务报告，或银行出具的资信证明，或财政部门认可的政府采购专业担保机构出具的投标担保函等，或提供</w:t>
      </w:r>
      <w:bookmarkStart w:id="255" w:name="_Hlk131494070"/>
      <w:r>
        <w:rPr>
          <w:rFonts w:hint="eastAsia" w:cs="宋体" w:asciiTheme="minorEastAsia" w:hAnsiTheme="minorEastAsia" w:eastAsiaTheme="minorEastAsia"/>
          <w:sz w:val="28"/>
          <w:szCs w:val="28"/>
        </w:rPr>
        <w:t xml:space="preserve">资格承诺函</w:t>
      </w:r>
      <w:bookmarkStart w:id="256" w:name="_Hlk131494108"/>
      <w:r/>
      <w:bookmarkEnd w:id="255"/>
      <w:r>
        <w:rPr>
          <w:rFonts w:hint="eastAsia" w:cs="宋体" w:asciiTheme="minorEastAsia" w:hAnsiTheme="minorEastAsia" w:eastAsiaTheme="minorEastAsia"/>
          <w:sz w:val="28"/>
          <w:szCs w:val="28"/>
        </w:rPr>
        <w:t xml:space="preserve">（见本部分（六）资格承诺函）</w:t>
      </w:r>
      <w:bookmarkEnd w:id="256"/>
      <w:r>
        <w:rPr>
          <w:rFonts w:hint="eastAsia" w:cs="宋体" w:asciiTheme="minorEastAsia" w:hAnsiTheme="minorEastAsia" w:eastAsiaTheme="minorEastAsia"/>
          <w:sz w:val="28"/>
          <w:szCs w:val="28"/>
        </w:rPr>
        <w:t xml:space="preserve">。</w:t>
      </w:r>
      <w:r/>
    </w:p>
    <w:p>
      <w:pPr>
        <w:rPr>
          <w:rFonts w:hint="eastAsia" w:cs="宋体" w:asciiTheme="minorEastAsia" w:hAnsiTheme="minorEastAsia" w:eastAsiaTheme="minorEastAsia"/>
          <w:sz w:val="32"/>
        </w:rPr>
      </w:pPr>
      <w:r>
        <w:rPr>
          <w:rFonts w:hint="eastAsia" w:cs="宋体" w:asciiTheme="minorEastAsia" w:hAnsiTheme="minorEastAsia" w:eastAsiaTheme="minorEastAsia"/>
          <w:sz w:val="32"/>
        </w:rPr>
        <w:br w:type="page" w:clear="all"/>
      </w:r>
      <w:r/>
    </w:p>
    <w:p>
      <w:pPr>
        <w:jc w:val="center"/>
        <w:spacing w:line="360" w:lineRule="auto"/>
        <w:rPr>
          <w:rFonts w:hint="eastAsia" w:cs="宋体" w:asciiTheme="minorEastAsia" w:hAnsiTheme="minorEastAsia" w:eastAsiaTheme="minorEastAsia"/>
          <w:sz w:val="32"/>
        </w:rPr>
      </w:pPr>
      <w:r>
        <w:rPr>
          <w:rFonts w:hint="eastAsia" w:cs="宋体" w:asciiTheme="minorEastAsia" w:hAnsiTheme="minorEastAsia" w:eastAsiaTheme="minorEastAsia"/>
          <w:sz w:val="32"/>
        </w:rPr>
        <w:t xml:space="preserve">（四）履行合同所必需的设备和专业技术能力</w:t>
      </w:r>
      <w:r/>
    </w:p>
    <w:p>
      <w:pPr>
        <w:ind w:firstLine="560"/>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sz w:val="32"/>
              </w:rPr>
              <w:br w:type="page" w:clear="all"/>
            </w:r>
            <w:r>
              <w:rPr>
                <w:rFonts w:hint="eastAsia" w:cs="宋体" w:asciiTheme="minorEastAsia" w:hAnsiTheme="minorEastAsia" w:eastAsiaTheme="minorEastAsia"/>
                <w:b/>
                <w:sz w:val="24"/>
              </w:rPr>
              <w:t xml:space="preserve">一</w:t>
            </w:r>
            <w:r/>
          </w:p>
        </w:tc>
        <w:tc>
          <w:tcPr>
            <w:gridSpan w:val="9"/>
            <w:shd w:val="clear" w:color="auto" w:fill="d9d9d9"/>
            <w:tcW w:w="438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公司基本信息</w:t>
            </w:r>
            <w:r/>
          </w:p>
        </w:tc>
      </w:tr>
      <w:tr>
        <w:trPr>
          <w:trHeight w:val="506"/>
        </w:trPr>
        <w:tc>
          <w:tcPr>
            <w:gridSpan w:val="2"/>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737" w:type="pct"/>
            <w:vAlign w:val="center"/>
            <w:textDirection w:val="lrTb"/>
            <w:noWrap w:val="false"/>
          </w:tcPr>
          <w:p>
            <w:pPr>
              <w:pStyle w:val="1085"/>
              <w:ind w:firstLine="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公司名称</w:t>
            </w:r>
            <w:r/>
          </w:p>
        </w:tc>
        <w:tc>
          <w:tcPr>
            <w:gridSpan w:val="8"/>
            <w:tcW w:w="3648"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55"/>
        </w:trPr>
        <w:tc>
          <w:tcPr>
            <w:gridSpan w:val="2"/>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737"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注册资金</w:t>
            </w:r>
            <w:r/>
          </w:p>
        </w:tc>
        <w:tc>
          <w:tcPr>
            <w:tcW w:w="819"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gridSpan w:val="2"/>
            <w:tcW w:w="42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gridSpan w:val="3"/>
            <w:tcW w:w="1158"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公司地址</w:t>
            </w:r>
            <w:r/>
          </w:p>
        </w:tc>
        <w:tc>
          <w:tcPr>
            <w:gridSpan w:val="2"/>
            <w:tcW w:w="124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60"/>
        </w:trPr>
        <w:tc>
          <w:tcPr>
            <w:gridSpan w:val="2"/>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737"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从业人数</w:t>
            </w:r>
            <w:r/>
          </w:p>
        </w:tc>
        <w:tc>
          <w:tcPr>
            <w:tcW w:w="819"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gridSpan w:val="2"/>
            <w:tcW w:w="42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gridSpan w:val="3"/>
            <w:tcW w:w="1158"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法定代表人</w:t>
            </w:r>
            <w:r/>
          </w:p>
        </w:tc>
        <w:tc>
          <w:tcPr>
            <w:gridSpan w:val="2"/>
            <w:tcW w:w="124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67"/>
        </w:trPr>
        <w:tc>
          <w:tcPr>
            <w:gridSpan w:val="2"/>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737"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开户银行</w:t>
            </w:r>
            <w:r/>
          </w:p>
        </w:tc>
        <w:tc>
          <w:tcPr>
            <w:tcW w:w="819"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gridSpan w:val="2"/>
            <w:tcW w:w="42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gridSpan w:val="3"/>
            <w:tcW w:w="1158"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账号</w:t>
            </w:r>
            <w:r/>
          </w:p>
        </w:tc>
        <w:tc>
          <w:tcPr>
            <w:gridSpan w:val="2"/>
            <w:tcW w:w="124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67"/>
        </w:trPr>
        <w:tc>
          <w:tcPr>
            <w:gridSpan w:val="2"/>
            <w:tcBorders>
              <w:bottom w:val="single" w:color="auto" w:sz="4" w:space="0"/>
            </w:tcBorders>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Borders>
              <w:bottom w:val="single" w:color="auto" w:sz="4" w:space="0"/>
            </w:tcBorders>
            <w:tcW w:w="737"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项目联系人</w:t>
            </w:r>
            <w:r/>
          </w:p>
        </w:tc>
        <w:tc>
          <w:tcPr>
            <w:tcBorders>
              <w:bottom w:val="single" w:color="auto" w:sz="4" w:space="0"/>
            </w:tcBorders>
            <w:tcW w:w="819"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gridSpan w:val="2"/>
            <w:tcBorders>
              <w:bottom w:val="single" w:color="auto" w:sz="4" w:space="0"/>
            </w:tcBorders>
            <w:tcW w:w="42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w:t>
            </w:r>
            <w:r/>
          </w:p>
        </w:tc>
        <w:tc>
          <w:tcPr>
            <w:gridSpan w:val="3"/>
            <w:tcBorders>
              <w:bottom w:val="single" w:color="auto" w:sz="4" w:space="0"/>
            </w:tcBorders>
            <w:tcW w:w="1158"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联系电话</w:t>
            </w:r>
            <w:r/>
          </w:p>
        </w:tc>
        <w:tc>
          <w:tcPr>
            <w:gridSpan w:val="2"/>
            <w:tcBorders>
              <w:bottom w:val="single" w:color="auto" w:sz="4" w:space="0"/>
            </w:tcBorders>
            <w:tcW w:w="124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67"/>
        </w:trPr>
        <w:tc>
          <w:tcPr>
            <w:gridSpan w:val="2"/>
            <w:shd w:val="clear" w:color="auto" w:fill="d9d9d9"/>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二</w:t>
            </w:r>
            <w:r/>
          </w:p>
        </w:tc>
        <w:tc>
          <w:tcPr>
            <w:gridSpan w:val="9"/>
            <w:shd w:val="clear" w:color="auto" w:fill="d9d9d9"/>
            <w:tcW w:w="438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公司财务状况</w:t>
            </w:r>
            <w:r/>
          </w:p>
        </w:tc>
      </w:tr>
      <w:tr>
        <w:trPr>
          <w:trHeight w:val="467"/>
        </w:trPr>
        <w:tc>
          <w:tcPr>
            <w:gridSpan w:val="2"/>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（一）</w:t>
            </w:r>
            <w:r/>
          </w:p>
        </w:tc>
        <w:tc>
          <w:tcPr>
            <w:gridSpan w:val="9"/>
            <w:tcW w:w="438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u w:val="single"/>
              </w:rPr>
              <w:t xml:space="preserve">2024年</w:t>
            </w:r>
            <w:r>
              <w:rPr>
                <w:rFonts w:hint="eastAsia" w:cs="宋体" w:asciiTheme="minorEastAsia" w:hAnsiTheme="minorEastAsia" w:eastAsiaTheme="minorEastAsia"/>
                <w:b/>
                <w:sz w:val="24"/>
              </w:rPr>
              <w:t xml:space="preserve">度财务状况</w:t>
            </w:r>
            <w:r/>
          </w:p>
        </w:tc>
      </w:tr>
      <w:tr>
        <w:trPr>
          <w:trHeight w:val="682"/>
        </w:trPr>
        <w:tc>
          <w:tcPr>
            <w:gridSpan w:val="2"/>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737"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营业收入（万）：</w:t>
            </w:r>
            <w:r/>
          </w:p>
        </w:tc>
        <w:tc>
          <w:tcPr>
            <w:tcW w:w="819"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gridSpan w:val="2"/>
            <w:tcW w:w="42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gridSpan w:val="3"/>
            <w:tcW w:w="1158"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利润总额（万）</w:t>
            </w:r>
            <w:r/>
          </w:p>
        </w:tc>
        <w:tc>
          <w:tcPr>
            <w:gridSpan w:val="2"/>
            <w:tcW w:w="124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763"/>
        </w:trPr>
        <w:tc>
          <w:tcPr>
            <w:gridSpan w:val="2"/>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737"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年末“固定资产合计”（万）</w:t>
            </w:r>
            <w:r/>
          </w:p>
        </w:tc>
        <w:tc>
          <w:tcPr>
            <w:tcW w:w="819"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gridSpan w:val="2"/>
            <w:tcW w:w="42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gridSpan w:val="3"/>
            <w:tcW w:w="1158"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年末“流动资产”余额（万）</w:t>
            </w:r>
            <w:r/>
          </w:p>
        </w:tc>
        <w:tc>
          <w:tcPr>
            <w:gridSpan w:val="2"/>
            <w:tcW w:w="124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772"/>
        </w:trPr>
        <w:tc>
          <w:tcPr>
            <w:gridSpan w:val="2"/>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737"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年末“短期负债”余额（万）</w:t>
            </w:r>
            <w:r/>
          </w:p>
        </w:tc>
        <w:tc>
          <w:tcPr>
            <w:tcW w:w="819"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gridSpan w:val="2"/>
            <w:tcW w:w="42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gridSpan w:val="3"/>
            <w:tcW w:w="1158"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年末“长期负债”余额（万）</w:t>
            </w:r>
            <w:r/>
          </w:p>
        </w:tc>
        <w:tc>
          <w:tcPr>
            <w:gridSpan w:val="2"/>
            <w:tcW w:w="124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768"/>
        </w:trPr>
        <w:tc>
          <w:tcPr>
            <w:gridSpan w:val="2"/>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737"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年末“资产总计”余额（万）</w:t>
            </w:r>
            <w:r/>
          </w:p>
        </w:tc>
        <w:tc>
          <w:tcPr>
            <w:tcW w:w="819"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gridSpan w:val="2"/>
            <w:tcW w:w="42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gridSpan w:val="3"/>
            <w:tcW w:w="1158"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年末“货币资金”余额（万）</w:t>
            </w:r>
            <w:r/>
          </w:p>
        </w:tc>
        <w:tc>
          <w:tcPr>
            <w:gridSpan w:val="2"/>
            <w:tcW w:w="124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547"/>
        </w:trPr>
        <w:tc>
          <w:tcPr>
            <w:gridSpan w:val="2"/>
            <w:shd w:val="clear" w:color="auto" w:fill="d9d9d9"/>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三</w:t>
            </w:r>
            <w:r/>
          </w:p>
        </w:tc>
        <w:tc>
          <w:tcPr>
            <w:gridSpan w:val="9"/>
            <w:shd w:val="clear" w:color="auto" w:fill="d9d9d9"/>
            <w:tcW w:w="438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投标人其他信息</w:t>
            </w:r>
            <w:r/>
          </w:p>
        </w:tc>
      </w:tr>
      <w:tr>
        <w:trPr>
          <w:trHeight w:val="1015"/>
        </w:trPr>
        <w:tc>
          <w:tcPr>
            <w:gridSpan w:val="2"/>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w:t>
            </w:r>
            <w:r/>
          </w:p>
        </w:tc>
        <w:tc>
          <w:tcPr>
            <w:tcW w:w="737"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公司取得的相关资质及等级：</w:t>
            </w:r>
            <w:r/>
          </w:p>
        </w:tc>
        <w:tc>
          <w:tcPr>
            <w:gridSpan w:val="8"/>
            <w:tcW w:w="3648"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1086"/>
        </w:trPr>
        <w:tc>
          <w:tcPr>
            <w:gridSpan w:val="2"/>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（二）</w:t>
            </w:r>
            <w:r/>
          </w:p>
        </w:tc>
        <w:tc>
          <w:tcPr>
            <w:tcW w:w="737"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公司</w:t>
            </w:r>
            <w:r>
              <w:rPr>
                <w:rFonts w:hint="eastAsia" w:cs="宋体" w:asciiTheme="minorEastAsia" w:hAnsiTheme="minorEastAsia" w:eastAsiaTheme="minorEastAsia"/>
                <w:b/>
                <w:sz w:val="24"/>
                <w:u w:val="single"/>
              </w:rPr>
              <w:t xml:space="preserve">2021</w:t>
            </w:r>
            <w:r>
              <w:rPr>
                <w:rFonts w:hint="eastAsia" w:cs="宋体" w:asciiTheme="minorEastAsia" w:hAnsiTheme="minorEastAsia" w:eastAsiaTheme="minorEastAsia"/>
                <w:sz w:val="24"/>
              </w:rPr>
              <w:t xml:space="preserve">年度后获得的荣誉及表彰情况</w:t>
            </w:r>
            <w:r/>
          </w:p>
        </w:tc>
        <w:tc>
          <w:tcPr>
            <w:gridSpan w:val="8"/>
            <w:tcW w:w="3648"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557"/>
        </w:trPr>
        <w:tc>
          <w:tcPr>
            <w:gridSpan w:val="2"/>
            <w:shd w:val="clear" w:color="auto" w:fill="bfbfbf"/>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四</w:t>
            </w:r>
            <w:r/>
          </w:p>
        </w:tc>
        <w:tc>
          <w:tcPr>
            <w:gridSpan w:val="9"/>
            <w:shd w:val="clear" w:color="auto" w:fill="bfbfbf"/>
            <w:tcW w:w="438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gridSpan w:val="4"/>
            <w:shd w:val="clear" w:color="auto" w:fill="ffffff"/>
            <w:tcW w:w="194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品牌、型号及主要参数配置简述</w:t>
            </w:r>
            <w:r/>
          </w:p>
        </w:tc>
        <w:tc>
          <w:tcPr>
            <w:gridSpan w:val="2"/>
            <w:shd w:val="clear" w:color="auto" w:fill="ffffff"/>
            <w:tcW w:w="72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购置年份</w:t>
            </w:r>
            <w:r/>
          </w:p>
        </w:tc>
        <w:tc>
          <w:tcPr>
            <w:shd w:val="clear" w:color="auto" w:fill="ffffff"/>
            <w:tcW w:w="48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价格</w:t>
            </w:r>
            <w:r/>
          </w:p>
        </w:tc>
        <w:tc>
          <w:tcPr>
            <w:gridSpan w:val="2"/>
            <w:shd w:val="clear" w:color="auto" w:fill="ffffff"/>
            <w:tcW w:w="660"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数量</w:t>
            </w:r>
            <w:r/>
          </w:p>
        </w:tc>
        <w:tc>
          <w:tcPr>
            <w:shd w:val="clear" w:color="auto" w:fill="ffffff"/>
            <w:tcW w:w="743"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用途</w:t>
            </w:r>
            <w:r/>
          </w:p>
        </w:tc>
      </w:tr>
      <w:tr>
        <w:trPr>
          <w:trHeight w:val="483"/>
        </w:trPr>
        <w:tc>
          <w:tcPr>
            <w:shd w:val="clear" w:color="auto" w:fill="ffffff"/>
            <w:tcW w:w="440"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1</w:t>
            </w:r>
            <w:r/>
          </w:p>
        </w:tc>
        <w:tc>
          <w:tcPr>
            <w:gridSpan w:val="4"/>
            <w:shd w:val="clear" w:color="auto" w:fill="ffffff"/>
            <w:tcW w:w="194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c>
          <w:tcPr>
            <w:gridSpan w:val="2"/>
            <w:shd w:val="clear" w:color="auto" w:fill="ffffff"/>
            <w:tcW w:w="72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c>
          <w:tcPr>
            <w:shd w:val="clear" w:color="auto" w:fill="ffffff"/>
            <w:tcW w:w="48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c>
          <w:tcPr>
            <w:gridSpan w:val="2"/>
            <w:shd w:val="clear" w:color="auto" w:fill="ffffff"/>
            <w:tcW w:w="660"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c>
          <w:tcPr>
            <w:shd w:val="clear" w:color="auto" w:fill="ffffff"/>
            <w:tcW w:w="743"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r>
      <w:tr>
        <w:trPr>
          <w:trHeight w:val="546"/>
        </w:trPr>
        <w:tc>
          <w:tcPr>
            <w:shd w:val="clear" w:color="auto" w:fill="ffffff"/>
            <w:tcW w:w="440"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2</w:t>
            </w:r>
            <w:r/>
          </w:p>
        </w:tc>
        <w:tc>
          <w:tcPr>
            <w:gridSpan w:val="4"/>
            <w:shd w:val="clear" w:color="auto" w:fill="ffffff"/>
            <w:tcW w:w="194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c>
          <w:tcPr>
            <w:gridSpan w:val="2"/>
            <w:shd w:val="clear" w:color="auto" w:fill="ffffff"/>
            <w:tcW w:w="72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c>
          <w:tcPr>
            <w:shd w:val="clear" w:color="auto" w:fill="ffffff"/>
            <w:tcW w:w="48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c>
          <w:tcPr>
            <w:gridSpan w:val="2"/>
            <w:shd w:val="clear" w:color="auto" w:fill="ffffff"/>
            <w:tcW w:w="660"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c>
          <w:tcPr>
            <w:shd w:val="clear" w:color="auto" w:fill="ffffff"/>
            <w:tcW w:w="743"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r>
      <w:tr>
        <w:trPr>
          <w:trHeight w:val="560"/>
        </w:trPr>
        <w:tc>
          <w:tcPr>
            <w:shd w:val="clear" w:color="auto" w:fill="ffffff"/>
            <w:tcW w:w="440"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3</w:t>
            </w:r>
            <w:r/>
          </w:p>
        </w:tc>
        <w:tc>
          <w:tcPr>
            <w:gridSpan w:val="4"/>
            <w:shd w:val="clear" w:color="auto" w:fill="ffffff"/>
            <w:tcW w:w="194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c>
          <w:tcPr>
            <w:gridSpan w:val="2"/>
            <w:shd w:val="clear" w:color="auto" w:fill="ffffff"/>
            <w:tcW w:w="72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c>
          <w:tcPr>
            <w:shd w:val="clear" w:color="auto" w:fill="ffffff"/>
            <w:tcW w:w="48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c>
          <w:tcPr>
            <w:gridSpan w:val="2"/>
            <w:shd w:val="clear" w:color="auto" w:fill="ffffff"/>
            <w:tcW w:w="660"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c>
          <w:tcPr>
            <w:shd w:val="clear" w:color="auto" w:fill="ffffff"/>
            <w:tcW w:w="743"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c>
          <w:tcPr>
            <w:gridSpan w:val="2"/>
            <w:shd w:val="clear" w:color="auto" w:fill="ffffff"/>
            <w:tcBorders>
              <w:bottom w:val="single" w:color="auto" w:sz="4" w:space="0"/>
            </w:tcBorders>
            <w:tcW w:w="72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c>
          <w:tcPr>
            <w:shd w:val="clear" w:color="auto" w:fill="ffffff"/>
            <w:tcBorders>
              <w:bottom w:val="single" w:color="auto" w:sz="4" w:space="0"/>
            </w:tcBorders>
            <w:tcW w:w="486"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c>
          <w:tcPr>
            <w:gridSpan w:val="2"/>
            <w:shd w:val="clear" w:color="auto" w:fill="ffffff"/>
            <w:tcBorders>
              <w:bottom w:val="single" w:color="auto" w:sz="4" w:space="0"/>
            </w:tcBorders>
            <w:tcW w:w="660"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c>
          <w:tcPr>
            <w:shd w:val="clear" w:color="auto" w:fill="ffffff"/>
            <w:tcBorders>
              <w:bottom w:val="single" w:color="auto" w:sz="4" w:space="0"/>
            </w:tcBorders>
            <w:tcW w:w="743"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r>
      <w:tr>
        <w:trPr>
          <w:trHeight w:val="575"/>
        </w:trPr>
        <w:tc>
          <w:tcPr>
            <w:gridSpan w:val="2"/>
            <w:shd w:val="clear" w:color="auto" w:fill="bfbfbf"/>
            <w:tcW w:w="61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五</w:t>
            </w:r>
            <w:r/>
          </w:p>
        </w:tc>
        <w:tc>
          <w:tcPr>
            <w:gridSpan w:val="9"/>
            <w:shd w:val="clear" w:color="auto" w:fill="bfbfbf"/>
            <w:tcW w:w="4385"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1085"/>
              <w:ind w:firstLine="0"/>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tc>
      </w:tr>
    </w:tbl>
    <w:p>
      <w:pPr>
        <w:jc w:val="left"/>
        <w:widowControl/>
        <w:rPr>
          <w:rFonts w:hint="eastAsia" w:cs="宋体" w:asciiTheme="minorEastAsia" w:hAnsiTheme="minorEastAsia" w:eastAsiaTheme="minorEastAsia"/>
          <w:b/>
          <w:sz w:val="32"/>
          <w:szCs w:val="20"/>
        </w:rPr>
      </w:pPr>
      <w:r>
        <w:rPr>
          <w:rFonts w:hint="eastAsia" w:cs="宋体" w:asciiTheme="minorEastAsia" w:hAnsiTheme="minorEastAsia" w:eastAsiaTheme="minorEastAsia"/>
          <w:b/>
          <w:sz w:val="32"/>
          <w:szCs w:val="20"/>
        </w:rPr>
      </w:r>
      <w:r/>
    </w:p>
    <w:p>
      <w:pPr>
        <w:jc w:val="left"/>
        <w:widowControl/>
        <w:rPr>
          <w:rFonts w:hint="eastAsia" w:cs="宋体" w:asciiTheme="minorEastAsia" w:hAnsiTheme="minorEastAsia" w:eastAsiaTheme="minorEastAsia"/>
          <w:b/>
          <w:sz w:val="32"/>
          <w:szCs w:val="20"/>
        </w:rPr>
      </w:pPr>
      <w:r>
        <w:rPr>
          <w:rFonts w:hint="eastAsia" w:cs="宋体" w:asciiTheme="minorEastAsia" w:hAnsiTheme="minorEastAsia" w:eastAsiaTheme="minorEastAsia"/>
          <w:b/>
          <w:sz w:val="32"/>
          <w:szCs w:val="20"/>
        </w:rPr>
        <w:br w:type="page" w:clear="all"/>
      </w:r>
      <w:r/>
    </w:p>
    <w:p>
      <w:pPr>
        <w:jc w:val="left"/>
        <w:widowControl/>
        <w:rPr>
          <w:rFonts w:hint="eastAsia" w:cs="宋体" w:asciiTheme="minorEastAsia" w:hAnsiTheme="minorEastAsia" w:eastAsiaTheme="minorEastAsia"/>
          <w:b/>
          <w:sz w:val="32"/>
          <w:szCs w:val="20"/>
        </w:rPr>
      </w:pPr>
      <w:r>
        <w:rPr>
          <w:rFonts w:hint="eastAsia" w:cs="宋体" w:asciiTheme="minorEastAsia" w:hAnsiTheme="minorEastAsia" w:eastAsiaTheme="minorEastAsia"/>
          <w:b/>
          <w:sz w:val="32"/>
          <w:szCs w:val="20"/>
        </w:rPr>
      </w:r>
      <w:r/>
    </w:p>
    <w:p>
      <w:pPr>
        <w:jc w:val="center"/>
        <w:spacing w:line="360" w:lineRule="auto"/>
        <w:rPr>
          <w:rFonts w:hint="eastAsia" w:cs="宋体" w:asciiTheme="minorEastAsia" w:hAnsiTheme="minorEastAsia" w:eastAsiaTheme="minorEastAsia"/>
          <w:sz w:val="32"/>
        </w:rPr>
      </w:pPr>
      <w:r>
        <w:rPr>
          <w:rFonts w:hint="eastAsia" w:cs="宋体" w:asciiTheme="minorEastAsia" w:hAnsiTheme="minorEastAsia" w:eastAsiaTheme="minorEastAsia"/>
          <w:sz w:val="32"/>
        </w:rPr>
        <w:t xml:space="preserve">（五）依法缴纳税收和社会保障资金的良好记录</w:t>
      </w:r>
      <w:r/>
    </w:p>
    <w:p>
      <w:pPr>
        <w:ind w:firstLine="977"/>
        <w:spacing w:line="360" w:lineRule="auto"/>
        <w:rPr>
          <w:rFonts w:hint="eastAsia"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t xml:space="preserve">提供参加本次政府采购活动近半年内至少一个月依法缴纳税收和社会保障的凭据，或提供资格承诺函</w:t>
      </w:r>
      <w:r>
        <w:rPr>
          <w:rFonts w:hint="eastAsia" w:cs="宋体" w:asciiTheme="minorEastAsia" w:hAnsiTheme="minorEastAsia" w:eastAsiaTheme="minorEastAsia"/>
          <w:sz w:val="28"/>
          <w:szCs w:val="28"/>
        </w:rPr>
        <w:t xml:space="preserve">（见本部分（六）资格承诺函）</w:t>
      </w:r>
      <w:r>
        <w:rPr>
          <w:rFonts w:hint="eastAsia" w:cs="宋体" w:asciiTheme="minorEastAsia" w:hAnsiTheme="minorEastAsia" w:eastAsiaTheme="minorEastAsia"/>
          <w:bCs/>
          <w:sz w:val="28"/>
          <w:szCs w:val="28"/>
        </w:rPr>
        <w:t xml:space="preserve">。</w:t>
      </w:r>
      <w:r/>
    </w:p>
    <w:p>
      <w:pPr>
        <w:ind w:firstLine="560"/>
        <w:spacing w:line="360" w:lineRule="auto"/>
        <w:rPr>
          <w:rFonts w:hint="eastAsia"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br w:type="page" w:clear="all"/>
      </w:r>
      <w:r/>
    </w:p>
    <w:p>
      <w:pPr>
        <w:jc w:val="center"/>
        <w:spacing w:line="360" w:lineRule="auto"/>
        <w:rPr>
          <w:rFonts w:hint="eastAsia" w:cs="宋体" w:asciiTheme="minorEastAsia" w:hAnsiTheme="minorEastAsia" w:eastAsiaTheme="minorEastAsia"/>
          <w:sz w:val="32"/>
        </w:rPr>
      </w:pPr>
      <w:r>
        <w:rPr>
          <w:rFonts w:hint="eastAsia" w:cs="宋体" w:asciiTheme="minorEastAsia" w:hAnsiTheme="minorEastAsia" w:eastAsiaTheme="minorEastAsia"/>
          <w:sz w:val="32"/>
        </w:rPr>
        <w:t xml:space="preserve">（六）资格承诺函</w:t>
      </w:r>
      <w:r/>
    </w:p>
    <w:p>
      <w:pPr>
        <w:spacing w:line="360" w:lineRule="auto"/>
        <w:rPr>
          <w:rFonts w:hint="eastAsia"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t xml:space="preserve">致：</w:t>
      </w:r>
      <w:r>
        <w:rPr>
          <w:rFonts w:hint="eastAsia" w:cs="宋体" w:asciiTheme="minorEastAsia" w:hAnsiTheme="minorEastAsia" w:eastAsiaTheme="minorEastAsia"/>
          <w:bCs/>
          <w:sz w:val="28"/>
          <w:szCs w:val="28"/>
          <w:u w:val="single"/>
        </w:rPr>
        <w:t xml:space="preserve">    （采购人、采购代理机构）  </w:t>
      </w:r>
      <w:r>
        <w:rPr>
          <w:rFonts w:hint="eastAsia" w:cs="宋体" w:asciiTheme="minorEastAsia" w:hAnsiTheme="minorEastAsia" w:eastAsiaTheme="minorEastAsia"/>
          <w:bCs/>
          <w:sz w:val="28"/>
          <w:szCs w:val="28"/>
        </w:rPr>
        <w:t xml:space="preserve"> </w:t>
      </w:r>
      <w:r/>
    </w:p>
    <w:p>
      <w:pPr>
        <w:ind w:firstLine="560"/>
        <w:spacing w:line="360" w:lineRule="auto"/>
        <w:rPr>
          <w:rFonts w:hint="eastAsia"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t xml:space="preserve">我单位参与</w:t>
      </w:r>
      <w:r>
        <w:rPr>
          <w:rFonts w:hint="eastAsia" w:cs="宋体" w:asciiTheme="minorEastAsia" w:hAnsiTheme="minorEastAsia" w:eastAsiaTheme="minorEastAsia"/>
          <w:bCs/>
          <w:sz w:val="28"/>
          <w:szCs w:val="28"/>
          <w:u w:val="single"/>
        </w:rPr>
        <w:t xml:space="preserve">  （项目名称）  （项目编号：    ）</w:t>
      </w:r>
      <w:r>
        <w:rPr>
          <w:rFonts w:hint="eastAsia" w:cs="宋体" w:asciiTheme="minorEastAsia" w:hAnsiTheme="minorEastAsia" w:eastAsiaTheme="minorEastAsia"/>
          <w:bCs/>
          <w:sz w:val="28"/>
          <w:szCs w:val="28"/>
        </w:rPr>
        <w:t xml:space="preserve">项目的政府采购活动，现承诺如下：</w:t>
      </w:r>
      <w:r/>
    </w:p>
    <w:p>
      <w:pPr>
        <w:ind w:firstLine="560"/>
        <w:spacing w:line="360" w:lineRule="auto"/>
        <w:rPr>
          <w:rFonts w:hint="eastAsia"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t xml:space="preserve">1.我方具有良好的商业信誉和健全的财务会计制度。</w:t>
      </w:r>
      <w:r/>
    </w:p>
    <w:p>
      <w:pPr>
        <w:ind w:firstLine="560"/>
        <w:spacing w:line="360" w:lineRule="auto"/>
        <w:rPr>
          <w:rFonts w:hint="eastAsia"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t xml:space="preserve">2.我方具有履行合同所必需的设备和专业技术能力。</w:t>
      </w:r>
      <w:r/>
    </w:p>
    <w:p>
      <w:pPr>
        <w:ind w:firstLine="560"/>
        <w:spacing w:line="360" w:lineRule="auto"/>
        <w:rPr>
          <w:rFonts w:hint="eastAsia"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t xml:space="preserve">3.我方具有依法缴纳税收和社会保障资金的良好记录。</w:t>
      </w:r>
      <w:r/>
    </w:p>
    <w:p>
      <w:pPr>
        <w:ind w:firstLine="560"/>
        <w:spacing w:line="360" w:lineRule="auto"/>
        <w:rPr>
          <w:rFonts w:hint="eastAsia"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t xml:space="preserve">4.我方参加本项目采购活动前三年内，在经营活动中没有重大违法记录。</w:t>
      </w:r>
      <w:r/>
    </w:p>
    <w:p>
      <w:pPr>
        <w:ind w:firstLine="560"/>
        <w:spacing w:line="360" w:lineRule="auto"/>
        <w:rPr>
          <w:rFonts w:hint="eastAsia"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t xml:space="preserve">若我单位承诺不实，自愿承担提供虚假材料谋取中标、成交的法律责任。</w:t>
      </w:r>
      <w:r/>
    </w:p>
    <w:p>
      <w:pPr>
        <w:ind w:firstLine="560"/>
        <w:spacing w:line="360" w:lineRule="auto"/>
        <w:rPr>
          <w:rFonts w:hint="eastAsia"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t xml:space="preserve">投标（响应）供应商（全称并盖章）：         </w:t>
      </w:r>
      <w:r/>
    </w:p>
    <w:p>
      <w:pPr>
        <w:ind w:firstLine="560"/>
        <w:spacing w:line="360" w:lineRule="auto"/>
        <w:rPr>
          <w:rFonts w:hint="eastAsia"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t xml:space="preserve">供应商法定代表人或授权代表（签字或签章）：    </w:t>
      </w:r>
      <w:r/>
    </w:p>
    <w:p>
      <w:pPr>
        <w:ind w:firstLine="560"/>
        <w:spacing w:line="360" w:lineRule="auto"/>
        <w:rPr>
          <w:rFonts w:hint="eastAsia"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t xml:space="preserve">日期：     </w:t>
      </w:r>
      <w:r/>
    </w:p>
    <w:p>
      <w:pPr>
        <w:ind w:firstLine="560"/>
        <w:spacing w:line="360" w:lineRule="auto"/>
        <w:rPr>
          <w:rFonts w:hint="eastAsia"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t xml:space="preserve">﹍﹍﹍﹍﹍﹍﹍﹍﹍﹍﹍﹍﹍﹍﹍﹍﹍﹍﹍﹍﹍﹍﹍﹍</w:t>
      </w:r>
      <w:r/>
    </w:p>
    <w:p>
      <w:pPr>
        <w:ind w:firstLine="560"/>
        <w:spacing w:line="360" w:lineRule="auto"/>
        <w:rPr>
          <w:rFonts w:hint="eastAsia"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t xml:space="preserve">说明：1.供应商可自行选择是否提供本承诺函，若不提供本承诺函的，应按招标文件要求提供相应的证明材料。</w:t>
      </w:r>
      <w:r/>
    </w:p>
    <w:p>
      <w:pPr>
        <w:ind w:firstLine="560"/>
        <w:spacing w:line="360" w:lineRule="auto"/>
        <w:rPr>
          <w:rFonts w:hint="eastAsia"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t xml:space="preserve">2.供应商可删减承诺事项，删减的承诺事项须按招标文件要求提供相应的证明材料。比如删去本承诺函第3项的，则应按招标文件要求提供依法缴纳税收和社会保障资金的良好记录。</w:t>
      </w:r>
      <w:r/>
    </w:p>
    <w:p>
      <w:p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p>
    <w:p>
      <w:pPr>
        <w:ind w:firstLine="640"/>
        <w:jc w:val="center"/>
        <w:spacing w:line="360" w:lineRule="auto"/>
        <w:rPr>
          <w:rFonts w:hint="eastAsia" w:cs="宋体" w:asciiTheme="minorEastAsia" w:hAnsiTheme="minorEastAsia" w:eastAsiaTheme="minorEastAsia"/>
          <w:sz w:val="32"/>
        </w:rPr>
      </w:pPr>
      <w:r>
        <w:rPr>
          <w:rFonts w:hint="eastAsia" w:cs="宋体" w:asciiTheme="minorEastAsia" w:hAnsiTheme="minorEastAsia" w:eastAsiaTheme="minorEastAsia"/>
          <w:sz w:val="32"/>
        </w:rPr>
        <w:t xml:space="preserve">（七）法律、行政法规规定的其他条件</w:t>
      </w:r>
      <w:r/>
    </w:p>
    <w:p>
      <w:pPr>
        <w:pStyle w:val="2453"/>
        <w:ind w:firstLine="525"/>
        <w:jc w:val="left"/>
        <w:spacing w:line="560" w:lineRule="exact"/>
        <w:shd w:val="clear" w:color="auto" w:fill="ffffff"/>
        <w:widowControl/>
        <w:rPr>
          <w:rFonts w:hint="eastAsia" w:cs="宋体" w:asciiTheme="minorEastAsia" w:hAnsiTheme="minorEastAsia" w:eastAsiaTheme="minorEastAsia"/>
          <w:sz w:val="28"/>
          <w:szCs w:val="28"/>
        </w:rPr>
      </w:pPr>
      <w:r>
        <w:rPr>
          <w:rFonts w:hint="eastAsia" w:cs="宋体" w:asciiTheme="minorEastAsia" w:hAnsiTheme="minorEastAsia" w:eastAsiaTheme="minorEastAsia"/>
        </w:rPr>
        <w:br w:type="page" w:clear="all"/>
      </w:r>
      <w:r/>
    </w:p>
    <w:p>
      <w:pPr>
        <w:ind w:firstLine="640"/>
        <w:jc w:val="center"/>
        <w:spacing w:line="360" w:lineRule="auto"/>
        <w:rPr>
          <w:rFonts w:hint="eastAsia" w:cs="宋体" w:asciiTheme="minorEastAsia" w:hAnsiTheme="minorEastAsia" w:eastAsiaTheme="minorEastAsia"/>
          <w:sz w:val="32"/>
        </w:rPr>
      </w:pPr>
      <w:r>
        <w:rPr>
          <w:rFonts w:hint="eastAsia" w:cs="宋体" w:asciiTheme="minorEastAsia" w:hAnsiTheme="minorEastAsia" w:eastAsiaTheme="minorEastAsia"/>
          <w:sz w:val="32"/>
        </w:rPr>
        <w:t xml:space="preserve">（八）落实政府采购政策需满足的资格要求</w:t>
      </w:r>
      <w:r/>
    </w:p>
    <w:p>
      <w:pPr>
        <w:jc w:val="left"/>
        <w:widowControl/>
        <w:rPr>
          <w:rFonts w:hint="eastAsia" w:cs="宋体" w:asciiTheme="minorEastAsia" w:hAnsiTheme="minorEastAsia" w:eastAsiaTheme="minorEastAsia"/>
          <w:b/>
          <w:sz w:val="32"/>
          <w:szCs w:val="20"/>
        </w:rPr>
      </w:pPr>
      <w:r>
        <w:rPr>
          <w:rFonts w:hint="eastAsia" w:cs="宋体" w:asciiTheme="minorEastAsia" w:hAnsiTheme="minorEastAsia" w:eastAsiaTheme="minorEastAsia"/>
        </w:rPr>
        <w:br w:type="page" w:clear="all"/>
      </w:r>
      <w:r/>
    </w:p>
    <w:p>
      <w:pPr>
        <w:jc w:val="center"/>
        <w:spacing w:line="360" w:lineRule="auto"/>
        <w:rPr>
          <w:rFonts w:hint="eastAsia" w:cs="宋体" w:asciiTheme="minorEastAsia" w:hAnsiTheme="minorEastAsia" w:eastAsiaTheme="minorEastAsia"/>
          <w:sz w:val="32"/>
        </w:rPr>
      </w:pPr>
      <w:r>
        <w:rPr>
          <w:rFonts w:hint="eastAsia" w:cs="宋体" w:asciiTheme="minorEastAsia" w:hAnsiTheme="minorEastAsia" w:eastAsiaTheme="minorEastAsia"/>
          <w:sz w:val="32"/>
        </w:rPr>
        <w:t xml:space="preserve">（九）本项目的特定资格要求</w:t>
      </w:r>
      <w:r/>
    </w:p>
    <w:p>
      <w:pPr>
        <w:jc w:val="left"/>
        <w:widowControl/>
        <w:rPr>
          <w:rFonts w:hint="eastAsia" w:cs="宋体" w:asciiTheme="minorEastAsia" w:hAnsiTheme="minorEastAsia" w:eastAsiaTheme="minorEastAsia"/>
          <w:b/>
          <w:sz w:val="32"/>
          <w:szCs w:val="20"/>
        </w:rPr>
      </w:pPr>
      <w:r>
        <w:rPr>
          <w:rFonts w:hint="eastAsia" w:cs="宋体" w:asciiTheme="minorEastAsia" w:hAnsiTheme="minorEastAsia" w:eastAsiaTheme="minorEastAsia"/>
        </w:rPr>
        <w:br w:type="page" w:clear="all"/>
      </w:r>
      <w:r/>
    </w:p>
    <w:p>
      <w:pPr>
        <w:jc w:val="center"/>
        <w:spacing w:line="360" w:lineRule="auto"/>
        <w:rPr>
          <w:rFonts w:hint="eastAsia" w:cs="宋体" w:asciiTheme="minorEastAsia" w:hAnsiTheme="minorEastAsia" w:eastAsiaTheme="minorEastAsia"/>
          <w:b/>
          <w:bCs/>
          <w:sz w:val="32"/>
        </w:rPr>
      </w:pPr>
      <w:r>
        <w:rPr>
          <w:rFonts w:hint="eastAsia" w:cs="宋体" w:asciiTheme="minorEastAsia" w:hAnsiTheme="minorEastAsia" w:eastAsiaTheme="minorEastAsia"/>
          <w:b/>
          <w:bCs/>
          <w:sz w:val="32"/>
        </w:rPr>
        <w:t xml:space="preserve">二、法定代表人身份证明书（标段</w:t>
      </w:r>
      <w:r>
        <w:rPr>
          <w:rFonts w:hint="eastAsia" w:cs="宋体" w:asciiTheme="minorEastAsia" w:hAnsiTheme="minorEastAsia" w:eastAsiaTheme="minorEastAsia"/>
          <w:b/>
          <w:bCs/>
          <w:sz w:val="32"/>
          <w:u w:val="single"/>
        </w:rPr>
        <w:t xml:space="preserve">   </w:t>
      </w:r>
      <w:r>
        <w:rPr>
          <w:rFonts w:hint="eastAsia" w:cs="宋体" w:asciiTheme="minorEastAsia" w:hAnsiTheme="minorEastAsia" w:eastAsiaTheme="minorEastAsia"/>
          <w:b/>
          <w:bCs/>
          <w:sz w:val="32"/>
        </w:rPr>
        <w:t xml:space="preserve">）</w:t>
      </w:r>
      <w:r/>
    </w:p>
    <w:p>
      <w:pPr>
        <w:ind w:firstLine="560"/>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r>
      <w:r/>
    </w:p>
    <w:p>
      <w:pPr>
        <w:ind w:firstLine="560"/>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兹证明</w:t>
      </w:r>
      <w:r>
        <w:rPr>
          <w:rFonts w:hint="eastAsia" w:cs="宋体" w:asciiTheme="minorEastAsia" w:hAnsiTheme="minorEastAsia" w:eastAsiaTheme="minorEastAsia"/>
          <w:b/>
          <w:sz w:val="24"/>
          <w:u w:val="single"/>
        </w:rPr>
        <w:t xml:space="preserve">×××（）姓名</w:t>
      </w:r>
      <w:r>
        <w:rPr>
          <w:rFonts w:hint="eastAsia" w:cs="宋体" w:asciiTheme="minorEastAsia" w:hAnsiTheme="minorEastAsia" w:eastAsiaTheme="minorEastAsia"/>
          <w:sz w:val="28"/>
          <w:szCs w:val="28"/>
        </w:rPr>
        <w:t xml:space="preserve">同志，性别</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szCs w:val="28"/>
        </w:rPr>
        <w:t xml:space="preserve">，</w:t>
      </w:r>
      <w:r>
        <w:rPr>
          <w:rFonts w:hint="eastAsia" w:cs="宋体" w:asciiTheme="minorEastAsia" w:hAnsiTheme="minorEastAsia" w:eastAsiaTheme="minorEastAsia"/>
          <w:sz w:val="28"/>
        </w:rPr>
        <w:t xml:space="preserve">居民身份证号</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szCs w:val="28"/>
        </w:rPr>
        <w:t xml:space="preserve">，在我单位任职务，系我单位主要负责人即法定代表人。</w:t>
      </w:r>
      <w:r/>
    </w:p>
    <w:p>
      <w:pPr>
        <w:ind w:firstLine="560"/>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r>
      <w:r/>
    </w:p>
    <w:p>
      <w:pPr>
        <w:ind w:firstLine="560"/>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单位地址：</w:t>
      </w:r>
      <w:r/>
    </w:p>
    <w:p>
      <w:pPr>
        <w:ind w:firstLine="560"/>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r>
      <w:r/>
    </w:p>
    <w:p>
      <w:pPr>
        <w:ind w:firstLine="560"/>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电    话：</w:t>
      </w:r>
      <w:r/>
    </w:p>
    <w:p>
      <w:pPr>
        <w:ind w:firstLine="560"/>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r>
      <w:r/>
    </w:p>
    <w:p>
      <w:pPr>
        <w:ind w:firstLine="560"/>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单位全称： </w:t>
      </w:r>
      <w:r/>
    </w:p>
    <w:p>
      <w:pPr>
        <w:ind w:firstLine="560"/>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r>
      <w:r/>
    </w:p>
    <w:p>
      <w:pPr>
        <w:ind w:firstLine="560"/>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公    章： </w:t>
      </w:r>
      <w:r/>
    </w:p>
    <w:p>
      <w:pPr>
        <w:ind w:firstLine="560"/>
        <w:spacing w:line="360" w:lineRule="auto"/>
        <w:tabs>
          <w:tab w:val="left" w:pos="7290" w:leader="none"/>
        </w:tabs>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r>
      <w:r/>
    </w:p>
    <w:p>
      <w:pPr>
        <w:ind w:firstLine="560"/>
        <w:jc w:val="right"/>
        <w:spacing w:line="360" w:lineRule="auto"/>
        <w:tabs>
          <w:tab w:val="left" w:pos="7290" w:leader="none"/>
        </w:tabs>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  年     月    日</w:t>
      </w:r>
      <w:r/>
    </w:p>
    <w:p>
      <w:pPr>
        <w:ind w:firstLine="643"/>
        <w:jc w:val="left"/>
        <w:spacing w:line="360" w:lineRule="auto"/>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ind w:firstLine="643"/>
        <w:jc w:val="left"/>
        <w:spacing w:line="360" w:lineRule="auto"/>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ind w:firstLine="643"/>
        <w:jc w:val="left"/>
        <w:spacing w:line="360" w:lineRule="auto"/>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附：法定代表人居民身份证扫描件</w:t>
      </w:r>
      <w:r/>
    </w:p>
    <w:p>
      <w:pPr>
        <w:ind w:firstLine="560"/>
        <w:spacing w:line="360" w:lineRule="auto"/>
        <w:tabs>
          <w:tab w:val="left" w:pos="7290" w:leader="none"/>
        </w:tabs>
        <w:rPr>
          <w:rFonts w:hint="eastAsia" w:cs="宋体" w:asciiTheme="minorEastAsia" w:hAnsiTheme="minorEastAsia" w:eastAsiaTheme="minorEastAsia"/>
          <w:sz w:val="28"/>
        </w:rPr>
      </w:pPr>
      <w:r>
        <w:rPr>
          <w:rFonts w:hint="eastAsia" w:cs="宋体" w:asciiTheme="minorEastAsia" w:hAnsiTheme="minorEastAsia" w:eastAsiaTheme="minorEastAsia"/>
          <w:sz w:val="28"/>
          <w:u w:val="single"/>
        </w:rPr>
        <w:t xml:space="preserve">注：1.“法定代表人”直接参加投标响应活动的仅需填写本身份证明</w:t>
      </w:r>
      <w:r>
        <w:rPr>
          <w:rFonts w:hint="eastAsia" w:cs="宋体" w:asciiTheme="minorEastAsia" w:hAnsiTheme="minorEastAsia" w:eastAsiaTheme="minorEastAsia"/>
          <w:sz w:val="28"/>
        </w:rPr>
        <w:t xml:space="preserve">。</w:t>
      </w:r>
      <w:r/>
    </w:p>
    <w:p>
      <w:pPr>
        <w:ind w:firstLine="562"/>
        <w:spacing w:line="360" w:lineRule="auto"/>
        <w:tabs>
          <w:tab w:val="left" w:pos="7290" w:leader="none"/>
        </w:tabs>
        <w:rPr>
          <w:rFonts w:hint="eastAsia" w:cs="宋体" w:asciiTheme="minorEastAsia" w:hAnsiTheme="minorEastAsia" w:eastAsiaTheme="minorEastAsia"/>
          <w:b/>
          <w:sz w:val="28"/>
          <w:szCs w:val="28"/>
          <w:u w:val="single"/>
        </w:rPr>
      </w:pPr>
      <w:r>
        <w:rPr>
          <w:rFonts w:hint="eastAsia" w:cs="宋体" w:asciiTheme="minorEastAsia" w:hAnsiTheme="minorEastAsia" w:eastAsiaTheme="minorEastAsia"/>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cs="宋体" w:asciiTheme="minorEastAsia" w:hAnsiTheme="minorEastAsia" w:eastAsiaTheme="minorEastAsia"/>
          <w:b/>
          <w:sz w:val="32"/>
          <w:szCs w:val="20"/>
        </w:rPr>
      </w:pPr>
      <w:r>
        <w:rPr>
          <w:rFonts w:hint="eastAsia" w:cs="宋体" w:asciiTheme="minorEastAsia" w:hAnsiTheme="minorEastAsia" w:eastAsiaTheme="minorEastAsia"/>
        </w:rPr>
        <w:br w:type="page" w:clear="all"/>
      </w:r>
      <w:r/>
    </w:p>
    <w:p>
      <w:pPr>
        <w:jc w:val="center"/>
        <w:spacing w:line="360" w:lineRule="auto"/>
        <w:rPr>
          <w:rFonts w:hint="eastAsia" w:cs="宋体" w:asciiTheme="minorEastAsia" w:hAnsiTheme="minorEastAsia" w:eastAsiaTheme="minorEastAsia"/>
          <w:b/>
          <w:bCs/>
          <w:sz w:val="32"/>
        </w:rPr>
      </w:pPr>
      <w:r>
        <w:rPr>
          <w:rFonts w:hint="eastAsia" w:cs="宋体" w:asciiTheme="minorEastAsia" w:hAnsiTheme="minorEastAsia" w:eastAsiaTheme="minorEastAsia"/>
          <w:b/>
          <w:bCs/>
          <w:sz w:val="32"/>
        </w:rPr>
        <w:t xml:space="preserve">三、法定代表人授权委托书（标段</w:t>
      </w:r>
      <w:r>
        <w:rPr>
          <w:rFonts w:hint="eastAsia" w:cs="宋体" w:asciiTheme="minorEastAsia" w:hAnsiTheme="minorEastAsia" w:eastAsiaTheme="minorEastAsia"/>
          <w:b/>
          <w:bCs/>
          <w:sz w:val="32"/>
          <w:u w:val="single"/>
        </w:rPr>
        <w:t xml:space="preserve">   </w:t>
      </w:r>
      <w:r>
        <w:rPr>
          <w:rFonts w:hint="eastAsia" w:cs="宋体" w:asciiTheme="minorEastAsia" w:hAnsiTheme="minorEastAsia" w:eastAsiaTheme="minorEastAsia"/>
          <w:b/>
          <w:bCs/>
          <w:sz w:val="32"/>
        </w:rPr>
        <w:t xml:space="preserve">）</w:t>
      </w:r>
      <w:r/>
    </w:p>
    <w:p>
      <w:pPr>
        <w:ind w:right="420" w:firstLine="560"/>
        <w:spacing w:line="360" w:lineRule="auto"/>
        <w:rPr>
          <w:rFonts w:hint="eastAsia" w:cs="宋体" w:asciiTheme="minorEastAsia" w:hAnsiTheme="minorEastAsia" w:eastAsiaTheme="minorEastAsia"/>
          <w:sz w:val="28"/>
        </w:rPr>
      </w:pPr>
      <w:r>
        <w:rPr>
          <w:rFonts w:hint="eastAsia" w:cs="宋体" w:asciiTheme="minorEastAsia" w:hAnsiTheme="minorEastAsia" w:eastAsiaTheme="minorEastAsia"/>
          <w:sz w:val="28"/>
        </w:rPr>
        <w:t xml:space="preserve">本授权书声明：</w:t>
      </w:r>
      <w:r>
        <w:rPr>
          <w:rFonts w:hint="eastAsia" w:cs="宋体" w:asciiTheme="minorEastAsia" w:hAnsiTheme="minorEastAsia" w:eastAsiaTheme="minorEastAsia"/>
          <w:b/>
          <w:sz w:val="24"/>
          <w:u w:val="single"/>
        </w:rPr>
        <w:t xml:space="preserve">×××（投标人名称）</w:t>
      </w:r>
      <w:r>
        <w:rPr>
          <w:rFonts w:hint="eastAsia" w:cs="宋体" w:asciiTheme="minorEastAsia" w:hAnsiTheme="minorEastAsia" w:eastAsiaTheme="minorEastAsia"/>
          <w:sz w:val="28"/>
        </w:rPr>
        <w:t xml:space="preserve">法定代表人</w:t>
      </w:r>
      <w:r>
        <w:rPr>
          <w:rFonts w:hint="eastAsia" w:cs="宋体" w:asciiTheme="minorEastAsia" w:hAnsiTheme="minorEastAsia" w:eastAsiaTheme="minorEastAsia"/>
          <w:b/>
          <w:sz w:val="24"/>
          <w:u w:val="single"/>
        </w:rPr>
        <w:t xml:space="preserve">×××（姓名） </w:t>
      </w:r>
      <w:r>
        <w:rPr>
          <w:rFonts w:hint="eastAsia" w:cs="宋体" w:asciiTheme="minorEastAsia" w:hAnsiTheme="minorEastAsia" w:eastAsiaTheme="minorEastAsia"/>
          <w:sz w:val="28"/>
        </w:rPr>
        <w:t xml:space="preserve">授权</w:t>
      </w:r>
      <w:r>
        <w:rPr>
          <w:rFonts w:hint="eastAsia" w:cs="宋体" w:asciiTheme="minorEastAsia" w:hAnsiTheme="minorEastAsia" w:eastAsiaTheme="minorEastAsia"/>
          <w:b/>
          <w:sz w:val="24"/>
          <w:u w:val="single"/>
        </w:rPr>
        <w:t xml:space="preserve">×××（委托代理人的姓名、身份证号）</w:t>
      </w:r>
      <w:r>
        <w:rPr>
          <w:rFonts w:hint="eastAsia" w:cs="宋体" w:asciiTheme="minorEastAsia" w:hAnsiTheme="minorEastAsia" w:eastAsiaTheme="minorEastAsia"/>
          <w:sz w:val="28"/>
        </w:rPr>
        <w:t xml:space="preserve">为我方就</w:t>
      </w:r>
      <w:r>
        <w:rPr>
          <w:rFonts w:hint="eastAsia" w:cs="宋体" w:asciiTheme="minorEastAsia" w:hAnsiTheme="minorEastAsia" w:eastAsiaTheme="minorEastAsia"/>
          <w:b/>
          <w:sz w:val="24"/>
          <w:u w:val="single"/>
        </w:rPr>
        <w:t xml:space="preserve">××××（代理机构）代理的××××（项目编号）</w:t>
      </w:r>
      <w:r>
        <w:rPr>
          <w:rFonts w:hint="eastAsia" w:cs="宋体" w:asciiTheme="minorEastAsia" w:hAnsiTheme="minorEastAsia" w:eastAsiaTheme="minorEastAsia"/>
          <w:bCs/>
          <w:sz w:val="28"/>
        </w:rPr>
        <w:t xml:space="preserve">项目</w:t>
      </w:r>
      <w:r>
        <w:rPr>
          <w:rFonts w:hint="eastAsia" w:cs="宋体" w:asciiTheme="minorEastAsia" w:hAnsiTheme="minorEastAsia" w:eastAsiaTheme="minorEastAsia"/>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cs="宋体" w:asciiTheme="minorEastAsia" w:hAnsiTheme="minorEastAsia" w:eastAsiaTheme="minorEastAsia"/>
          <w:sz w:val="28"/>
        </w:rPr>
      </w:pPr>
      <w:r>
        <w:rPr>
          <w:rFonts w:hint="eastAsia" w:cs="宋体" w:asciiTheme="minorEastAsia" w:hAnsiTheme="minorEastAsia" w:eastAsiaTheme="minorEastAsia"/>
          <w:sz w:val="28"/>
        </w:rPr>
        <w:tab/>
      </w:r>
      <w:r/>
    </w:p>
    <w:p>
      <w:pPr>
        <w:ind w:firstLine="560"/>
        <w:spacing w:line="360" w:lineRule="auto"/>
        <w:rPr>
          <w:rFonts w:hint="eastAsia" w:cs="宋体" w:asciiTheme="minorEastAsia" w:hAnsiTheme="minorEastAsia" w:eastAsiaTheme="minorEastAsia"/>
          <w:sz w:val="28"/>
        </w:rPr>
      </w:pPr>
      <w:r>
        <w:rPr>
          <w:rFonts w:hint="eastAsia" w:cs="宋体" w:asciiTheme="minorEastAsia" w:hAnsiTheme="minorEastAsia" w:eastAsiaTheme="minorEastAsia"/>
          <w:sz w:val="28"/>
        </w:rPr>
        <w:t xml:space="preserve">本授权书于年月日签字生效，特此声明。</w:t>
      </w:r>
      <w:r/>
    </w:p>
    <w:p>
      <w:pPr>
        <w:ind w:firstLine="560"/>
        <w:spacing w:line="360" w:lineRule="auto"/>
        <w:rPr>
          <w:rFonts w:hint="eastAsia" w:cs="宋体" w:asciiTheme="minorEastAsia" w:hAnsiTheme="minorEastAsia" w:eastAsiaTheme="minorEastAsia"/>
          <w:sz w:val="28"/>
        </w:rPr>
      </w:pPr>
      <w:r>
        <w:rPr>
          <w:rFonts w:hint="eastAsia" w:cs="宋体" w:asciiTheme="minorEastAsia" w:hAnsiTheme="minorEastAsia" w:eastAsiaTheme="minorEastAsia"/>
          <w:sz w:val="28"/>
        </w:rPr>
        <w:t xml:space="preserve">委托代理人身份证号码：</w:t>
      </w:r>
      <w:r/>
    </w:p>
    <w:p>
      <w:pPr>
        <w:ind w:firstLine="560"/>
        <w:spacing w:line="360" w:lineRule="auto"/>
        <w:rPr>
          <w:rFonts w:hint="eastAsia" w:cs="宋体" w:asciiTheme="minorEastAsia" w:hAnsiTheme="minorEastAsia" w:eastAsiaTheme="minorEastAsia"/>
          <w:sz w:val="28"/>
        </w:rPr>
      </w:pPr>
      <w:r>
        <w:rPr>
          <w:rFonts w:hint="eastAsia" w:cs="宋体" w:asciiTheme="minorEastAsia" w:hAnsiTheme="minorEastAsia" w:eastAsiaTheme="minorEastAsia"/>
          <w:sz w:val="28"/>
        </w:rPr>
        <w:t xml:space="preserve">委托代理人联系电话：（手机）</w:t>
      </w:r>
      <w:r/>
    </w:p>
    <w:p>
      <w:pPr>
        <w:ind w:firstLine="560"/>
        <w:spacing w:line="360" w:lineRule="auto"/>
        <w:rPr>
          <w:rFonts w:hint="eastAsia" w:cs="宋体" w:asciiTheme="minorEastAsia" w:hAnsiTheme="minorEastAsia" w:eastAsiaTheme="minorEastAsia"/>
          <w:sz w:val="28"/>
        </w:rPr>
      </w:pPr>
      <w:r>
        <w:rPr>
          <w:rFonts w:hint="eastAsia" w:cs="宋体" w:asciiTheme="minorEastAsia" w:hAnsiTheme="minorEastAsia" w:eastAsiaTheme="minorEastAsia"/>
          <w:sz w:val="28"/>
        </w:rPr>
      </w:r>
      <w:r/>
    </w:p>
    <w:p>
      <w:pPr>
        <w:ind w:firstLine="560"/>
        <w:spacing w:line="360" w:lineRule="auto"/>
        <w:rPr>
          <w:rFonts w:hint="eastAsia" w:cs="宋体" w:asciiTheme="minorEastAsia" w:hAnsiTheme="minorEastAsia" w:eastAsiaTheme="minorEastAsia"/>
          <w:sz w:val="28"/>
          <w:u w:val="single"/>
        </w:rPr>
      </w:pPr>
      <w:r>
        <w:rPr>
          <w:rFonts w:hint="eastAsia" w:cs="宋体" w:asciiTheme="minorEastAsia" w:hAnsiTheme="minorEastAsia" w:eastAsiaTheme="minorEastAsia"/>
          <w:sz w:val="28"/>
        </w:rPr>
        <w:t xml:space="preserve">法定代表人签字或盖章：          </w:t>
      </w:r>
      <w:r/>
    </w:p>
    <w:p>
      <w:pPr>
        <w:ind w:firstLine="560"/>
        <w:spacing w:line="360" w:lineRule="auto"/>
        <w:rPr>
          <w:rFonts w:hint="eastAsia" w:cs="宋体" w:asciiTheme="minorEastAsia" w:hAnsiTheme="minorEastAsia" w:eastAsiaTheme="minorEastAsia"/>
          <w:sz w:val="28"/>
        </w:rPr>
      </w:pPr>
      <w:r>
        <w:rPr>
          <w:rFonts w:hint="eastAsia" w:cs="宋体" w:asciiTheme="minorEastAsia" w:hAnsiTheme="minorEastAsia" w:eastAsiaTheme="minorEastAsia"/>
          <w:sz w:val="28"/>
        </w:rPr>
      </w:r>
      <w:r/>
    </w:p>
    <w:p>
      <w:pPr>
        <w:ind w:firstLine="560"/>
        <w:spacing w:line="360" w:lineRule="auto"/>
        <w:rPr>
          <w:rFonts w:hint="eastAsia" w:cs="宋体" w:asciiTheme="minorEastAsia" w:hAnsiTheme="minorEastAsia" w:eastAsiaTheme="minorEastAsia"/>
          <w:sz w:val="28"/>
        </w:rPr>
      </w:pPr>
      <w:r>
        <w:rPr>
          <w:rFonts w:hint="eastAsia" w:cs="宋体" w:asciiTheme="minorEastAsia" w:hAnsiTheme="minorEastAsia" w:eastAsiaTheme="minorEastAsia"/>
          <w:sz w:val="28"/>
        </w:rPr>
        <w:t xml:space="preserve">投标人名称（公章）：</w:t>
      </w:r>
      <w:r/>
    </w:p>
    <w:p>
      <w:pPr>
        <w:ind w:firstLine="560"/>
        <w:spacing w:line="360" w:lineRule="auto"/>
        <w:rPr>
          <w:rFonts w:hint="eastAsia" w:cs="宋体" w:asciiTheme="minorEastAsia" w:hAnsiTheme="minorEastAsia" w:eastAsiaTheme="minorEastAsia"/>
          <w:sz w:val="28"/>
          <w:u w:val="single"/>
        </w:rPr>
      </w:pPr>
      <w:r>
        <w:rPr>
          <w:rFonts w:hint="eastAsia" w:cs="宋体" w:asciiTheme="minorEastAsia" w:hAnsiTheme="minorEastAsia" w:eastAsiaTheme="minorEastAsia"/>
          <w:sz w:val="28"/>
        </w:rPr>
        <w:t xml:space="preserve">日     期：</w:t>
      </w:r>
      <w:r/>
    </w:p>
    <w:p>
      <w:pPr>
        <w:ind w:firstLine="560"/>
        <w:spacing w:line="360" w:lineRule="auto"/>
        <w:rPr>
          <w:rFonts w:hint="eastAsia" w:cs="宋体" w:asciiTheme="minorEastAsia" w:hAnsiTheme="minorEastAsia" w:eastAsiaTheme="minorEastAsia"/>
          <w:sz w:val="28"/>
        </w:rPr>
      </w:pPr>
      <w:r>
        <w:rPr>
          <w:rFonts w:hint="eastAsia" w:cs="宋体" w:asciiTheme="minorEastAsia" w:hAnsiTheme="minorEastAsia" w:eastAsiaTheme="minorEastAsia"/>
          <w:sz w:val="28"/>
        </w:rPr>
      </w:r>
      <w:r/>
    </w:p>
    <w:p>
      <w:pPr>
        <w:ind w:firstLine="643"/>
        <w:spacing w:line="360" w:lineRule="auto"/>
        <w:rPr>
          <w:rFonts w:hint="eastAsia" w:cs="宋体" w:asciiTheme="minorEastAsia" w:hAnsiTheme="minorEastAsia" w:eastAsiaTheme="minorEastAsia"/>
          <w:sz w:val="28"/>
          <w:u w:val="single"/>
        </w:rPr>
      </w:pPr>
      <w:r>
        <w:rPr>
          <w:rFonts w:hint="eastAsia" w:cs="宋体" w:asciiTheme="minorEastAsia" w:hAnsiTheme="minorEastAsia" w:eastAsiaTheme="minorEastAsia"/>
          <w:b/>
          <w:sz w:val="32"/>
          <w:szCs w:val="32"/>
        </w:rPr>
        <w:t xml:space="preserve">附：委托代理人居民身份证扫描件</w:t>
      </w:r>
      <w:r/>
    </w:p>
    <w:p>
      <w:pPr>
        <w:ind w:firstLine="420"/>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r>
      <w:r/>
    </w:p>
    <w:p>
      <w:pPr>
        <w:ind w:firstLine="420"/>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r>
      <w:r/>
    </w:p>
    <w:p>
      <w:pPr>
        <w:ind w:firstLine="720"/>
        <w:jc w:val="center"/>
        <w:spacing w:line="360" w:lineRule="auto"/>
        <w:rPr>
          <w:rFonts w:hint="eastAsia" w:cs="宋体" w:asciiTheme="minorEastAsia" w:hAnsiTheme="minorEastAsia" w:eastAsiaTheme="minorEastAsia"/>
          <w:sz w:val="36"/>
          <w:szCs w:val="36"/>
        </w:rPr>
      </w:pPr>
      <w:r>
        <w:rPr>
          <w:rFonts w:hint="eastAsia" w:cs="宋体" w:asciiTheme="minorEastAsia" w:hAnsiTheme="minorEastAsia" w:eastAsiaTheme="minorEastAsia"/>
          <w:sz w:val="36"/>
          <w:szCs w:val="36"/>
        </w:rPr>
      </w:r>
      <w:r/>
    </w:p>
    <w:p>
      <w:pPr>
        <w:spacing w:line="360" w:lineRule="auto"/>
        <w:rPr>
          <w:rFonts w:hint="eastAsia" w:cs="宋体" w:asciiTheme="minorEastAsia" w:hAnsiTheme="minorEastAsia" w:eastAsiaTheme="minorEastAsia"/>
          <w:sz w:val="32"/>
        </w:rPr>
        <w:sectPr>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hint="eastAsia" w:cs="宋体" w:asciiTheme="minorEastAsia" w:hAnsiTheme="minorEastAsia" w:eastAsiaTheme="minorEastAsia"/>
          <w:sz w:val="32"/>
        </w:rPr>
      </w:r>
      <w:r/>
    </w:p>
    <w:p>
      <w:pPr>
        <w:jc w:val="center"/>
        <w:spacing w:line="360" w:lineRule="auto"/>
        <w:rPr>
          <w:rFonts w:hint="eastAsia" w:cs="宋体" w:asciiTheme="minorEastAsia" w:hAnsiTheme="minorEastAsia" w:eastAsiaTheme="minorEastAsia"/>
          <w:b/>
          <w:bCs/>
          <w:sz w:val="32"/>
        </w:rPr>
      </w:pPr>
      <w:r>
        <w:rPr>
          <w:rFonts w:hint="eastAsia" w:cs="宋体" w:asciiTheme="minorEastAsia" w:hAnsiTheme="minorEastAsia" w:eastAsiaTheme="minorEastAsia"/>
          <w:b/>
          <w:bCs/>
          <w:sz w:val="32"/>
        </w:rPr>
        <w:t xml:space="preserve">四、价格部分（标段</w:t>
      </w:r>
      <w:r>
        <w:rPr>
          <w:rFonts w:hint="eastAsia" w:cs="宋体" w:asciiTheme="minorEastAsia" w:hAnsiTheme="minorEastAsia" w:eastAsiaTheme="minorEastAsia"/>
          <w:b/>
          <w:bCs/>
          <w:sz w:val="32"/>
          <w:u w:val="single"/>
        </w:rPr>
        <w:t xml:space="preserve">   </w:t>
      </w:r>
      <w:r>
        <w:rPr>
          <w:rFonts w:hint="eastAsia" w:cs="宋体" w:asciiTheme="minorEastAsia" w:hAnsiTheme="minorEastAsia" w:eastAsiaTheme="minorEastAsia"/>
          <w:b/>
          <w:bCs/>
          <w:sz w:val="32"/>
        </w:rPr>
        <w:t xml:space="preserve">）</w:t>
      </w:r>
      <w:r/>
    </w:p>
    <w:p>
      <w:pPr>
        <w:jc w:val="center"/>
        <w:spacing w:before="100" w:beforeAutospacing="1" w:line="360" w:lineRule="auto"/>
        <w:tabs>
          <w:tab w:val="left" w:pos="764" w:leader="none"/>
        </w:tabs>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40"/>
          <w:szCs w:val="40"/>
        </w:rPr>
        <w:t xml:space="preserve">以系统中格式为准，投标人按要求进行填报</w:t>
      </w:r>
      <w:r>
        <w:rPr>
          <w:rFonts w:cs="宋体" w:asciiTheme="minorEastAsia" w:hAnsiTheme="minorEastAsia" w:eastAsiaTheme="minorEastAsia"/>
        </w:rPr>
        <w:br w:type="page" w:clear="all"/>
      </w:r>
      <w:r>
        <w:rPr>
          <w:rFonts w:hint="eastAsia" w:cs="宋体" w:asciiTheme="minorEastAsia" w:hAnsiTheme="minorEastAsia" w:eastAsiaTheme="minorEastAsia"/>
          <w:b/>
          <w:bCs/>
          <w:sz w:val="36"/>
          <w:szCs w:val="36"/>
        </w:rPr>
        <w:t xml:space="preserve">清单及明细报价表（标段</w:t>
      </w:r>
      <w:r>
        <w:rPr>
          <w:rFonts w:hint="eastAsia" w:cs="宋体" w:asciiTheme="minorEastAsia" w:hAnsiTheme="minorEastAsia" w:eastAsiaTheme="minorEastAsia"/>
          <w:b/>
          <w:bCs/>
          <w:sz w:val="36"/>
          <w:szCs w:val="36"/>
          <w:u w:val="single"/>
        </w:rPr>
        <w:t xml:space="preserve">    </w:t>
      </w:r>
      <w:r>
        <w:rPr>
          <w:rFonts w:hint="eastAsia" w:cs="宋体" w:asciiTheme="minorEastAsia" w:hAnsiTheme="minorEastAsia" w:eastAsiaTheme="minorEastAsia"/>
          <w:b/>
          <w:bCs/>
          <w:sz w:val="36"/>
          <w:szCs w:val="36"/>
        </w:rPr>
        <w:t xml:space="preserve">）</w:t>
      </w:r>
      <w:r/>
    </w:p>
    <w:p>
      <w:pPr>
        <w:pStyle w:val="2476"/>
        <w:rPr>
          <w:rFonts w:hint="eastAsia" w:cs="宋体" w:asciiTheme="minorEastAsia" w:hAnsiTheme="minorEastAsia" w:eastAsiaTheme="minorEastAsia"/>
        </w:rPr>
      </w:pPr>
      <w:r>
        <w:rPr>
          <w:rFonts w:hint="eastAsia" w:cs="宋体" w:asciiTheme="minorEastAsia" w:hAnsiTheme="minorEastAsia" w:eastAsiaTheme="minorEastAsia"/>
        </w:rPr>
      </w:r>
      <w:r/>
    </w:p>
    <w:tbl>
      <w:tblPr>
        <w:tblW w:w="96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7"/>
        <w:gridCol w:w="1404"/>
        <w:gridCol w:w="1657"/>
        <w:gridCol w:w="1462"/>
        <w:gridCol w:w="1559"/>
        <w:gridCol w:w="1417"/>
        <w:gridCol w:w="1624"/>
      </w:tblGrid>
      <w:tr>
        <w:trPr>
          <w:trHeight w:val="594"/>
        </w:trPr>
        <w:tc>
          <w:tcPr>
            <w:gridSpan w:val="7"/>
            <w:tcW w:w="9670" w:type="dxa"/>
            <w:vAlign w:val="center"/>
            <w:textDirection w:val="lrTb"/>
            <w:noWrap/>
          </w:tcPr>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一、货物部分</w:t>
            </w:r>
            <w:r/>
          </w:p>
        </w:tc>
      </w:tr>
      <w:tr>
        <w:trPr>
          <w:trHeight w:val="594"/>
        </w:trPr>
        <w:tc>
          <w:tcPr>
            <w:tcBorders>
              <w:right w:val="single" w:color="auto" w:sz="4" w:space="0"/>
            </w:tcBorders>
            <w:tcW w:w="547" w:type="dxa"/>
            <w:vAlign w:val="center"/>
            <w:textDirection w:val="lrTb"/>
            <w:noWrap/>
          </w:tcPr>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tcBorders>
              <w:left w:val="single" w:color="auto" w:sz="4" w:space="0"/>
              <w:right w:val="single" w:color="auto" w:sz="4" w:space="0"/>
            </w:tcBorders>
            <w:tcW w:w="1404" w:type="dxa"/>
            <w:vAlign w:val="center"/>
            <w:textDirection w:val="lrTb"/>
            <w:noWrap/>
          </w:tcPr>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标的名称</w:t>
            </w:r>
            <w:r/>
          </w:p>
        </w:tc>
        <w:tc>
          <w:tcPr>
            <w:tcBorders>
              <w:left w:val="single" w:color="auto" w:sz="4" w:space="0"/>
              <w:right w:val="single" w:color="auto" w:sz="4" w:space="0"/>
            </w:tcBorders>
            <w:tcW w:w="1657" w:type="dxa"/>
            <w:vAlign w:val="center"/>
            <w:textDirection w:val="lrTb"/>
            <w:noWrap/>
          </w:tcPr>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规格</w:t>
            </w:r>
            <w:r/>
          </w:p>
        </w:tc>
        <w:tc>
          <w:tcPr>
            <w:tcBorders>
              <w:right w:val="single" w:color="auto" w:sz="4" w:space="0"/>
            </w:tcBorders>
            <w:tcW w:w="1462" w:type="dxa"/>
            <w:vAlign w:val="center"/>
            <w:textDirection w:val="lrTb"/>
            <w:noWrap/>
          </w:tcPr>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品牌型号</w:t>
            </w:r>
            <w:r/>
          </w:p>
        </w:tc>
        <w:tc>
          <w:tcPr>
            <w:tcBorders>
              <w:left w:val="single" w:color="auto" w:sz="4" w:space="0"/>
              <w:right w:val="single" w:color="auto" w:sz="4" w:space="0"/>
            </w:tcBorders>
            <w:tcW w:w="1559" w:type="dxa"/>
            <w:vAlign w:val="center"/>
            <w:textDirection w:val="lrTb"/>
            <w:noWrap/>
          </w:tcPr>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数量</w:t>
            </w:r>
            <w:r/>
          </w:p>
        </w:tc>
        <w:tc>
          <w:tcPr>
            <w:tcBorders>
              <w:left w:val="single" w:color="auto" w:sz="4" w:space="0"/>
              <w:right w:val="single" w:color="auto" w:sz="4" w:space="0"/>
            </w:tcBorders>
            <w:tcW w:w="1417" w:type="dxa"/>
            <w:vAlign w:val="center"/>
            <w:textDirection w:val="lrTb"/>
            <w:noWrap/>
          </w:tcPr>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单价</w:t>
            </w:r>
            <w:r/>
          </w:p>
        </w:tc>
        <w:tc>
          <w:tcPr>
            <w:tcBorders>
              <w:left w:val="single" w:color="auto" w:sz="4" w:space="0"/>
            </w:tcBorders>
            <w:tcW w:w="1624" w:type="dxa"/>
            <w:vAlign w:val="center"/>
            <w:textDirection w:val="lrTb"/>
            <w:noWrap/>
          </w:tcPr>
          <w:p>
            <w:pPr>
              <w:jc w:val="center"/>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总价</w:t>
            </w:r>
            <w:r/>
          </w:p>
        </w:tc>
      </w:tr>
      <w:tr>
        <w:trPr>
          <w:trHeight w:val="594"/>
        </w:trPr>
        <w:tc>
          <w:tcPr>
            <w:tcBorders>
              <w:right w:val="single" w:color="auto" w:sz="4" w:space="0"/>
            </w:tcBorders>
            <w:tcW w:w="547" w:type="dxa"/>
            <w:vAlign w:val="center"/>
            <w:textDirection w:val="lrTb"/>
            <w:noWrap/>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left w:val="single" w:color="auto" w:sz="4" w:space="0"/>
              <w:right w:val="single" w:color="auto" w:sz="4" w:space="0"/>
            </w:tcBorders>
            <w:tcW w:w="1404" w:type="dxa"/>
            <w:vAlign w:val="center"/>
            <w:textDirection w:val="lrTb"/>
            <w:noWrap/>
          </w:tcPr>
          <w:p>
            <w:pPr>
              <w:jc w:val="center"/>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left w:val="single" w:color="auto" w:sz="4" w:space="0"/>
              <w:right w:val="single" w:color="auto" w:sz="4" w:space="0"/>
            </w:tcBorders>
            <w:tcW w:w="1657" w:type="dxa"/>
            <w:vAlign w:val="center"/>
            <w:textDirection w:val="lrTb"/>
            <w:noWrap/>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right w:val="single" w:color="auto" w:sz="4" w:space="0"/>
            </w:tcBorders>
            <w:tcW w:w="1462" w:type="dxa"/>
            <w:vAlign w:val="center"/>
            <w:textDirection w:val="lrTb"/>
            <w:noWrap/>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left w:val="single" w:color="auto" w:sz="4" w:space="0"/>
              <w:right w:val="single" w:color="auto" w:sz="4" w:space="0"/>
            </w:tcBorders>
            <w:tcW w:w="1559" w:type="dxa"/>
            <w:vAlign w:val="center"/>
            <w:textDirection w:val="lrTb"/>
            <w:noWrap/>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left w:val="single" w:color="auto" w:sz="4" w:space="0"/>
              <w:right w:val="single" w:color="auto" w:sz="4" w:space="0"/>
            </w:tcBorders>
            <w:tcW w:w="1417" w:type="dxa"/>
            <w:vAlign w:val="center"/>
            <w:textDirection w:val="lrTb"/>
            <w:noWrap/>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left w:val="single" w:color="auto" w:sz="4" w:space="0"/>
            </w:tcBorders>
            <w:tcW w:w="1624" w:type="dxa"/>
            <w:vAlign w:val="center"/>
            <w:textDirection w:val="lrTb"/>
            <w:noWrap/>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594"/>
        </w:trPr>
        <w:tc>
          <w:tcPr>
            <w:tcBorders>
              <w:right w:val="single" w:color="auto" w:sz="4" w:space="0"/>
            </w:tcBorders>
            <w:tcW w:w="547" w:type="dxa"/>
            <w:vAlign w:val="center"/>
            <w:textDirection w:val="lrTb"/>
            <w:noWrap/>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left w:val="single" w:color="auto" w:sz="4" w:space="0"/>
              <w:right w:val="single" w:color="auto" w:sz="4" w:space="0"/>
            </w:tcBorders>
            <w:tcW w:w="1404" w:type="dxa"/>
            <w:vAlign w:val="center"/>
            <w:textDirection w:val="lrTb"/>
            <w:noWrap/>
          </w:tcPr>
          <w:p>
            <w:pPr>
              <w:jc w:val="center"/>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left w:val="single" w:color="auto" w:sz="4" w:space="0"/>
              <w:right w:val="single" w:color="auto" w:sz="4" w:space="0"/>
            </w:tcBorders>
            <w:tcW w:w="1657" w:type="dxa"/>
            <w:vAlign w:val="center"/>
            <w:textDirection w:val="lrTb"/>
            <w:noWrap/>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right w:val="single" w:color="auto" w:sz="4" w:space="0"/>
            </w:tcBorders>
            <w:tcW w:w="1462" w:type="dxa"/>
            <w:vAlign w:val="center"/>
            <w:textDirection w:val="lrTb"/>
            <w:noWrap/>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left w:val="single" w:color="auto" w:sz="4" w:space="0"/>
              <w:right w:val="single" w:color="auto" w:sz="4" w:space="0"/>
            </w:tcBorders>
            <w:tcW w:w="1559" w:type="dxa"/>
            <w:vAlign w:val="center"/>
            <w:textDirection w:val="lrTb"/>
            <w:noWrap/>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left w:val="single" w:color="auto" w:sz="4" w:space="0"/>
              <w:right w:val="single" w:color="auto" w:sz="4" w:space="0"/>
            </w:tcBorders>
            <w:tcW w:w="1417" w:type="dxa"/>
            <w:vAlign w:val="center"/>
            <w:textDirection w:val="lrTb"/>
            <w:noWrap/>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left w:val="single" w:color="auto" w:sz="4" w:space="0"/>
            </w:tcBorders>
            <w:tcW w:w="1624" w:type="dxa"/>
            <w:vAlign w:val="center"/>
            <w:textDirection w:val="lrTb"/>
            <w:noWrap/>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594"/>
        </w:trPr>
        <w:tc>
          <w:tcPr>
            <w:tcBorders>
              <w:right w:val="single" w:color="auto" w:sz="4" w:space="0"/>
            </w:tcBorders>
            <w:tcW w:w="547" w:type="dxa"/>
            <w:vAlign w:val="center"/>
            <w:textDirection w:val="lrTb"/>
            <w:noWrap/>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left w:val="single" w:color="auto" w:sz="4" w:space="0"/>
              <w:right w:val="single" w:color="auto" w:sz="4" w:space="0"/>
            </w:tcBorders>
            <w:tcW w:w="1404" w:type="dxa"/>
            <w:vAlign w:val="center"/>
            <w:textDirection w:val="lrTb"/>
            <w:noWrap/>
          </w:tcPr>
          <w:p>
            <w:pPr>
              <w:jc w:val="center"/>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left w:val="single" w:color="auto" w:sz="4" w:space="0"/>
              <w:right w:val="single" w:color="auto" w:sz="4" w:space="0"/>
            </w:tcBorders>
            <w:tcW w:w="1657" w:type="dxa"/>
            <w:vAlign w:val="center"/>
            <w:textDirection w:val="lrTb"/>
            <w:noWrap/>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right w:val="single" w:color="auto" w:sz="4" w:space="0"/>
            </w:tcBorders>
            <w:tcW w:w="1462" w:type="dxa"/>
            <w:vAlign w:val="center"/>
            <w:textDirection w:val="lrTb"/>
            <w:noWrap/>
          </w:tcPr>
          <w:p>
            <w:pPr>
              <w:jc w:val="center"/>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left w:val="single" w:color="auto" w:sz="4" w:space="0"/>
              <w:right w:val="single" w:color="auto" w:sz="4" w:space="0"/>
            </w:tcBorders>
            <w:tcW w:w="1559" w:type="dxa"/>
            <w:vAlign w:val="center"/>
            <w:textDirection w:val="lrTb"/>
            <w:noWrap/>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left w:val="single" w:color="auto" w:sz="4" w:space="0"/>
              <w:right w:val="single" w:color="auto" w:sz="4" w:space="0"/>
            </w:tcBorders>
            <w:tcW w:w="1417" w:type="dxa"/>
            <w:vAlign w:val="center"/>
            <w:textDirection w:val="lrTb"/>
            <w:noWrap/>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left w:val="single" w:color="auto" w:sz="4" w:space="0"/>
            </w:tcBorders>
            <w:tcW w:w="1624" w:type="dxa"/>
            <w:vAlign w:val="center"/>
            <w:textDirection w:val="lrTb"/>
            <w:noWrap/>
          </w:tcPr>
          <w:p>
            <w:pPr>
              <w:jc w:val="cente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jc w:val="left"/>
        <w:spacing w:line="360" w:lineRule="auto"/>
        <w:rPr>
          <w:rFonts w:hint="eastAsia" w:cs="宋体" w:asciiTheme="minorEastAsia" w:hAnsiTheme="minorEastAsia" w:eastAsiaTheme="minorEastAsia"/>
          <w:b/>
          <w:sz w:val="24"/>
          <w:u w:val="single"/>
        </w:rPr>
      </w:pPr>
      <w:r>
        <w:rPr>
          <w:rFonts w:hint="eastAsia" w:cs="宋体" w:asciiTheme="minorEastAsia" w:hAnsiTheme="minorEastAsia" w:eastAsiaTheme="minorEastAsia"/>
          <w:b/>
          <w:sz w:val="24"/>
        </w:rPr>
        <w:t xml:space="preserve">注：</w:t>
      </w: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b/>
          <w:sz w:val="24"/>
          <w:u w:val="single"/>
        </w:rPr>
        <w:t xml:space="preserve">投标人应当按照招标文件采购需求及相关报价要求填写</w:t>
      </w:r>
      <w:r>
        <w:rPr>
          <w:rFonts w:hint="eastAsia" w:cs="宋体" w:asciiTheme="minorEastAsia" w:hAnsiTheme="minorEastAsia" w:eastAsiaTheme="minorEastAsia"/>
          <w:sz w:val="24"/>
          <w:u w:val="single"/>
        </w:rPr>
        <w:t xml:space="preserve">。</w:t>
      </w:r>
      <w:r/>
    </w:p>
    <w:p>
      <w:pPr>
        <w:ind w:left="-283" w:firstLine="480"/>
        <w:jc w:val="left"/>
        <w:spacing w:line="360"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jc w:val="left"/>
        <w:spacing w:line="360"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u w:val="single"/>
        </w:rPr>
        <w:t xml:space="preserve">本表中项目总报价应与开标一览表中项目总报价保持一致。</w:t>
      </w:r>
      <w:r/>
    </w:p>
    <w:p>
      <w:pPr>
        <w:ind w:left="-283" w:firstLine="480"/>
        <w:jc w:val="left"/>
        <w:spacing w:line="360"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bCs/>
          <w:sz w:val="24"/>
          <w:u w:val="single"/>
        </w:rPr>
        <w:t xml:space="preserve">报价保留至小数点后两位，四舍五入。</w:t>
      </w:r>
      <w:r/>
    </w:p>
    <w:p>
      <w:pPr>
        <w:ind w:left="-283" w:firstLine="480"/>
        <w:jc w:val="left"/>
        <w:spacing w:line="360"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bCs/>
          <w:sz w:val="24"/>
        </w:rPr>
        <w:t xml:space="preserve">5、</w:t>
      </w:r>
      <w:r>
        <w:rPr>
          <w:rFonts w:hint="eastAsia" w:cs="宋体" w:asciiTheme="minorEastAsia" w:hAnsiTheme="minorEastAsia" w:eastAsiaTheme="minorEastAsia"/>
          <w:bCs/>
          <w:sz w:val="24"/>
          <w:u w:val="single"/>
        </w:rPr>
        <w:t xml:space="preserve">标的物报价不得为零，否则投标无效。</w:t>
      </w:r>
      <w:r/>
    </w:p>
    <w:p>
      <w:pPr>
        <w:jc w:val="left"/>
        <w:widowControl/>
        <w:rPr>
          <w:rFonts w:hint="eastAsia" w:cs="宋体" w:asciiTheme="minorEastAsia" w:hAnsiTheme="minorEastAsia" w:eastAsiaTheme="minorEastAsia"/>
          <w:bCs/>
          <w:sz w:val="24"/>
          <w:u w:val="single"/>
        </w:rPr>
      </w:pPr>
      <w:r>
        <w:rPr>
          <w:rFonts w:cs="宋体" w:asciiTheme="minorEastAsia" w:hAnsiTheme="minorEastAsia" w:eastAsiaTheme="minorEastAsia"/>
          <w:bCs/>
          <w:sz w:val="24"/>
          <w:u w:val="single"/>
        </w:rPr>
        <w:br w:type="page" w:clear="all"/>
      </w:r>
      <w:r/>
    </w:p>
    <w:p>
      <w:pPr>
        <w:jc w:val="center"/>
        <w:spacing w:line="360" w:lineRule="auto"/>
        <w:rPr>
          <w:rFonts w:hint="eastAsia" w:cs="宋体" w:asciiTheme="minorEastAsia" w:hAnsiTheme="minorEastAsia" w:eastAsiaTheme="minorEastAsia"/>
          <w:b/>
          <w:bCs/>
          <w:sz w:val="32"/>
        </w:rPr>
      </w:pPr>
      <w:r>
        <w:rPr>
          <w:rFonts w:hint="eastAsia" w:cs="宋体" w:asciiTheme="minorEastAsia" w:hAnsiTheme="minorEastAsia" w:eastAsiaTheme="minorEastAsia"/>
          <w:b/>
          <w:bCs/>
          <w:sz w:val="32"/>
        </w:rPr>
        <w:t xml:space="preserve">五、技术部分</w:t>
      </w:r>
      <w:r/>
    </w:p>
    <w:p>
      <w:pPr>
        <w:jc w:val="center"/>
        <w:spacing w:line="360" w:lineRule="auto"/>
        <w:rPr>
          <w:rFonts w:hint="eastAsia" w:cs="宋体" w:asciiTheme="minorEastAsia" w:hAnsiTheme="minorEastAsia" w:eastAsiaTheme="minorEastAsia"/>
          <w:b/>
          <w:bCs/>
          <w:sz w:val="32"/>
        </w:rPr>
      </w:pPr>
      <w:r>
        <w:rPr>
          <w:rFonts w:hint="eastAsia" w:cs="宋体" w:asciiTheme="minorEastAsia" w:hAnsiTheme="minorEastAsia" w:eastAsiaTheme="minorEastAsia"/>
          <w:b/>
          <w:bCs/>
          <w:sz w:val="32"/>
        </w:rPr>
        <w:t xml:space="preserve">1.技术响应及偏离表（标段</w:t>
      </w:r>
      <w:r>
        <w:rPr>
          <w:rFonts w:hint="eastAsia" w:cs="宋体" w:asciiTheme="minorEastAsia" w:hAnsiTheme="minorEastAsia" w:eastAsiaTheme="minorEastAsia"/>
          <w:b/>
          <w:bCs/>
          <w:sz w:val="32"/>
          <w:u w:val="single"/>
        </w:rPr>
        <w:t xml:space="preserve">    </w:t>
      </w:r>
      <w:r>
        <w:rPr>
          <w:rFonts w:hint="eastAsia" w:cs="宋体" w:asciiTheme="minorEastAsia" w:hAnsiTheme="minorEastAsia" w:eastAsiaTheme="minorEastAsia"/>
          <w:b/>
          <w:bCs/>
          <w:sz w:val="32"/>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t xml:space="preserve">序号</w:t>
            </w:r>
            <w:r/>
          </w:p>
        </w:tc>
        <w:tc>
          <w:tcPr>
            <w:tcW w:w="157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t xml:space="preserve">服务内容</w:t>
            </w:r>
            <w:r/>
          </w:p>
        </w:tc>
        <w:tc>
          <w:tcPr>
            <w:tcW w:w="186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t xml:space="preserve">招标文件要求</w:t>
            </w:r>
            <w:r/>
          </w:p>
        </w:tc>
        <w:tc>
          <w:tcPr>
            <w:tcW w:w="209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t xml:space="preserve">投标文件实际</w:t>
            </w:r>
            <w:r>
              <w:rPr>
                <w:rFonts w:hint="eastAsia" w:cs="宋体" w:asciiTheme="minorEastAsia" w:hAnsiTheme="minorEastAsia" w:eastAsiaTheme="minorEastAsia"/>
              </w:rPr>
              <w:t xml:space="preserve">服务承诺</w:t>
            </w:r>
            <w:r/>
          </w:p>
        </w:tc>
        <w:tc>
          <w:tcPr>
            <w:tcW w:w="156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t xml:space="preserve">符合/正偏离/负偏离</w:t>
            </w:r>
            <w:r/>
          </w:p>
        </w:tc>
        <w:tc>
          <w:tcPr>
            <w:tcW w:w="113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t xml:space="preserve">备注</w:t>
            </w:r>
            <w:r/>
          </w:p>
        </w:tc>
      </w:tr>
      <w:tr>
        <w:trPr/>
        <w:tc>
          <w:tcPr>
            <w:tcW w:w="797"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7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86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209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6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13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r>
      <w:tr>
        <w:trPr/>
        <w:tc>
          <w:tcPr>
            <w:tcW w:w="797"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7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86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209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6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13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r>
      <w:tr>
        <w:trPr/>
        <w:tc>
          <w:tcPr>
            <w:tcW w:w="797"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7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86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209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6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13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r>
      <w:tr>
        <w:trPr/>
        <w:tc>
          <w:tcPr>
            <w:tcW w:w="797"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7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86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209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6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13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r>
      <w:tr>
        <w:trPr/>
        <w:tc>
          <w:tcPr>
            <w:tcW w:w="797"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7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86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209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6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13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r>
      <w:tr>
        <w:trPr/>
        <w:tc>
          <w:tcPr>
            <w:tcW w:w="797"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7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86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209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6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13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r>
      <w:tr>
        <w:trPr/>
        <w:tc>
          <w:tcPr>
            <w:tcW w:w="797"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7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86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209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6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13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r>
      <w:tr>
        <w:trPr/>
        <w:tc>
          <w:tcPr>
            <w:tcW w:w="797"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7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86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209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6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13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r>
      <w:tr>
        <w:trPr/>
        <w:tc>
          <w:tcPr>
            <w:tcW w:w="797"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7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86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2098"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56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c>
          <w:tcPr>
            <w:tcW w:w="1134" w:type="dxa"/>
            <w:vAlign w:val="center"/>
            <w:textDirection w:val="lrTb"/>
            <w:noWrap/>
          </w:tcPr>
          <w:p>
            <w:pPr>
              <w:pStyle w:val="2467"/>
              <w:jc w:val="center"/>
              <w:spacing w:line="360" w:lineRule="auto"/>
              <w:widowControl w:val="off"/>
              <w:rPr>
                <w:rFonts w:hint="eastAsia" w:cs="宋体" w:asciiTheme="minorEastAsia" w:hAnsiTheme="minorEastAsia" w:eastAsiaTheme="minorEastAsia"/>
                <w:bCs/>
              </w:rPr>
            </w:pPr>
            <w:r>
              <w:rPr>
                <w:rFonts w:hint="eastAsia" w:cs="宋体" w:asciiTheme="minorEastAsia" w:hAnsiTheme="minorEastAsia" w:eastAsiaTheme="minorEastAsia"/>
                <w:bCs/>
              </w:rPr>
            </w:r>
            <w:r/>
          </w:p>
        </w:tc>
      </w:tr>
    </w:tbl>
    <w:p>
      <w:pPr>
        <w:pStyle w:val="2467"/>
        <w:spacing w:before="120" w:line="360" w:lineRule="auto"/>
        <w:rPr>
          <w:rFonts w:hint="eastAsia" w:cs="宋体" w:asciiTheme="minorEastAsia" w:hAnsiTheme="minorEastAsia" w:eastAsiaTheme="minorEastAsia"/>
          <w:bCs/>
        </w:rPr>
      </w:pPr>
      <w:r>
        <w:rPr>
          <w:rFonts w:hint="eastAsia" w:cs="宋体" w:asciiTheme="minorEastAsia" w:hAnsiTheme="minorEastAsia" w:eastAsiaTheme="minorEastAsia"/>
          <w:bCs/>
        </w:rPr>
        <w:t xml:space="preserve">注：</w:t>
      </w:r>
      <w:r/>
    </w:p>
    <w:p>
      <w:pPr>
        <w:pStyle w:val="2467"/>
        <w:ind w:firstLine="480"/>
        <w:spacing w:before="120" w:line="360" w:lineRule="auto"/>
        <w:rPr>
          <w:rFonts w:hint="eastAsia" w:cs="宋体" w:asciiTheme="minorEastAsia" w:hAnsiTheme="minorEastAsia" w:eastAsiaTheme="minorEastAsia"/>
          <w:u w:val="single"/>
        </w:rPr>
      </w:pPr>
      <w:r>
        <w:rPr>
          <w:rFonts w:hint="eastAsia" w:cs="宋体" w:asciiTheme="minorEastAsia" w:hAnsiTheme="minorEastAsia" w:eastAsiaTheme="minorEastAsia"/>
        </w:rPr>
        <w:t xml:space="preserve">1.</w:t>
      </w:r>
      <w:r>
        <w:rPr>
          <w:rFonts w:hint="eastAsia" w:cs="宋体" w:asciiTheme="minorEastAsia" w:hAnsiTheme="minorEastAsia" w:eastAsiaTheme="minorEastAsia"/>
          <w:u w:val="single"/>
        </w:rPr>
        <w:t xml:space="preserve">服务要求的响应根据 “第四部分采购需求”要求进行逐条说明。</w:t>
      </w:r>
      <w:r/>
    </w:p>
    <w:p>
      <w:pPr>
        <w:pStyle w:val="2467"/>
        <w:ind w:firstLine="480"/>
        <w:spacing w:before="120" w:line="360" w:lineRule="auto"/>
        <w:rPr>
          <w:rFonts w:hint="eastAsia" w:cs="宋体" w:asciiTheme="minorEastAsia" w:hAnsiTheme="minorEastAsia" w:eastAsiaTheme="minorEastAsia"/>
          <w:u w:val="single"/>
        </w:rPr>
      </w:pPr>
      <w:r>
        <w:rPr>
          <w:rFonts w:hint="eastAsia" w:cs="宋体" w:asciiTheme="minorEastAsia" w:hAnsiTheme="minorEastAsia" w:eastAsiaTheme="minorEastAsia"/>
        </w:rPr>
        <w:t xml:space="preserve">2.</w:t>
      </w:r>
      <w:r>
        <w:rPr>
          <w:rFonts w:hint="eastAsia" w:cs="宋体" w:asciiTheme="minorEastAsia" w:hAnsiTheme="minorEastAsia" w:eastAsiaTheme="minorEastAsia"/>
          <w:u w:val="single"/>
        </w:rPr>
        <w:t xml:space="preserve">除本服务偏离表所列的偏离服务外，其他所有服务均完全响应“招标文件”中的要求。</w:t>
      </w:r>
      <w:r/>
    </w:p>
    <w:p>
      <w:pPr>
        <w:pStyle w:val="2467"/>
        <w:ind w:firstLine="480"/>
        <w:spacing w:before="120" w:line="360" w:lineRule="auto"/>
        <w:rPr>
          <w:rFonts w:hint="eastAsia" w:cs="宋体" w:asciiTheme="minorEastAsia" w:hAnsiTheme="minorEastAsia" w:eastAsiaTheme="minorEastAsia"/>
          <w:u w:val="single"/>
        </w:rPr>
      </w:pPr>
      <w:r>
        <w:rPr>
          <w:rFonts w:hint="eastAsia" w:cs="宋体" w:asciiTheme="minorEastAsia" w:hAnsiTheme="minorEastAsia" w:eastAsiaTheme="minorEastAsia"/>
        </w:rPr>
        <w:t xml:space="preserve">3.</w:t>
      </w:r>
      <w:r>
        <w:rPr>
          <w:rFonts w:hint="eastAsia" w:cs="宋体" w:asciiTheme="minorEastAsia" w:hAnsiTheme="minorEastAsia" w:eastAsiaTheme="minorEastAsia"/>
          <w:u w:val="single"/>
        </w:rPr>
        <w:t xml:space="preserve">行数不够，可自行添加。</w:t>
      </w:r>
      <w:r/>
    </w:p>
    <w:p>
      <w:pPr>
        <w:rPr>
          <w:rFonts w:hint="eastAsia" w:cs="宋体" w:asciiTheme="minorEastAsia" w:hAnsiTheme="minorEastAsia" w:eastAsiaTheme="minorEastAsia"/>
          <w:sz w:val="24"/>
          <w:u w:val="single"/>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hint="eastAsia" w:cs="宋体" w:asciiTheme="minorEastAsia" w:hAnsiTheme="minorEastAsia" w:eastAsiaTheme="minorEastAsia"/>
          <w:sz w:val="24"/>
          <w:u w:val="single"/>
        </w:rPr>
        <w:br w:type="page" w:clear="all"/>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jc w:val="center"/>
        <w:spacing w:line="360" w:lineRule="auto"/>
        <w:rPr>
          <w:rFonts w:hint="eastAsia" w:cs="宋体" w:asciiTheme="minorEastAsia" w:hAnsiTheme="minorEastAsia" w:eastAsiaTheme="minorEastAsia"/>
          <w:b/>
          <w:bCs/>
          <w:sz w:val="32"/>
        </w:rPr>
      </w:pPr>
      <w:r>
        <w:rPr>
          <w:rFonts w:hint="eastAsia" w:cs="宋体" w:asciiTheme="minorEastAsia" w:hAnsiTheme="minorEastAsia" w:eastAsiaTheme="minorEastAsia"/>
          <w:b/>
          <w:bCs/>
          <w:sz w:val="32"/>
        </w:rPr>
        <w:t xml:space="preserve">2.本项目服务方案（标段</w:t>
      </w:r>
      <w:r>
        <w:rPr>
          <w:rFonts w:hint="eastAsia" w:cs="宋体" w:asciiTheme="minorEastAsia" w:hAnsiTheme="minorEastAsia" w:eastAsiaTheme="minorEastAsia"/>
          <w:b/>
          <w:bCs/>
          <w:sz w:val="32"/>
          <w:u w:val="single"/>
        </w:rPr>
        <w:t xml:space="preserve">     </w:t>
      </w:r>
      <w:r>
        <w:rPr>
          <w:rFonts w:hint="eastAsia" w:cs="宋体" w:asciiTheme="minorEastAsia" w:hAnsiTheme="minorEastAsia" w:eastAsiaTheme="minorEastAsia"/>
          <w:b/>
          <w:bCs/>
          <w:sz w:val="32"/>
        </w:rPr>
        <w:t xml:space="preserve">）</w:t>
      </w:r>
      <w:r/>
    </w:p>
    <w:p>
      <w:pPr>
        <w:pStyle w:val="2468"/>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1.针对本项目制订具体的项目实施方案，力求完善，便于实际参照执行。</w:t>
      </w:r>
      <w:r/>
    </w:p>
    <w:p>
      <w:pPr>
        <w:pStyle w:val="2468"/>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2.提供招标文件采购需求要求阐述的相关内容。</w:t>
      </w:r>
      <w:r/>
    </w:p>
    <w:p>
      <w:pPr>
        <w:pStyle w:val="2468"/>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3.组织管理体系的架构、项目的运作规划以及岗位设置。</w:t>
      </w:r>
      <w:r/>
    </w:p>
    <w:p>
      <w:pPr>
        <w:pStyle w:val="2468"/>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w:t>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br w:type="page" w:clear="all"/>
      </w:r>
      <w:r/>
    </w:p>
    <w:p>
      <w:pPr>
        <w:pStyle w:val="2469"/>
        <w:ind w:firstLine="0"/>
        <w:jc w:val="center"/>
        <w:spacing w:line="500" w:lineRule="exact"/>
        <w:rPr>
          <w:rFonts w:hint="eastAsia" w:cs="宋体" w:asciiTheme="minorEastAsia" w:hAnsiTheme="minorEastAsia" w:eastAsiaTheme="minorEastAsia"/>
          <w:b/>
          <w:sz w:val="32"/>
          <w:szCs w:val="32"/>
        </w:rPr>
      </w:pPr>
      <w:r>
        <w:rPr>
          <w:rFonts w:hint="eastAsia" w:cs="宋体" w:asciiTheme="minorEastAsia" w:hAnsiTheme="minorEastAsia" w:eastAsiaTheme="minorEastAsia"/>
          <w:b/>
          <w:bCs/>
          <w:sz w:val="32"/>
        </w:rPr>
        <w:t xml:space="preserve">3.本项目拟投入项目成员人员配备一览表（标段</w:t>
      </w:r>
      <w:r>
        <w:rPr>
          <w:rFonts w:hint="eastAsia" w:cs="宋体" w:asciiTheme="minorEastAsia" w:hAnsiTheme="minorEastAsia" w:eastAsiaTheme="minorEastAsia"/>
          <w:b/>
          <w:bCs/>
          <w:sz w:val="32"/>
          <w:u w:val="single"/>
        </w:rPr>
        <w:t xml:space="preserve">     </w:t>
      </w:r>
      <w:r>
        <w:rPr>
          <w:rFonts w:hint="eastAsia" w:cs="宋体" w:asciiTheme="minorEastAsia" w:hAnsiTheme="minorEastAsia" w:eastAsiaTheme="minorEastAsia"/>
          <w:b/>
          <w:bCs/>
          <w:sz w:val="32"/>
        </w:rPr>
        <w:t xml:space="preserve">）</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985"/>
        <w:gridCol w:w="887"/>
        <w:gridCol w:w="696"/>
        <w:gridCol w:w="920"/>
        <w:gridCol w:w="945"/>
        <w:gridCol w:w="1081"/>
        <w:gridCol w:w="1416"/>
        <w:gridCol w:w="1656"/>
      </w:tblGrid>
      <w:tr>
        <w:trPr>
          <w:jc w:val="center"/>
          <w:trHeight w:val="604"/>
        </w:trPr>
        <w:tc>
          <w:tcPr>
            <w:tcW w:w="367" w:type="pct"/>
            <w:vAlign w:val="center"/>
            <w:textDirection w:val="lrTb"/>
            <w:noWrap/>
          </w:tcPr>
          <w:p>
            <w:pPr>
              <w:pStyle w:val="2469"/>
              <w:ind w:firstLine="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序号</w:t>
            </w:r>
            <w:r/>
          </w:p>
        </w:tc>
        <w:tc>
          <w:tcPr>
            <w:tcW w:w="593" w:type="pct"/>
            <w:vAlign w:val="center"/>
            <w:textDirection w:val="lrTb"/>
            <w:noWrap/>
          </w:tcPr>
          <w:p>
            <w:pPr>
              <w:pStyle w:val="2469"/>
              <w:ind w:firstLine="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姓名</w:t>
            </w:r>
            <w:r/>
          </w:p>
        </w:tc>
        <w:tc>
          <w:tcPr>
            <w:tcW w:w="540" w:type="pct"/>
            <w:vAlign w:val="center"/>
            <w:textDirection w:val="lrTb"/>
            <w:noWrap/>
          </w:tcPr>
          <w:p>
            <w:pPr>
              <w:pStyle w:val="2469"/>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年龄</w:t>
            </w:r>
            <w:r/>
          </w:p>
        </w:tc>
        <w:tc>
          <w:tcPr>
            <w:tcW w:w="435" w:type="pct"/>
            <w:vAlign w:val="center"/>
            <w:textDirection w:val="lrTb"/>
            <w:noWrap/>
          </w:tcPr>
          <w:p>
            <w:pPr>
              <w:pStyle w:val="2469"/>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性别</w:t>
            </w:r>
            <w:r/>
          </w:p>
        </w:tc>
        <w:tc>
          <w:tcPr>
            <w:tcW w:w="559" w:type="pct"/>
            <w:vAlign w:val="center"/>
            <w:textDirection w:val="lrTb"/>
            <w:noWrap/>
          </w:tcPr>
          <w:p>
            <w:pPr>
              <w:pStyle w:val="2469"/>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学历</w:t>
            </w:r>
            <w:r/>
          </w:p>
        </w:tc>
        <w:tc>
          <w:tcPr>
            <w:tcW w:w="571" w:type="pct"/>
            <w:vAlign w:val="center"/>
            <w:textDirection w:val="lrTb"/>
            <w:noWrap/>
          </w:tcPr>
          <w:p>
            <w:pPr>
              <w:pStyle w:val="2469"/>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专业</w:t>
            </w:r>
            <w:r/>
          </w:p>
        </w:tc>
        <w:tc>
          <w:tcPr>
            <w:tcW w:w="644" w:type="pct"/>
            <w:vAlign w:val="center"/>
            <w:textDirection w:val="lrTb"/>
            <w:noWrap/>
          </w:tcPr>
          <w:p>
            <w:pPr>
              <w:pStyle w:val="2469"/>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职称</w:t>
            </w:r>
            <w:r/>
          </w:p>
        </w:tc>
        <w:tc>
          <w:tcPr>
            <w:tcW w:w="644" w:type="pct"/>
            <w:vAlign w:val="center"/>
            <w:textDirection w:val="lrTb"/>
            <w:noWrap/>
          </w:tcPr>
          <w:p>
            <w:pPr>
              <w:pStyle w:val="2469"/>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责任或分工</w:t>
            </w:r>
            <w:r/>
          </w:p>
        </w:tc>
        <w:tc>
          <w:tcPr>
            <w:tcW w:w="644" w:type="pct"/>
            <w:vAlign w:val="center"/>
            <w:textDirection w:val="lrTb"/>
            <w:noWrap/>
          </w:tcPr>
          <w:p>
            <w:pPr>
              <w:pStyle w:val="2469"/>
              <w:ind w:firstLine="0"/>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主要工作业绩</w:t>
            </w:r>
            <w:r/>
          </w:p>
        </w:tc>
      </w:tr>
      <w:tr>
        <w:trPr>
          <w:jc w:val="center"/>
          <w:trHeight w:val="686" w:hRule="exact"/>
        </w:trPr>
        <w:tc>
          <w:tcPr>
            <w:tcW w:w="367" w:type="pct"/>
            <w:vAlign w:val="center"/>
            <w:textDirection w:val="lrTb"/>
            <w:noWrap/>
          </w:tcPr>
          <w:p>
            <w:pPr>
              <w:pStyle w:val="2469"/>
              <w:ind w:firstLine="240"/>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p>
        </w:tc>
        <w:tc>
          <w:tcPr>
            <w:tcW w:w="593" w:type="pct"/>
            <w:vAlign w:val="center"/>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40" w:type="pct"/>
            <w:vAlign w:val="center"/>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435" w:type="pct"/>
            <w:vAlign w:val="center"/>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59" w:type="pct"/>
            <w:vAlign w:val="center"/>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71" w:type="pct"/>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644" w:type="pct"/>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644" w:type="pct"/>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644" w:type="pct"/>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r>
      <w:tr>
        <w:trPr>
          <w:jc w:val="center"/>
          <w:trHeight w:val="686" w:hRule="exact"/>
        </w:trPr>
        <w:tc>
          <w:tcPr>
            <w:tcW w:w="367" w:type="pct"/>
            <w:vAlign w:val="center"/>
            <w:textDirection w:val="lrTb"/>
            <w:noWrap/>
          </w:tcPr>
          <w:p>
            <w:pPr>
              <w:pStyle w:val="2469"/>
              <w:ind w:firstLine="240"/>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2</w:t>
            </w:r>
            <w:r/>
          </w:p>
        </w:tc>
        <w:tc>
          <w:tcPr>
            <w:tcW w:w="593" w:type="pct"/>
            <w:vAlign w:val="center"/>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40" w:type="pct"/>
            <w:vAlign w:val="center"/>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435" w:type="pct"/>
            <w:vAlign w:val="center"/>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59" w:type="pct"/>
            <w:vAlign w:val="center"/>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71" w:type="pct"/>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644" w:type="pct"/>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644" w:type="pct"/>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644" w:type="pct"/>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r>
      <w:tr>
        <w:trPr>
          <w:jc w:val="center"/>
          <w:trHeight w:val="686" w:hRule="exact"/>
        </w:trPr>
        <w:tc>
          <w:tcPr>
            <w:tcW w:w="367" w:type="pct"/>
            <w:vAlign w:val="center"/>
            <w:textDirection w:val="lrTb"/>
            <w:noWrap/>
          </w:tcPr>
          <w:p>
            <w:pPr>
              <w:pStyle w:val="2469"/>
              <w:ind w:firstLine="240"/>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3</w:t>
            </w:r>
            <w:r/>
          </w:p>
        </w:tc>
        <w:tc>
          <w:tcPr>
            <w:tcW w:w="593" w:type="pct"/>
            <w:vAlign w:val="center"/>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40" w:type="pct"/>
            <w:vAlign w:val="center"/>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435" w:type="pct"/>
            <w:vAlign w:val="center"/>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59" w:type="pct"/>
            <w:vAlign w:val="center"/>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71" w:type="pct"/>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644" w:type="pct"/>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644" w:type="pct"/>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644" w:type="pct"/>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r>
      <w:tr>
        <w:trPr>
          <w:jc w:val="center"/>
          <w:trHeight w:val="686" w:hRule="exact"/>
        </w:trPr>
        <w:tc>
          <w:tcPr>
            <w:tcW w:w="367" w:type="pct"/>
            <w:vAlign w:val="center"/>
            <w:textDirection w:val="lrTb"/>
            <w:noWrap/>
          </w:tcPr>
          <w:p>
            <w:pPr>
              <w:pStyle w:val="2469"/>
              <w:ind w:firstLine="240"/>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w:t>
            </w:r>
            <w:r/>
          </w:p>
        </w:tc>
        <w:tc>
          <w:tcPr>
            <w:tcW w:w="593" w:type="pct"/>
            <w:vAlign w:val="center"/>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40" w:type="pct"/>
            <w:vAlign w:val="center"/>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435" w:type="pct"/>
            <w:vAlign w:val="center"/>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59" w:type="pct"/>
            <w:vAlign w:val="center"/>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71" w:type="pct"/>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644" w:type="pct"/>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644" w:type="pct"/>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644" w:type="pct"/>
            <w:textDirection w:val="lrTb"/>
            <w:noWrap/>
          </w:tcPr>
          <w:p>
            <w:pPr>
              <w:pStyle w:val="2469"/>
              <w:ind w:firstLine="480"/>
              <w:jc w:val="cente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r>
    </w:tbl>
    <w:p>
      <w:pPr>
        <w:pStyle w:val="2469"/>
        <w:ind w:left="-17" w:firstLine="480"/>
        <w:spacing w:line="360" w:lineRule="auto"/>
        <w:rPr>
          <w:rFonts w:hint="eastAsia" w:cs="宋体" w:asciiTheme="minorEastAsia" w:hAnsiTheme="minorEastAsia" w:eastAsiaTheme="minorEastAsia"/>
          <w:bCs/>
          <w:sz w:val="24"/>
          <w:u w:val="single"/>
        </w:rPr>
      </w:pPr>
      <w:r>
        <w:rPr>
          <w:rFonts w:hint="eastAsia" w:cs="宋体" w:asciiTheme="minorEastAsia" w:hAnsiTheme="minorEastAsia" w:eastAsiaTheme="minorEastAsia"/>
          <w:bCs/>
          <w:sz w:val="24"/>
          <w:u w:val="single"/>
        </w:rPr>
        <w:t xml:space="preserve">注：1.行数不够请自行添加，投标文件中须附相关证书的原件扫描件；</w:t>
      </w:r>
      <w:r/>
    </w:p>
    <w:p>
      <w:pPr>
        <w:pStyle w:val="2469"/>
        <w:ind w:left="-17" w:firstLine="480"/>
        <w:spacing w:line="360" w:lineRule="auto"/>
        <w:rPr>
          <w:rFonts w:hint="eastAsia" w:cs="宋体" w:asciiTheme="minorEastAsia" w:hAnsiTheme="minorEastAsia" w:eastAsiaTheme="minorEastAsia"/>
          <w:bCs/>
          <w:sz w:val="24"/>
          <w:u w:val="single"/>
        </w:rPr>
      </w:pPr>
      <w:r>
        <w:rPr>
          <w:rFonts w:hint="eastAsia" w:cs="宋体" w:asciiTheme="minorEastAsia" w:hAnsiTheme="minorEastAsia" w:eastAsiaTheme="minorEastAsia"/>
          <w:bCs/>
          <w:sz w:val="24"/>
          <w:u w:val="single"/>
        </w:rPr>
        <w:t xml:space="preserve">2.列入本表人员如要更换，需经采购人同意，擅自更换属违约行为。</w:t>
      </w:r>
      <w:r/>
    </w:p>
    <w:p>
      <w:pPr>
        <w:pStyle w:val="2469"/>
        <w:ind w:left="-17" w:firstLine="480"/>
        <w:spacing w:line="360" w:lineRule="auto"/>
        <w:rPr>
          <w:rFonts w:hint="eastAsia" w:cs="宋体" w:asciiTheme="minorEastAsia" w:hAnsiTheme="minorEastAsia" w:eastAsiaTheme="minorEastAsia"/>
          <w:bCs/>
          <w:sz w:val="24"/>
          <w:u w:val="single"/>
        </w:rPr>
      </w:pPr>
      <w:r>
        <w:rPr>
          <w:rFonts w:hint="eastAsia" w:cs="宋体" w:asciiTheme="minorEastAsia" w:hAnsiTheme="minorEastAsia" w:eastAsiaTheme="minorEastAsia"/>
          <w:bCs/>
          <w:sz w:val="24"/>
          <w:u w:val="single"/>
        </w:rPr>
        <w:t xml:space="preserve">3.列入上表人员需提供近半年任意一月供应商为其缴纳社会保险的证明材料。</w:t>
      </w:r>
      <w:r/>
    </w:p>
    <w:p>
      <w:pPr>
        <w:pStyle w:val="2469"/>
        <w:ind w:left="-17" w:firstLine="480"/>
        <w:spacing w:line="360" w:lineRule="auto"/>
        <w:rPr>
          <w:rFonts w:hint="eastAsia" w:cs="宋体" w:asciiTheme="minorEastAsia" w:hAnsiTheme="minorEastAsia" w:eastAsiaTheme="minorEastAsia"/>
          <w:bCs/>
          <w:sz w:val="24"/>
          <w:u w:val="single"/>
        </w:rPr>
      </w:pPr>
      <w:r>
        <w:rPr>
          <w:rFonts w:hint="eastAsia" w:cs="宋体" w:asciiTheme="minorEastAsia" w:hAnsiTheme="minorEastAsia" w:eastAsiaTheme="minorEastAsia"/>
          <w:bCs/>
          <w:sz w:val="24"/>
          <w:u w:val="single"/>
        </w:rPr>
        <w:t xml:space="preserve">4.列入上表人员具有相关证书、工作经验的，应在本栏目提交相关证明材料扫描件。</w:t>
      </w:r>
      <w:r/>
    </w:p>
    <w:p>
      <w:pPr>
        <w:pStyle w:val="2469"/>
        <w:ind w:left="-17" w:firstLine="480"/>
        <w:spacing w:line="360" w:lineRule="auto"/>
        <w:rPr>
          <w:rFonts w:hint="eastAsia" w:cs="宋体" w:asciiTheme="minorEastAsia" w:hAnsiTheme="minorEastAsia" w:eastAsiaTheme="minorEastAsia"/>
          <w:bCs/>
          <w:sz w:val="24"/>
          <w:u w:val="single"/>
        </w:rPr>
      </w:pPr>
      <w:r>
        <w:rPr>
          <w:rFonts w:hint="eastAsia" w:cs="宋体" w:asciiTheme="minorEastAsia" w:hAnsiTheme="minorEastAsia" w:eastAsiaTheme="minorEastAsia"/>
          <w:bCs/>
          <w:sz w:val="24"/>
          <w:u w:val="single"/>
        </w:rPr>
        <w:t xml:space="preserve">5.行数不够请自行添加。</w:t>
      </w:r>
      <w:r/>
    </w:p>
    <w:p>
      <w:pPr>
        <w:rPr>
          <w:rFonts w:hint="eastAsia" w:cs="宋体" w:asciiTheme="minorEastAsia" w:hAnsiTheme="minorEastAsia" w:eastAsiaTheme="minorEastAsia"/>
        </w:rPr>
      </w:pPr>
      <w:r>
        <w:rPr>
          <w:rFonts w:hint="eastAsia" w:cs="宋体" w:asciiTheme="minorEastAsia" w:hAnsiTheme="minorEastAsia" w:eastAsiaTheme="minorEastAsia"/>
        </w:rPr>
        <w:br w:type="page" w:clear="all"/>
      </w:r>
      <w:r/>
    </w:p>
    <w:p>
      <w:pPr>
        <w:pStyle w:val="2469"/>
        <w:ind w:firstLine="0"/>
        <w:jc w:val="center"/>
        <w:spacing w:line="500" w:lineRule="exact"/>
        <w:rPr>
          <w:rFonts w:hint="eastAsia" w:cs="宋体" w:asciiTheme="minorEastAsia" w:hAnsiTheme="minorEastAsia" w:eastAsiaTheme="minorEastAsia"/>
          <w:b/>
          <w:bCs/>
          <w:sz w:val="32"/>
        </w:rPr>
      </w:pPr>
      <w:r>
        <w:rPr>
          <w:rFonts w:hint="eastAsia" w:cs="宋体" w:asciiTheme="minorEastAsia" w:hAnsiTheme="minorEastAsia" w:eastAsiaTheme="minorEastAsia"/>
          <w:b/>
          <w:bCs/>
          <w:sz w:val="32"/>
        </w:rPr>
        <w:t xml:space="preserve">4.拟派本项目负责人情况简介（标段</w:t>
      </w:r>
      <w:r>
        <w:rPr>
          <w:rFonts w:hint="eastAsia" w:cs="宋体" w:asciiTheme="minorEastAsia" w:hAnsiTheme="minorEastAsia" w:eastAsiaTheme="minorEastAsia"/>
          <w:b/>
          <w:bCs/>
          <w:sz w:val="32"/>
          <w:u w:val="single"/>
        </w:rPr>
        <w:t xml:space="preserve">     </w:t>
      </w:r>
      <w:r>
        <w:rPr>
          <w:rFonts w:hint="eastAsia" w:cs="宋体" w:asciiTheme="minorEastAsia" w:hAnsiTheme="minorEastAsia" w:eastAsiaTheme="minorEastAsia"/>
          <w:b/>
          <w:bCs/>
          <w:sz w:val="32"/>
        </w:rPr>
        <w:t xml:space="preserve">）</w:t>
      </w:r>
      <w:r/>
    </w:p>
    <w:tbl>
      <w:tblP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469"/>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姓名</w:t>
            </w:r>
            <w:r/>
          </w:p>
        </w:tc>
        <w:tc>
          <w:tcPr>
            <w:tcW w:w="1650" w:type="dxa"/>
            <w:vAlign w:val="center"/>
            <w:textDirection w:val="lrTb"/>
            <w:noWrap/>
          </w:tcPr>
          <w:p>
            <w:pPr>
              <w:pStyle w:val="2469"/>
              <w:ind w:left="-15" w:firstLine="2534"/>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031" w:type="dxa"/>
            <w:vAlign w:val="center"/>
            <w:textDirection w:val="lrTb"/>
            <w:noWrap/>
          </w:tcPr>
          <w:p>
            <w:pPr>
              <w:pStyle w:val="2469"/>
              <w:ind w:left="-15"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近3年工作业绩及承担的主要工作</w:t>
            </w:r>
            <w:r/>
          </w:p>
        </w:tc>
      </w:tr>
      <w:tr>
        <w:trPr>
          <w:cantSplit/>
          <w:jc w:val="center"/>
          <w:trHeight w:val="630"/>
        </w:trPr>
        <w:tc>
          <w:tcPr>
            <w:tcW w:w="2319" w:type="dxa"/>
            <w:vAlign w:val="center"/>
            <w:textDirection w:val="lrTb"/>
            <w:noWrap/>
          </w:tcPr>
          <w:p>
            <w:pPr>
              <w:pStyle w:val="2469"/>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性别</w:t>
            </w:r>
            <w:r/>
          </w:p>
        </w:tc>
        <w:tc>
          <w:tcPr>
            <w:tcW w:w="1650" w:type="dxa"/>
            <w:vAlign w:val="center"/>
            <w:textDirection w:val="lrTb"/>
            <w:noWrap/>
          </w:tcPr>
          <w:p>
            <w:pPr>
              <w:pStyle w:val="2469"/>
              <w:ind w:left="-15" w:firstLine="2534"/>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031" w:type="dxa"/>
            <w:vAlign w:val="center"/>
            <w:vMerge w:val="restart"/>
            <w:textDirection w:val="lrTb"/>
            <w:noWrap/>
          </w:tcPr>
          <w:p>
            <w:pPr>
              <w:pStyle w:val="2469"/>
              <w:ind w:left="-15"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r>
      <w:tr>
        <w:trPr>
          <w:cantSplit/>
          <w:jc w:val="center"/>
          <w:trHeight w:val="630"/>
        </w:trPr>
        <w:tc>
          <w:tcPr>
            <w:tcW w:w="2319" w:type="dxa"/>
            <w:vAlign w:val="center"/>
            <w:textDirection w:val="lrTb"/>
            <w:noWrap/>
          </w:tcPr>
          <w:p>
            <w:pPr>
              <w:pStyle w:val="2469"/>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年龄</w:t>
            </w:r>
            <w:r/>
          </w:p>
        </w:tc>
        <w:tc>
          <w:tcPr>
            <w:tcW w:w="1650" w:type="dxa"/>
            <w:vAlign w:val="center"/>
            <w:textDirection w:val="lrTb"/>
            <w:noWrap/>
          </w:tcPr>
          <w:p>
            <w:pPr>
              <w:pStyle w:val="2469"/>
              <w:ind w:left="-15" w:firstLine="2534"/>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031" w:type="dxa"/>
            <w:vAlign w:val="center"/>
            <w:vMerge w:val="continue"/>
            <w:textDirection w:val="lrTb"/>
            <w:noWrap/>
          </w:tcPr>
          <w:p>
            <w:pPr>
              <w:pStyle w:val="2457"/>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cantSplit/>
          <w:jc w:val="center"/>
          <w:trHeight w:val="630"/>
        </w:trPr>
        <w:tc>
          <w:tcPr>
            <w:tcW w:w="2319" w:type="dxa"/>
            <w:vAlign w:val="center"/>
            <w:textDirection w:val="lrTb"/>
            <w:noWrap/>
          </w:tcPr>
          <w:p>
            <w:pPr>
              <w:pStyle w:val="2469"/>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职称</w:t>
            </w:r>
            <w:r/>
          </w:p>
        </w:tc>
        <w:tc>
          <w:tcPr>
            <w:tcW w:w="1650" w:type="dxa"/>
            <w:vAlign w:val="center"/>
            <w:textDirection w:val="lrTb"/>
            <w:noWrap/>
          </w:tcPr>
          <w:p>
            <w:pPr>
              <w:pStyle w:val="2469"/>
              <w:ind w:left="-15" w:firstLine="2534"/>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031" w:type="dxa"/>
            <w:vAlign w:val="center"/>
            <w:vMerge w:val="continue"/>
            <w:textDirection w:val="lrTb"/>
            <w:noWrap/>
          </w:tcPr>
          <w:p>
            <w:pPr>
              <w:pStyle w:val="2457"/>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cantSplit/>
          <w:jc w:val="center"/>
          <w:trHeight w:val="630"/>
        </w:trPr>
        <w:tc>
          <w:tcPr>
            <w:tcW w:w="2319" w:type="dxa"/>
            <w:vAlign w:val="center"/>
            <w:textDirection w:val="lrTb"/>
            <w:noWrap/>
          </w:tcPr>
          <w:p>
            <w:pPr>
              <w:pStyle w:val="2469"/>
              <w:ind w:left="-15"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毕业时间</w:t>
            </w:r>
            <w:r/>
          </w:p>
        </w:tc>
        <w:tc>
          <w:tcPr>
            <w:tcW w:w="1650" w:type="dxa"/>
            <w:vAlign w:val="center"/>
            <w:textDirection w:val="lrTb"/>
            <w:noWrap/>
          </w:tcPr>
          <w:p>
            <w:pPr>
              <w:pStyle w:val="2469"/>
              <w:ind w:left="-15" w:firstLine="2534"/>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031" w:type="dxa"/>
            <w:vAlign w:val="center"/>
            <w:vMerge w:val="continue"/>
            <w:textDirection w:val="lrTb"/>
            <w:noWrap/>
          </w:tcPr>
          <w:p>
            <w:pPr>
              <w:pStyle w:val="2457"/>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cantSplit/>
          <w:jc w:val="center"/>
          <w:trHeight w:val="630"/>
        </w:trPr>
        <w:tc>
          <w:tcPr>
            <w:tcW w:w="2319" w:type="dxa"/>
            <w:vAlign w:val="center"/>
            <w:textDirection w:val="lrTb"/>
            <w:noWrap/>
          </w:tcPr>
          <w:p>
            <w:pPr>
              <w:pStyle w:val="2469"/>
              <w:ind w:left="-15"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所学专业</w:t>
            </w:r>
            <w:r/>
          </w:p>
        </w:tc>
        <w:tc>
          <w:tcPr>
            <w:tcW w:w="1650" w:type="dxa"/>
            <w:vAlign w:val="center"/>
            <w:textDirection w:val="lrTb"/>
            <w:noWrap/>
          </w:tcPr>
          <w:p>
            <w:pPr>
              <w:pStyle w:val="2469"/>
              <w:ind w:left="-15" w:firstLine="2534"/>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031" w:type="dxa"/>
            <w:vAlign w:val="center"/>
            <w:vMerge w:val="continue"/>
            <w:textDirection w:val="lrTb"/>
            <w:noWrap/>
          </w:tcPr>
          <w:p>
            <w:pPr>
              <w:pStyle w:val="2457"/>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cantSplit/>
          <w:jc w:val="center"/>
          <w:trHeight w:val="630"/>
        </w:trPr>
        <w:tc>
          <w:tcPr>
            <w:tcW w:w="2319" w:type="dxa"/>
            <w:vAlign w:val="center"/>
            <w:textDirection w:val="lrTb"/>
            <w:noWrap/>
          </w:tcPr>
          <w:p>
            <w:pPr>
              <w:pStyle w:val="2469"/>
              <w:ind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学历</w:t>
            </w:r>
            <w:r/>
          </w:p>
        </w:tc>
        <w:tc>
          <w:tcPr>
            <w:tcW w:w="1650" w:type="dxa"/>
            <w:vAlign w:val="center"/>
            <w:textDirection w:val="lrTb"/>
            <w:noWrap/>
          </w:tcPr>
          <w:p>
            <w:pPr>
              <w:pStyle w:val="2469"/>
              <w:ind w:left="-15" w:firstLine="2534"/>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031" w:type="dxa"/>
            <w:vAlign w:val="center"/>
            <w:vMerge w:val="continue"/>
            <w:textDirection w:val="lrTb"/>
            <w:noWrap/>
          </w:tcPr>
          <w:p>
            <w:pPr>
              <w:pStyle w:val="2457"/>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cantSplit/>
          <w:jc w:val="center"/>
          <w:trHeight w:val="630"/>
        </w:trPr>
        <w:tc>
          <w:tcPr>
            <w:tcW w:w="2319" w:type="dxa"/>
            <w:vAlign w:val="center"/>
            <w:textDirection w:val="lrTb"/>
            <w:noWrap/>
          </w:tcPr>
          <w:p>
            <w:pPr>
              <w:pStyle w:val="2469"/>
              <w:ind w:left="-15"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*****证书编号</w:t>
            </w:r>
            <w:r/>
          </w:p>
        </w:tc>
        <w:tc>
          <w:tcPr>
            <w:tcW w:w="1650" w:type="dxa"/>
            <w:vAlign w:val="center"/>
            <w:textDirection w:val="lrTb"/>
            <w:noWrap/>
          </w:tcPr>
          <w:p>
            <w:pPr>
              <w:pStyle w:val="2469"/>
              <w:ind w:left="-15" w:firstLine="2534"/>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031" w:type="dxa"/>
            <w:vAlign w:val="center"/>
            <w:vMerge w:val="continue"/>
            <w:textDirection w:val="lrTb"/>
            <w:noWrap/>
          </w:tcPr>
          <w:p>
            <w:pPr>
              <w:pStyle w:val="2457"/>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cantSplit/>
          <w:jc w:val="center"/>
          <w:trHeight w:val="630"/>
        </w:trPr>
        <w:tc>
          <w:tcPr>
            <w:tcW w:w="2319" w:type="dxa"/>
            <w:vAlign w:val="center"/>
            <w:textDirection w:val="lrTb"/>
            <w:noWrap/>
          </w:tcPr>
          <w:p>
            <w:pPr>
              <w:pStyle w:val="2469"/>
              <w:ind w:left="-15"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其他专业资质</w:t>
            </w:r>
            <w:r/>
          </w:p>
        </w:tc>
        <w:tc>
          <w:tcPr>
            <w:tcW w:w="1650" w:type="dxa"/>
            <w:vAlign w:val="center"/>
            <w:textDirection w:val="lrTb"/>
            <w:noWrap/>
          </w:tcPr>
          <w:p>
            <w:pPr>
              <w:pStyle w:val="2469"/>
              <w:ind w:left="-15" w:firstLine="2534"/>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031" w:type="dxa"/>
            <w:vAlign w:val="center"/>
            <w:vMerge w:val="continue"/>
            <w:textDirection w:val="lrTb"/>
            <w:noWrap/>
          </w:tcPr>
          <w:p>
            <w:pPr>
              <w:pStyle w:val="2457"/>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cantSplit/>
          <w:jc w:val="center"/>
          <w:trHeight w:val="630"/>
        </w:trPr>
        <w:tc>
          <w:tcPr>
            <w:tcW w:w="2319" w:type="dxa"/>
            <w:vAlign w:val="center"/>
            <w:textDirection w:val="lrTb"/>
            <w:noWrap/>
          </w:tcPr>
          <w:p>
            <w:pPr>
              <w:pStyle w:val="2469"/>
              <w:ind w:left="-15"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联系电话</w:t>
            </w:r>
            <w:r/>
          </w:p>
        </w:tc>
        <w:tc>
          <w:tcPr>
            <w:tcW w:w="1650" w:type="dxa"/>
            <w:vAlign w:val="center"/>
            <w:textDirection w:val="lrTb"/>
            <w:noWrap/>
          </w:tcPr>
          <w:p>
            <w:pPr>
              <w:pStyle w:val="2469"/>
              <w:ind w:left="-15" w:firstLine="2534"/>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c>
          <w:tcPr>
            <w:tcW w:w="5031" w:type="dxa"/>
            <w:vAlign w:val="center"/>
            <w:vMerge w:val="continue"/>
            <w:textDirection w:val="lrTb"/>
            <w:noWrap/>
          </w:tcPr>
          <w:p>
            <w:pPr>
              <w:pStyle w:val="2457"/>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1435"/>
        </w:trPr>
        <w:tc>
          <w:tcPr>
            <w:tcW w:w="2319" w:type="dxa"/>
            <w:vAlign w:val="center"/>
            <w:textDirection w:val="lrTb"/>
            <w:noWrap/>
          </w:tcPr>
          <w:p>
            <w:pPr>
              <w:pStyle w:val="2469"/>
              <w:ind w:left="-15" w:firstLine="480"/>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曾担任项目负责人的项目</w:t>
            </w:r>
            <w:r/>
          </w:p>
        </w:tc>
        <w:tc>
          <w:tcPr>
            <w:gridSpan w:val="2"/>
            <w:tcW w:w="6681" w:type="dxa"/>
            <w:vAlign w:val="center"/>
            <w:textDirection w:val="lrTb"/>
            <w:noWrap/>
          </w:tcPr>
          <w:p>
            <w:pPr>
              <w:pStyle w:val="2469"/>
              <w:ind w:left="-15" w:firstLine="2534"/>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tc>
      </w:tr>
    </w:tbl>
    <w:p>
      <w:pPr>
        <w:pStyle w:val="2469"/>
        <w:ind w:firstLine="482"/>
        <w:spacing w:line="360"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b/>
          <w:bCs/>
          <w:sz w:val="24"/>
        </w:rPr>
        <w:t xml:space="preserve">注：</w:t>
      </w:r>
      <w:r>
        <w:rPr>
          <w:rFonts w:hint="eastAsia" w:cs="宋体" w:asciiTheme="minorEastAsia" w:hAnsiTheme="minorEastAsia" w:eastAsiaTheme="minorEastAsia"/>
          <w:sz w:val="24"/>
          <w:u w:val="single"/>
        </w:rPr>
        <w:t xml:space="preserve">1.项目负责人为*****师时，提交相关证书原件扫描件。</w:t>
      </w:r>
      <w:r/>
    </w:p>
    <w:p>
      <w:pPr>
        <w:pStyle w:val="2469"/>
        <w:ind w:firstLine="480"/>
        <w:spacing w:line="360"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u w:val="single"/>
        </w:rPr>
        <w:t xml:space="preserve">2.列入本表人员如要更换，需经采购人同意。擅自更换属违约行为。</w:t>
      </w:r>
      <w:r/>
    </w:p>
    <w:p>
      <w:pPr>
        <w:pStyle w:val="2469"/>
        <w:ind w:firstLine="480"/>
        <w:spacing w:line="360"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u w:val="single"/>
        </w:rPr>
        <w:t xml:space="preserve">3.列入本表人员需提供近半年</w:t>
      </w:r>
      <w:r>
        <w:rPr>
          <w:rFonts w:hint="eastAsia" w:cs="宋体" w:asciiTheme="minorEastAsia" w:hAnsiTheme="minorEastAsia" w:eastAsiaTheme="minorEastAsia"/>
          <w:bCs/>
          <w:sz w:val="24"/>
          <w:u w:val="single"/>
        </w:rPr>
        <w:t xml:space="preserve">任意一月</w:t>
      </w:r>
      <w:r>
        <w:rPr>
          <w:rFonts w:hint="eastAsia" w:cs="宋体" w:asciiTheme="minorEastAsia" w:hAnsiTheme="minorEastAsia" w:eastAsiaTheme="minorEastAsia"/>
          <w:sz w:val="24"/>
          <w:u w:val="single"/>
        </w:rPr>
        <w:t xml:space="preserve">供应商为其缴纳社会保险的证明材料。</w:t>
      </w:r>
      <w:r/>
    </w:p>
    <w:p>
      <w:pPr>
        <w:pStyle w:val="2470"/>
        <w:ind w:firstLine="470"/>
        <w:rPr>
          <w:rFonts w:hint="eastAsia" w:cs="宋体" w:asciiTheme="minorEastAsia" w:hAnsiTheme="minorEastAsia" w:eastAsiaTheme="minorEastAsia"/>
          <w:u w:val="single"/>
        </w:rPr>
      </w:pPr>
      <w:r/>
      <w:bookmarkStart w:id="257" w:name="_Toc256000083"/>
      <w:r/>
      <w:bookmarkStart w:id="258" w:name="_Toc5210"/>
      <w:r>
        <w:rPr>
          <w:rFonts w:hint="eastAsia" w:cs="宋体" w:asciiTheme="minorEastAsia" w:hAnsiTheme="minorEastAsia" w:eastAsiaTheme="minorEastAsia"/>
          <w:u w:val="single"/>
        </w:rPr>
        <w:t xml:space="preserve">4.列入本表人员必须提供能证明该人员是本公司员工的证明材料。</w:t>
      </w:r>
      <w:bookmarkEnd w:id="257"/>
      <w:r/>
      <w:bookmarkEnd w:id="258"/>
      <w:r/>
      <w:r/>
    </w:p>
    <w:p>
      <w:pPr>
        <w:pStyle w:val="2458"/>
        <w:rPr>
          <w:rFonts w:hint="eastAsia" w:cs="宋体" w:asciiTheme="minorEastAsia" w:hAnsiTheme="minorEastAsia" w:eastAsiaTheme="minorEastAsia"/>
        </w:rPr>
      </w:pPr>
      <w:r>
        <w:rPr>
          <w:rFonts w:hint="eastAsia" w:cs="宋体" w:asciiTheme="minorEastAsia" w:hAnsiTheme="minorEastAsia" w:eastAsiaTheme="minorEastAsia"/>
        </w:rPr>
      </w:r>
      <w:r/>
    </w:p>
    <w:p>
      <w:pPr>
        <w:jc w:val="left"/>
        <w:widowControl/>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rPr>
          <w:rFonts w:hint="eastAsia" w:cs="宋体" w:asciiTheme="minorEastAsia" w:hAnsiTheme="minorEastAsia" w:eastAsiaTheme="minorEastAsia"/>
          <w:b/>
          <w:bCs/>
          <w:sz w:val="32"/>
        </w:rPr>
      </w:pPr>
      <w:r>
        <w:rPr>
          <w:rFonts w:hint="eastAsia" w:cs="宋体" w:asciiTheme="minorEastAsia" w:hAnsiTheme="minorEastAsia" w:eastAsiaTheme="minorEastAsia"/>
          <w:b/>
          <w:sz w:val="32"/>
          <w:szCs w:val="32"/>
        </w:rPr>
        <w:br w:type="page" w:clear="all"/>
      </w:r>
      <w:r/>
    </w:p>
    <w:p>
      <w:pPr>
        <w:jc w:val="center"/>
        <w:spacing w:line="360" w:lineRule="auto"/>
        <w:rPr>
          <w:rFonts w:hint="eastAsia" w:cs="宋体" w:asciiTheme="minorEastAsia" w:hAnsiTheme="minorEastAsia" w:eastAsiaTheme="minorEastAsia"/>
          <w:b/>
          <w:bCs/>
          <w:sz w:val="32"/>
        </w:rPr>
      </w:pPr>
      <w:r>
        <w:rPr>
          <w:rFonts w:hint="eastAsia" w:cs="宋体" w:asciiTheme="minorEastAsia" w:hAnsiTheme="minorEastAsia" w:eastAsiaTheme="minorEastAsia"/>
          <w:b/>
          <w:bCs/>
          <w:sz w:val="32"/>
        </w:rPr>
        <w:t xml:space="preserve">六、商务部分（标段</w:t>
      </w:r>
      <w:r>
        <w:rPr>
          <w:rFonts w:hint="eastAsia" w:cs="宋体" w:asciiTheme="minorEastAsia" w:hAnsiTheme="minorEastAsia" w:eastAsiaTheme="minorEastAsia"/>
          <w:b/>
          <w:bCs/>
          <w:sz w:val="32"/>
          <w:u w:val="single"/>
        </w:rPr>
        <w:t xml:space="preserve">     </w:t>
      </w:r>
      <w:r>
        <w:rPr>
          <w:rFonts w:hint="eastAsia" w:cs="宋体" w:asciiTheme="minorEastAsia" w:hAnsiTheme="minorEastAsia" w:eastAsiaTheme="minorEastAsia"/>
          <w:b/>
          <w:bCs/>
          <w:sz w:val="32"/>
        </w:rPr>
        <w:t xml:space="preserve">）</w:t>
      </w:r>
      <w:r/>
    </w:p>
    <w:p>
      <w:pPr>
        <w:spacing w:line="360" w:lineRule="auto"/>
        <w:rPr>
          <w:rFonts w:hint="eastAsia" w:cs="宋体" w:asciiTheme="minorEastAsia" w:hAnsiTheme="minorEastAsia" w:eastAsiaTheme="minorEastAsia"/>
          <w:sz w:val="28"/>
        </w:rPr>
      </w:pPr>
      <w:r/>
      <w:bookmarkStart w:id="259" w:name="_Toc100386081"/>
      <w:r>
        <w:rPr>
          <w:rFonts w:hint="eastAsia" w:cs="宋体" w:asciiTheme="minorEastAsia" w:hAnsiTheme="minorEastAsia" w:eastAsiaTheme="minorEastAsia"/>
          <w:sz w:val="28"/>
        </w:rPr>
        <w:t xml:space="preserve">1、体系认证证书</w:t>
      </w:r>
      <w:r/>
    </w:p>
    <w:p>
      <w:pPr>
        <w:spacing w:line="360" w:lineRule="auto"/>
        <w:rPr>
          <w:rFonts w:hint="eastAsia" w:cs="宋体" w:asciiTheme="minorEastAsia" w:hAnsiTheme="minorEastAsia" w:eastAsiaTheme="minorEastAsia"/>
          <w:sz w:val="28"/>
        </w:rPr>
      </w:pPr>
      <w:r>
        <w:rPr>
          <w:rFonts w:hint="eastAsia" w:cs="宋体" w:asciiTheme="minorEastAsia" w:hAnsiTheme="minorEastAsia" w:eastAsiaTheme="minorEastAsia"/>
          <w:sz w:val="28"/>
        </w:rPr>
        <w:t xml:space="preserve">2、投标人类似业绩</w:t>
      </w:r>
      <w:r/>
    </w:p>
    <w:p>
      <w:pPr>
        <w:spacing w:line="360" w:lineRule="auto"/>
        <w:rPr>
          <w:rFonts w:hint="eastAsia" w:cs="宋体" w:asciiTheme="minorEastAsia" w:hAnsiTheme="minorEastAsia" w:eastAsiaTheme="minorEastAsia"/>
          <w:sz w:val="28"/>
        </w:rPr>
      </w:pPr>
      <w:r>
        <w:rPr>
          <w:rFonts w:hint="eastAsia" w:cs="宋体" w:asciiTheme="minorEastAsia" w:hAnsiTheme="minorEastAsia" w:eastAsiaTheme="minorEastAsia"/>
          <w:sz w:val="28"/>
        </w:rPr>
        <w:t xml:space="preserve">3、相关人员证书、社保</w:t>
      </w:r>
      <w:r/>
    </w:p>
    <w:p>
      <w:pPr>
        <w:ind w:firstLine="560"/>
        <w:spacing w:line="360" w:lineRule="auto"/>
        <w:rPr>
          <w:rFonts w:hint="eastAsia" w:cs="宋体" w:asciiTheme="minorEastAsia" w:hAnsiTheme="minorEastAsia" w:eastAsiaTheme="minorEastAsia"/>
          <w:sz w:val="28"/>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cs="宋体" w:asciiTheme="minorEastAsia" w:hAnsiTheme="minorEastAsia" w:eastAsiaTheme="minorEastAsia"/>
          <w:sz w:val="28"/>
        </w:rPr>
        <w:t xml:space="preserve">......</w:t>
      </w:r>
      <w:bookmarkEnd w:id="259"/>
      <w:r/>
      <w:r/>
    </w:p>
    <w:p>
      <w:pPr>
        <w:pStyle w:val="1085"/>
        <w:ind w:firstLine="3020"/>
        <w:jc w:val="left"/>
        <w:spacing w:line="360" w:lineRule="auto"/>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七、其他部分</w:t>
      </w:r>
      <w:r/>
    </w:p>
    <w:p>
      <w:pPr>
        <w:jc w:val="center"/>
        <w:spacing w:line="360" w:lineRule="auto"/>
        <w:rPr>
          <w:rFonts w:hint="eastAsia"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2"/>
          <w:szCs w:val="32"/>
        </w:rPr>
        <w:t xml:space="preserve">（一）</w:t>
      </w:r>
      <w:r>
        <w:rPr>
          <w:rFonts w:cs="宋体" w:asciiTheme="minorEastAsia" w:hAnsiTheme="minorEastAsia" w:eastAsiaTheme="minorEastAsia"/>
          <w:b/>
          <w:sz w:val="32"/>
        </w:rPr>
        <w:t xml:space="preserve">中小企业声明函（</w:t>
      </w:r>
      <w:r>
        <w:rPr>
          <w:rFonts w:hint="eastAsia" w:cs="宋体" w:asciiTheme="minorEastAsia" w:hAnsiTheme="minorEastAsia" w:eastAsiaTheme="minorEastAsia"/>
          <w:b/>
          <w:sz w:val="32"/>
        </w:rPr>
        <w:t xml:space="preserve">货物</w:t>
      </w:r>
      <w:r>
        <w:rPr>
          <w:rFonts w:cs="宋体" w:asciiTheme="minorEastAsia" w:hAnsiTheme="minorEastAsia" w:eastAsiaTheme="minorEastAsia"/>
          <w:b/>
          <w:sz w:val="32"/>
        </w:rPr>
        <w:t xml:space="preserve">类）</w:t>
      </w:r>
      <w:r/>
    </w:p>
    <w:p>
      <w:pPr>
        <w:ind w:firstLine="584"/>
        <w:jc w:val="left"/>
        <w:spacing w:line="560" w:lineRule="exact"/>
        <w:widowControl/>
        <w:rPr>
          <w:rFonts w:hint="eastAsia"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pacing w:val="6"/>
          <w:sz w:val="28"/>
          <w:szCs w:val="28"/>
          <w:u w:val="single"/>
        </w:rPr>
        <w:t xml:space="preserve">            </w:t>
      </w:r>
      <w:r>
        <w:rPr>
          <w:rFonts w:hint="eastAsia" w:cs="宋体" w:asciiTheme="minorEastAsia" w:hAnsiTheme="minorEastAsia" w:eastAsiaTheme="minorEastAsia"/>
          <w:spacing w:val="6"/>
          <w:sz w:val="28"/>
          <w:szCs w:val="28"/>
        </w:rPr>
        <w:t xml:space="preserve">（单位名称）的</w:t>
      </w:r>
      <w:r>
        <w:rPr>
          <w:rFonts w:hint="eastAsia" w:cs="宋体" w:asciiTheme="minorEastAsia" w:hAnsiTheme="minorEastAsia" w:eastAsiaTheme="minorEastAsia"/>
          <w:spacing w:val="6"/>
          <w:sz w:val="28"/>
          <w:szCs w:val="28"/>
          <w:u w:val="single"/>
        </w:rPr>
        <w:t xml:space="preserve">             </w:t>
      </w:r>
      <w:r>
        <w:rPr>
          <w:rFonts w:hint="eastAsia" w:cs="宋体" w:asciiTheme="minorEastAsia" w:hAnsiTheme="minorEastAsia" w:eastAsiaTheme="minorEastAsia"/>
          <w:spacing w:val="6"/>
          <w:sz w:val="28"/>
          <w:szCs w:val="28"/>
        </w:rPr>
        <w:t xml:space="preserve">（项目名称）采购活动，提供的货物全部由符合政策要求的中小企业制造。相关企业（含联合体中的中小企业、签订分包意向协议的中小企业）的具体情况如下：  </w:t>
      </w:r>
      <w:r/>
    </w:p>
    <w:p>
      <w:pPr>
        <w:jc w:val="left"/>
        <w:spacing w:line="560" w:lineRule="exact"/>
        <w:widowControl/>
        <w:rPr>
          <w:rFonts w:hint="eastAsia"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1.</w:t>
      </w:r>
      <w:r>
        <w:rPr>
          <w:rFonts w:hint="eastAsia" w:cs="宋体" w:asciiTheme="minorEastAsia" w:hAnsiTheme="minorEastAsia" w:eastAsiaTheme="minorEastAsia"/>
          <w:spacing w:val="6"/>
          <w:sz w:val="28"/>
          <w:szCs w:val="28"/>
          <w:u w:val="single"/>
        </w:rPr>
        <w:t xml:space="preserve">（标的名称）</w:t>
      </w:r>
      <w:r>
        <w:rPr>
          <w:rFonts w:hint="eastAsia" w:cs="宋体" w:asciiTheme="minorEastAsia" w:hAnsiTheme="minorEastAsia" w:eastAsiaTheme="minorEastAsia"/>
          <w:spacing w:val="6"/>
          <w:sz w:val="28"/>
          <w:szCs w:val="28"/>
        </w:rPr>
        <w:t xml:space="preserve">，属于</w:t>
      </w:r>
      <w:r>
        <w:rPr>
          <w:rFonts w:hint="eastAsia" w:cs="宋体" w:asciiTheme="minorEastAsia" w:hAnsiTheme="minorEastAsia" w:eastAsiaTheme="minorEastAsia"/>
          <w:spacing w:val="6"/>
          <w:sz w:val="28"/>
          <w:szCs w:val="28"/>
          <w:u w:val="single"/>
        </w:rPr>
        <w:t xml:space="preserve">（采购文件中明确的所属行业）</w:t>
      </w:r>
      <w:r>
        <w:rPr>
          <w:rFonts w:hint="eastAsia" w:cs="宋体" w:asciiTheme="minorEastAsia" w:hAnsiTheme="minorEastAsia" w:eastAsiaTheme="minorEastAsia"/>
          <w:spacing w:val="6"/>
          <w:sz w:val="28"/>
          <w:szCs w:val="28"/>
        </w:rPr>
        <w:t xml:space="preserve">行业；制造商为</w:t>
      </w:r>
      <w:r>
        <w:rPr>
          <w:rFonts w:hint="eastAsia" w:cs="宋体" w:asciiTheme="minorEastAsia" w:hAnsiTheme="minorEastAsia" w:eastAsiaTheme="minorEastAsia"/>
          <w:spacing w:val="6"/>
          <w:sz w:val="28"/>
          <w:szCs w:val="28"/>
          <w:u w:val="single"/>
        </w:rPr>
        <w:t xml:space="preserve">（企业名称）</w:t>
      </w:r>
      <w:r>
        <w:rPr>
          <w:rFonts w:hint="eastAsia" w:cs="宋体" w:asciiTheme="minorEastAsia" w:hAnsiTheme="minorEastAsia" w:eastAsiaTheme="minorEastAsia"/>
          <w:spacing w:val="6"/>
          <w:sz w:val="28"/>
          <w:szCs w:val="28"/>
        </w:rPr>
        <w:t xml:space="preserve">，从业人员</w:t>
      </w:r>
      <w:r>
        <w:rPr>
          <w:rFonts w:hint="eastAsia" w:cs="宋体" w:asciiTheme="minorEastAsia" w:hAnsiTheme="minorEastAsia" w:eastAsiaTheme="minorEastAsia"/>
          <w:spacing w:val="6"/>
          <w:sz w:val="28"/>
          <w:szCs w:val="28"/>
          <w:u w:val="single"/>
        </w:rPr>
        <w:t xml:space="preserve">    </w:t>
      </w:r>
      <w:r>
        <w:rPr>
          <w:rFonts w:hint="eastAsia" w:cs="宋体" w:asciiTheme="minorEastAsia" w:hAnsiTheme="minorEastAsia" w:eastAsiaTheme="minorEastAsia"/>
          <w:spacing w:val="6"/>
          <w:sz w:val="28"/>
          <w:szCs w:val="28"/>
        </w:rPr>
        <w:t xml:space="preserve">人，营业收入为</w:t>
      </w:r>
      <w:r>
        <w:rPr>
          <w:rFonts w:hint="eastAsia" w:cs="宋体" w:asciiTheme="minorEastAsia" w:hAnsiTheme="minorEastAsia" w:eastAsiaTheme="minorEastAsia"/>
          <w:spacing w:val="6"/>
          <w:sz w:val="28"/>
          <w:szCs w:val="28"/>
          <w:u w:val="single"/>
        </w:rPr>
        <w:t xml:space="preserve">   </w:t>
      </w:r>
      <w:r>
        <w:rPr>
          <w:rFonts w:hint="eastAsia" w:cs="宋体" w:asciiTheme="minorEastAsia" w:hAnsiTheme="minorEastAsia" w:eastAsiaTheme="minorEastAsia"/>
          <w:spacing w:val="6"/>
          <w:sz w:val="28"/>
          <w:szCs w:val="28"/>
        </w:rPr>
        <w:t xml:space="preserve">万元，资产总额为</w:t>
      </w:r>
      <w:r>
        <w:rPr>
          <w:rFonts w:hint="eastAsia" w:cs="宋体" w:asciiTheme="minorEastAsia" w:hAnsiTheme="minorEastAsia" w:eastAsiaTheme="minorEastAsia"/>
          <w:spacing w:val="6"/>
          <w:sz w:val="28"/>
          <w:szCs w:val="28"/>
          <w:u w:val="single"/>
        </w:rPr>
        <w:t xml:space="preserve">     </w:t>
      </w:r>
      <w:r>
        <w:rPr>
          <w:rFonts w:hint="eastAsia" w:cs="宋体" w:asciiTheme="minorEastAsia" w:hAnsiTheme="minorEastAsia" w:eastAsiaTheme="minorEastAsia"/>
          <w:spacing w:val="6"/>
          <w:sz w:val="28"/>
          <w:szCs w:val="28"/>
        </w:rPr>
        <w:t xml:space="preserve">万元，属于</w:t>
      </w:r>
      <w:r>
        <w:rPr>
          <w:rFonts w:hint="eastAsia" w:cs="宋体" w:asciiTheme="minorEastAsia" w:hAnsiTheme="minorEastAsia" w:eastAsiaTheme="minorEastAsia"/>
          <w:spacing w:val="6"/>
          <w:sz w:val="28"/>
          <w:szCs w:val="28"/>
          <w:u w:val="single"/>
        </w:rPr>
        <w:t xml:space="preserve">      </w:t>
      </w:r>
      <w:r>
        <w:rPr>
          <w:rFonts w:hint="eastAsia" w:cs="宋体" w:asciiTheme="minorEastAsia" w:hAnsiTheme="minorEastAsia" w:eastAsiaTheme="minorEastAsia"/>
          <w:spacing w:val="6"/>
          <w:sz w:val="28"/>
          <w:szCs w:val="28"/>
        </w:rPr>
        <w:t xml:space="preserve">（中型企业、小型企业、微型企业）；  </w:t>
      </w:r>
      <w:r/>
    </w:p>
    <w:p>
      <w:pPr>
        <w:jc w:val="left"/>
        <w:spacing w:line="560" w:lineRule="exact"/>
        <w:widowControl/>
        <w:rPr>
          <w:rFonts w:hint="eastAsia"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2. </w:t>
      </w:r>
      <w:r>
        <w:rPr>
          <w:rFonts w:hint="eastAsia" w:cs="宋体" w:asciiTheme="minorEastAsia" w:hAnsiTheme="minorEastAsia" w:eastAsiaTheme="minorEastAsia"/>
          <w:spacing w:val="6"/>
          <w:sz w:val="28"/>
          <w:szCs w:val="28"/>
          <w:u w:val="single"/>
        </w:rPr>
        <w:t xml:space="preserve">（标的名称）</w:t>
      </w:r>
      <w:r>
        <w:rPr>
          <w:rFonts w:hint="eastAsia" w:cs="宋体" w:asciiTheme="minorEastAsia" w:hAnsiTheme="minorEastAsia" w:eastAsiaTheme="minorEastAsia"/>
          <w:spacing w:val="6"/>
          <w:sz w:val="28"/>
          <w:szCs w:val="28"/>
        </w:rPr>
        <w:t xml:space="preserve">，属于</w:t>
      </w:r>
      <w:r>
        <w:rPr>
          <w:rFonts w:hint="eastAsia" w:cs="宋体" w:asciiTheme="minorEastAsia" w:hAnsiTheme="minorEastAsia" w:eastAsiaTheme="minorEastAsia"/>
          <w:spacing w:val="6"/>
          <w:sz w:val="28"/>
          <w:szCs w:val="28"/>
          <w:u w:val="single"/>
        </w:rPr>
        <w:t xml:space="preserve">（采购文件中明确的所属行业）</w:t>
      </w:r>
      <w:r>
        <w:rPr>
          <w:rFonts w:hint="eastAsia" w:cs="宋体" w:asciiTheme="minorEastAsia" w:hAnsiTheme="minorEastAsia" w:eastAsiaTheme="minorEastAsia"/>
          <w:spacing w:val="6"/>
          <w:sz w:val="28"/>
          <w:szCs w:val="28"/>
        </w:rPr>
        <w:t xml:space="preserve">行业；制造商为</w:t>
      </w:r>
      <w:r>
        <w:rPr>
          <w:rFonts w:hint="eastAsia" w:cs="宋体" w:asciiTheme="minorEastAsia" w:hAnsiTheme="minorEastAsia" w:eastAsiaTheme="minorEastAsia"/>
          <w:spacing w:val="6"/>
          <w:sz w:val="28"/>
          <w:szCs w:val="28"/>
          <w:u w:val="single"/>
        </w:rPr>
        <w:t xml:space="preserve">（企业名称）</w:t>
      </w:r>
      <w:r>
        <w:rPr>
          <w:rFonts w:hint="eastAsia" w:cs="宋体" w:asciiTheme="minorEastAsia" w:hAnsiTheme="minorEastAsia" w:eastAsiaTheme="minorEastAsia"/>
          <w:spacing w:val="6"/>
          <w:sz w:val="28"/>
          <w:szCs w:val="28"/>
        </w:rPr>
        <w:t xml:space="preserve">，从业人员</w:t>
      </w:r>
      <w:r>
        <w:rPr>
          <w:rFonts w:hint="eastAsia" w:cs="宋体" w:asciiTheme="minorEastAsia" w:hAnsiTheme="minorEastAsia" w:eastAsiaTheme="minorEastAsia"/>
          <w:spacing w:val="6"/>
          <w:sz w:val="28"/>
          <w:szCs w:val="28"/>
          <w:u w:val="single"/>
        </w:rPr>
        <w:t xml:space="preserve">    </w:t>
      </w:r>
      <w:r>
        <w:rPr>
          <w:rFonts w:hint="eastAsia" w:cs="宋体" w:asciiTheme="minorEastAsia" w:hAnsiTheme="minorEastAsia" w:eastAsiaTheme="minorEastAsia"/>
          <w:spacing w:val="6"/>
          <w:sz w:val="28"/>
          <w:szCs w:val="28"/>
        </w:rPr>
        <w:t xml:space="preserve">人，营业收入为</w:t>
      </w:r>
      <w:r>
        <w:rPr>
          <w:rFonts w:hint="eastAsia" w:cs="宋体" w:asciiTheme="minorEastAsia" w:hAnsiTheme="minorEastAsia" w:eastAsiaTheme="minorEastAsia"/>
          <w:spacing w:val="6"/>
          <w:sz w:val="28"/>
          <w:szCs w:val="28"/>
          <w:u w:val="single"/>
        </w:rPr>
        <w:t xml:space="preserve">   </w:t>
      </w:r>
      <w:r>
        <w:rPr>
          <w:rFonts w:hint="eastAsia" w:cs="宋体" w:asciiTheme="minorEastAsia" w:hAnsiTheme="minorEastAsia" w:eastAsiaTheme="minorEastAsia"/>
          <w:spacing w:val="6"/>
          <w:sz w:val="28"/>
          <w:szCs w:val="28"/>
        </w:rPr>
        <w:t xml:space="preserve">万元，资产总额为</w:t>
      </w:r>
      <w:r>
        <w:rPr>
          <w:rFonts w:hint="eastAsia" w:cs="宋体" w:asciiTheme="minorEastAsia" w:hAnsiTheme="minorEastAsia" w:eastAsiaTheme="minorEastAsia"/>
          <w:spacing w:val="6"/>
          <w:sz w:val="28"/>
          <w:szCs w:val="28"/>
          <w:u w:val="single"/>
        </w:rPr>
        <w:t xml:space="preserve">     </w:t>
      </w:r>
      <w:r>
        <w:rPr>
          <w:rFonts w:hint="eastAsia" w:cs="宋体" w:asciiTheme="minorEastAsia" w:hAnsiTheme="minorEastAsia" w:eastAsiaTheme="minorEastAsia"/>
          <w:spacing w:val="6"/>
          <w:sz w:val="28"/>
          <w:szCs w:val="28"/>
        </w:rPr>
        <w:t xml:space="preserve">万元，属于</w:t>
      </w:r>
      <w:r>
        <w:rPr>
          <w:rFonts w:hint="eastAsia" w:cs="宋体" w:asciiTheme="minorEastAsia" w:hAnsiTheme="minorEastAsia" w:eastAsiaTheme="minorEastAsia"/>
          <w:spacing w:val="6"/>
          <w:sz w:val="28"/>
          <w:szCs w:val="28"/>
          <w:u w:val="single"/>
        </w:rPr>
        <w:t xml:space="preserve">      </w:t>
      </w:r>
      <w:r>
        <w:rPr>
          <w:rFonts w:hint="eastAsia" w:cs="宋体" w:asciiTheme="minorEastAsia" w:hAnsiTheme="minorEastAsia" w:eastAsiaTheme="minorEastAsia"/>
          <w:spacing w:val="6"/>
          <w:sz w:val="28"/>
          <w:szCs w:val="28"/>
        </w:rPr>
        <w:t xml:space="preserve">（中型企业、小型企业、微型企业）；</w:t>
      </w:r>
      <w:r/>
    </w:p>
    <w:p>
      <w:pPr>
        <w:jc w:val="left"/>
        <w:spacing w:line="560" w:lineRule="exact"/>
        <w:widowControl/>
        <w:rPr>
          <w:rFonts w:hint="eastAsia"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  ……  </w:t>
      </w:r>
      <w:r/>
    </w:p>
    <w:p>
      <w:pPr>
        <w:ind w:firstLine="584"/>
        <w:jc w:val="left"/>
        <w:spacing w:line="560" w:lineRule="exact"/>
        <w:widowControl/>
        <w:rPr>
          <w:rFonts w:hint="eastAsia"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以上企业，不属于大企业的分支机构，不存在控股股东为大企业的情形，也不存在与大企业的负责人为同一人的情形。</w:t>
      </w:r>
      <w:r/>
    </w:p>
    <w:p>
      <w:pPr>
        <w:ind w:firstLine="584"/>
        <w:jc w:val="left"/>
        <w:spacing w:line="560" w:lineRule="exact"/>
        <w:widowControl/>
        <w:rPr>
          <w:rFonts w:hint="eastAsia"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本企业对上述声明内容的真实性负责。如有虚假，将依法承担相应责任。  </w:t>
      </w:r>
      <w:r/>
    </w:p>
    <w:p>
      <w:pPr>
        <w:jc w:val="left"/>
        <w:spacing w:line="560" w:lineRule="exact"/>
        <w:widowControl/>
        <w:rPr>
          <w:rFonts w:hint="eastAsia"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企业名称（盖章）：  </w:t>
      </w:r>
      <w:r/>
    </w:p>
    <w:p>
      <w:pPr>
        <w:jc w:val="left"/>
        <w:spacing w:line="560" w:lineRule="exact"/>
        <w:widowControl/>
        <w:rPr>
          <w:rFonts w:hint="eastAsia"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日 期：</w:t>
      </w:r>
      <w:r/>
    </w:p>
    <w:p>
      <w:pPr>
        <w:jc w:val="left"/>
        <w:spacing w:line="560" w:lineRule="exact"/>
        <w:widowControl/>
        <w:rPr>
          <w:rFonts w:hint="eastAsia"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注：1.从业人员、营业收入、资产总额填报上一年度数据，无上一年度数据的新成立企业可不填报。</w:t>
      </w:r>
      <w:r/>
    </w:p>
    <w:p>
      <w:pPr>
        <w:jc w:val="left"/>
        <w:spacing w:line="560" w:lineRule="exact"/>
        <w:widowControl/>
        <w:rPr>
          <w:rFonts w:hint="eastAsia"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2.本声明函中“属于（中型企业、小型企业、微型企业）”的内容，必须且只能选择其中之一填写。</w:t>
      </w:r>
      <w:r/>
    </w:p>
    <w:p>
      <w:pPr>
        <w:jc w:val="left"/>
        <w:spacing w:line="560" w:lineRule="exact"/>
        <w:widowControl/>
        <w:rPr>
          <w:rFonts w:hint="eastAsia"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spacing w:line="360" w:lineRule="auto"/>
        <w:widowControl/>
        <w:rPr>
          <w:rFonts w:hint="eastAsia" w:cs="宋体" w:asciiTheme="minorEastAsia" w:hAnsiTheme="minorEastAsia" w:eastAsiaTheme="minorEastAsia"/>
          <w:b/>
          <w:sz w:val="32"/>
          <w:szCs w:val="32"/>
        </w:rPr>
      </w:pPr>
      <w:r>
        <w:rPr>
          <w:rFonts w:hint="eastAsia" w:cs="宋体" w:asciiTheme="minorEastAsia" w:hAnsiTheme="minorEastAsia" w:eastAsiaTheme="minorEastAsia"/>
          <w:sz w:val="24"/>
        </w:rPr>
        <w:br w:type="page" w:clear="all"/>
      </w:r>
      <w:r/>
    </w:p>
    <w:p>
      <w:pPr>
        <w:jc w:val="center"/>
        <w:spacing w:line="360" w:lineRule="auto"/>
        <w:widowControl/>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（二）按招标文件要求投标人所能提供的其他文件</w:t>
      </w:r>
      <w:r/>
    </w:p>
    <w:p>
      <w:pPr>
        <w:spacing w:line="360" w:lineRule="auto"/>
        <w:widowControl/>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1.中标标段选择说明</w:t>
      </w:r>
      <w:r/>
    </w:p>
    <w:p>
      <w:pPr>
        <w:jc w:val="center"/>
        <w:spacing w:line="360" w:lineRule="auto"/>
        <w:widowControl/>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jc w:val="center"/>
        <w:spacing w:line="360" w:lineRule="auto"/>
        <w:widowControl/>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中标标段选择说明</w:t>
      </w:r>
      <w:r/>
    </w:p>
    <w:p>
      <w:pPr>
        <w:jc w:val="center"/>
        <w:spacing w:line="360" w:lineRule="auto"/>
        <w:widowControl/>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项目编号：</w:t>
      </w:r>
      <w:r>
        <w:rPr>
          <w:rFonts w:cs="宋体" w:asciiTheme="minorEastAsia" w:hAnsiTheme="minorEastAsia" w:eastAsiaTheme="minorEastAsia"/>
          <w:b/>
          <w:sz w:val="28"/>
          <w:szCs w:val="28"/>
        </w:rPr>
        <w:tab/>
        <w:t xml:space="preserve">JSZC-321100-TXJS-G2025-0021</w:t>
      </w:r>
      <w:r/>
    </w:p>
    <w:p>
      <w:pPr>
        <w:spacing w:line="360" w:lineRule="auto"/>
        <w:widowControl/>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spacing w:line="360" w:lineRule="auto"/>
        <w:widowControl/>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致：</w:t>
      </w:r>
      <w:r>
        <w:rPr>
          <w:rFonts w:hint="eastAsia" w:cs="宋体" w:asciiTheme="minorEastAsia" w:hAnsiTheme="minorEastAsia" w:eastAsiaTheme="minorEastAsia"/>
          <w:bCs/>
          <w:sz w:val="24"/>
          <w:u w:val="single"/>
        </w:rPr>
        <w:t xml:space="preserve">                        （采购人）</w:t>
      </w:r>
      <w:r/>
    </w:p>
    <w:p>
      <w:pPr>
        <w:ind w:firstLine="480"/>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若我方所投标段的评审结果均为排名第一的中标候选人，我方选择标段</w:t>
      </w:r>
      <w:r>
        <w:rPr>
          <w:rFonts w:hint="eastAsia" w:cs="宋体" w:asciiTheme="minorEastAsia" w:hAnsiTheme="minorEastAsia" w:eastAsiaTheme="minorEastAsia"/>
          <w:bCs/>
          <w:sz w:val="24"/>
          <w:u w:val="single"/>
        </w:rPr>
        <w:t xml:space="preserve">***** （不超过1个标段）</w:t>
      </w:r>
      <w:r>
        <w:rPr>
          <w:rFonts w:hint="eastAsia" w:cs="宋体" w:asciiTheme="minorEastAsia" w:hAnsiTheme="minorEastAsia" w:eastAsiaTheme="minorEastAsia"/>
          <w:bCs/>
          <w:sz w:val="24"/>
        </w:rPr>
        <w:t xml:space="preserve">为我方中标标段。</w:t>
      </w:r>
      <w:r/>
    </w:p>
    <w:p>
      <w:pPr>
        <w:ind w:firstLine="480"/>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特此说明</w:t>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投标人（加盖公章）：</w:t>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法定代表人或其授权委托代理人签字：</w:t>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日期：    年  月  日</w:t>
      </w:r>
      <w:r/>
    </w:p>
    <w:p>
      <w:pPr>
        <w:jc w:val="left"/>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left"/>
        <w:spacing w:line="360" w:lineRule="auto"/>
        <w:rPr>
          <w:rFonts w:hint="eastAsia" w:cs="宋体" w:asciiTheme="minorEastAsia" w:hAnsiTheme="minorEastAsia" w:eastAsiaTheme="minorEastAsia"/>
          <w:b/>
          <w:bCs/>
          <w:sz w:val="24"/>
          <w:szCs w:val="28"/>
        </w:rPr>
      </w:pPr>
      <w:r>
        <w:rPr>
          <w:rFonts w:hint="eastAsia" w:cs="宋体" w:asciiTheme="minorEastAsia" w:hAnsiTheme="minorEastAsia" w:eastAsiaTheme="minorEastAsia"/>
          <w:b/>
          <w:sz w:val="24"/>
        </w:rPr>
        <w:t xml:space="preserve">注：</w:t>
      </w:r>
      <w:r>
        <w:rPr>
          <w:rStyle w:val="2464"/>
          <w:rFonts w:hint="eastAsia" w:asciiTheme="minorEastAsia" w:hAnsiTheme="minorEastAsia" w:eastAsiaTheme="minorEastAsia"/>
          <w:b w:val="0"/>
          <w:bCs w:val="0"/>
          <w:color w:val="auto"/>
        </w:rPr>
        <w:t xml:space="preserve">本次采购确定的中标人数量：每标段1名，本项目评审按标段一至标段三的顺序进行，投标人可选择上述任意标段进行投报，同时提交中标标段选择说明，每个投标人中标标段数量1个。</w:t>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1100"/>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1100"/>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pStyle w:val="1100"/>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rPr>
          <w:rFonts w:hint="eastAsia" w:cs="宋体" w:asciiTheme="minorEastAsia" w:hAnsiTheme="minorEastAsia" w:eastAsiaTheme="minorEastAsia"/>
        </w:rPr>
      </w:pPr>
      <w:r>
        <w:rPr>
          <w:rFonts w:hint="eastAsia" w:cs="宋体" w:asciiTheme="minorEastAsia" w:hAnsiTheme="minorEastAsia" w:eastAsiaTheme="minorEastAsia"/>
        </w:rPr>
      </w:r>
      <w:r/>
    </w:p>
    <w:p>
      <w:pPr>
        <w:jc w:val="center"/>
        <w:rPr>
          <w:rFonts w:hint="eastAsia" w:cs="宋体" w:asciiTheme="minorEastAsia" w:hAnsiTheme="minorEastAsia" w:eastAsiaTheme="minorEastAsia"/>
          <w:sz w:val="44"/>
          <w:szCs w:val="44"/>
        </w:rPr>
      </w:pPr>
      <w:r>
        <w:rPr>
          <w:rFonts w:hint="eastAsia" w:cs="宋体" w:asciiTheme="minorEastAsia" w:hAnsiTheme="minorEastAsia" w:eastAsiaTheme="minorEastAsia"/>
          <w:sz w:val="44"/>
          <w:szCs w:val="44"/>
        </w:rPr>
      </w:r>
      <w:r/>
    </w:p>
    <w:p>
      <w:pPr>
        <w:jc w:val="center"/>
        <w:rPr>
          <w:rFonts w:hint="eastAsia" w:cs="宋体" w:asciiTheme="minorEastAsia" w:hAnsiTheme="minorEastAsia" w:eastAsiaTheme="minorEastAsia"/>
          <w:sz w:val="44"/>
          <w:szCs w:val="44"/>
        </w:rPr>
      </w:pPr>
      <w:r>
        <w:rPr>
          <w:rFonts w:hint="eastAsia" w:cs="宋体" w:asciiTheme="minorEastAsia" w:hAnsiTheme="minorEastAsia" w:eastAsiaTheme="minorEastAsia"/>
          <w:sz w:val="44"/>
          <w:szCs w:val="44"/>
        </w:rPr>
      </w:r>
      <w:r/>
    </w:p>
    <w:p>
      <w:pPr>
        <w:jc w:val="center"/>
        <w:rPr>
          <w:rFonts w:hint="eastAsia"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告供应商书</w:t>
      </w:r>
      <w:r/>
    </w:p>
    <w:p>
      <w:pPr>
        <w:rPr>
          <w:rFonts w:hint="eastAsia" w:cs="宋体" w:asciiTheme="minorEastAsia" w:hAnsiTheme="minorEastAsia" w:eastAsiaTheme="minorEastAsia"/>
          <w:sz w:val="44"/>
          <w:szCs w:val="44"/>
        </w:rPr>
      </w:pPr>
      <w:r>
        <w:rPr>
          <w:rFonts w:hint="eastAsia" w:cs="宋体" w:asciiTheme="minorEastAsia" w:hAnsiTheme="minorEastAsia" w:eastAsiaTheme="minorEastAsia"/>
          <w:sz w:val="32"/>
          <w:szCs w:val="32"/>
        </w:rPr>
        <w:t xml:space="preserve">中标（成交）供应商：</w:t>
      </w:r>
      <w:r/>
    </w:p>
    <w:p>
      <w:pPr>
        <w:ind w:firstLine="640"/>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如您需要帮助，请致电镇江市财政局政府采购管理处，电话：0511-80909958。我们将竭诚为您服务！</w:t>
      </w:r>
      <w:r/>
    </w:p>
    <w:p>
      <w:pPr>
        <w:ind w:right="160" w:firstLine="640"/>
        <w:jc w:val="right"/>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right="160" w:firstLine="640"/>
        <w:jc w:val="right"/>
        <w:rPr>
          <w:rFonts w:hint="eastAsia" w:cs="宋体" w:asciiTheme="minorEastAsia" w:hAnsiTheme="minorEastAsia" w:eastAsiaTheme="minorEastAsia"/>
        </w:rPr>
      </w:pPr>
      <w:r>
        <w:rPr>
          <w:rFonts w:hint="eastAsia" w:cs="宋体" w:asciiTheme="minorEastAsia" w:hAnsiTheme="minorEastAsia" w:eastAsiaTheme="minorEastAsia"/>
          <w:sz w:val="32"/>
          <w:szCs w:val="32"/>
        </w:rPr>
        <w:t xml:space="preserve">镇江市财政局</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mbria Math">
    <w:panose1 w:val="0204050305040603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Cambria">
    <w:panose1 w:val="02040503050406030204"/>
  </w:font>
  <w:font w:name="StarSymbol">
    <w:panose1 w:val="020B050302020202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46150" cy="1828800"/>
              <wp:effectExtent l="0" t="0" r="635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946150" cy="1828800"/>
                      </a:xfrm>
                      <a:prstGeom prst="rect">
                        <a:avLst/>
                      </a:prstGeom>
                      <a:noFill/>
                      <a:ln w="6350">
                        <a:noFill/>
                      </a:ln>
                      <a:effectLst/>
                    </wps:spPr>
                    <wps:txbx>
                      <w:txbxContent>
                        <w:p>
                          <w:pPr>
                            <w:pStyle w:val="1116"/>
                          </w:pPr>
                          <w:r>
                            <w:t xml:space="preserve">第</w:t>
                          </w:r>
                          <w:r>
                            <w:t xml:space="preserve"> </w:t>
                          </w:r>
                          <w:r>
                            <w:fldChar w:fldCharType="begin"/>
                          </w:r>
                          <w:r>
                            <w:instrText xml:space="preserve"> PAGE  \* MERGEFORMAT </w:instrText>
                          </w:r>
                          <w:r>
                            <w:fldChar w:fldCharType="separate"/>
                          </w:r>
                          <w:r>
                            <w:t xml:space="preserve">286</w:t>
                          </w:r>
                          <w:r>
                            <w:fldChar w:fldCharType="end"/>
                          </w:r>
                          <w:r>
                            <w:t xml:space="preserve"> </w:t>
                          </w:r>
                          <w:r>
                            <w:t xml:space="preserve">页</w:t>
                          </w:r>
                          <w:r>
                            <w:t xml:space="preserve"> </w:t>
                          </w:r>
                          <w:r>
                            <w:t xml:space="preserve">共</w:t>
                          </w:r>
                          <w:r>
                            <w:t xml:space="preserve"> </w:t>
                          </w:r>
                          <w:fldSimple w:instr="NUMPAGES \* MERGEFORMAT">
                            <w:r>
                              <w:t xml:space="preserve">501</w:t>
                            </w:r>
                          </w:fldSimple>
                          <w:r/>
                          <w:r>
                            <w:t xml:space="preserve"> </w:t>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14:sizeRelH relativeFrom="margin">
                <wp14:pctWidth>0</wp14:pctWidth>
              </wp14:sizeRelH>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4.5pt;height:144.0pt;mso-wrap-distance-left:9.0pt;mso-wrap-distance-top:0.0pt;mso-wrap-distance-right:9.0pt;mso-wrap-distance-bottom:0.0pt;v-text-anchor:top;visibility:visible;" filled="f" stroked="f" strokeweight="0.50pt">
              <v:textbox inset="0,0,0,0">
                <w:txbxContent>
                  <w:p>
                    <w:pPr>
                      <w:pStyle w:val="1116"/>
                    </w:pPr>
                    <w:r>
                      <w:t xml:space="preserve">第</w:t>
                    </w:r>
                    <w:r>
                      <w:t xml:space="preserve"> </w:t>
                    </w:r>
                    <w:r>
                      <w:fldChar w:fldCharType="begin"/>
                    </w:r>
                    <w:r>
                      <w:instrText xml:space="preserve"> PAGE  \* MERGEFORMAT </w:instrText>
                    </w:r>
                    <w:r>
                      <w:fldChar w:fldCharType="separate"/>
                    </w:r>
                    <w:r>
                      <w:t xml:space="preserve">286</w:t>
                    </w:r>
                    <w:r>
                      <w:fldChar w:fldCharType="end"/>
                    </w:r>
                    <w:r>
                      <w:t xml:space="preserve"> </w:t>
                    </w:r>
                    <w:r>
                      <w:t xml:space="preserve">页</w:t>
                    </w:r>
                    <w:r>
                      <w:t xml:space="preserve"> </w:t>
                    </w:r>
                    <w:r>
                      <w:t xml:space="preserve">共</w:t>
                    </w:r>
                    <w:r>
                      <w:t xml:space="preserve"> </w:t>
                    </w:r>
                    <w:fldSimple w:instr="NUMPAGES \* MERGEFORMAT">
                      <w:r>
                        <w:t xml:space="preserve">501</w:t>
                      </w:r>
                    </w:fldSimple>
                    <w:r/>
                    <w: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16"/>
                          </w:pPr>
                          <w:r>
                            <w:t xml:space="preserve">第</w:t>
                          </w:r>
                          <w:r>
                            <w:t xml:space="preserve"> </w:t>
                          </w:r>
                          <w:r>
                            <w:fldChar w:fldCharType="begin"/>
                          </w:r>
                          <w:r>
                            <w:instrText xml:space="preserve"> PAGE  \* MERGEFORMAT </w:instrText>
                          </w:r>
                          <w:r>
                            <w:fldChar w:fldCharType="separate"/>
                          </w:r>
                          <w:r>
                            <w:t xml:space="preserve">501</w:t>
                          </w:r>
                          <w:r>
                            <w:fldChar w:fldCharType="end"/>
                          </w:r>
                          <w:r>
                            <w:t xml:space="preserve"> </w:t>
                          </w:r>
                          <w:r>
                            <w:t xml:space="preserve">页</w:t>
                          </w:r>
                          <w:r>
                            <w:t xml:space="preserve"> </w:t>
                          </w:r>
                          <w:r>
                            <w:t xml:space="preserve">共</w:t>
                          </w:r>
                          <w:r>
                            <w:t xml:space="preserve"> </w:t>
                          </w:r>
                          <w:fldSimple w:instr="NUMPAGES \* MERGEFORMAT">
                            <w:r>
                              <w:t xml:space="preserve">502</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t xml:space="preserve">第</w:t>
                    </w:r>
                    <w:r>
                      <w:t xml:space="preserve"> </w:t>
                    </w:r>
                    <w:r>
                      <w:fldChar w:fldCharType="begin"/>
                    </w:r>
                    <w:r>
                      <w:instrText xml:space="preserve"> PAGE  \* MERGEFORMAT </w:instrText>
                    </w:r>
                    <w:r>
                      <w:fldChar w:fldCharType="separate"/>
                    </w:r>
                    <w:r>
                      <w:t xml:space="preserve">501</w:t>
                    </w:r>
                    <w:r>
                      <w:fldChar w:fldCharType="end"/>
                    </w:r>
                    <w:r>
                      <w:t xml:space="preserve"> </w:t>
                    </w:r>
                    <w:r>
                      <w:t xml:space="preserve">页</w:t>
                    </w:r>
                    <w:r>
                      <w:t xml:space="preserve"> </w:t>
                    </w:r>
                    <w:r>
                      <w:t xml:space="preserve">共</w:t>
                    </w:r>
                    <w:r>
                      <w:t xml:space="preserve"> </w:t>
                    </w:r>
                    <w:fldSimple w:instr="NUMPAGES \* MERGEFORMAT">
                      <w:r>
                        <w:t xml:space="preserve">502</w:t>
                      </w:r>
                    </w:fldSimple>
                    <w:r/>
                    <w:r>
                      <w:t xml:space="preserve"> </w:t>
                    </w:r>
                    <w: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16"/>
                          </w:pPr>
                          <w:r>
                            <w:t xml:space="preserve">第</w:t>
                          </w:r>
                          <w:r>
                            <w:t xml:space="preserve"> </w:t>
                          </w:r>
                          <w:r>
                            <w:fldChar w:fldCharType="begin"/>
                          </w:r>
                          <w:r>
                            <w:instrText xml:space="preserve"> PAGE  \* MERGEFORMAT </w:instrText>
                          </w:r>
                          <w:r>
                            <w:fldChar w:fldCharType="separate"/>
                          </w:r>
                          <w:r>
                            <w:t xml:space="preserve">434</w:t>
                          </w:r>
                          <w:r>
                            <w:fldChar w:fldCharType="end"/>
                          </w:r>
                          <w:r>
                            <w:t xml:space="preserve"> </w:t>
                          </w:r>
                          <w:r>
                            <w:t xml:space="preserve">页</w:t>
                          </w:r>
                          <w:r>
                            <w:t xml:space="preserve"> </w:t>
                          </w:r>
                          <w:r>
                            <w:t xml:space="preserve">共</w:t>
                          </w:r>
                          <w:r>
                            <w:t xml:space="preserve"> </w:t>
                          </w:r>
                          <w:fldSimple w:instr="NUMPAGES \* MERGEFORMAT">
                            <w:r>
                              <w:t xml:space="preserve">502</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t xml:space="preserve">第</w:t>
                    </w:r>
                    <w:r>
                      <w:t xml:space="preserve"> </w:t>
                    </w:r>
                    <w:r>
                      <w:fldChar w:fldCharType="begin"/>
                    </w:r>
                    <w:r>
                      <w:instrText xml:space="preserve"> PAGE  \* MERGEFORMAT </w:instrText>
                    </w:r>
                    <w:r>
                      <w:fldChar w:fldCharType="separate"/>
                    </w:r>
                    <w:r>
                      <w:t xml:space="preserve">434</w:t>
                    </w:r>
                    <w:r>
                      <w:fldChar w:fldCharType="end"/>
                    </w:r>
                    <w:r>
                      <w:t xml:space="preserve"> </w:t>
                    </w:r>
                    <w:r>
                      <w:t xml:space="preserve">页</w:t>
                    </w:r>
                    <w:r>
                      <w:t xml:space="preserve"> </w:t>
                    </w:r>
                    <w:r>
                      <w:t xml:space="preserve">共</w:t>
                    </w:r>
                    <w:r>
                      <w:t xml:space="preserve"> </w:t>
                    </w:r>
                    <w:fldSimple w:instr="NUMPAGES \* MERGEFORMAT">
                      <w:r>
                        <w:t xml:space="preserve">502</w:t>
                      </w:r>
                    </w:fldSimple>
                    <w:r/>
                    <w:r>
                      <w:t xml:space="preserve"> </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pPr>
    <w:r>
      <w:fldChar w:fldCharType="begin"/>
    </w:r>
    <w:r>
      <w:rPr>
        <w:rStyle w:val="1142"/>
      </w:rPr>
      <w:instrText xml:space="preserve"> PAGE </w:instrText>
    </w:r>
    <w:r>
      <w:fldChar w:fldCharType="separate"/>
    </w:r>
    <w:r>
      <w:rPr>
        <w:rStyle w:val="114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112" w:leader="none"/>
        </w:tabs>
      </w:pPr>
    </w:lvl>
    <w:lvl w:ilvl="1">
      <w:start w:val="1"/>
      <w:numFmt w:val="bullet"/>
      <w:isLgl w:val="false"/>
      <w:suff w:val="tab"/>
      <w:lvlText w:val="o"/>
      <w:lvlJc w:val="left"/>
      <w:pPr>
        <w:ind w:left="1240" w:hanging="360"/>
      </w:pPr>
      <w:rPr>
        <w:rFonts w:hint="default" w:ascii="Courier New" w:hAnsi="Courier New" w:eastAsia="Courier New" w:cs="Courier New"/>
      </w:rPr>
    </w:lvl>
    <w:lvl w:ilvl="2">
      <w:start w:val="1"/>
      <w:numFmt w:val="bullet"/>
      <w:isLgl w:val="false"/>
      <w:suff w:val="tab"/>
      <w:lvlText w:val="§"/>
      <w:lvlJc w:val="left"/>
      <w:pPr>
        <w:ind w:left="1960" w:hanging="360"/>
      </w:pPr>
      <w:rPr>
        <w:rFonts w:hint="default" w:ascii="Wingdings" w:hAnsi="Wingdings" w:eastAsia="Wingdings" w:cs="Wingdings"/>
      </w:rPr>
    </w:lvl>
    <w:lvl w:ilvl="3">
      <w:start w:val="1"/>
      <w:numFmt w:val="bullet"/>
      <w:isLgl w:val="false"/>
      <w:suff w:val="tab"/>
      <w:lvlText w:val="·"/>
      <w:lvlJc w:val="left"/>
      <w:pPr>
        <w:ind w:left="2680" w:hanging="360"/>
      </w:pPr>
      <w:rPr>
        <w:rFonts w:hint="default" w:ascii="Symbol" w:hAnsi="Symbol" w:eastAsia="Symbol" w:cs="Symbol"/>
      </w:rPr>
    </w:lvl>
    <w:lvl w:ilvl="4">
      <w:start w:val="1"/>
      <w:numFmt w:val="bullet"/>
      <w:isLgl w:val="false"/>
      <w:suff w:val="tab"/>
      <w:lvlText w:val="o"/>
      <w:lvlJc w:val="left"/>
      <w:pPr>
        <w:ind w:left="3400" w:hanging="360"/>
      </w:pPr>
      <w:rPr>
        <w:rFonts w:hint="default" w:ascii="Courier New" w:hAnsi="Courier New" w:eastAsia="Courier New" w:cs="Courier New"/>
      </w:rPr>
    </w:lvl>
    <w:lvl w:ilvl="5">
      <w:start w:val="1"/>
      <w:numFmt w:val="bullet"/>
      <w:isLgl w:val="false"/>
      <w:suff w:val="tab"/>
      <w:lvlText w:val="§"/>
      <w:lvlJc w:val="left"/>
      <w:pPr>
        <w:ind w:left="4120" w:hanging="360"/>
      </w:pPr>
      <w:rPr>
        <w:rFonts w:hint="default" w:ascii="Wingdings" w:hAnsi="Wingdings" w:eastAsia="Wingdings" w:cs="Wingdings"/>
      </w:rPr>
    </w:lvl>
    <w:lvl w:ilvl="6">
      <w:start w:val="1"/>
      <w:numFmt w:val="bullet"/>
      <w:isLgl w:val="false"/>
      <w:suff w:val="tab"/>
      <w:lvlText w:val="·"/>
      <w:lvlJc w:val="left"/>
      <w:pPr>
        <w:ind w:left="4840" w:hanging="360"/>
      </w:pPr>
      <w:rPr>
        <w:rFonts w:hint="default" w:ascii="Symbol" w:hAnsi="Symbol" w:eastAsia="Symbol" w:cs="Symbol"/>
      </w:rPr>
    </w:lvl>
    <w:lvl w:ilvl="7">
      <w:start w:val="1"/>
      <w:numFmt w:val="bullet"/>
      <w:isLgl w:val="false"/>
      <w:suff w:val="tab"/>
      <w:lvlText w:val="o"/>
      <w:lvlJc w:val="left"/>
      <w:pPr>
        <w:ind w:left="5560" w:hanging="360"/>
      </w:pPr>
      <w:rPr>
        <w:rFonts w:hint="default" w:ascii="Courier New" w:hAnsi="Courier New" w:eastAsia="Courier New" w:cs="Courier New"/>
      </w:rPr>
    </w:lvl>
    <w:lvl w:ilvl="8">
      <w:start w:val="1"/>
      <w:numFmt w:val="bullet"/>
      <w:isLgl w:val="false"/>
      <w:suff w:val="tab"/>
      <w:lvlText w:val="§"/>
      <w:lvlJc w:val="left"/>
      <w:pPr>
        <w:ind w:left="62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1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nothing"/>
      <w:lvlText w:val="%1、"/>
      <w:lvlJc w:val="left"/>
      <w:pPr>
        <w:ind w:left="0" w:firstLine="0"/>
      </w:pPr>
    </w:lvl>
    <w:lvl w:ilvl="1">
      <w:start w:val="1"/>
      <w:numFmt w:val="decimal"/>
      <w:isLgl w:val="false"/>
      <w:suff w:val="nothing"/>
      <w:lvlText w:val="%2．"/>
      <w:lvlJc w:val="left"/>
      <w:pPr>
        <w:ind w:left="0" w:firstLine="0"/>
      </w:pPr>
      <w:rPr>
        <w:sz w:val="24"/>
        <w:szCs w:val="24"/>
      </w:rPr>
    </w:lvl>
    <w:lvl w:ilvl="2">
      <w:start w:val="1"/>
      <w:numFmt w:val="decimal"/>
      <w:isLgl w:val="false"/>
      <w:suff w:val="nothing"/>
      <w:lvlText w:val="（%3）"/>
      <w:lvlJc w:val="left"/>
      <w:pPr>
        <w:ind w:left="0" w:firstLine="0"/>
      </w:pPr>
    </w:lvl>
    <w:lvl w:ilvl="3">
      <w:start w:val="1"/>
      <w:numFmt w:val="decimal"/>
      <w:isLgl w:val="false"/>
      <w:suff w:val="nothing"/>
      <w:lvlText w:val="【%4】"/>
      <w:lvlJc w:val="left"/>
      <w:pPr>
        <w:ind w:left="0" w:firstLine="0"/>
      </w:pPr>
    </w:lvl>
    <w:lvl w:ilvl="4">
      <w:start w:val="1"/>
      <w:numFmt w:val="decimal"/>
      <w:isLgl w:val="false"/>
      <w:suff w:val="nothing"/>
      <w:lvlText w:val="%1、.%5"/>
      <w:lvlJc w:val="left"/>
      <w:pPr>
        <w:ind w:left="0" w:firstLine="0"/>
      </w:pPr>
    </w:lvl>
    <w:lvl w:ilvl="5">
      <w:start w:val="1"/>
      <w:numFmt w:val="decimal"/>
      <w:isLgl w:val="false"/>
      <w:suff w:val="nothing"/>
      <w:lvlText w:val="%2．.%6"/>
      <w:lvlJc w:val="left"/>
      <w:pPr>
        <w:ind w:left="0" w:firstLine="0"/>
      </w:pPr>
    </w:lvl>
    <w:lvl w:ilvl="6">
      <w:start w:val="1"/>
      <w:numFmt w:val="decimal"/>
      <w:isLgl w:val="false"/>
      <w:suff w:val="nothing"/>
      <w:lvlText w:val="（%3）.%7"/>
      <w:lvlJc w:val="left"/>
      <w:pPr>
        <w:ind w:left="0" w:firstLine="0"/>
      </w:pPr>
    </w:lvl>
    <w:lvl w:ilvl="7">
      <w:start w:val="1"/>
      <w:numFmt w:val="decimal"/>
      <w:isLgl w:val="false"/>
      <w:suff w:val="nothing"/>
      <w:lvlText w:val="【%4】.%8"/>
      <w:lvlJc w:val="left"/>
      <w:pPr>
        <w:ind w:left="0" w:firstLine="0"/>
      </w:pPr>
    </w:lvl>
    <w:lvl w:ilvl="8">
      <w:start w:val="1"/>
      <w:numFmt w:val="decimal"/>
      <w:isLgl w:val="false"/>
      <w:suff w:val="nothing"/>
      <w:lvlText w:val="%1、.%5.%9"/>
      <w:lvlJc w:val="left"/>
      <w:pPr>
        <w:ind w:left="0" w:firstLine="0"/>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chineseCountingThousand"/>
      <w:isLgl w:val="false"/>
      <w:suff w:val="nothing"/>
      <w:lvlText w:val="%1、"/>
      <w:lvlJc w:val="left"/>
      <w:pPr>
        <w:ind w:left="0" w:firstLine="0"/>
      </w:pPr>
    </w:lvl>
    <w:lvl w:ilvl="1">
      <w:start w:val="1"/>
      <w:numFmt w:val="decimal"/>
      <w:isLgl w:val="false"/>
      <w:suff w:val="nothing"/>
      <w:lvlText w:val="%2．"/>
      <w:lvlJc w:val="left"/>
      <w:pPr>
        <w:ind w:left="0" w:firstLine="0"/>
      </w:pPr>
      <w:rPr>
        <w:sz w:val="24"/>
        <w:szCs w:val="24"/>
      </w:rPr>
    </w:lvl>
    <w:lvl w:ilvl="2">
      <w:start w:val="1"/>
      <w:numFmt w:val="decimal"/>
      <w:isLgl w:val="false"/>
      <w:suff w:val="nothing"/>
      <w:lvlText w:val="（%3）"/>
      <w:lvlJc w:val="left"/>
      <w:pPr>
        <w:ind w:left="0" w:firstLine="0"/>
      </w:pPr>
    </w:lvl>
    <w:lvl w:ilvl="3">
      <w:start w:val="1"/>
      <w:numFmt w:val="decimal"/>
      <w:isLgl w:val="false"/>
      <w:suff w:val="nothing"/>
      <w:lvlText w:val="【%4】"/>
      <w:lvlJc w:val="left"/>
      <w:pPr>
        <w:ind w:left="0" w:firstLine="0"/>
      </w:pPr>
    </w:lvl>
    <w:lvl w:ilvl="4">
      <w:start w:val="1"/>
      <w:numFmt w:val="decimal"/>
      <w:isLgl w:val="false"/>
      <w:suff w:val="nothing"/>
      <w:lvlText w:val="%1、.%5"/>
      <w:lvlJc w:val="left"/>
      <w:pPr>
        <w:ind w:left="0" w:firstLine="0"/>
      </w:pPr>
    </w:lvl>
    <w:lvl w:ilvl="5">
      <w:start w:val="1"/>
      <w:numFmt w:val="decimal"/>
      <w:isLgl w:val="false"/>
      <w:suff w:val="nothing"/>
      <w:lvlText w:val="%2．.%6"/>
      <w:lvlJc w:val="left"/>
      <w:pPr>
        <w:ind w:left="0" w:firstLine="0"/>
      </w:pPr>
    </w:lvl>
    <w:lvl w:ilvl="6">
      <w:start w:val="1"/>
      <w:numFmt w:val="decimal"/>
      <w:isLgl w:val="false"/>
      <w:suff w:val="nothing"/>
      <w:lvlText w:val="（%3）.%7"/>
      <w:lvlJc w:val="left"/>
      <w:pPr>
        <w:ind w:left="0" w:firstLine="0"/>
      </w:pPr>
    </w:lvl>
    <w:lvl w:ilvl="7">
      <w:start w:val="1"/>
      <w:numFmt w:val="decimal"/>
      <w:isLgl w:val="false"/>
      <w:suff w:val="nothing"/>
      <w:lvlText w:val="【%4】.%8"/>
      <w:lvlJc w:val="left"/>
      <w:pPr>
        <w:ind w:left="0" w:firstLine="0"/>
      </w:pPr>
    </w:lvl>
    <w:lvl w:ilvl="8">
      <w:start w:val="1"/>
      <w:numFmt w:val="decimal"/>
      <w:isLgl w:val="false"/>
      <w:suff w:val="nothing"/>
      <w:lvlText w:val="%1、.%5.%9"/>
      <w:lvlJc w:val="left"/>
      <w:pPr>
        <w:ind w:left="0" w:firstLine="0"/>
      </w:pPr>
    </w:lvl>
  </w:abstractNum>
  <w:abstractNum w:abstractNumId="5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chineseCountingThousand"/>
      <w:isLgl w:val="false"/>
      <w:suff w:val="nothing"/>
      <w:lvlText w:val="%1、"/>
      <w:lvlJc w:val="left"/>
      <w:pPr>
        <w:ind w:left="0" w:firstLine="0"/>
      </w:pPr>
    </w:lvl>
    <w:lvl w:ilvl="1">
      <w:start w:val="1"/>
      <w:numFmt w:val="decimal"/>
      <w:pStyle w:val="921"/>
      <w:isLgl w:val="false"/>
      <w:suff w:val="nothing"/>
      <w:lvlText w:val="%2．"/>
      <w:lvlJc w:val="left"/>
      <w:pPr>
        <w:ind w:left="0" w:firstLine="0"/>
      </w:pPr>
      <w:rPr>
        <w:sz w:val="24"/>
        <w:szCs w:val="24"/>
      </w:rPr>
    </w:lvl>
    <w:lvl w:ilvl="2">
      <w:start w:val="1"/>
      <w:numFmt w:val="decimal"/>
      <w:isLgl w:val="false"/>
      <w:suff w:val="nothing"/>
      <w:lvlText w:val="（%3）"/>
      <w:lvlJc w:val="left"/>
      <w:pPr>
        <w:ind w:left="0" w:firstLine="0"/>
      </w:pPr>
    </w:lvl>
    <w:lvl w:ilvl="3">
      <w:start w:val="1"/>
      <w:numFmt w:val="decimal"/>
      <w:isLgl w:val="false"/>
      <w:suff w:val="nothing"/>
      <w:lvlText w:val="【%4】"/>
      <w:lvlJc w:val="left"/>
      <w:pPr>
        <w:ind w:left="0" w:firstLine="0"/>
      </w:pPr>
    </w:lvl>
    <w:lvl w:ilvl="4">
      <w:start w:val="1"/>
      <w:numFmt w:val="decimal"/>
      <w:isLgl w:val="false"/>
      <w:suff w:val="nothing"/>
      <w:lvlText w:val="%1、.%5"/>
      <w:lvlJc w:val="left"/>
      <w:pPr>
        <w:ind w:left="0" w:firstLine="0"/>
      </w:pPr>
    </w:lvl>
    <w:lvl w:ilvl="5">
      <w:start w:val="1"/>
      <w:numFmt w:val="decimal"/>
      <w:isLgl w:val="false"/>
      <w:suff w:val="nothing"/>
      <w:lvlText w:val="%2．.%6"/>
      <w:lvlJc w:val="left"/>
      <w:pPr>
        <w:ind w:left="0" w:firstLine="0"/>
      </w:pPr>
    </w:lvl>
    <w:lvl w:ilvl="6">
      <w:start w:val="1"/>
      <w:numFmt w:val="decimal"/>
      <w:isLgl w:val="false"/>
      <w:suff w:val="nothing"/>
      <w:lvlText w:val="（%3）.%7"/>
      <w:lvlJc w:val="left"/>
      <w:pPr>
        <w:ind w:left="0" w:firstLine="0"/>
      </w:pPr>
    </w:lvl>
    <w:lvl w:ilvl="7">
      <w:start w:val="1"/>
      <w:numFmt w:val="decimal"/>
      <w:isLgl w:val="false"/>
      <w:suff w:val="nothing"/>
      <w:lvlText w:val="【%4】.%8"/>
      <w:lvlJc w:val="left"/>
      <w:pPr>
        <w:ind w:left="0" w:firstLine="0"/>
      </w:pPr>
    </w:lvl>
    <w:lvl w:ilvl="8">
      <w:start w:val="1"/>
      <w:numFmt w:val="decimal"/>
      <w:isLgl w:val="false"/>
      <w:suff w:val="nothing"/>
      <w:lvlText w:val="%1、.%5.%9"/>
      <w:lvlJc w:val="left"/>
      <w:pPr>
        <w:ind w:left="0" w:firstLine="0"/>
      </w:pPr>
    </w:lvl>
  </w:abstractNum>
  <w:abstractNum w:abstractNumId="6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4"/>
  </w:num>
  <w:num w:numId="2">
    <w:abstractNumId w:val="10"/>
  </w:num>
  <w:num w:numId="3">
    <w:abstractNumId w:val="28"/>
  </w:num>
  <w:num w:numId="4">
    <w:abstractNumId w:val="46"/>
  </w:num>
  <w:num w:numId="5">
    <w:abstractNumId w:val="49"/>
  </w:num>
  <w:num w:numId="6">
    <w:abstractNumId w:val="63"/>
  </w:num>
  <w:num w:numId="7">
    <w:abstractNumId w:val="17"/>
  </w:num>
  <w:num w:numId="8">
    <w:abstractNumId w:val="39"/>
  </w:num>
  <w:num w:numId="9">
    <w:abstractNumId w:val="15"/>
  </w:num>
  <w:num w:numId="10">
    <w:abstractNumId w:val="32"/>
  </w:num>
  <w:num w:numId="11">
    <w:abstractNumId w:val="1"/>
  </w:num>
  <w:num w:numId="12">
    <w:abstractNumId w:val="54"/>
  </w:num>
  <w:num w:numId="13">
    <w:abstractNumId w:val="21"/>
  </w:num>
  <w:num w:numId="14">
    <w:abstractNumId w:val="53"/>
  </w:num>
  <w:num w:numId="15">
    <w:abstractNumId w:val="29"/>
  </w:num>
  <w:num w:numId="16">
    <w:abstractNumId w:val="58"/>
  </w:num>
  <w:num w:numId="17">
    <w:abstractNumId w:val="50"/>
  </w:num>
  <w:num w:numId="18">
    <w:abstractNumId w:val="31"/>
  </w:num>
  <w:num w:numId="19">
    <w:abstractNumId w:val="13"/>
  </w:num>
  <w:num w:numId="20">
    <w:abstractNumId w:val="43"/>
  </w:num>
  <w:num w:numId="21">
    <w:abstractNumId w:val="9"/>
  </w:num>
  <w:num w:numId="22">
    <w:abstractNumId w:val="12"/>
  </w:num>
  <w:num w:numId="23">
    <w:abstractNumId w:val="16"/>
  </w:num>
  <w:num w:numId="24">
    <w:abstractNumId w:val="66"/>
  </w:num>
  <w:num w:numId="25">
    <w:abstractNumId w:val="55"/>
  </w:num>
  <w:num w:numId="26">
    <w:abstractNumId w:val="20"/>
  </w:num>
  <w:num w:numId="27">
    <w:abstractNumId w:val="38"/>
  </w:num>
  <w:num w:numId="28">
    <w:abstractNumId w:val="8"/>
  </w:num>
  <w:num w:numId="29">
    <w:abstractNumId w:val="33"/>
  </w:num>
  <w:num w:numId="30">
    <w:abstractNumId w:val="36"/>
  </w:num>
  <w:num w:numId="31">
    <w:abstractNumId w:val="27"/>
  </w:num>
  <w:num w:numId="32">
    <w:abstractNumId w:val="25"/>
  </w:num>
  <w:num w:numId="33">
    <w:abstractNumId w:val="3"/>
  </w:num>
  <w:num w:numId="34">
    <w:abstractNumId w:val="52"/>
  </w:num>
  <w:num w:numId="35">
    <w:abstractNumId w:val="19"/>
  </w:num>
  <w:num w:numId="36">
    <w:abstractNumId w:val="42"/>
  </w:num>
  <w:num w:numId="37">
    <w:abstractNumId w:val="0"/>
  </w:num>
  <w:num w:numId="38">
    <w:abstractNumId w:val="14"/>
  </w:num>
  <w:num w:numId="39">
    <w:abstractNumId w:val="37"/>
  </w:num>
  <w:num w:numId="40">
    <w:abstractNumId w:val="65"/>
  </w:num>
  <w:num w:numId="41">
    <w:abstractNumId w:val="51"/>
  </w:num>
  <w:num w:numId="42">
    <w:abstractNumId w:val="59"/>
  </w:num>
  <w:num w:numId="43">
    <w:abstractNumId w:val="18"/>
  </w:num>
  <w:num w:numId="44">
    <w:abstractNumId w:val="22"/>
  </w:num>
  <w:num w:numId="45">
    <w:abstractNumId w:val="23"/>
  </w:num>
  <w:num w:numId="46">
    <w:abstractNumId w:val="2"/>
  </w:num>
  <w:num w:numId="47">
    <w:abstractNumId w:val="62"/>
  </w:num>
  <w:num w:numId="48">
    <w:abstractNumId w:val="47"/>
  </w:num>
  <w:num w:numId="49">
    <w:abstractNumId w:val="35"/>
  </w:num>
  <w:num w:numId="50">
    <w:abstractNumId w:val="7"/>
  </w:num>
  <w:num w:numId="51">
    <w:abstractNumId w:val="45"/>
  </w:num>
  <w:num w:numId="52">
    <w:abstractNumId w:val="11"/>
  </w:num>
  <w:num w:numId="53">
    <w:abstractNumId w:val="48"/>
  </w:num>
  <w:num w:numId="54">
    <w:abstractNumId w:val="34"/>
  </w:num>
  <w:num w:numId="55">
    <w:abstractNumId w:val="5"/>
  </w:num>
  <w:num w:numId="56">
    <w:abstractNumId w:val="40"/>
  </w:num>
  <w:num w:numId="57">
    <w:abstractNumId w:val="60"/>
  </w:num>
  <w:num w:numId="58">
    <w:abstractNumId w:val="26"/>
  </w:num>
  <w:num w:numId="59">
    <w:abstractNumId w:val="24"/>
  </w:num>
  <w:num w:numId="60">
    <w:abstractNumId w:val="41"/>
  </w:num>
  <w:num w:numId="61">
    <w:abstractNumId w:val="6"/>
  </w:num>
  <w:num w:numId="62">
    <w:abstractNumId w:val="30"/>
  </w:num>
  <w:num w:numId="63">
    <w:abstractNumId w:val="56"/>
  </w:num>
  <w:num w:numId="64">
    <w:abstractNumId w:val="61"/>
  </w:num>
  <w:num w:numId="65">
    <w:abstractNumId w:val="57"/>
  </w:num>
  <w:num w:numId="66">
    <w:abstractNumId w:val="64"/>
  </w:num>
  <w:num w:numId="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919" w:default="1">
    <w:name w:val="Normal"/>
    <w:qFormat/>
    <w:pPr>
      <w:jc w:val="both"/>
      <w:widowControl w:val="off"/>
    </w:pPr>
    <w:rPr>
      <w:sz w:val="21"/>
      <w:szCs w:val="24"/>
    </w:rPr>
  </w:style>
  <w:style w:type="paragraph" w:styleId="920">
    <w:name w:val="Heading 1"/>
    <w:basedOn w:val="919"/>
    <w:next w:val="919"/>
    <w:link w:val="1189"/>
    <w:qFormat/>
    <w:pPr>
      <w:keepNext/>
      <w:outlineLvl w:val="0"/>
    </w:pPr>
    <w:rPr>
      <w:rFonts w:ascii="楷体_GB2312" w:eastAsia="楷体_GB2312"/>
      <w:sz w:val="28"/>
      <w:szCs w:val="20"/>
    </w:rPr>
  </w:style>
  <w:style w:type="paragraph" w:styleId="921">
    <w:name w:val="Heading 2"/>
    <w:basedOn w:val="919"/>
    <w:next w:val="919"/>
    <w:link w:val="1163"/>
    <w:uiPriority w:val="9"/>
    <w:qFormat/>
    <w:pPr>
      <w:numPr>
        <w:ilvl w:val="1"/>
        <w:numId w:val="66"/>
      </w:numPr>
      <w:spacing w:before="8" w:after="8" w:line="360" w:lineRule="auto"/>
      <w:outlineLvl w:val="1"/>
    </w:pPr>
    <w:rPr>
      <w:rFonts w:ascii="宋体" w:hAnsi="宋体"/>
      <w:b/>
      <w:sz w:val="24"/>
    </w:rPr>
  </w:style>
  <w:style w:type="paragraph" w:styleId="922">
    <w:name w:val="Heading 3"/>
    <w:basedOn w:val="919"/>
    <w:next w:val="1085"/>
    <w:link w:val="1192"/>
    <w:qFormat/>
    <w:pPr>
      <w:keepLines/>
      <w:keepNext/>
      <w:spacing w:before="260" w:after="260" w:line="416" w:lineRule="auto"/>
      <w:outlineLvl w:val="2"/>
    </w:pPr>
    <w:rPr>
      <w:b/>
      <w:sz w:val="32"/>
      <w:szCs w:val="20"/>
    </w:rPr>
  </w:style>
  <w:style w:type="paragraph" w:styleId="923">
    <w:name w:val="Heading 4"/>
    <w:basedOn w:val="919"/>
    <w:next w:val="919"/>
    <w:link w:val="1193"/>
    <w:qFormat/>
    <w:pPr>
      <w:keepLines/>
      <w:keepNext/>
      <w:spacing w:before="280" w:after="290" w:line="376" w:lineRule="auto"/>
      <w:outlineLvl w:val="3"/>
    </w:pPr>
    <w:rPr>
      <w:rFonts w:ascii="Arial" w:hAnsi="Arial" w:eastAsia="黑体"/>
      <w:b/>
      <w:bCs/>
      <w:sz w:val="28"/>
      <w:szCs w:val="28"/>
    </w:rPr>
  </w:style>
  <w:style w:type="paragraph" w:styleId="924">
    <w:name w:val="Heading 5"/>
    <w:basedOn w:val="919"/>
    <w:next w:val="1085"/>
    <w:link w:val="1194"/>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25">
    <w:name w:val="Heading 6"/>
    <w:basedOn w:val="919"/>
    <w:next w:val="1085"/>
    <w:link w:val="118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26">
    <w:name w:val="Heading 7"/>
    <w:basedOn w:val="919"/>
    <w:next w:val="1085"/>
    <w:link w:val="1188"/>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27">
    <w:name w:val="Heading 8"/>
    <w:basedOn w:val="919"/>
    <w:next w:val="1085"/>
    <w:link w:val="1187"/>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28">
    <w:name w:val="Heading 9"/>
    <w:basedOn w:val="919"/>
    <w:next w:val="1085"/>
    <w:link w:val="1182"/>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29" w:default="1">
    <w:name w:val="Default Paragraph Font"/>
    <w:uiPriority w:val="1"/>
    <w:semiHidden/>
    <w:unhideWhenUsed/>
  </w:style>
  <w:style w:type="table" w:styleId="930" w:default="1">
    <w:name w:val="Normal Table"/>
    <w:uiPriority w:val="99"/>
    <w:semiHidden/>
    <w:unhideWhenUsed/>
    <w:tblPr>
      <w:tblInd w:w="0" w:type="dxa"/>
      <w:tblCellMar>
        <w:left w:w="108" w:type="dxa"/>
        <w:top w:w="0" w:type="dxa"/>
        <w:right w:w="108" w:type="dxa"/>
        <w:bottom w:w="0" w:type="dxa"/>
      </w:tblCellMar>
    </w:tblPr>
  </w:style>
  <w:style w:type="numbering" w:styleId="931" w:default="1">
    <w:name w:val="No List"/>
    <w:uiPriority w:val="99"/>
    <w:semiHidden/>
    <w:unhideWhenUsed/>
  </w:style>
  <w:style w:type="character" w:styleId="932" w:customStyle="1">
    <w:name w:val="Quote Char"/>
    <w:uiPriority w:val="29"/>
    <w:rPr>
      <w:i/>
    </w:rPr>
  </w:style>
  <w:style w:type="character" w:styleId="933" w:customStyle="1">
    <w:name w:val="Intense Quote Char"/>
    <w:uiPriority w:val="30"/>
    <w:rPr>
      <w:i/>
    </w:rPr>
  </w:style>
  <w:style w:type="character" w:styleId="934" w:customStyle="1">
    <w:name w:val="Heading 1 Char"/>
    <w:basedOn w:val="929"/>
    <w:uiPriority w:val="9"/>
    <w:rPr>
      <w:rFonts w:ascii="Arial" w:hAnsi="Arial" w:eastAsia="Arial" w:cs="Arial"/>
      <w:sz w:val="40"/>
      <w:szCs w:val="40"/>
    </w:rPr>
  </w:style>
  <w:style w:type="character" w:styleId="935" w:customStyle="1">
    <w:name w:val="Heading 2 Char"/>
    <w:basedOn w:val="929"/>
    <w:uiPriority w:val="9"/>
    <w:rPr>
      <w:rFonts w:ascii="Arial" w:hAnsi="Arial" w:eastAsia="Arial" w:cs="Arial"/>
      <w:sz w:val="34"/>
    </w:rPr>
  </w:style>
  <w:style w:type="character" w:styleId="936" w:customStyle="1">
    <w:name w:val="Heading 3 Char"/>
    <w:basedOn w:val="929"/>
    <w:uiPriority w:val="9"/>
    <w:rPr>
      <w:rFonts w:ascii="Arial" w:hAnsi="Arial" w:eastAsia="Arial" w:cs="Arial"/>
      <w:sz w:val="30"/>
      <w:szCs w:val="30"/>
    </w:rPr>
  </w:style>
  <w:style w:type="character" w:styleId="937" w:customStyle="1">
    <w:name w:val="Heading 4 Char"/>
    <w:basedOn w:val="929"/>
    <w:uiPriority w:val="9"/>
    <w:rPr>
      <w:rFonts w:ascii="Arial" w:hAnsi="Arial" w:eastAsia="Arial" w:cs="Arial"/>
      <w:b/>
      <w:bCs/>
      <w:sz w:val="26"/>
      <w:szCs w:val="26"/>
    </w:rPr>
  </w:style>
  <w:style w:type="character" w:styleId="938" w:customStyle="1">
    <w:name w:val="Heading 5 Char"/>
    <w:basedOn w:val="929"/>
    <w:uiPriority w:val="9"/>
    <w:rPr>
      <w:rFonts w:ascii="Arial" w:hAnsi="Arial" w:eastAsia="Arial" w:cs="Arial"/>
      <w:b/>
      <w:bCs/>
      <w:sz w:val="24"/>
      <w:szCs w:val="24"/>
    </w:rPr>
  </w:style>
  <w:style w:type="character" w:styleId="939" w:customStyle="1">
    <w:name w:val="Heading 6 Char"/>
    <w:basedOn w:val="929"/>
    <w:uiPriority w:val="9"/>
    <w:rPr>
      <w:rFonts w:ascii="Arial" w:hAnsi="Arial" w:eastAsia="Arial" w:cs="Arial"/>
      <w:b/>
      <w:bCs/>
      <w:sz w:val="22"/>
      <w:szCs w:val="22"/>
    </w:rPr>
  </w:style>
  <w:style w:type="character" w:styleId="940" w:customStyle="1">
    <w:name w:val="Heading 7 Char"/>
    <w:basedOn w:val="929"/>
    <w:uiPriority w:val="9"/>
    <w:rPr>
      <w:rFonts w:ascii="Arial" w:hAnsi="Arial" w:eastAsia="Arial" w:cs="Arial"/>
      <w:b/>
      <w:bCs/>
      <w:i/>
      <w:iCs/>
      <w:sz w:val="22"/>
      <w:szCs w:val="22"/>
    </w:rPr>
  </w:style>
  <w:style w:type="character" w:styleId="941" w:customStyle="1">
    <w:name w:val="Heading 8 Char"/>
    <w:basedOn w:val="929"/>
    <w:uiPriority w:val="9"/>
    <w:rPr>
      <w:rFonts w:ascii="Arial" w:hAnsi="Arial" w:eastAsia="Arial" w:cs="Arial"/>
      <w:i/>
      <w:iCs/>
      <w:sz w:val="22"/>
      <w:szCs w:val="22"/>
    </w:rPr>
  </w:style>
  <w:style w:type="character" w:styleId="942" w:customStyle="1">
    <w:name w:val="Heading 9 Char"/>
    <w:basedOn w:val="929"/>
    <w:uiPriority w:val="9"/>
    <w:rPr>
      <w:rFonts w:ascii="Arial" w:hAnsi="Arial" w:eastAsia="Arial" w:cs="Arial"/>
      <w:i/>
      <w:iCs/>
      <w:sz w:val="21"/>
      <w:szCs w:val="21"/>
    </w:rPr>
  </w:style>
  <w:style w:type="character" w:styleId="943" w:customStyle="1">
    <w:name w:val="Title Char"/>
    <w:basedOn w:val="929"/>
    <w:uiPriority w:val="10"/>
    <w:rPr>
      <w:sz w:val="48"/>
      <w:szCs w:val="48"/>
    </w:rPr>
  </w:style>
  <w:style w:type="character" w:styleId="944" w:customStyle="1">
    <w:name w:val="Subtitle Char"/>
    <w:basedOn w:val="929"/>
    <w:uiPriority w:val="11"/>
    <w:rPr>
      <w:sz w:val="24"/>
      <w:szCs w:val="24"/>
    </w:rPr>
  </w:style>
  <w:style w:type="paragraph" w:styleId="945">
    <w:name w:val="Quote"/>
    <w:basedOn w:val="919"/>
    <w:next w:val="919"/>
    <w:link w:val="946"/>
    <w:uiPriority w:val="29"/>
    <w:qFormat/>
    <w:pPr>
      <w:ind w:left="720" w:right="720"/>
    </w:pPr>
    <w:rPr>
      <w:i/>
    </w:rPr>
  </w:style>
  <w:style w:type="character" w:styleId="946" w:customStyle="1">
    <w:name w:val="引用 字符2"/>
    <w:link w:val="945"/>
    <w:uiPriority w:val="29"/>
    <w:rPr>
      <w:i/>
    </w:rPr>
  </w:style>
  <w:style w:type="paragraph" w:styleId="947">
    <w:name w:val="Intense Quote"/>
    <w:basedOn w:val="919"/>
    <w:next w:val="919"/>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明显引用 字符2"/>
    <w:link w:val="947"/>
    <w:uiPriority w:val="30"/>
    <w:rPr>
      <w:i/>
    </w:rPr>
  </w:style>
  <w:style w:type="character" w:styleId="949" w:customStyle="1">
    <w:name w:val="Header Char"/>
    <w:basedOn w:val="929"/>
    <w:uiPriority w:val="99"/>
  </w:style>
  <w:style w:type="character" w:styleId="950" w:customStyle="1">
    <w:name w:val="Footer Char"/>
    <w:basedOn w:val="929"/>
    <w:uiPriority w:val="99"/>
  </w:style>
  <w:style w:type="character" w:styleId="951" w:customStyle="1">
    <w:name w:val="Caption Char"/>
    <w:uiPriority w:val="99"/>
  </w:style>
  <w:style w:type="table" w:styleId="952" w:customStyle="1">
    <w:name w:val="Table Grid Light"/>
    <w:basedOn w:val="93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53" w:customStyle="1">
    <w:name w:val="无格式表格 11"/>
    <w:basedOn w:val="93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无格式表格 21"/>
    <w:basedOn w:val="93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无格式表格 31"/>
    <w:basedOn w:val="93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6" w:customStyle="1">
    <w:name w:val="无格式表格 41"/>
    <w:basedOn w:val="93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7" w:customStyle="1">
    <w:name w:val="无格式表格 51"/>
    <w:basedOn w:val="93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8" w:customStyle="1">
    <w:name w:val="网格表 1 浅色1"/>
    <w:basedOn w:val="93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1"/>
    <w:basedOn w:val="930"/>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2"/>
    <w:basedOn w:val="930"/>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3"/>
    <w:basedOn w:val="930"/>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4"/>
    <w:basedOn w:val="930"/>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5"/>
    <w:basedOn w:val="930"/>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6"/>
    <w:basedOn w:val="930"/>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5" w:customStyle="1">
    <w:name w:val="网格表 21"/>
    <w:basedOn w:val="93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6" w:customStyle="1">
    <w:name w:val="Grid Table 2 - Accent 1"/>
    <w:basedOn w:val="930"/>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67" w:customStyle="1">
    <w:name w:val="Grid Table 2 - Accent 2"/>
    <w:basedOn w:val="930"/>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68" w:customStyle="1">
    <w:name w:val="Grid Table 2 - Accent 3"/>
    <w:basedOn w:val="930"/>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9" w:customStyle="1">
    <w:name w:val="Grid Table 2 - Accent 4"/>
    <w:basedOn w:val="930"/>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70" w:customStyle="1">
    <w:name w:val="Grid Table 2 - Accent 5"/>
    <w:basedOn w:val="930"/>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71" w:customStyle="1">
    <w:name w:val="Grid Table 2 - Accent 6"/>
    <w:basedOn w:val="930"/>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2" w:customStyle="1">
    <w:name w:val="网格表 31"/>
    <w:basedOn w:val="93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1"/>
    <w:basedOn w:val="930"/>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2"/>
    <w:basedOn w:val="930"/>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3"/>
    <w:basedOn w:val="930"/>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4"/>
    <w:basedOn w:val="930"/>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5"/>
    <w:basedOn w:val="930"/>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6"/>
    <w:basedOn w:val="930"/>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网格表 41"/>
    <w:basedOn w:val="93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0" w:customStyle="1">
    <w:name w:val="Grid Table 4 - Accent 1"/>
    <w:basedOn w:val="930"/>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81" w:customStyle="1">
    <w:name w:val="Grid Table 4 - Accent 2"/>
    <w:basedOn w:val="930"/>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82" w:customStyle="1">
    <w:name w:val="Grid Table 4 - Accent 3"/>
    <w:basedOn w:val="930"/>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3" w:customStyle="1">
    <w:name w:val="Grid Table 4 - Accent 4"/>
    <w:basedOn w:val="930"/>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84" w:customStyle="1">
    <w:name w:val="Grid Table 4 - Accent 5"/>
    <w:basedOn w:val="930"/>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85" w:customStyle="1">
    <w:name w:val="Grid Table 4 - Accent 6"/>
    <w:basedOn w:val="930"/>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6" w:customStyle="1">
    <w:name w:val="网格表 5 深色1"/>
    <w:basedOn w:val="93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7" w:customStyle="1">
    <w:name w:val="Grid Table 5 Dark- Accent 1"/>
    <w:basedOn w:val="93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88" w:customStyle="1">
    <w:name w:val="Grid Table 5 Dark - Accent 2"/>
    <w:basedOn w:val="93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9" w:customStyle="1">
    <w:name w:val="Grid Table 5 Dark - Accent 3"/>
    <w:basedOn w:val="93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0" w:customStyle="1">
    <w:name w:val="Grid Table 5 Dark- Accent 4"/>
    <w:basedOn w:val="93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1" w:customStyle="1">
    <w:name w:val="Grid Table 5 Dark - Accent 5"/>
    <w:basedOn w:val="93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92" w:customStyle="1">
    <w:name w:val="Grid Table 5 Dark - Accent 6"/>
    <w:basedOn w:val="93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3" w:customStyle="1">
    <w:name w:val="网格表 6 彩色1"/>
    <w:basedOn w:val="93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94" w:customStyle="1">
    <w:name w:val="Grid Table 6 Colorful - Accent 1"/>
    <w:basedOn w:val="930"/>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995" w:customStyle="1">
    <w:name w:val="Grid Table 6 Colorful - Accent 2"/>
    <w:basedOn w:val="930"/>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96" w:customStyle="1">
    <w:name w:val="Grid Table 6 Colorful - Accent 3"/>
    <w:basedOn w:val="930"/>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97" w:customStyle="1">
    <w:name w:val="Grid Table 6 Colorful - Accent 4"/>
    <w:basedOn w:val="930"/>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98" w:customStyle="1">
    <w:name w:val="Grid Table 6 Colorful - Accent 5"/>
    <w:basedOn w:val="930"/>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99" w:customStyle="1">
    <w:name w:val="Grid Table 6 Colorful - Accent 6"/>
    <w:basedOn w:val="930"/>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000" w:customStyle="1">
    <w:name w:val="网格表 7 彩色1"/>
    <w:basedOn w:val="93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1" w:customStyle="1">
    <w:name w:val="Grid Table 7 Colorful - Accent 1"/>
    <w:basedOn w:val="930"/>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002" w:customStyle="1">
    <w:name w:val="Grid Table 7 Colorful - Accent 2"/>
    <w:basedOn w:val="930"/>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03" w:customStyle="1">
    <w:name w:val="Grid Table 7 Colorful - Accent 3"/>
    <w:basedOn w:val="930"/>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4" w:customStyle="1">
    <w:name w:val="Grid Table 7 Colorful - Accent 4"/>
    <w:basedOn w:val="930"/>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05" w:customStyle="1">
    <w:name w:val="Grid Table 7 Colorful - Accent 5"/>
    <w:basedOn w:val="930"/>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06" w:customStyle="1">
    <w:name w:val="Grid Table 7 Colorful - Accent 6"/>
    <w:basedOn w:val="930"/>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7" w:customStyle="1">
    <w:name w:val="清单表 1 浅色1"/>
    <w:basedOn w:val="93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8" w:customStyle="1">
    <w:name w:val="List Table 1 Light - Accent 1"/>
    <w:basedOn w:val="930"/>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09" w:customStyle="1">
    <w:name w:val="List Table 1 Light - Accent 2"/>
    <w:basedOn w:val="930"/>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0" w:customStyle="1">
    <w:name w:val="List Table 1 Light - Accent 3"/>
    <w:basedOn w:val="930"/>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1" w:customStyle="1">
    <w:name w:val="List Table 1 Light - Accent 4"/>
    <w:basedOn w:val="930"/>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2" w:customStyle="1">
    <w:name w:val="List Table 1 Light - Accent 5"/>
    <w:basedOn w:val="930"/>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13" w:customStyle="1">
    <w:name w:val="List Table 1 Light - Accent 6"/>
    <w:basedOn w:val="930"/>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4" w:customStyle="1">
    <w:name w:val="清单表 21"/>
    <w:basedOn w:val="93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15" w:customStyle="1">
    <w:name w:val="List Table 2 - Accent 1"/>
    <w:basedOn w:val="930"/>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16" w:customStyle="1">
    <w:name w:val="List Table 2 - Accent 2"/>
    <w:basedOn w:val="930"/>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7" w:customStyle="1">
    <w:name w:val="List Table 2 - Accent 3"/>
    <w:basedOn w:val="930"/>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8" w:customStyle="1">
    <w:name w:val="List Table 2 - Accent 4"/>
    <w:basedOn w:val="930"/>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19" w:customStyle="1">
    <w:name w:val="List Table 2 - Accent 5"/>
    <w:basedOn w:val="930"/>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20" w:customStyle="1">
    <w:name w:val="List Table 2 - Accent 6"/>
    <w:basedOn w:val="930"/>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1" w:customStyle="1">
    <w:name w:val="清单表 31"/>
    <w:basedOn w:val="93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3 - Accent 1"/>
    <w:basedOn w:val="930"/>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23" w:customStyle="1">
    <w:name w:val="List Table 3 - Accent 2"/>
    <w:basedOn w:val="930"/>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24" w:customStyle="1">
    <w:name w:val="List Table 3 - Accent 3"/>
    <w:basedOn w:val="930"/>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5" w:customStyle="1">
    <w:name w:val="List Table 3 - Accent 4"/>
    <w:basedOn w:val="930"/>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26" w:customStyle="1">
    <w:name w:val="List Table 3 - Accent 5"/>
    <w:basedOn w:val="930"/>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27" w:customStyle="1">
    <w:name w:val="List Table 3 - Accent 6"/>
    <w:basedOn w:val="930"/>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8" w:customStyle="1">
    <w:name w:val="清单表 41"/>
    <w:basedOn w:val="93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4 - Accent 1"/>
    <w:basedOn w:val="930"/>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30" w:customStyle="1">
    <w:name w:val="List Table 4 - Accent 2"/>
    <w:basedOn w:val="930"/>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1" w:customStyle="1">
    <w:name w:val="List Table 4 - Accent 3"/>
    <w:basedOn w:val="930"/>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2" w:customStyle="1">
    <w:name w:val="List Table 4 - Accent 4"/>
    <w:basedOn w:val="930"/>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3" w:customStyle="1">
    <w:name w:val="List Table 4 - Accent 5"/>
    <w:basedOn w:val="930"/>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34" w:customStyle="1">
    <w:name w:val="List Table 4 - Accent 6"/>
    <w:basedOn w:val="930"/>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5" w:customStyle="1">
    <w:name w:val="清单表 5 深色1"/>
    <w:basedOn w:val="93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36" w:customStyle="1">
    <w:name w:val="List Table 5 Dark - Accent 1"/>
    <w:basedOn w:val="930"/>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37" w:customStyle="1">
    <w:name w:val="List Table 5 Dark - Accent 2"/>
    <w:basedOn w:val="930"/>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38" w:customStyle="1">
    <w:name w:val="List Table 5 Dark - Accent 3"/>
    <w:basedOn w:val="930"/>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39" w:customStyle="1">
    <w:name w:val="List Table 5 Dark - Accent 4"/>
    <w:basedOn w:val="930"/>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40" w:customStyle="1">
    <w:name w:val="List Table 5 Dark - Accent 5"/>
    <w:basedOn w:val="930"/>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41" w:customStyle="1">
    <w:name w:val="List Table 5 Dark - Accent 6"/>
    <w:basedOn w:val="930"/>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42" w:customStyle="1">
    <w:name w:val="清单表 6 彩色1"/>
    <w:basedOn w:val="93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43" w:customStyle="1">
    <w:name w:val="List Table 6 Colorful - Accent 1"/>
    <w:basedOn w:val="930"/>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044" w:customStyle="1">
    <w:name w:val="List Table 6 Colorful - Accent 2"/>
    <w:basedOn w:val="930"/>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045" w:customStyle="1">
    <w:name w:val="List Table 6 Colorful - Accent 3"/>
    <w:basedOn w:val="930"/>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046" w:customStyle="1">
    <w:name w:val="List Table 6 Colorful - Accent 4"/>
    <w:basedOn w:val="930"/>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047" w:customStyle="1">
    <w:name w:val="List Table 6 Colorful - Accent 5"/>
    <w:basedOn w:val="930"/>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048" w:customStyle="1">
    <w:name w:val="List Table 6 Colorful - Accent 6"/>
    <w:basedOn w:val="930"/>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049" w:customStyle="1">
    <w:name w:val="清单表 7 彩色1"/>
    <w:basedOn w:val="93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0" w:customStyle="1">
    <w:name w:val="List Table 7 Colorful - Accent 1"/>
    <w:basedOn w:val="930"/>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51" w:customStyle="1">
    <w:name w:val="List Table 7 Colorful - Accent 2"/>
    <w:basedOn w:val="930"/>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52" w:customStyle="1">
    <w:name w:val="List Table 7 Colorful - Accent 3"/>
    <w:basedOn w:val="930"/>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3" w:customStyle="1">
    <w:name w:val="List Table 7 Colorful - Accent 4"/>
    <w:basedOn w:val="930"/>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54" w:customStyle="1">
    <w:name w:val="List Table 7 Colorful - Accent 5"/>
    <w:basedOn w:val="930"/>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55" w:customStyle="1">
    <w:name w:val="List Table 7 Colorful - Accent 6"/>
    <w:basedOn w:val="930"/>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6" w:customStyle="1">
    <w:name w:val="Lined - Accent"/>
    <w:basedOn w:val="93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7" w:customStyle="1">
    <w:name w:val="Lined - Accent 1"/>
    <w:basedOn w:val="93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8" w:customStyle="1">
    <w:name w:val="Lined - Accent 2"/>
    <w:basedOn w:val="93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59" w:customStyle="1">
    <w:name w:val="Lined - Accent 3"/>
    <w:basedOn w:val="93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0" w:customStyle="1">
    <w:name w:val="Lined - Accent 4"/>
    <w:basedOn w:val="93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61" w:customStyle="1">
    <w:name w:val="Lined - Accent 5"/>
    <w:basedOn w:val="93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2" w:customStyle="1">
    <w:name w:val="Lined - Accent 6"/>
    <w:basedOn w:val="93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3" w:customStyle="1">
    <w:name w:val="Bordered &amp; Lined - Accent"/>
    <w:basedOn w:val="93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4" w:customStyle="1">
    <w:name w:val="Bordered &amp; Lined - Accent 1"/>
    <w:basedOn w:val="930"/>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65" w:customStyle="1">
    <w:name w:val="Bordered &amp; Lined - Accent 2"/>
    <w:basedOn w:val="930"/>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66" w:customStyle="1">
    <w:name w:val="Bordered &amp; Lined - Accent 3"/>
    <w:basedOn w:val="930"/>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7" w:customStyle="1">
    <w:name w:val="Bordered &amp; Lined - Accent 4"/>
    <w:basedOn w:val="930"/>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68" w:customStyle="1">
    <w:name w:val="Bordered &amp; Lined - Accent 5"/>
    <w:basedOn w:val="930"/>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9" w:customStyle="1">
    <w:name w:val="Bordered &amp; Lined - Accent 6"/>
    <w:basedOn w:val="930"/>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0" w:customStyle="1">
    <w:name w:val="Bordered"/>
    <w:basedOn w:val="93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1" w:customStyle="1">
    <w:name w:val="Bordered - Accent 1"/>
    <w:basedOn w:val="930"/>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72" w:customStyle="1">
    <w:name w:val="Bordered - Accent 2"/>
    <w:basedOn w:val="930"/>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73" w:customStyle="1">
    <w:name w:val="Bordered - Accent 3"/>
    <w:basedOn w:val="930"/>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4" w:customStyle="1">
    <w:name w:val="Bordered - Accent 4"/>
    <w:basedOn w:val="930"/>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75" w:customStyle="1">
    <w:name w:val="Bordered - Accent 5"/>
    <w:basedOn w:val="930"/>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76" w:customStyle="1">
    <w:name w:val="Bordered - Accent 6"/>
    <w:basedOn w:val="930"/>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7" w:customStyle="1">
    <w:name w:val="Footnote Text Char"/>
    <w:uiPriority w:val="99"/>
    <w:rPr>
      <w:sz w:val="18"/>
    </w:rPr>
  </w:style>
  <w:style w:type="character" w:styleId="1078" w:customStyle="1">
    <w:name w:val="Endnote Text Char"/>
    <w:uiPriority w:val="99"/>
    <w:rPr>
      <w:sz w:val="20"/>
    </w:rPr>
  </w:style>
  <w:style w:type="paragraph" w:styleId="1079">
    <w:name w:val="toc 4"/>
    <w:basedOn w:val="919"/>
    <w:next w:val="919"/>
    <w:uiPriority w:val="39"/>
    <w:unhideWhenUsed/>
    <w:pPr>
      <w:ind w:left="850"/>
      <w:spacing w:after="57"/>
    </w:pPr>
  </w:style>
  <w:style w:type="paragraph" w:styleId="1080">
    <w:name w:val="toc 5"/>
    <w:basedOn w:val="919"/>
    <w:next w:val="919"/>
    <w:uiPriority w:val="39"/>
    <w:unhideWhenUsed/>
    <w:pPr>
      <w:ind w:left="1134"/>
      <w:spacing w:after="57"/>
    </w:pPr>
  </w:style>
  <w:style w:type="paragraph" w:styleId="1081">
    <w:name w:val="toc 6"/>
    <w:basedOn w:val="919"/>
    <w:next w:val="919"/>
    <w:uiPriority w:val="39"/>
    <w:unhideWhenUsed/>
    <w:pPr>
      <w:ind w:left="1417"/>
      <w:spacing w:after="57"/>
    </w:pPr>
  </w:style>
  <w:style w:type="paragraph" w:styleId="1082">
    <w:name w:val="toc 7"/>
    <w:basedOn w:val="919"/>
    <w:next w:val="919"/>
    <w:uiPriority w:val="39"/>
    <w:unhideWhenUsed/>
    <w:pPr>
      <w:ind w:left="1701"/>
      <w:spacing w:after="57"/>
    </w:pPr>
  </w:style>
  <w:style w:type="paragraph" w:styleId="1083">
    <w:name w:val="toc 8"/>
    <w:basedOn w:val="919"/>
    <w:next w:val="919"/>
    <w:uiPriority w:val="39"/>
    <w:unhideWhenUsed/>
    <w:pPr>
      <w:ind w:left="1984"/>
      <w:spacing w:after="57"/>
    </w:pPr>
  </w:style>
  <w:style w:type="paragraph" w:styleId="1084">
    <w:name w:val="TOC Heading"/>
    <w:uiPriority w:val="39"/>
    <w:unhideWhenUsed/>
  </w:style>
  <w:style w:type="paragraph" w:styleId="1085">
    <w:name w:val="Normal Indent"/>
    <w:basedOn w:val="919"/>
    <w:link w:val="1190"/>
    <w:unhideWhenUsed/>
    <w:qFormat/>
    <w:pPr>
      <w:ind w:firstLine="420"/>
    </w:pPr>
  </w:style>
  <w:style w:type="paragraph" w:styleId="1086">
    <w:name w:val="List Number 2"/>
    <w:basedOn w:val="919"/>
    <w:unhideWhenUsed/>
    <w:qFormat/>
    <w:pPr>
      <w:ind w:left="425" w:hanging="425"/>
      <w:spacing w:line="300" w:lineRule="auto"/>
      <w:tabs>
        <w:tab w:val="left" w:pos="425" w:leader="none"/>
        <w:tab w:val="left" w:pos="567" w:leader="none"/>
      </w:tabs>
    </w:pPr>
    <w:rPr>
      <w:sz w:val="28"/>
      <w:szCs w:val="20"/>
    </w:rPr>
  </w:style>
  <w:style w:type="paragraph" w:styleId="1087">
    <w:name w:val="Note Heading"/>
    <w:basedOn w:val="919"/>
    <w:next w:val="919"/>
    <w:link w:val="1729"/>
    <w:qFormat/>
    <w:pPr>
      <w:jc w:val="center"/>
    </w:pPr>
    <w:rPr>
      <w:rFonts w:asciiTheme="minorHAnsi" w:hAnsiTheme="minorHAnsi" w:eastAsiaTheme="minorEastAsia" w:cstheme="minorBidi"/>
    </w:rPr>
  </w:style>
  <w:style w:type="paragraph" w:styleId="1088">
    <w:name w:val="index 8"/>
    <w:basedOn w:val="919"/>
    <w:next w:val="919"/>
    <w:qFormat/>
    <w:pPr>
      <w:ind w:left="1680" w:hanging="210"/>
      <w:jc w:val="left"/>
    </w:pPr>
    <w:rPr>
      <w:rFonts w:ascii="Calibri" w:hAnsi="Calibri"/>
      <w:sz w:val="20"/>
      <w:szCs w:val="20"/>
    </w:rPr>
  </w:style>
  <w:style w:type="paragraph" w:styleId="1089">
    <w:name w:val="List Number"/>
    <w:basedOn w:val="1090"/>
    <w:qFormat/>
    <w:pPr>
      <w:ind w:left="720" w:right="720" w:hanging="360"/>
      <w:spacing w:before="120" w:after="240" w:line="240" w:lineRule="atLeast"/>
      <w:widowControl/>
    </w:pPr>
    <w:rPr>
      <w:rFonts w:ascii="宋体" w:hAnsi="Garamond"/>
      <w:spacing w:val="-5"/>
      <w:sz w:val="24"/>
      <w:szCs w:val="20"/>
    </w:rPr>
  </w:style>
  <w:style w:type="paragraph" w:styleId="1090">
    <w:name w:val="List"/>
    <w:basedOn w:val="919"/>
    <w:qFormat/>
    <w:pPr>
      <w:ind w:left="200" w:hanging="200"/>
    </w:pPr>
  </w:style>
  <w:style w:type="paragraph" w:styleId="1091">
    <w:name w:val="Caption"/>
    <w:basedOn w:val="919"/>
    <w:next w:val="919"/>
    <w:link w:val="1309"/>
    <w:qFormat/>
    <w:rPr>
      <w:rFonts w:ascii="Cambria" w:hAnsi="Cambria" w:eastAsia="黑体" w:cstheme="minorBidi"/>
      <w:szCs w:val="22"/>
    </w:rPr>
  </w:style>
  <w:style w:type="paragraph" w:styleId="1092">
    <w:name w:val="index 5"/>
    <w:basedOn w:val="919"/>
    <w:next w:val="919"/>
    <w:qFormat/>
    <w:pPr>
      <w:ind w:left="1050" w:hanging="210"/>
      <w:jc w:val="left"/>
    </w:pPr>
    <w:rPr>
      <w:rFonts w:ascii="Calibri" w:hAnsi="Calibri"/>
      <w:sz w:val="20"/>
      <w:szCs w:val="20"/>
    </w:rPr>
  </w:style>
  <w:style w:type="paragraph" w:styleId="1093">
    <w:name w:val="List Bullet"/>
    <w:basedOn w:val="919"/>
    <w:uiPriority w:val="99"/>
    <w:unhideWhenUsed/>
    <w:qFormat/>
    <w:pPr>
      <w:contextualSpacing/>
      <w:ind w:left="1236" w:hanging="1236"/>
      <w:tabs>
        <w:tab w:val="left" w:pos="360" w:leader="none"/>
      </w:tabs>
    </w:pPr>
    <w:rPr>
      <w:rFonts w:ascii="Calibri" w:hAnsi="Calibri"/>
      <w:szCs w:val="22"/>
    </w:rPr>
  </w:style>
  <w:style w:type="paragraph" w:styleId="1094">
    <w:name w:val="Document Map"/>
    <w:basedOn w:val="919"/>
    <w:link w:val="1717"/>
    <w:uiPriority w:val="99"/>
    <w:qFormat/>
    <w:rPr>
      <w:rFonts w:ascii="宋体" w:hAnsiTheme="minorHAnsi" w:eastAsiaTheme="minorEastAsia" w:cstheme="minorBidi"/>
      <w:sz w:val="18"/>
      <w:szCs w:val="18"/>
    </w:rPr>
  </w:style>
  <w:style w:type="paragraph" w:styleId="1095">
    <w:name w:val="annotation text"/>
    <w:basedOn w:val="919"/>
    <w:link w:val="1723"/>
    <w:uiPriority w:val="99"/>
    <w:qFormat/>
    <w:pPr>
      <w:jc w:val="left"/>
    </w:pPr>
    <w:rPr>
      <w:rFonts w:eastAsiaTheme="minorEastAsia" w:cstheme="minorBidi"/>
    </w:rPr>
  </w:style>
  <w:style w:type="paragraph" w:styleId="1096">
    <w:name w:val="index 6"/>
    <w:basedOn w:val="919"/>
    <w:next w:val="919"/>
    <w:qFormat/>
    <w:pPr>
      <w:ind w:left="1260" w:hanging="210"/>
      <w:jc w:val="left"/>
    </w:pPr>
    <w:rPr>
      <w:rFonts w:ascii="Calibri" w:hAnsi="Calibri"/>
      <w:sz w:val="20"/>
      <w:szCs w:val="20"/>
    </w:rPr>
  </w:style>
  <w:style w:type="paragraph" w:styleId="1097">
    <w:name w:val="Salutation"/>
    <w:basedOn w:val="919"/>
    <w:next w:val="919"/>
    <w:link w:val="1733"/>
    <w:unhideWhenUsed/>
    <w:qFormat/>
    <w:pPr>
      <w:ind w:firstLine="560"/>
      <w:spacing w:line="500" w:lineRule="exact"/>
    </w:pPr>
    <w:rPr>
      <w:rFonts w:ascii="Arial" w:hAnsi="Arial" w:eastAsia="方正仿宋_GBK" w:cs="Arial"/>
      <w:szCs w:val="22"/>
    </w:rPr>
  </w:style>
  <w:style w:type="paragraph" w:styleId="1098">
    <w:name w:val="Body Text 3"/>
    <w:basedOn w:val="919"/>
    <w:link w:val="1727"/>
    <w:qFormat/>
    <w:rPr>
      <w:rFonts w:ascii="仿宋_GB2312" w:hAnsi="Arial" w:eastAsia="仿宋_GB2312" w:cstheme="minorBidi"/>
      <w:sz w:val="32"/>
      <w:szCs w:val="22"/>
    </w:rPr>
  </w:style>
  <w:style w:type="paragraph" w:styleId="1099">
    <w:name w:val="List Bullet 3"/>
    <w:basedOn w:val="919"/>
    <w:uiPriority w:val="99"/>
    <w:unhideWhenUsed/>
    <w:qFormat/>
    <w:pPr>
      <w:contextualSpacing/>
      <w:ind w:left="1236" w:hanging="1236"/>
      <w:tabs>
        <w:tab w:val="left" w:pos="1200" w:leader="none"/>
      </w:tabs>
    </w:pPr>
  </w:style>
  <w:style w:type="paragraph" w:styleId="1100">
    <w:name w:val="Body Text"/>
    <w:basedOn w:val="919"/>
    <w:next w:val="919"/>
    <w:link w:val="1725"/>
    <w:qFormat/>
    <w:rPr>
      <w:rFonts w:ascii="楷体_GB2312" w:hAnsi="Arial" w:eastAsia="楷体_GB2312" w:cstheme="minorBidi"/>
      <w:sz w:val="28"/>
      <w:szCs w:val="22"/>
    </w:rPr>
  </w:style>
  <w:style w:type="paragraph" w:styleId="1101">
    <w:name w:val="Body Text Indent"/>
    <w:basedOn w:val="919"/>
    <w:link w:val="1724"/>
    <w:qFormat/>
    <w:pPr>
      <w:ind w:firstLine="645"/>
    </w:pPr>
    <w:rPr>
      <w:rFonts w:ascii="楷体_GB2312" w:eastAsia="楷体_GB2312" w:hAnsiTheme="minorHAnsi" w:cstheme="minorBidi"/>
      <w:sz w:val="32"/>
      <w:szCs w:val="22"/>
    </w:rPr>
  </w:style>
  <w:style w:type="paragraph" w:styleId="1102">
    <w:name w:val="List Number 3"/>
    <w:basedOn w:val="919"/>
    <w:qFormat/>
    <w:pPr>
      <w:ind w:left="720" w:hanging="720"/>
      <w:tabs>
        <w:tab w:val="left" w:pos="1200" w:leader="none"/>
      </w:tabs>
    </w:pPr>
  </w:style>
  <w:style w:type="paragraph" w:styleId="1103">
    <w:name w:val="List 2"/>
    <w:basedOn w:val="919"/>
    <w:unhideWhenUsed/>
    <w:qFormat/>
    <w:pPr>
      <w:ind w:left="100" w:hanging="200"/>
      <w:spacing w:line="500" w:lineRule="exact"/>
    </w:pPr>
    <w:rPr>
      <w:rFonts w:ascii="Arial" w:hAnsi="Arial" w:eastAsia="仿宋" w:cs="Arial"/>
      <w:sz w:val="28"/>
    </w:rPr>
  </w:style>
  <w:style w:type="paragraph" w:styleId="1104">
    <w:name w:val="Block Text"/>
    <w:basedOn w:val="919"/>
    <w:qFormat/>
    <w:pPr>
      <w:ind w:left="630" w:right="630"/>
      <w:jc w:val="center"/>
    </w:pPr>
    <w:rPr>
      <w:rFonts w:ascii="宋体"/>
      <w:b/>
      <w:sz w:val="32"/>
    </w:rPr>
  </w:style>
  <w:style w:type="paragraph" w:styleId="1105">
    <w:name w:val="List Bullet 2"/>
    <w:basedOn w:val="919"/>
    <w:qFormat/>
    <w:pPr>
      <w:ind w:left="1236" w:hanging="1236"/>
      <w:tabs>
        <w:tab w:val="left" w:pos="780" w:leader="none"/>
      </w:tabs>
    </w:pPr>
  </w:style>
  <w:style w:type="paragraph" w:styleId="1106">
    <w:name w:val="HTML Address"/>
    <w:basedOn w:val="919"/>
    <w:link w:val="1719"/>
    <w:qFormat/>
    <w:rPr>
      <w:rFonts w:asciiTheme="minorHAnsi" w:hAnsiTheme="minorHAnsi" w:eastAsiaTheme="minorEastAsia" w:cstheme="minorBidi"/>
      <w:i/>
      <w:iCs/>
    </w:rPr>
  </w:style>
  <w:style w:type="paragraph" w:styleId="1107">
    <w:name w:val="index 4"/>
    <w:basedOn w:val="919"/>
    <w:next w:val="919"/>
    <w:unhideWhenUsed/>
    <w:qFormat/>
    <w:pPr>
      <w:ind w:left="600"/>
    </w:pPr>
  </w:style>
  <w:style w:type="paragraph" w:styleId="1108">
    <w:name w:val="toc 3"/>
    <w:basedOn w:val="919"/>
    <w:next w:val="919"/>
    <w:uiPriority w:val="39"/>
    <w:semiHidden/>
    <w:unhideWhenUsed/>
    <w:qFormat/>
    <w:pPr>
      <w:ind w:left="840"/>
    </w:pPr>
  </w:style>
  <w:style w:type="paragraph" w:styleId="1109">
    <w:name w:val="Plain Text"/>
    <w:basedOn w:val="919"/>
    <w:link w:val="1720"/>
    <w:qFormat/>
    <w:rPr>
      <w:rFonts w:ascii="宋体" w:hAnsi="Courier New" w:cs="Courier New" w:eastAsiaTheme="minorEastAsia"/>
      <w:szCs w:val="21"/>
    </w:rPr>
  </w:style>
  <w:style w:type="paragraph" w:styleId="1110">
    <w:name w:val="List Bullet 5"/>
    <w:basedOn w:val="919"/>
    <w:qFormat/>
    <w:pPr>
      <w:spacing w:line="312" w:lineRule="atLeast"/>
    </w:pPr>
    <w:rPr>
      <w:szCs w:val="20"/>
    </w:rPr>
  </w:style>
  <w:style w:type="paragraph" w:styleId="1111">
    <w:name w:val="index 3"/>
    <w:basedOn w:val="919"/>
    <w:next w:val="919"/>
    <w:qFormat/>
    <w:pPr>
      <w:ind w:left="630" w:hanging="210"/>
      <w:jc w:val="left"/>
    </w:pPr>
    <w:rPr>
      <w:rFonts w:ascii="Calibri" w:hAnsi="Calibri"/>
      <w:sz w:val="20"/>
      <w:szCs w:val="20"/>
    </w:rPr>
  </w:style>
  <w:style w:type="paragraph" w:styleId="1112">
    <w:name w:val="Date"/>
    <w:basedOn w:val="919"/>
    <w:next w:val="919"/>
    <w:link w:val="1718"/>
    <w:qFormat/>
    <w:pPr>
      <w:ind w:left="100"/>
    </w:pPr>
    <w:rPr>
      <w:rFonts w:ascii="仿宋_GB2312" w:eastAsia="仿宋_GB2312" w:hAnsiTheme="minorHAnsi" w:cstheme="minorBidi"/>
      <w:b/>
      <w:sz w:val="36"/>
    </w:rPr>
  </w:style>
  <w:style w:type="paragraph" w:styleId="1113">
    <w:name w:val="Body Text Indent 2"/>
    <w:basedOn w:val="919"/>
    <w:link w:val="1726"/>
    <w:qFormat/>
    <w:pPr>
      <w:ind w:firstLine="560"/>
      <w:spacing w:line="520" w:lineRule="exact"/>
    </w:pPr>
    <w:rPr>
      <w:rFonts w:ascii="楷体_GB2312" w:eastAsia="楷体_GB2312" w:hAnsiTheme="minorHAnsi" w:cstheme="minorBidi"/>
      <w:sz w:val="28"/>
      <w:szCs w:val="28"/>
    </w:rPr>
  </w:style>
  <w:style w:type="paragraph" w:styleId="1114">
    <w:name w:val="endnote text"/>
    <w:basedOn w:val="919"/>
    <w:link w:val="1735"/>
    <w:qFormat/>
    <w:pPr>
      <w:jc w:val="left"/>
    </w:pPr>
    <w:rPr>
      <w:rFonts w:asciiTheme="minorHAnsi" w:hAnsiTheme="minorHAnsi" w:eastAsiaTheme="minorEastAsia" w:cstheme="minorBidi"/>
      <w:lang w:val="zh-CN"/>
    </w:rPr>
  </w:style>
  <w:style w:type="paragraph" w:styleId="1115">
    <w:name w:val="Balloon Text"/>
    <w:basedOn w:val="919"/>
    <w:link w:val="1731"/>
    <w:uiPriority w:val="99"/>
    <w:qFormat/>
    <w:rPr>
      <w:rFonts w:asciiTheme="minorHAnsi" w:hAnsiTheme="minorHAnsi" w:eastAsiaTheme="minorEastAsia" w:cstheme="minorBidi"/>
      <w:sz w:val="18"/>
      <w:szCs w:val="18"/>
    </w:rPr>
  </w:style>
  <w:style w:type="paragraph" w:styleId="1116">
    <w:name w:val="Footer"/>
    <w:basedOn w:val="919"/>
    <w:link w:val="1159"/>
    <w:uiPriority w:val="99"/>
    <w:unhideWhenUsed/>
    <w:qFormat/>
    <w:pPr>
      <w:jc w:val="left"/>
      <w:tabs>
        <w:tab w:val="center" w:pos="4153" w:leader="none"/>
        <w:tab w:val="right" w:pos="8306" w:leader="none"/>
      </w:tabs>
    </w:pPr>
    <w:rPr>
      <w:sz w:val="18"/>
      <w:szCs w:val="18"/>
    </w:rPr>
  </w:style>
  <w:style w:type="paragraph" w:styleId="1117">
    <w:name w:val="Header"/>
    <w:basedOn w:val="919"/>
    <w:link w:val="115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118">
    <w:name w:val="toc 1"/>
    <w:basedOn w:val="919"/>
    <w:next w:val="919"/>
    <w:uiPriority w:val="39"/>
    <w:semiHidden/>
    <w:unhideWhenUsed/>
    <w:qFormat/>
  </w:style>
  <w:style w:type="paragraph" w:styleId="1119">
    <w:name w:val="index heading"/>
    <w:basedOn w:val="919"/>
    <w:next w:val="1120"/>
    <w:unhideWhenUsed/>
    <w:qFormat/>
    <w:pPr>
      <w:spacing w:line="300" w:lineRule="auto"/>
    </w:pPr>
    <w:rPr>
      <w:rFonts w:eastAsia="楷体_GB2312"/>
      <w:sz w:val="24"/>
    </w:rPr>
  </w:style>
  <w:style w:type="paragraph" w:styleId="1120">
    <w:name w:val="index 1"/>
    <w:basedOn w:val="919"/>
    <w:next w:val="919"/>
    <w:unhideWhenUsed/>
    <w:qFormat/>
  </w:style>
  <w:style w:type="paragraph" w:styleId="1121">
    <w:name w:val="Subtitle"/>
    <w:basedOn w:val="919"/>
    <w:next w:val="919"/>
    <w:link w:val="1734"/>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1122">
    <w:name w:val="footnote text"/>
    <w:basedOn w:val="919"/>
    <w:link w:val="1722"/>
    <w:unhideWhenUsed/>
    <w:qFormat/>
    <w:pPr>
      <w:jc w:val="left"/>
    </w:pPr>
    <w:rPr>
      <w:rFonts w:ascii="Calibri" w:hAnsi="Calibri" w:eastAsiaTheme="minorEastAsia" w:cstheme="minorBidi"/>
      <w:sz w:val="18"/>
      <w:szCs w:val="18"/>
    </w:rPr>
  </w:style>
  <w:style w:type="paragraph" w:styleId="1123">
    <w:name w:val="Body Text Indent 3"/>
    <w:basedOn w:val="919"/>
    <w:link w:val="1728"/>
    <w:qFormat/>
    <w:pPr>
      <w:ind w:left="520" w:firstLine="425"/>
      <w:jc w:val="center"/>
    </w:pPr>
    <w:rPr>
      <w:rFonts w:ascii="宋体" w:hAnsi="Arial" w:cstheme="minorBidi"/>
      <w:sz w:val="36"/>
      <w:szCs w:val="22"/>
    </w:rPr>
  </w:style>
  <w:style w:type="paragraph" w:styleId="1124">
    <w:name w:val="index 7"/>
    <w:basedOn w:val="919"/>
    <w:next w:val="919"/>
    <w:qFormat/>
    <w:pPr>
      <w:ind w:left="1470" w:hanging="210"/>
      <w:jc w:val="left"/>
    </w:pPr>
    <w:rPr>
      <w:rFonts w:ascii="Calibri" w:hAnsi="Calibri"/>
      <w:sz w:val="20"/>
      <w:szCs w:val="20"/>
    </w:rPr>
  </w:style>
  <w:style w:type="paragraph" w:styleId="1125">
    <w:name w:val="index 9"/>
    <w:basedOn w:val="919"/>
    <w:next w:val="919"/>
    <w:qFormat/>
    <w:pPr>
      <w:ind w:left="1890" w:hanging="210"/>
      <w:jc w:val="left"/>
    </w:pPr>
    <w:rPr>
      <w:rFonts w:ascii="Calibri" w:hAnsi="Calibri"/>
      <w:sz w:val="20"/>
      <w:szCs w:val="20"/>
    </w:rPr>
  </w:style>
  <w:style w:type="paragraph" w:styleId="1126">
    <w:name w:val="table of figures"/>
    <w:basedOn w:val="919"/>
    <w:next w:val="919"/>
    <w:unhideWhenUsed/>
    <w:qFormat/>
    <w:pPr>
      <w:ind w:left="420" w:hanging="420"/>
      <w:jc w:val="left"/>
      <w:spacing w:line="500" w:lineRule="exact"/>
    </w:pPr>
    <w:rPr>
      <w:rFonts w:ascii="Calibri" w:hAnsi="Calibri" w:eastAsia="仿宋"/>
      <w:smallCaps/>
      <w:sz w:val="20"/>
      <w:szCs w:val="20"/>
    </w:rPr>
  </w:style>
  <w:style w:type="paragraph" w:styleId="1127">
    <w:name w:val="toc 2"/>
    <w:basedOn w:val="919"/>
    <w:next w:val="919"/>
    <w:uiPriority w:val="39"/>
    <w:semiHidden/>
    <w:unhideWhenUsed/>
    <w:qFormat/>
    <w:pPr>
      <w:ind w:left="420"/>
    </w:pPr>
  </w:style>
  <w:style w:type="paragraph" w:styleId="1128">
    <w:name w:val="toc 9"/>
    <w:basedOn w:val="919"/>
    <w:next w:val="919"/>
    <w:uiPriority w:val="39"/>
    <w:semiHidden/>
    <w:unhideWhenUsed/>
    <w:qFormat/>
    <w:pPr>
      <w:ind w:left="3360"/>
    </w:pPr>
  </w:style>
  <w:style w:type="paragraph" w:styleId="1129">
    <w:name w:val="Body Text 2"/>
    <w:basedOn w:val="919"/>
    <w:link w:val="1732"/>
    <w:qFormat/>
    <w:pPr>
      <w:spacing w:after="120" w:line="480" w:lineRule="auto"/>
    </w:pPr>
    <w:rPr>
      <w:rFonts w:asciiTheme="minorHAnsi" w:hAnsiTheme="minorHAnsi" w:eastAsiaTheme="minorEastAsia" w:cstheme="minorBidi"/>
    </w:rPr>
  </w:style>
  <w:style w:type="paragraph" w:styleId="1130">
    <w:name w:val="HTML Preformatted"/>
    <w:basedOn w:val="919"/>
    <w:link w:val="1721"/>
    <w:qFormat/>
    <w:rPr>
      <w:rFonts w:ascii="Courier New" w:hAnsi="Courier New" w:cs="Courier New" w:eastAsiaTheme="minorEastAsia"/>
      <w:szCs w:val="22"/>
    </w:rPr>
  </w:style>
  <w:style w:type="paragraph" w:styleId="1131">
    <w:name w:val="Normal (Web)"/>
    <w:basedOn w:val="919"/>
    <w:link w:val="1315"/>
    <w:qFormat/>
    <w:pPr>
      <w:jc w:val="left"/>
      <w:spacing w:before="100" w:beforeAutospacing="1" w:after="100" w:afterAutospacing="1"/>
      <w:widowControl/>
    </w:pPr>
    <w:rPr>
      <w:rFonts w:ascii="宋体" w:hAnsi="宋体" w:cs="宋体" w:eastAsiaTheme="minorEastAsia"/>
      <w:color w:val="000000"/>
      <w:sz w:val="24"/>
    </w:rPr>
  </w:style>
  <w:style w:type="paragraph" w:styleId="1132">
    <w:name w:val="index 2"/>
    <w:basedOn w:val="919"/>
    <w:next w:val="919"/>
    <w:qFormat/>
    <w:pPr>
      <w:ind w:left="420" w:hanging="210"/>
      <w:jc w:val="left"/>
    </w:pPr>
    <w:rPr>
      <w:rFonts w:ascii="Calibri" w:hAnsi="Calibri"/>
      <w:sz w:val="20"/>
      <w:szCs w:val="20"/>
    </w:rPr>
  </w:style>
  <w:style w:type="paragraph" w:styleId="1133">
    <w:name w:val="Title"/>
    <w:basedOn w:val="919"/>
    <w:next w:val="919"/>
    <w:link w:val="1716"/>
    <w:qFormat/>
    <w:pPr>
      <w:jc w:val="center"/>
      <w:spacing w:before="240" w:after="60"/>
      <w:outlineLvl w:val="0"/>
    </w:pPr>
    <w:rPr>
      <w:rFonts w:ascii="Cambria" w:hAnsi="Cambria" w:eastAsiaTheme="minorEastAsia" w:cstheme="minorBidi"/>
      <w:b/>
      <w:bCs/>
      <w:sz w:val="32"/>
      <w:szCs w:val="32"/>
    </w:rPr>
  </w:style>
  <w:style w:type="paragraph" w:styleId="1134">
    <w:name w:val="annotation subject"/>
    <w:basedOn w:val="1095"/>
    <w:next w:val="1095"/>
    <w:link w:val="1730"/>
    <w:uiPriority w:val="99"/>
    <w:qFormat/>
    <w:rPr>
      <w:b/>
      <w:bCs/>
    </w:rPr>
  </w:style>
  <w:style w:type="paragraph" w:styleId="1135">
    <w:name w:val="Body Text First Indent"/>
    <w:basedOn w:val="1100"/>
    <w:link w:val="2447"/>
    <w:semiHidden/>
    <w:unhideWhenUsed/>
    <w:qFormat/>
    <w:pPr>
      <w:ind w:firstLine="420"/>
      <w:spacing w:after="120"/>
    </w:pPr>
    <w:rPr>
      <w:rFonts w:ascii="Arial" w:eastAsiaTheme="minorEastAsia"/>
      <w:sz w:val="21"/>
      <w:szCs w:val="21"/>
    </w:rPr>
  </w:style>
  <w:style w:type="paragraph" w:styleId="1136">
    <w:name w:val="Body Text First Indent 2"/>
    <w:basedOn w:val="1101"/>
    <w:link w:val="2446"/>
    <w:semiHidden/>
    <w:unhideWhenUsed/>
    <w:qFormat/>
    <w:pPr>
      <w:ind w:left="420" w:firstLine="420"/>
      <w:spacing w:after="120"/>
    </w:pPr>
    <w:rPr>
      <w:rFonts w:ascii="Arial" w:hAnsi="Arial" w:eastAsia="方正仿宋_GBK" w:cs="Arial"/>
      <w:sz w:val="21"/>
      <w:szCs w:val="24"/>
    </w:rPr>
  </w:style>
  <w:style w:type="table" w:styleId="1137">
    <w:name w:val="Table Grid"/>
    <w:basedOn w:val="930"/>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38">
    <w:name w:val="Table Theme"/>
    <w:basedOn w:val="93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39">
    <w:name w:val="Table Elegant"/>
    <w:basedOn w:val="93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40">
    <w:name w:val="Strong"/>
    <w:qFormat/>
    <w:rPr>
      <w:b/>
      <w:bCs/>
    </w:rPr>
  </w:style>
  <w:style w:type="character" w:styleId="1141">
    <w:name w:val="endnote reference"/>
    <w:qFormat/>
    <w:rPr>
      <w:vertAlign w:val="superscript"/>
    </w:rPr>
  </w:style>
  <w:style w:type="character" w:styleId="1142">
    <w:name w:val="page number"/>
    <w:basedOn w:val="929"/>
    <w:qFormat/>
  </w:style>
  <w:style w:type="character" w:styleId="1143">
    <w:name w:val="FollowedHyperlink"/>
    <w:basedOn w:val="929"/>
    <w:uiPriority w:val="99"/>
    <w:semiHidden/>
    <w:unhideWhenUsed/>
    <w:qFormat/>
    <w:rPr>
      <w:color w:val="954f72" w:themeColor="followedHyperlink"/>
      <w:u w:val="single"/>
    </w:rPr>
  </w:style>
  <w:style w:type="character" w:styleId="1144">
    <w:name w:val="Emphasis"/>
    <w:uiPriority w:val="20"/>
    <w:qFormat/>
    <w:rPr>
      <w:color w:val="cc0000"/>
    </w:rPr>
  </w:style>
  <w:style w:type="character" w:styleId="1145">
    <w:name w:val="HTML Definition"/>
    <w:basedOn w:val="929"/>
    <w:unhideWhenUsed/>
    <w:qFormat/>
  </w:style>
  <w:style w:type="character" w:styleId="1146">
    <w:name w:val="HTML Typewriter"/>
    <w:unhideWhenUsed/>
    <w:qFormat/>
    <w:rPr>
      <w:rFonts w:hint="default" w:ascii="Courier New" w:hAnsi="Courier New" w:eastAsia="Courier New" w:cs="Courier New"/>
      <w:sz w:val="24"/>
      <w:szCs w:val="24"/>
    </w:rPr>
  </w:style>
  <w:style w:type="character" w:styleId="1147">
    <w:name w:val="HTML Acronym"/>
    <w:basedOn w:val="929"/>
    <w:qFormat/>
  </w:style>
  <w:style w:type="character" w:styleId="1148">
    <w:name w:val="HTML Variable"/>
    <w:basedOn w:val="929"/>
    <w:unhideWhenUsed/>
    <w:qFormat/>
  </w:style>
  <w:style w:type="character" w:styleId="1149">
    <w:name w:val="Hyperlink"/>
    <w:basedOn w:val="929"/>
    <w:uiPriority w:val="99"/>
    <w:qFormat/>
    <w:rPr>
      <w:color w:val="0000ff"/>
      <w:u w:val="none"/>
    </w:rPr>
  </w:style>
  <w:style w:type="character" w:styleId="1150">
    <w:name w:val="HTML Code"/>
    <w:unhideWhenUsed/>
    <w:qFormat/>
    <w:rPr>
      <w:rFonts w:hint="default" w:ascii="Courier New" w:hAnsi="Courier New" w:eastAsia="Courier New" w:cs="Courier New"/>
      <w:sz w:val="24"/>
      <w:szCs w:val="24"/>
    </w:rPr>
  </w:style>
  <w:style w:type="character" w:styleId="1151">
    <w:name w:val="annotation reference"/>
    <w:uiPriority w:val="99"/>
    <w:qFormat/>
    <w:rPr>
      <w:sz w:val="21"/>
      <w:szCs w:val="21"/>
    </w:rPr>
  </w:style>
  <w:style w:type="character" w:styleId="1152">
    <w:name w:val="HTML Cite"/>
    <w:basedOn w:val="929"/>
    <w:unhideWhenUsed/>
    <w:qFormat/>
  </w:style>
  <w:style w:type="character" w:styleId="1153">
    <w:name w:val="footnote reference"/>
    <w:unhideWhenUsed/>
    <w:qFormat/>
    <w:rPr>
      <w:vertAlign w:val="superscript"/>
    </w:rPr>
  </w:style>
  <w:style w:type="character" w:styleId="1154">
    <w:name w:val="HTML Keyboard"/>
    <w:unhideWhenUsed/>
    <w:qFormat/>
    <w:rPr>
      <w:rFonts w:hint="default" w:ascii="Courier New" w:hAnsi="Courier New" w:eastAsia="Courier New" w:cs="Courier New"/>
      <w:sz w:val="24"/>
      <w:szCs w:val="24"/>
    </w:rPr>
  </w:style>
  <w:style w:type="character" w:styleId="1155">
    <w:name w:val="HTML Sample"/>
    <w:unhideWhenUsed/>
    <w:qFormat/>
    <w:rPr>
      <w:rFonts w:hint="default" w:ascii="Courier New" w:hAnsi="Courier New" w:eastAsia="Courier New" w:cs="Courier New"/>
    </w:rPr>
  </w:style>
  <w:style w:type="paragraph" w:styleId="1156" w:customStyle="1">
    <w:name w:val="Normal_13"/>
    <w:qFormat/>
    <w:pPr>
      <w:jc w:val="both"/>
      <w:widowControl w:val="off"/>
    </w:pPr>
    <w:rPr>
      <w:rFonts w:ascii="Calibri" w:hAnsi="Calibri"/>
      <w:sz w:val="21"/>
      <w:szCs w:val="22"/>
    </w:rPr>
  </w:style>
  <w:style w:type="paragraph" w:styleId="1157" w:customStyle="1">
    <w:name w:val="标题 21"/>
    <w:basedOn w:val="919"/>
    <w:next w:val="919"/>
    <w:qFormat/>
    <w:pPr>
      <w:jc w:val="center"/>
      <w:keepLines/>
      <w:keepNext/>
      <w:spacing w:before="260" w:after="260" w:line="416" w:lineRule="auto"/>
      <w:outlineLvl w:val="1"/>
    </w:pPr>
    <w:rPr>
      <w:rFonts w:ascii="幼圆" w:hAnsi="Arial" w:eastAsia="楷体_GB2312"/>
      <w:b/>
      <w:sz w:val="44"/>
      <w:szCs w:val="20"/>
    </w:rPr>
  </w:style>
  <w:style w:type="character" w:styleId="1158" w:customStyle="1">
    <w:name w:val="页眉 字符2"/>
    <w:basedOn w:val="929"/>
    <w:link w:val="1117"/>
    <w:uiPriority w:val="99"/>
    <w:qFormat/>
    <w:rPr>
      <w:rFonts w:ascii="Times New Roman" w:hAnsi="Times New Roman" w:eastAsia="宋体" w:cs="Times New Roman"/>
      <w:sz w:val="18"/>
      <w:szCs w:val="18"/>
    </w:rPr>
  </w:style>
  <w:style w:type="character" w:styleId="1159" w:customStyle="1">
    <w:name w:val="页脚 字符2"/>
    <w:basedOn w:val="929"/>
    <w:link w:val="1116"/>
    <w:uiPriority w:val="99"/>
    <w:qFormat/>
    <w:rPr>
      <w:rFonts w:ascii="Times New Roman" w:hAnsi="Times New Roman" w:eastAsia="宋体" w:cs="Times New Roman"/>
      <w:sz w:val="18"/>
      <w:szCs w:val="18"/>
    </w:rPr>
  </w:style>
  <w:style w:type="paragraph" w:styleId="1160">
    <w:name w:val="List Paragraph"/>
    <w:basedOn w:val="919"/>
    <w:link w:val="1161"/>
    <w:uiPriority w:val="99"/>
    <w:qFormat/>
    <w:pPr>
      <w:ind w:firstLine="420"/>
    </w:pPr>
  </w:style>
  <w:style w:type="character" w:styleId="1161" w:customStyle="1">
    <w:name w:val="列表段落 字符2"/>
    <w:link w:val="1160"/>
    <w:uiPriority w:val="34"/>
    <w:qFormat/>
    <w:rPr>
      <w:rFonts w:ascii="Times New Roman" w:hAnsi="Times New Roman" w:eastAsia="宋体" w:cs="Times New Roman"/>
      <w:szCs w:val="24"/>
    </w:rPr>
  </w:style>
  <w:style w:type="paragraph" w:styleId="1162" w:customStyle="1">
    <w:name w:val="_Style 18"/>
    <w:basedOn w:val="919"/>
    <w:next w:val="1160"/>
    <w:uiPriority w:val="34"/>
    <w:qFormat/>
    <w:pPr>
      <w:ind w:firstLine="420"/>
    </w:pPr>
    <w:rPr>
      <w:rFonts w:ascii="Calibri" w:hAnsi="Calibri"/>
      <w:szCs w:val="22"/>
    </w:rPr>
  </w:style>
  <w:style w:type="character" w:styleId="1163" w:customStyle="1">
    <w:name w:val="标题 2 字符2"/>
    <w:basedOn w:val="929"/>
    <w:link w:val="921"/>
    <w:uiPriority w:val="9"/>
    <w:qFormat/>
    <w:rPr>
      <w:rFonts w:ascii="宋体" w:hAnsi="宋体"/>
      <w:b/>
      <w:sz w:val="24"/>
      <w:szCs w:val="24"/>
    </w:rPr>
  </w:style>
  <w:style w:type="character" w:styleId="1164" w:customStyle="1">
    <w:name w:val="htd0"/>
    <w:basedOn w:val="929"/>
    <w:qFormat/>
  </w:style>
  <w:style w:type="character" w:styleId="1165" w:customStyle="1">
    <w:name w:val="标题 1 Char"/>
    <w:basedOn w:val="929"/>
    <w:qFormat/>
    <w:rPr>
      <w:rFonts w:ascii="Times New Roman" w:hAnsi="Times New Roman" w:eastAsia="宋体" w:cs="Times New Roman"/>
      <w:b/>
      <w:bCs/>
      <w:sz w:val="44"/>
      <w:szCs w:val="44"/>
    </w:rPr>
  </w:style>
  <w:style w:type="character" w:styleId="1166" w:customStyle="1">
    <w:name w:val="标题 3 Char"/>
    <w:basedOn w:val="929"/>
    <w:uiPriority w:val="9"/>
    <w:qFormat/>
    <w:rPr>
      <w:rFonts w:ascii="Times New Roman" w:hAnsi="Times New Roman" w:eastAsia="宋体" w:cs="Times New Roman"/>
      <w:b/>
      <w:bCs/>
      <w:sz w:val="32"/>
      <w:szCs w:val="32"/>
    </w:rPr>
  </w:style>
  <w:style w:type="character" w:styleId="1167" w:customStyle="1">
    <w:name w:val="标题 4 Char"/>
    <w:basedOn w:val="929"/>
    <w:uiPriority w:val="9"/>
    <w:semiHidden/>
    <w:qFormat/>
    <w:rPr>
      <w:rFonts w:asciiTheme="majorHAnsi" w:hAnsiTheme="majorHAnsi" w:eastAsiaTheme="majorEastAsia" w:cstheme="majorBidi"/>
      <w:b/>
      <w:bCs/>
      <w:sz w:val="28"/>
      <w:szCs w:val="28"/>
    </w:rPr>
  </w:style>
  <w:style w:type="character" w:styleId="1168" w:customStyle="1">
    <w:name w:val="标题 5 Char"/>
    <w:basedOn w:val="929"/>
    <w:uiPriority w:val="9"/>
    <w:semiHidden/>
    <w:qFormat/>
    <w:rPr>
      <w:rFonts w:ascii="Times New Roman" w:hAnsi="Times New Roman" w:eastAsia="宋体" w:cs="Times New Roman"/>
      <w:b/>
      <w:bCs/>
      <w:sz w:val="28"/>
      <w:szCs w:val="28"/>
    </w:rPr>
  </w:style>
  <w:style w:type="character" w:styleId="1169" w:customStyle="1">
    <w:name w:val="标题 6 Char"/>
    <w:basedOn w:val="929"/>
    <w:uiPriority w:val="9"/>
    <w:semiHidden/>
    <w:qFormat/>
    <w:rPr>
      <w:rFonts w:asciiTheme="majorHAnsi" w:hAnsiTheme="majorHAnsi" w:eastAsiaTheme="majorEastAsia" w:cstheme="majorBidi"/>
      <w:b/>
      <w:bCs/>
      <w:sz w:val="24"/>
      <w:szCs w:val="24"/>
    </w:rPr>
  </w:style>
  <w:style w:type="character" w:styleId="1170" w:customStyle="1">
    <w:name w:val="标题 7 Char"/>
    <w:basedOn w:val="929"/>
    <w:uiPriority w:val="9"/>
    <w:semiHidden/>
    <w:qFormat/>
    <w:rPr>
      <w:rFonts w:ascii="Times New Roman" w:hAnsi="Times New Roman" w:eastAsia="宋体" w:cs="Times New Roman"/>
      <w:b/>
      <w:bCs/>
      <w:sz w:val="24"/>
      <w:szCs w:val="24"/>
    </w:rPr>
  </w:style>
  <w:style w:type="character" w:styleId="1171" w:customStyle="1">
    <w:name w:val="标题 8 Char"/>
    <w:basedOn w:val="929"/>
    <w:uiPriority w:val="9"/>
    <w:semiHidden/>
    <w:qFormat/>
    <w:rPr>
      <w:rFonts w:asciiTheme="majorHAnsi" w:hAnsiTheme="majorHAnsi" w:eastAsiaTheme="majorEastAsia" w:cstheme="majorBidi"/>
      <w:sz w:val="24"/>
      <w:szCs w:val="24"/>
    </w:rPr>
  </w:style>
  <w:style w:type="character" w:styleId="1172" w:customStyle="1">
    <w:name w:val="标题 9 Char"/>
    <w:basedOn w:val="929"/>
    <w:uiPriority w:val="9"/>
    <w:semiHidden/>
    <w:qFormat/>
    <w:rPr>
      <w:rFonts w:asciiTheme="majorHAnsi" w:hAnsiTheme="majorHAnsi" w:eastAsiaTheme="majorEastAsia" w:cstheme="majorBidi"/>
      <w:szCs w:val="21"/>
    </w:rPr>
  </w:style>
  <w:style w:type="paragraph" w:styleId="1173" w:customStyle="1">
    <w:name w:val="_Style 31"/>
    <w:basedOn w:val="919"/>
    <w:next w:val="1160"/>
    <w:uiPriority w:val="34"/>
    <w:qFormat/>
    <w:pPr>
      <w:ind w:firstLine="420"/>
    </w:pPr>
    <w:rPr>
      <w:rFonts w:ascii="Calibri" w:hAnsi="Calibri"/>
      <w:szCs w:val="22"/>
    </w:rPr>
  </w:style>
  <w:style w:type="character" w:styleId="1174" w:customStyle="1">
    <w:name w:val="style31"/>
    <w:qFormat/>
    <w:rPr>
      <w:sz w:val="21"/>
      <w:szCs w:val="21"/>
    </w:rPr>
  </w:style>
  <w:style w:type="character" w:styleId="1175" w:customStyle="1">
    <w:name w:val="页脚 字符"/>
    <w:uiPriority w:val="99"/>
    <w:qFormat/>
    <w:rPr>
      <w:sz w:val="18"/>
    </w:rPr>
  </w:style>
  <w:style w:type="character" w:styleId="1176" w:customStyle="1">
    <w:name w:val="正文文本缩进 Char4"/>
    <w:qFormat/>
    <w:rPr>
      <w:rFonts w:ascii="楷体_GB2312" w:eastAsia="楷体_GB2312"/>
      <w:sz w:val="32"/>
    </w:rPr>
  </w:style>
  <w:style w:type="character" w:styleId="1177" w:customStyle="1">
    <w:name w:val="普通文字 Char Char Char"/>
    <w:qFormat/>
    <w:rPr>
      <w:rFonts w:ascii="宋体" w:hAnsi="Courier New" w:eastAsia="宋体" w:cs="Courier New"/>
      <w:sz w:val="21"/>
      <w:szCs w:val="21"/>
      <w:lang w:val="en-US" w:eastAsia="zh-CN" w:bidi="ar-SA"/>
    </w:rPr>
  </w:style>
  <w:style w:type="character" w:styleId="1178" w:customStyle="1">
    <w:name w:val="段落 Char1"/>
    <w:link w:val="1179"/>
    <w:qFormat/>
    <w:rPr>
      <w:rFonts w:eastAsia="仿宋_GB2312"/>
      <w:sz w:val="24"/>
      <w:szCs w:val="24"/>
    </w:rPr>
  </w:style>
  <w:style w:type="paragraph" w:styleId="1179" w:customStyle="1">
    <w:name w:val="段落"/>
    <w:link w:val="1178"/>
    <w:qFormat/>
    <w:pPr>
      <w:ind w:firstLine="420"/>
      <w:jc w:val="both"/>
      <w:spacing w:before="120" w:after="120" w:line="360" w:lineRule="auto"/>
    </w:pPr>
    <w:rPr>
      <w:rFonts w:eastAsia="仿宋_GB2312" w:asciiTheme="minorHAnsi" w:hAnsiTheme="minorHAnsi" w:cstheme="minorBidi"/>
      <w:sz w:val="24"/>
      <w:szCs w:val="24"/>
    </w:rPr>
  </w:style>
  <w:style w:type="character" w:styleId="1180" w:customStyle="1">
    <w:name w:val="标题 6 字符"/>
    <w:link w:val="925"/>
    <w:qFormat/>
    <w:rPr>
      <w:rFonts w:ascii="Arial" w:hAnsi="Arial" w:eastAsia="黑体" w:cs="Times New Roman"/>
      <w:b/>
      <w:spacing w:val="-2"/>
      <w:position w:val="-6"/>
      <w:sz w:val="24"/>
      <w:szCs w:val="20"/>
    </w:rPr>
  </w:style>
  <w:style w:type="character" w:styleId="1181" w:customStyle="1">
    <w:name w:val="批注框文本 Char4"/>
    <w:qFormat/>
    <w:rPr>
      <w:sz w:val="18"/>
      <w:szCs w:val="18"/>
    </w:rPr>
  </w:style>
  <w:style w:type="character" w:styleId="1182" w:customStyle="1">
    <w:name w:val="标题 9 字符"/>
    <w:link w:val="928"/>
    <w:qFormat/>
    <w:rPr>
      <w:rFonts w:ascii="Arial" w:hAnsi="Arial" w:eastAsia="黑体" w:cs="Times New Roman"/>
      <w:spacing w:val="-2"/>
      <w:position w:val="-6"/>
      <w:sz w:val="28"/>
      <w:szCs w:val="20"/>
    </w:rPr>
  </w:style>
  <w:style w:type="character" w:styleId="1183" w:customStyle="1">
    <w:name w:val="纯文本 Char3"/>
    <w:qFormat/>
    <w:rPr>
      <w:rFonts w:ascii="宋体" w:hAnsi="Courier New" w:cs="Courier New"/>
      <w:szCs w:val="21"/>
    </w:rPr>
  </w:style>
  <w:style w:type="character" w:styleId="1184" w:customStyle="1">
    <w:name w:val="_正文段落 Char Char"/>
    <w:link w:val="1185"/>
    <w:qFormat/>
    <w:rPr>
      <w:rFonts w:ascii="宋体" w:hAnsi="宋体"/>
      <w:sz w:val="24"/>
      <w:szCs w:val="28"/>
    </w:rPr>
  </w:style>
  <w:style w:type="paragraph" w:styleId="1185" w:customStyle="1">
    <w:name w:val="_正文段落"/>
    <w:basedOn w:val="919"/>
    <w:link w:val="1184"/>
    <w:qFormat/>
    <w:pPr>
      <w:ind w:firstLine="480"/>
      <w:spacing w:line="360" w:lineRule="auto"/>
    </w:pPr>
    <w:rPr>
      <w:rFonts w:ascii="宋体" w:hAnsi="宋体" w:eastAsiaTheme="minorEastAsia" w:cstheme="minorBidi"/>
      <w:sz w:val="24"/>
      <w:szCs w:val="28"/>
    </w:rPr>
  </w:style>
  <w:style w:type="character" w:styleId="1186" w:customStyle="1">
    <w:name w:val="正文文本 Char4"/>
    <w:qFormat/>
    <w:rPr>
      <w:rFonts w:ascii="楷体_GB2312" w:hAnsi="Arial" w:eastAsia="楷体_GB2312"/>
      <w:sz w:val="28"/>
    </w:rPr>
  </w:style>
  <w:style w:type="character" w:styleId="1187" w:customStyle="1">
    <w:name w:val="标题 8 字符"/>
    <w:link w:val="927"/>
    <w:qFormat/>
    <w:rPr>
      <w:rFonts w:ascii="Arial" w:hAnsi="Arial" w:eastAsia="黑体" w:cs="Times New Roman"/>
      <w:spacing w:val="-2"/>
      <w:position w:val="-6"/>
      <w:sz w:val="24"/>
      <w:szCs w:val="20"/>
    </w:rPr>
  </w:style>
  <w:style w:type="character" w:styleId="1188" w:customStyle="1">
    <w:name w:val="标题 7 字符"/>
    <w:link w:val="926"/>
    <w:qFormat/>
    <w:rPr>
      <w:rFonts w:ascii="宋体" w:hAnsi="Times New Roman" w:eastAsia="宋体" w:cs="Times New Roman"/>
      <w:b/>
      <w:spacing w:val="-2"/>
      <w:position w:val="-6"/>
      <w:sz w:val="24"/>
      <w:szCs w:val="20"/>
    </w:rPr>
  </w:style>
  <w:style w:type="character" w:styleId="1189" w:customStyle="1">
    <w:name w:val="标题 1 字符"/>
    <w:link w:val="920"/>
    <w:qFormat/>
    <w:rPr>
      <w:rFonts w:ascii="楷体_GB2312" w:hAnsi="Times New Roman" w:eastAsia="楷体_GB2312" w:cs="Times New Roman"/>
      <w:sz w:val="28"/>
      <w:szCs w:val="20"/>
    </w:rPr>
  </w:style>
  <w:style w:type="character" w:styleId="1190" w:customStyle="1">
    <w:name w:val="正文缩进 字符"/>
    <w:link w:val="1085"/>
    <w:qFormat/>
    <w:rPr>
      <w:rFonts w:ascii="Times New Roman" w:hAnsi="Times New Roman" w:eastAsia="宋体" w:cs="Times New Roman"/>
      <w:szCs w:val="24"/>
    </w:rPr>
  </w:style>
  <w:style w:type="character" w:styleId="1191" w:customStyle="1">
    <w:name w:val="标题 2 字符"/>
    <w:qFormat/>
    <w:rPr>
      <w:rFonts w:ascii="幼圆" w:hAnsi="Arial" w:eastAsia="楷体_GB2312"/>
      <w:b/>
      <w:sz w:val="44"/>
    </w:rPr>
  </w:style>
  <w:style w:type="character" w:styleId="1192" w:customStyle="1">
    <w:name w:val="标题 3 字符2"/>
    <w:link w:val="922"/>
    <w:qFormat/>
    <w:rPr>
      <w:rFonts w:ascii="Times New Roman" w:hAnsi="Times New Roman" w:eastAsia="宋体" w:cs="Times New Roman"/>
      <w:b/>
      <w:sz w:val="32"/>
      <w:szCs w:val="20"/>
    </w:rPr>
  </w:style>
  <w:style w:type="character" w:styleId="1193" w:customStyle="1">
    <w:name w:val="标题 4 字符"/>
    <w:link w:val="923"/>
    <w:qFormat/>
    <w:rPr>
      <w:rFonts w:ascii="Arial" w:hAnsi="Arial" w:eastAsia="黑体" w:cs="Times New Roman"/>
      <w:b/>
      <w:bCs/>
      <w:sz w:val="28"/>
      <w:szCs w:val="28"/>
    </w:rPr>
  </w:style>
  <w:style w:type="character" w:styleId="1194" w:customStyle="1">
    <w:name w:val="标题 5 字符"/>
    <w:link w:val="924"/>
    <w:qFormat/>
    <w:rPr>
      <w:rFonts w:ascii="宋体" w:hAnsi="Times New Roman" w:eastAsia="宋体" w:cs="Times New Roman"/>
      <w:b/>
      <w:spacing w:val="-2"/>
      <w:position w:val="-6"/>
      <w:sz w:val="28"/>
      <w:szCs w:val="20"/>
    </w:rPr>
  </w:style>
  <w:style w:type="character" w:styleId="1195" w:customStyle="1">
    <w:name w:val="font"/>
    <w:basedOn w:val="929"/>
    <w:qFormat/>
  </w:style>
  <w:style w:type="character" w:styleId="1196" w:customStyle="1">
    <w:name w:val="pt9-hui-line201"/>
    <w:qFormat/>
    <w:rPr>
      <w:color w:val="333333"/>
      <w:spacing w:val="300"/>
      <w:sz w:val="18"/>
      <w:szCs w:val="18"/>
      <w:u w:val="none"/>
    </w:rPr>
  </w:style>
  <w:style w:type="character" w:styleId="1197" w:customStyle="1">
    <w:name w:val="正文文本缩进 2 Char4"/>
    <w:qFormat/>
    <w:rPr>
      <w:rFonts w:ascii="楷体_GB2312" w:eastAsia="楷体_GB2312"/>
      <w:sz w:val="28"/>
      <w:szCs w:val="28"/>
    </w:rPr>
  </w:style>
  <w:style w:type="character" w:styleId="1198" w:customStyle="1">
    <w:name w:val="批注主题 Char4"/>
    <w:uiPriority w:val="99"/>
    <w:qFormat/>
    <w:rPr>
      <w:rFonts w:ascii="Calibri" w:hAnsi="Calibri"/>
      <w:b/>
      <w:bCs/>
    </w:rPr>
  </w:style>
  <w:style w:type="character" w:styleId="1199" w:customStyle="1">
    <w:name w:val="批注文字 Char4"/>
    <w:uiPriority w:val="99"/>
    <w:qFormat/>
    <w:rPr>
      <w:rFonts w:ascii="Calibri" w:hAnsi="Calibri"/>
    </w:rPr>
  </w:style>
  <w:style w:type="character" w:styleId="1200" w:customStyle="1">
    <w:name w:val="样式 正文文本缩进 + 左  0 字符 Char Char"/>
    <w:link w:val="1201"/>
    <w:qFormat/>
    <w:rPr>
      <w:rFonts w:cs="宋体"/>
      <w:sz w:val="24"/>
    </w:rPr>
  </w:style>
  <w:style w:type="paragraph" w:styleId="1201" w:customStyle="1">
    <w:name w:val="样式 正文文本缩进 + 左  0 字符"/>
    <w:basedOn w:val="1101"/>
    <w:link w:val="1200"/>
    <w:qFormat/>
    <w:pPr>
      <w:ind w:firstLine="250"/>
      <w:spacing w:line="360" w:lineRule="auto"/>
    </w:pPr>
    <w:rPr>
      <w:rFonts w:cs="宋体" w:asciiTheme="minorHAnsi" w:eastAsiaTheme="minorEastAsia"/>
      <w:sz w:val="24"/>
    </w:rPr>
  </w:style>
  <w:style w:type="character" w:styleId="1202" w:customStyle="1">
    <w:name w:val="带缩进的正文 Char Char"/>
    <w:link w:val="1203"/>
    <w:qFormat/>
    <w:rPr>
      <w:rFonts w:ascii="Calibri" w:hAnsi="Calibri"/>
      <w:sz w:val="24"/>
    </w:rPr>
  </w:style>
  <w:style w:type="paragraph" w:styleId="1203" w:customStyle="1">
    <w:name w:val="带缩进的正文"/>
    <w:basedOn w:val="919"/>
    <w:link w:val="1202"/>
    <w:qFormat/>
    <w:pPr>
      <w:ind w:firstLine="480"/>
      <w:spacing w:line="360" w:lineRule="auto"/>
    </w:pPr>
    <w:rPr>
      <w:rFonts w:ascii="Calibri" w:hAnsi="Calibri" w:eastAsiaTheme="minorEastAsia" w:cstheme="minorBidi"/>
      <w:sz w:val="24"/>
      <w:szCs w:val="22"/>
    </w:rPr>
  </w:style>
  <w:style w:type="character" w:styleId="1204" w:customStyle="1">
    <w:name w:val="bodybold1"/>
    <w:qFormat/>
    <w:rPr>
      <w:rFonts w:hint="default" w:ascii="Taipei" w:hAnsi="Taipei"/>
      <w:b/>
      <w:bCs/>
      <w:color w:val="0066ff"/>
      <w:sz w:val="26"/>
      <w:szCs w:val="26"/>
      <w:u w:val="none"/>
    </w:rPr>
  </w:style>
  <w:style w:type="character" w:styleId="1205" w:customStyle="1">
    <w:name w:val="flname8"/>
    <w:basedOn w:val="929"/>
    <w:qFormat/>
  </w:style>
  <w:style w:type="character" w:styleId="1206" w:customStyle="1">
    <w:name w:val="正文（首行缩进两字） Char Char"/>
    <w:qFormat/>
    <w:rPr>
      <w:rFonts w:eastAsia="宋体"/>
      <w:sz w:val="24"/>
      <w:lang w:val="en-US" w:eastAsia="zh-CN" w:bidi="ar-SA"/>
    </w:rPr>
  </w:style>
  <w:style w:type="character" w:styleId="1207" w:customStyle="1">
    <w:name w:val="标题 3 Char Char"/>
    <w:qFormat/>
    <w:rPr>
      <w:rFonts w:eastAsia="宋体"/>
      <w:b/>
      <w:sz w:val="32"/>
      <w:lang w:val="en-US" w:eastAsia="zh-CN" w:bidi="ar-SA"/>
    </w:rPr>
  </w:style>
  <w:style w:type="character" w:styleId="1208" w:customStyle="1">
    <w:name w:val="样式6 Char Char"/>
    <w:link w:val="1209"/>
    <w:qFormat/>
    <w:rPr>
      <w:rFonts w:ascii="宋体" w:hAnsi="宋体"/>
      <w:sz w:val="28"/>
      <w:szCs w:val="28"/>
    </w:rPr>
  </w:style>
  <w:style w:type="paragraph" w:styleId="1209" w:customStyle="1">
    <w:name w:val="样式6"/>
    <w:basedOn w:val="919"/>
    <w:link w:val="1208"/>
    <w:qFormat/>
    <w:pPr>
      <w:ind w:left="980" w:hanging="420"/>
      <w:spacing w:line="360" w:lineRule="auto"/>
    </w:pPr>
    <w:rPr>
      <w:rFonts w:ascii="宋体" w:hAnsi="宋体" w:eastAsiaTheme="minorEastAsia" w:cstheme="minorBidi"/>
      <w:sz w:val="28"/>
      <w:szCs w:val="28"/>
    </w:rPr>
  </w:style>
  <w:style w:type="character" w:styleId="1210" w:customStyle="1">
    <w:name w:val="页眉 字符"/>
    <w:uiPriority w:val="99"/>
    <w:qFormat/>
    <w:rPr>
      <w:sz w:val="18"/>
      <w:szCs w:val="18"/>
    </w:rPr>
  </w:style>
  <w:style w:type="character" w:styleId="1211" w:customStyle="1">
    <w:name w:val="WW8Num11z1"/>
    <w:qFormat/>
    <w:rPr>
      <w:rFonts w:ascii="Wingdings" w:hAnsi="Wingdings"/>
    </w:rPr>
  </w:style>
  <w:style w:type="character" w:styleId="1212" w:customStyle="1">
    <w:name w:val="样式 正文缩进 + 首行缩进:  2 字符 Char Char"/>
    <w:link w:val="1213"/>
    <w:qFormat/>
    <w:rPr>
      <w:rFonts w:cs="宋体"/>
      <w:sz w:val="24"/>
    </w:rPr>
  </w:style>
  <w:style w:type="paragraph" w:styleId="1213" w:customStyle="1">
    <w:name w:val="样式 正文缩进 + 首行缩进:  2 字符"/>
    <w:basedOn w:val="1085"/>
    <w:link w:val="1212"/>
    <w:qFormat/>
    <w:pPr>
      <w:ind w:firstLine="200"/>
      <w:spacing w:line="360" w:lineRule="auto"/>
    </w:pPr>
    <w:rPr>
      <w:rFonts w:cs="宋体" w:asciiTheme="minorHAnsi" w:hAnsiTheme="minorHAnsi" w:eastAsiaTheme="minorEastAsia"/>
      <w:sz w:val="24"/>
      <w:szCs w:val="22"/>
    </w:rPr>
  </w:style>
  <w:style w:type="character" w:styleId="1214" w:customStyle="1">
    <w:name w:val="彩色网格 - 强调文字颜色 1 Char"/>
    <w:link w:val="1215"/>
    <w:qFormat/>
    <w:rPr>
      <w:rFonts w:eastAsia="方正仿宋_GBK"/>
      <w:i/>
      <w:iCs/>
      <w:color w:val="000000"/>
      <w:szCs w:val="24"/>
    </w:rPr>
  </w:style>
  <w:style w:type="paragraph" w:styleId="1215" w:customStyle="1">
    <w:name w:val="彩色网格 - 强调文字颜色 11"/>
    <w:basedOn w:val="919"/>
    <w:next w:val="919"/>
    <w:link w:val="1214"/>
    <w:qFormat/>
    <w:pPr>
      <w:ind w:firstLine="560"/>
      <w:spacing w:line="360" w:lineRule="auto"/>
    </w:pPr>
    <w:rPr>
      <w:rFonts w:eastAsia="方正仿宋_GBK" w:asciiTheme="minorHAnsi" w:hAnsiTheme="minorHAnsi" w:cstheme="minorBidi"/>
      <w:i/>
      <w:iCs/>
      <w:color w:val="000000"/>
    </w:rPr>
  </w:style>
  <w:style w:type="character" w:styleId="1216" w:customStyle="1">
    <w:name w:val="文档结构图 Char3"/>
    <w:uiPriority w:val="99"/>
    <w:qFormat/>
    <w:rPr>
      <w:rFonts w:ascii="宋体"/>
      <w:sz w:val="18"/>
      <w:szCs w:val="18"/>
    </w:rPr>
  </w:style>
  <w:style w:type="character" w:styleId="1217" w:customStyle="1">
    <w:name w:val="正文首行缩进 2 Char3"/>
    <w:semiHidden/>
    <w:qFormat/>
    <w:rPr>
      <w:rFonts w:ascii="Arial" w:hAnsi="Arial" w:eastAsia="方正仿宋_GBK" w:cs="Arial"/>
      <w:szCs w:val="24"/>
    </w:rPr>
  </w:style>
  <w:style w:type="character" w:styleId="1218" w:customStyle="1">
    <w:name w:val="样式7 Char Char"/>
    <w:link w:val="1219"/>
    <w:qFormat/>
    <w:rPr>
      <w:rFonts w:ascii="宋体" w:hAnsi="宋体"/>
      <w:sz w:val="28"/>
      <w:szCs w:val="28"/>
    </w:rPr>
  </w:style>
  <w:style w:type="paragraph" w:styleId="1219" w:customStyle="1">
    <w:name w:val="样式7"/>
    <w:basedOn w:val="919"/>
    <w:link w:val="1218"/>
    <w:qFormat/>
    <w:pPr>
      <w:ind w:left="980" w:hanging="420"/>
      <w:spacing w:line="360" w:lineRule="auto"/>
    </w:pPr>
    <w:rPr>
      <w:rFonts w:ascii="宋体" w:hAnsi="宋体" w:eastAsiaTheme="minorEastAsia" w:cstheme="minorBidi"/>
      <w:sz w:val="28"/>
      <w:szCs w:val="28"/>
    </w:rPr>
  </w:style>
  <w:style w:type="character" w:styleId="1220" w:customStyle="1">
    <w:name w:val="WW-Absatz-Standardschriftart11"/>
    <w:qFormat/>
  </w:style>
  <w:style w:type="character" w:styleId="1221" w:customStyle="1">
    <w:name w:val="正文文本 3 Char3"/>
    <w:qFormat/>
    <w:rPr>
      <w:rFonts w:ascii="仿宋_GB2312" w:hAnsi="Arial" w:eastAsia="仿宋_GB2312"/>
      <w:sz w:val="32"/>
    </w:rPr>
  </w:style>
  <w:style w:type="character" w:styleId="1222" w:customStyle="1">
    <w:name w:val="WW8Num34z2"/>
    <w:qFormat/>
    <w:rPr>
      <w:rFonts w:ascii="StarSymbol" w:hAnsi="StarSymbol" w:cs="StarSymbol"/>
      <w:sz w:val="18"/>
      <w:szCs w:val="18"/>
    </w:rPr>
  </w:style>
  <w:style w:type="character" w:styleId="1223" w:customStyle="1">
    <w:name w:val="日期 Char4"/>
    <w:qFormat/>
    <w:rPr>
      <w:rFonts w:ascii="仿宋_GB2312" w:eastAsia="仿宋_GB2312"/>
      <w:b/>
      <w:sz w:val="36"/>
      <w:szCs w:val="24"/>
    </w:rPr>
  </w:style>
  <w:style w:type="character" w:styleId="1224" w:customStyle="1">
    <w:name w:val="正文文本缩进 3 字符1"/>
    <w:uiPriority w:val="99"/>
    <w:qFormat/>
    <w:rPr>
      <w:rFonts w:ascii="宋体" w:hAnsi="Times New Roman" w:eastAsia="方正仿宋_GBK" w:cs="Times New Roman"/>
      <w:sz w:val="16"/>
      <w:szCs w:val="16"/>
    </w:rPr>
  </w:style>
  <w:style w:type="character" w:styleId="1225" w:customStyle="1">
    <w:name w:val="正文文本缩进 3 Char3"/>
    <w:qFormat/>
    <w:rPr>
      <w:rFonts w:ascii="宋体" w:hAnsi="Arial" w:eastAsia="宋体"/>
      <w:sz w:val="36"/>
    </w:rPr>
  </w:style>
  <w:style w:type="character" w:styleId="1226" w:customStyle="1">
    <w:name w:val="WW8Num6z1"/>
    <w:qFormat/>
    <w:rPr>
      <w:rFonts w:ascii="Wingdings" w:hAnsi="Wingdings"/>
    </w:rPr>
  </w:style>
  <w:style w:type="character" w:styleId="1227" w:customStyle="1">
    <w:name w:val="正文文本 2 Char3"/>
    <w:qFormat/>
    <w:rPr>
      <w:szCs w:val="24"/>
    </w:rPr>
  </w:style>
  <w:style w:type="character" w:styleId="1228" w:customStyle="1">
    <w:name w:val="WW8Num32z2"/>
    <w:qFormat/>
    <w:rPr>
      <w:rFonts w:ascii="StarSymbol" w:hAnsi="StarSymbol" w:cs="StarSymbol"/>
      <w:sz w:val="18"/>
      <w:szCs w:val="18"/>
    </w:rPr>
  </w:style>
  <w:style w:type="character" w:styleId="1229" w:customStyle="1">
    <w:name w:val="列表段落 字符1"/>
    <w:uiPriority w:val="34"/>
    <w:qFormat/>
    <w:rPr>
      <w:rFonts w:ascii="Calibri" w:hAnsi="Calibri"/>
      <w:sz w:val="21"/>
      <w:szCs w:val="22"/>
    </w:rPr>
  </w:style>
  <w:style w:type="character" w:styleId="1230" w:customStyle="1">
    <w:name w:val="WW8Num28z0"/>
    <w:qFormat/>
    <w:rPr>
      <w:rFonts w:ascii="Wingdings" w:hAnsi="Wingdings" w:cs="StarSymbol"/>
      <w:sz w:val="18"/>
      <w:szCs w:val="18"/>
    </w:rPr>
  </w:style>
  <w:style w:type="character" w:styleId="1231" w:customStyle="1">
    <w:name w:val="WW8Num2z2"/>
    <w:qFormat/>
    <w:rPr>
      <w:rFonts w:ascii="StarSymbol" w:hAnsi="StarSymbol" w:cs="StarSymbol"/>
      <w:sz w:val="18"/>
      <w:szCs w:val="18"/>
    </w:rPr>
  </w:style>
  <w:style w:type="character" w:styleId="1232" w:customStyle="1">
    <w:name w:val="apple-converted-space"/>
    <w:basedOn w:val="929"/>
    <w:qFormat/>
  </w:style>
  <w:style w:type="character" w:styleId="1233" w:customStyle="1">
    <w:name w:val="WW8Num35z2"/>
    <w:qFormat/>
    <w:rPr>
      <w:rFonts w:ascii="StarSymbol" w:hAnsi="StarSymbol" w:cs="StarSymbol"/>
      <w:sz w:val="18"/>
      <w:szCs w:val="18"/>
    </w:rPr>
  </w:style>
  <w:style w:type="character" w:styleId="1234" w:customStyle="1">
    <w:name w:val="标题 Char3"/>
    <w:uiPriority w:val="10"/>
    <w:qFormat/>
    <w:rPr>
      <w:rFonts w:ascii="Cambria" w:hAnsi="Cambria"/>
      <w:b/>
      <w:bCs/>
      <w:sz w:val="32"/>
      <w:szCs w:val="32"/>
    </w:rPr>
  </w:style>
  <w:style w:type="character" w:styleId="1235" w:customStyle="1">
    <w:name w:val="WW8Num10z0"/>
    <w:qFormat/>
    <w:rPr>
      <w:rFonts w:ascii="Wingdings" w:hAnsi="Wingdings" w:cs="StarSymbol"/>
      <w:sz w:val="18"/>
      <w:szCs w:val="18"/>
    </w:rPr>
  </w:style>
  <w:style w:type="character" w:styleId="1236" w:customStyle="1">
    <w:name w:val="正文首行缩进 Char5"/>
    <w:semiHidden/>
    <w:qFormat/>
    <w:rPr>
      <w:rFonts w:ascii="Arial" w:hAnsi="Arial"/>
      <w:szCs w:val="21"/>
    </w:rPr>
  </w:style>
  <w:style w:type="character" w:styleId="1237" w:customStyle="1">
    <w:name w:val="WW8Num32z0"/>
    <w:qFormat/>
    <w:rPr>
      <w:rFonts w:ascii="Wingdings" w:hAnsi="Wingdings" w:cs="StarSymbol"/>
      <w:sz w:val="18"/>
      <w:szCs w:val="18"/>
    </w:rPr>
  </w:style>
  <w:style w:type="character" w:styleId="1238" w:customStyle="1">
    <w:name w:val="正文首行缩进 Char1"/>
    <w:qFormat/>
    <w:rPr>
      <w:rFonts w:ascii="Times New Roman" w:hAnsi="Times New Roman" w:eastAsia="宋体" w:cs="Times New Roman"/>
      <w:szCs w:val="24"/>
    </w:rPr>
  </w:style>
  <w:style w:type="character" w:styleId="1239" w:customStyle="1">
    <w:name w:val="标题 3 字符1"/>
    <w:qFormat/>
    <w:rPr>
      <w:rFonts w:ascii="仿宋" w:eastAsia="仿宋"/>
      <w:b/>
      <w:sz w:val="32"/>
      <w:szCs w:val="32"/>
    </w:rPr>
  </w:style>
  <w:style w:type="character" w:styleId="1240" w:customStyle="1">
    <w:name w:val="正文首行缩进 Char2"/>
    <w:qFormat/>
    <w:rPr>
      <w:rFonts w:ascii="楷体_GB2312" w:hAnsi="Arial" w:eastAsia="楷体_GB2312"/>
      <w:sz w:val="21"/>
      <w:szCs w:val="24"/>
    </w:rPr>
  </w:style>
  <w:style w:type="character" w:styleId="1241" w:customStyle="1">
    <w:name w:val="正文文本 2 字符1"/>
    <w:uiPriority w:val="99"/>
    <w:semiHidden/>
    <w:qFormat/>
    <w:rPr>
      <w:rFonts w:ascii="Times New Roman" w:hAnsi="Times New Roman" w:eastAsia="方正仿宋_GBK" w:cs="Times New Roman"/>
      <w:sz w:val="24"/>
      <w:szCs w:val="24"/>
    </w:rPr>
  </w:style>
  <w:style w:type="character" w:styleId="1242" w:customStyle="1">
    <w:name w:val="Table Heading Char1"/>
    <w:link w:val="1243"/>
    <w:qFormat/>
    <w:rPr>
      <w:rFonts w:ascii="Book Antiqua" w:hAnsi="Book Antiqua" w:eastAsia="黑体" w:cs="Book Antiqua"/>
      <w:bCs/>
      <w:szCs w:val="21"/>
    </w:rPr>
  </w:style>
  <w:style w:type="paragraph" w:styleId="1243" w:customStyle="1">
    <w:name w:val="Table Heading"/>
    <w:basedOn w:val="919"/>
    <w:link w:val="1242"/>
    <w:qFormat/>
    <w:pPr>
      <w:jc w:val="left"/>
      <w:keepNext/>
      <w:spacing w:before="80" w:after="80" w:line="240" w:lineRule="atLeast"/>
    </w:pPr>
    <w:rPr>
      <w:rFonts w:ascii="Book Antiqua" w:hAnsi="Book Antiqua" w:eastAsia="黑体" w:cs="Book Antiqua"/>
      <w:bCs/>
      <w:szCs w:val="21"/>
    </w:rPr>
  </w:style>
  <w:style w:type="character" w:styleId="1244" w:customStyle="1">
    <w:name w:val="二级采标题 字符"/>
    <w:link w:val="1245"/>
    <w:qFormat/>
    <w:rPr>
      <w:rFonts w:ascii="Calibri" w:hAnsi="Calibri"/>
    </w:rPr>
  </w:style>
  <w:style w:type="paragraph" w:styleId="1245" w:customStyle="1">
    <w:name w:val="二级采标题"/>
    <w:next w:val="1246"/>
    <w:link w:val="1244"/>
    <w:qFormat/>
    <w:pPr>
      <w:ind w:left="1134" w:hanging="1134"/>
    </w:pPr>
    <w:rPr>
      <w:rFonts w:ascii="Calibri" w:hAnsi="Calibri" w:eastAsiaTheme="minorEastAsia" w:cstheme="minorBidi"/>
      <w:sz w:val="21"/>
      <w:szCs w:val="22"/>
    </w:rPr>
  </w:style>
  <w:style w:type="paragraph" w:styleId="1246" w:customStyle="1">
    <w:name w:val="段"/>
    <w:qFormat/>
    <w:pPr>
      <w:ind w:firstLine="200"/>
      <w:jc w:val="both"/>
    </w:pPr>
    <w:rPr>
      <w:rFonts w:ascii="宋体"/>
      <w:sz w:val="21"/>
    </w:rPr>
  </w:style>
  <w:style w:type="character" w:styleId="1247" w:customStyle="1">
    <w:name w:val="Table Text Char"/>
    <w:link w:val="1248"/>
    <w:qFormat/>
    <w:rPr>
      <w:rFonts w:cs="Arial"/>
      <w:szCs w:val="21"/>
    </w:rPr>
  </w:style>
  <w:style w:type="paragraph" w:styleId="1248" w:customStyle="1">
    <w:name w:val="Table Text"/>
    <w:basedOn w:val="919"/>
    <w:link w:val="1247"/>
    <w:qFormat/>
    <w:pPr>
      <w:jc w:val="left"/>
      <w:spacing w:before="80" w:after="80" w:line="240" w:lineRule="atLeast"/>
    </w:pPr>
    <w:rPr>
      <w:rFonts w:cs="Arial" w:asciiTheme="minorHAnsi" w:hAnsiTheme="minorHAnsi" w:eastAsiaTheme="minorEastAsia"/>
      <w:szCs w:val="21"/>
    </w:rPr>
  </w:style>
  <w:style w:type="character" w:styleId="1249" w:customStyle="1">
    <w:name w:val="WW8Num28z2"/>
    <w:qFormat/>
    <w:rPr>
      <w:rFonts w:ascii="StarSymbol" w:hAnsi="StarSymbol" w:cs="StarSymbol"/>
      <w:sz w:val="18"/>
      <w:szCs w:val="18"/>
    </w:rPr>
  </w:style>
  <w:style w:type="character" w:styleId="1250" w:customStyle="1">
    <w:name w:val="标题2 Char"/>
    <w:link w:val="1251"/>
    <w:qFormat/>
    <w:rPr>
      <w:rFonts w:ascii="宋体" w:hAnsi="宋体"/>
      <w:b/>
      <w:bCs/>
      <w:sz w:val="28"/>
      <w:szCs w:val="28"/>
    </w:rPr>
  </w:style>
  <w:style w:type="paragraph" w:styleId="1251" w:customStyle="1">
    <w:name w:val="标题2"/>
    <w:basedOn w:val="921"/>
    <w:next w:val="919"/>
    <w:link w:val="1250"/>
    <w:qFormat/>
    <w:pPr>
      <w:ind w:left="425"/>
      <w:jc w:val="left"/>
      <w:spacing w:before="0" w:after="0"/>
    </w:pPr>
    <w:rPr>
      <w:rFonts w:eastAsiaTheme="minorEastAsia" w:cstheme="minorBidi"/>
      <w:bCs/>
      <w:sz w:val="28"/>
      <w:szCs w:val="28"/>
    </w:rPr>
  </w:style>
  <w:style w:type="character" w:styleId="1252" w:customStyle="1">
    <w:name w:val="WW8Num17z1"/>
    <w:qFormat/>
    <w:rPr>
      <w:rFonts w:ascii="Wingdings 2" w:hAnsi="Wingdings 2" w:cs="StarSymbol"/>
      <w:sz w:val="18"/>
      <w:szCs w:val="18"/>
    </w:rPr>
  </w:style>
  <w:style w:type="character" w:styleId="1253" w:customStyle="1">
    <w:name w:val="font01"/>
    <w:qFormat/>
    <w:rPr>
      <w:rFonts w:hint="eastAsia" w:ascii="楷体" w:hAnsi="楷体" w:eastAsia="楷体" w:cs="楷体"/>
      <w:color w:val="ff0000"/>
      <w:sz w:val="22"/>
      <w:szCs w:val="22"/>
      <w:u w:val="none"/>
    </w:rPr>
  </w:style>
  <w:style w:type="character" w:styleId="1254" w:customStyle="1">
    <w:name w:val="WW8Num23z0"/>
    <w:qFormat/>
    <w:rPr>
      <w:rFonts w:ascii="Wingdings" w:hAnsi="Wingdings" w:cs="StarSymbol"/>
      <w:sz w:val="18"/>
      <w:szCs w:val="18"/>
    </w:rPr>
  </w:style>
  <w:style w:type="character" w:styleId="1255" w:customStyle="1">
    <w:name w:val="font21"/>
    <w:qFormat/>
    <w:rPr>
      <w:rFonts w:hint="eastAsia" w:ascii="楷体" w:hAnsi="楷体" w:eastAsia="楷体" w:cs="楷体"/>
      <w:color w:val="000000"/>
      <w:sz w:val="22"/>
      <w:szCs w:val="22"/>
      <w:u w:val="none"/>
    </w:rPr>
  </w:style>
  <w:style w:type="character" w:styleId="1256" w:customStyle="1">
    <w:name w:val="Absatz-Standardschriftart"/>
    <w:qFormat/>
  </w:style>
  <w:style w:type="character" w:styleId="1257" w:customStyle="1">
    <w:name w:val="批注文字 Char1"/>
    <w:qFormat/>
    <w:rPr>
      <w:rFonts w:ascii="Times New Roman" w:hAnsi="Times New Roman" w:eastAsia="宋体" w:cs="Times New Roman"/>
      <w:szCs w:val="24"/>
    </w:rPr>
  </w:style>
  <w:style w:type="character" w:styleId="1258" w:customStyle="1">
    <w:name w:val="WW8Num20z1"/>
    <w:qFormat/>
    <w:rPr>
      <w:rFonts w:ascii="Wingdings 2" w:hAnsi="Wingdings 2" w:cs="StarSymbol"/>
      <w:sz w:val="18"/>
      <w:szCs w:val="18"/>
    </w:rPr>
  </w:style>
  <w:style w:type="character" w:styleId="1259" w:customStyle="1">
    <w:name w:val="font31"/>
    <w:qFormat/>
    <w:rPr>
      <w:rFonts w:hint="eastAsia" w:ascii="宋体" w:hAnsi="宋体" w:eastAsia="宋体" w:cs="宋体"/>
      <w:b/>
      <w:color w:val="000000"/>
      <w:sz w:val="24"/>
      <w:szCs w:val="24"/>
      <w:u w:val="none"/>
    </w:rPr>
  </w:style>
  <w:style w:type="character" w:styleId="1260" w:customStyle="1">
    <w:name w:val="金宏发行正文 Char Char Char"/>
    <w:qFormat/>
    <w:rPr>
      <w:rFonts w:hint="eastAsia" w:ascii="仿宋_GB2312" w:eastAsia="仿宋_GB2312" w:cs="宋体"/>
      <w:sz w:val="28"/>
    </w:rPr>
  </w:style>
  <w:style w:type="character" w:styleId="1261" w:customStyle="1">
    <w:name w:val="se11"/>
    <w:qFormat/>
    <w:rPr>
      <w:rFonts w:ascii="Tahoma" w:hAnsi="Tahoma" w:cs="Times New Roman"/>
      <w:color w:val="000000"/>
      <w:sz w:val="24"/>
      <w:lang w:bidi="ar-SA"/>
    </w:rPr>
  </w:style>
  <w:style w:type="character" w:styleId="1262" w:customStyle="1">
    <w:name w:val="WW8Num6z2"/>
    <w:qFormat/>
    <w:rPr>
      <w:rFonts w:ascii="StarSymbol" w:hAnsi="StarSymbol" w:cs="StarSymbol"/>
      <w:sz w:val="18"/>
      <w:szCs w:val="18"/>
    </w:rPr>
  </w:style>
  <w:style w:type="character" w:styleId="1263" w:customStyle="1">
    <w:name w:val="模板正文 Char"/>
    <w:link w:val="1264"/>
    <w:qFormat/>
    <w:rPr>
      <w:rFonts w:ascii="Calibri" w:hAnsi="Calibri"/>
      <w:sz w:val="28"/>
      <w:szCs w:val="21"/>
    </w:rPr>
  </w:style>
  <w:style w:type="paragraph" w:styleId="1264" w:customStyle="1">
    <w:name w:val="模板正文"/>
    <w:basedOn w:val="919"/>
    <w:link w:val="1263"/>
    <w:qFormat/>
    <w:pPr>
      <w:ind w:firstLine="200"/>
      <w:spacing w:line="360" w:lineRule="auto"/>
    </w:pPr>
    <w:rPr>
      <w:rFonts w:ascii="Calibri" w:hAnsi="Calibri" w:eastAsiaTheme="minorEastAsia" w:cstheme="minorBidi"/>
      <w:sz w:val="28"/>
      <w:szCs w:val="21"/>
    </w:rPr>
  </w:style>
  <w:style w:type="character" w:styleId="1265" w:customStyle="1">
    <w:name w:val="批注框文本 字符1"/>
    <w:uiPriority w:val="99"/>
    <w:qFormat/>
    <w:rPr>
      <w:rFonts w:ascii="Times New Roman" w:hAnsi="Times New Roman" w:eastAsia="方正仿宋_GBK" w:cs="Times New Roman"/>
      <w:sz w:val="18"/>
      <w:szCs w:val="18"/>
    </w:rPr>
  </w:style>
  <w:style w:type="character" w:styleId="1266" w:customStyle="1">
    <w:name w:val="标书正文 Char"/>
    <w:link w:val="1267"/>
    <w:qFormat/>
    <w:rPr>
      <w:rFonts w:ascii="Calibri" w:hAnsi="Calibri"/>
    </w:rPr>
  </w:style>
  <w:style w:type="paragraph" w:styleId="1267" w:customStyle="1">
    <w:name w:val="标书正文"/>
    <w:basedOn w:val="919"/>
    <w:link w:val="1266"/>
    <w:qFormat/>
    <w:pPr>
      <w:ind w:firstLine="200"/>
      <w:spacing w:before="120" w:line="360" w:lineRule="auto"/>
    </w:pPr>
    <w:rPr>
      <w:rFonts w:ascii="Calibri" w:hAnsi="Calibri" w:eastAsiaTheme="minorEastAsia" w:cstheme="minorBidi"/>
      <w:szCs w:val="22"/>
    </w:rPr>
  </w:style>
  <w:style w:type="character" w:styleId="1268" w:customStyle="1">
    <w:name w:val="二级条标题 字符"/>
    <w:link w:val="1269"/>
    <w:qFormat/>
    <w:rPr>
      <w:rFonts w:ascii="黑体" w:eastAsia="黑体"/>
    </w:rPr>
  </w:style>
  <w:style w:type="paragraph" w:styleId="1269" w:customStyle="1">
    <w:name w:val="二级条标题"/>
    <w:basedOn w:val="1270"/>
    <w:next w:val="1246"/>
    <w:link w:val="1268"/>
    <w:qFormat/>
    <w:pPr>
      <w:ind w:left="630"/>
      <w:outlineLvl w:val="3"/>
    </w:pPr>
  </w:style>
  <w:style w:type="paragraph" w:styleId="1270" w:customStyle="1">
    <w:name w:val="一级条标题"/>
    <w:basedOn w:val="1271"/>
    <w:next w:val="1246"/>
    <w:link w:val="1384"/>
    <w:qFormat/>
    <w:pPr>
      <w:ind w:left="420" w:hanging="420"/>
      <w:outlineLvl w:val="2"/>
    </w:pPr>
  </w:style>
  <w:style w:type="paragraph" w:styleId="1271" w:customStyle="1">
    <w:name w:val="章标题"/>
    <w:next w:val="1246"/>
    <w:link w:val="1592"/>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272" w:customStyle="1">
    <w:name w:val="页脚 Char1"/>
    <w:qFormat/>
    <w:rPr>
      <w:sz w:val="18"/>
      <w:szCs w:val="18"/>
    </w:rPr>
  </w:style>
  <w:style w:type="character" w:styleId="1273" w:customStyle="1">
    <w:name w:val="WW8Num15z1"/>
    <w:qFormat/>
    <w:rPr>
      <w:rFonts w:ascii="Wingdings 2" w:hAnsi="Wingdings 2" w:cs="StarSymbol"/>
      <w:sz w:val="18"/>
      <w:szCs w:val="18"/>
    </w:rPr>
  </w:style>
  <w:style w:type="character" w:styleId="1274" w:customStyle="1">
    <w:name w:val="n正文 Char"/>
    <w:link w:val="1275"/>
    <w:qFormat/>
    <w:rPr>
      <w:rFonts w:eastAsia="仿宋_GB2312"/>
      <w:color w:val="000000"/>
      <w:sz w:val="28"/>
      <w:szCs w:val="28"/>
    </w:rPr>
  </w:style>
  <w:style w:type="paragraph" w:styleId="1275" w:customStyle="1">
    <w:name w:val="n正文"/>
    <w:link w:val="1274"/>
    <w:qFormat/>
    <w:pPr>
      <w:ind w:firstLine="200"/>
      <w:spacing w:line="360" w:lineRule="auto"/>
    </w:pPr>
    <w:rPr>
      <w:rFonts w:eastAsia="仿宋_GB2312" w:asciiTheme="minorHAnsi" w:hAnsiTheme="minorHAnsi" w:cstheme="minorBidi"/>
      <w:color w:val="000000"/>
      <w:sz w:val="28"/>
      <w:szCs w:val="28"/>
    </w:rPr>
  </w:style>
  <w:style w:type="character" w:styleId="1276" w:customStyle="1">
    <w:name w:val="Table Text Char1"/>
    <w:qFormat/>
    <w:rPr>
      <w:sz w:val="21"/>
      <w:szCs w:val="21"/>
    </w:rPr>
  </w:style>
  <w:style w:type="character" w:styleId="1277" w:customStyle="1">
    <w:name w:val="正文文本缩进 Char1"/>
    <w:qFormat/>
    <w:rPr>
      <w:rFonts w:ascii="Calibri" w:hAnsi="Calibri" w:eastAsia="宋体" w:cs="Times New Roman"/>
    </w:rPr>
  </w:style>
  <w:style w:type="character" w:styleId="1278" w:customStyle="1">
    <w:name w:val="文章正文 Char"/>
    <w:qFormat/>
    <w:rPr>
      <w:rFonts w:hint="default" w:ascii="Calibri" w:hAnsi="Calibri"/>
      <w:sz w:val="21"/>
      <w:szCs w:val="24"/>
    </w:rPr>
  </w:style>
  <w:style w:type="character" w:styleId="1279" w:customStyle="1">
    <w:name w:val="GEO正文 Char"/>
    <w:link w:val="1280"/>
    <w:qFormat/>
    <w:rPr>
      <w:rFonts w:eastAsia="仿宋_GB2312"/>
      <w:sz w:val="28"/>
    </w:rPr>
  </w:style>
  <w:style w:type="paragraph" w:styleId="1280" w:customStyle="1">
    <w:name w:val="GEO正文"/>
    <w:basedOn w:val="919"/>
    <w:link w:val="1279"/>
    <w:qFormat/>
    <w:pPr>
      <w:ind w:firstLine="200"/>
      <w:spacing w:line="360" w:lineRule="auto"/>
    </w:pPr>
    <w:rPr>
      <w:rFonts w:eastAsia="仿宋_GB2312" w:asciiTheme="minorHAnsi" w:hAnsiTheme="minorHAnsi" w:cstheme="minorBidi"/>
      <w:sz w:val="28"/>
      <w:szCs w:val="22"/>
    </w:rPr>
  </w:style>
  <w:style w:type="character" w:styleId="1281" w:customStyle="1">
    <w:name w:val="WW8Num35z1"/>
    <w:qFormat/>
    <w:rPr>
      <w:rFonts w:ascii="Wingdings 2" w:hAnsi="Wingdings 2" w:cs="StarSymbol"/>
      <w:sz w:val="18"/>
      <w:szCs w:val="18"/>
    </w:rPr>
  </w:style>
  <w:style w:type="character" w:styleId="1282" w:customStyle="1">
    <w:name w:val="页眉 Char1"/>
    <w:qFormat/>
    <w:rPr>
      <w:sz w:val="18"/>
      <w:szCs w:val="18"/>
    </w:rPr>
  </w:style>
  <w:style w:type="character" w:styleId="1283" w:customStyle="1">
    <w:name w:val="WW8Num34z1"/>
    <w:qFormat/>
    <w:rPr>
      <w:rFonts w:ascii="Wingdings 2" w:hAnsi="Wingdings 2" w:cs="StarSymbol"/>
      <w:sz w:val="18"/>
      <w:szCs w:val="18"/>
    </w:rPr>
  </w:style>
  <w:style w:type="character" w:styleId="1284" w:customStyle="1">
    <w:name w:val="文档结构图 Char1"/>
    <w:qFormat/>
    <w:rPr>
      <w:rFonts w:ascii="宋体" w:hAnsi="Calibri" w:eastAsia="宋体" w:cs="Times New Roman"/>
      <w:sz w:val="18"/>
      <w:szCs w:val="18"/>
    </w:rPr>
  </w:style>
  <w:style w:type="character" w:styleId="1285" w:customStyle="1">
    <w:name w:val="WW8Num21z0"/>
    <w:qFormat/>
    <w:rPr>
      <w:rFonts w:ascii="Wingdings" w:hAnsi="Wingdings" w:cs="StarSymbol"/>
      <w:sz w:val="18"/>
      <w:szCs w:val="18"/>
    </w:rPr>
  </w:style>
  <w:style w:type="character" w:styleId="1286" w:customStyle="1">
    <w:name w:val="页脚 Char2"/>
    <w:uiPriority w:val="99"/>
    <w:qFormat/>
    <w:rPr>
      <w:sz w:val="18"/>
      <w:szCs w:val="18"/>
    </w:rPr>
  </w:style>
  <w:style w:type="character" w:styleId="1287" w:customStyle="1">
    <w:name w:val="WW8Num1z1"/>
    <w:qFormat/>
    <w:rPr>
      <w:rFonts w:ascii="Wingdings" w:hAnsi="Wingdings"/>
    </w:rPr>
  </w:style>
  <w:style w:type="character" w:styleId="1288" w:customStyle="1">
    <w:name w:val="批注主题 Char1"/>
    <w:qFormat/>
    <w:rPr>
      <w:rFonts w:ascii="Calibri" w:hAnsi="Calibri" w:eastAsia="宋体" w:cs="Times New Roman"/>
      <w:b/>
      <w:bCs/>
      <w:sz w:val="21"/>
      <w:szCs w:val="22"/>
    </w:rPr>
  </w:style>
  <w:style w:type="character" w:styleId="1289" w:customStyle="1">
    <w:name w:val="我的图表标题 Char"/>
    <w:qFormat/>
    <w:rPr>
      <w:rFonts w:hint="default" w:ascii="Cambria" w:hAnsi="Cambria" w:eastAsia="黑体" w:cs="宋体"/>
      <w:sz w:val="24"/>
    </w:rPr>
  </w:style>
  <w:style w:type="character" w:styleId="1290" w:customStyle="1">
    <w:name w:val="页眉 Char2"/>
    <w:uiPriority w:val="99"/>
    <w:qFormat/>
    <w:rPr>
      <w:sz w:val="18"/>
      <w:szCs w:val="18"/>
    </w:rPr>
  </w:style>
  <w:style w:type="character" w:styleId="1291" w:customStyle="1">
    <w:name w:val="WW8Num14z2"/>
    <w:qFormat/>
    <w:rPr>
      <w:rFonts w:ascii="StarSymbol" w:hAnsi="StarSymbol" w:cs="StarSymbol"/>
      <w:sz w:val="18"/>
      <w:szCs w:val="18"/>
    </w:rPr>
  </w:style>
  <w:style w:type="character" w:styleId="1292" w:customStyle="1">
    <w:name w:val="正文文本缩进 2 Char1"/>
    <w:qFormat/>
    <w:rPr>
      <w:rFonts w:ascii="Calibri" w:hAnsi="Calibri" w:eastAsia="宋体" w:cs="Times New Roman"/>
    </w:rPr>
  </w:style>
  <w:style w:type="character" w:styleId="1293" w:customStyle="1">
    <w:name w:val="不明显强调1"/>
    <w:qFormat/>
    <w:rPr>
      <w:i/>
      <w:iCs/>
      <w:color w:val="808080"/>
    </w:rPr>
  </w:style>
  <w:style w:type="character" w:styleId="1294" w:customStyle="1">
    <w:name w:val="正文文本缩进 3 Char1"/>
    <w:qFormat/>
    <w:rPr>
      <w:rFonts w:ascii="Calibri" w:hAnsi="Calibri" w:eastAsia="宋体" w:cs="Times New Roman"/>
      <w:sz w:val="16"/>
      <w:szCs w:val="16"/>
    </w:rPr>
  </w:style>
  <w:style w:type="character" w:styleId="1295" w:customStyle="1">
    <w:name w:val="批注文字 字符1"/>
    <w:qFormat/>
    <w:rPr>
      <w:rFonts w:ascii="Times New Roman" w:hAnsi="Times New Roman" w:eastAsia="方正仿宋_GBK" w:cs="Times New Roman"/>
      <w:sz w:val="24"/>
      <w:szCs w:val="24"/>
    </w:rPr>
  </w:style>
  <w:style w:type="character" w:styleId="1296" w:customStyle="1">
    <w:name w:val="纯文本 Char2"/>
    <w:qFormat/>
    <w:rPr>
      <w:rFonts w:ascii="宋体" w:hAnsi="Courier New" w:eastAsia="宋体" w:cs="Courier New"/>
      <w:szCs w:val="21"/>
    </w:rPr>
  </w:style>
  <w:style w:type="character" w:styleId="1297" w:customStyle="1">
    <w:name w:val="WW8Num19z1"/>
    <w:qFormat/>
    <w:rPr>
      <w:rFonts w:ascii="Wingdings" w:hAnsi="Wingdings"/>
    </w:rPr>
  </w:style>
  <w:style w:type="character" w:styleId="1298" w:customStyle="1">
    <w:name w:val="正文文本缩进 Char2"/>
    <w:uiPriority w:val="99"/>
    <w:semiHidden/>
    <w:qFormat/>
    <w:rPr>
      <w:sz w:val="21"/>
      <w:szCs w:val="22"/>
    </w:rPr>
  </w:style>
  <w:style w:type="character" w:styleId="1299" w:customStyle="1">
    <w:name w:val="WW8Num14z7"/>
    <w:qFormat/>
    <w:rPr>
      <w:rFonts w:ascii="Wingdings" w:hAnsi="Wingdings"/>
    </w:rPr>
  </w:style>
  <w:style w:type="character" w:styleId="1300" w:customStyle="1">
    <w:name w:val="正文文本缩进 2 Char2"/>
    <w:uiPriority w:val="99"/>
    <w:semiHidden/>
    <w:qFormat/>
    <w:rPr>
      <w:sz w:val="21"/>
      <w:szCs w:val="22"/>
    </w:rPr>
  </w:style>
  <w:style w:type="character" w:styleId="1301" w:customStyle="1">
    <w:name w:val="WW8Num23z1"/>
    <w:qFormat/>
    <w:rPr>
      <w:rFonts w:ascii="Wingdings 2" w:hAnsi="Wingdings 2" w:cs="StarSymbol"/>
      <w:sz w:val="18"/>
      <w:szCs w:val="18"/>
    </w:rPr>
  </w:style>
  <w:style w:type="character" w:styleId="1302" w:customStyle="1">
    <w:name w:val="批注框文本 Char1"/>
    <w:qFormat/>
    <w:rPr>
      <w:sz w:val="18"/>
      <w:szCs w:val="18"/>
    </w:rPr>
  </w:style>
  <w:style w:type="character" w:styleId="1303" w:customStyle="1">
    <w:name w:val="WW8Num3z2"/>
    <w:qFormat/>
    <w:rPr>
      <w:rFonts w:ascii="StarSymbol" w:hAnsi="StarSymbol" w:cs="StarSymbol"/>
      <w:sz w:val="18"/>
      <w:szCs w:val="18"/>
    </w:rPr>
  </w:style>
  <w:style w:type="character" w:styleId="1304" w:customStyle="1">
    <w:name w:val="文档结构图 Char2"/>
    <w:uiPriority w:val="99"/>
    <w:qFormat/>
    <w:rPr>
      <w:rFonts w:ascii="宋体"/>
      <w:sz w:val="18"/>
      <w:szCs w:val="18"/>
    </w:rPr>
  </w:style>
  <w:style w:type="character" w:styleId="1305" w:customStyle="1">
    <w:name w:val="样式 InfoBlue + 倾斜 Char"/>
    <w:qFormat/>
    <w:rPr>
      <w:color w:val="0000ff"/>
      <w:sz w:val="21"/>
    </w:rPr>
  </w:style>
  <w:style w:type="character" w:styleId="1306" w:customStyle="1">
    <w:name w:val="批注文字 Char2"/>
    <w:qFormat/>
    <w:rPr>
      <w:sz w:val="21"/>
      <w:szCs w:val="22"/>
    </w:rPr>
  </w:style>
  <w:style w:type="character" w:styleId="1307" w:customStyle="1">
    <w:name w:val="批注主题 Char2"/>
    <w:qFormat/>
    <w:rPr>
      <w:b/>
      <w:bCs/>
      <w:sz w:val="21"/>
      <w:szCs w:val="22"/>
    </w:rPr>
  </w:style>
  <w:style w:type="character" w:styleId="1308" w:customStyle="1">
    <w:name w:val="Char Char6"/>
    <w:qFormat/>
    <w:rPr>
      <w:b/>
      <w:bCs/>
      <w:sz w:val="44"/>
      <w:szCs w:val="44"/>
    </w:rPr>
  </w:style>
  <w:style w:type="character" w:styleId="1309" w:customStyle="1">
    <w:name w:val="题注 字符"/>
    <w:link w:val="1091"/>
    <w:qFormat/>
    <w:rPr>
      <w:rFonts w:ascii="Cambria" w:hAnsi="Cambria" w:eastAsia="黑体"/>
    </w:rPr>
  </w:style>
  <w:style w:type="character" w:styleId="1310" w:customStyle="1">
    <w:name w:val="p0 Char"/>
    <w:link w:val="1311"/>
    <w:qFormat/>
    <w:rPr>
      <w:szCs w:val="21"/>
    </w:rPr>
  </w:style>
  <w:style w:type="paragraph" w:styleId="1311" w:customStyle="1">
    <w:name w:val="p0"/>
    <w:basedOn w:val="919"/>
    <w:link w:val="1310"/>
    <w:qFormat/>
    <w:pPr>
      <w:widowControl/>
    </w:pPr>
    <w:rPr>
      <w:rFonts w:asciiTheme="minorHAnsi" w:hAnsiTheme="minorHAnsi" w:eastAsiaTheme="minorEastAsia" w:cstheme="minorBidi"/>
      <w:szCs w:val="21"/>
    </w:rPr>
  </w:style>
  <w:style w:type="character" w:styleId="1312" w:customStyle="1">
    <w:name w:val="脚注文本 Char3"/>
    <w:qFormat/>
    <w:rPr>
      <w:rFonts w:ascii="Calibri" w:hAnsi="Calibri"/>
      <w:sz w:val="18"/>
      <w:szCs w:val="18"/>
    </w:rPr>
  </w:style>
  <w:style w:type="character" w:styleId="1313" w:customStyle="1">
    <w:name w:val="标准文本 Char"/>
    <w:link w:val="1314"/>
    <w:qFormat/>
    <w:rPr>
      <w:rFonts w:cs="宋体"/>
      <w:szCs w:val="21"/>
    </w:rPr>
  </w:style>
  <w:style w:type="paragraph" w:styleId="1314" w:customStyle="1">
    <w:name w:val="标准文本"/>
    <w:basedOn w:val="919"/>
    <w:link w:val="1313"/>
    <w:qFormat/>
    <w:pPr>
      <w:ind w:firstLine="420"/>
      <w:spacing w:line="360" w:lineRule="auto"/>
    </w:pPr>
    <w:rPr>
      <w:rFonts w:cs="宋体" w:asciiTheme="minorHAnsi" w:hAnsiTheme="minorHAnsi" w:eastAsiaTheme="minorEastAsia"/>
      <w:szCs w:val="21"/>
    </w:rPr>
  </w:style>
  <w:style w:type="character" w:styleId="1315" w:customStyle="1">
    <w:name w:val="普通(网站) 字符"/>
    <w:link w:val="1131"/>
    <w:qFormat/>
    <w:rPr>
      <w:rFonts w:ascii="宋体" w:hAnsi="宋体" w:cs="宋体"/>
      <w:color w:val="000000"/>
      <w:sz w:val="24"/>
      <w:szCs w:val="24"/>
    </w:rPr>
  </w:style>
  <w:style w:type="character" w:styleId="1316" w:customStyle="1">
    <w:name w:val="无间隔 字符1"/>
    <w:link w:val="1317"/>
    <w:qFormat/>
    <w:rPr>
      <w:rFonts w:ascii="Calibri" w:hAnsi="Calibri"/>
    </w:rPr>
  </w:style>
  <w:style w:type="paragraph" w:styleId="1317">
    <w:name w:val="No Spacing"/>
    <w:link w:val="1316"/>
    <w:qFormat/>
    <w:pPr>
      <w:jc w:val="both"/>
      <w:widowControl w:val="off"/>
    </w:pPr>
    <w:rPr>
      <w:rFonts w:ascii="Calibri" w:hAnsi="Calibri" w:eastAsiaTheme="minorEastAsia" w:cstheme="minorBidi"/>
      <w:sz w:val="21"/>
      <w:szCs w:val="22"/>
    </w:rPr>
  </w:style>
  <w:style w:type="character" w:styleId="1318" w:customStyle="1">
    <w:name w:val="页码1"/>
    <w:basedOn w:val="929"/>
    <w:qFormat/>
  </w:style>
  <w:style w:type="character" w:styleId="1319" w:customStyle="1">
    <w:name w:val="11111 Char"/>
    <w:qFormat/>
    <w:rPr>
      <w:rFonts w:hint="eastAsia" w:ascii="宋体" w:hAnsi="宋体" w:eastAsia="宋体" w:cs="宋体"/>
      <w:color w:val="000000"/>
      <w:sz w:val="24"/>
      <w:szCs w:val="24"/>
      <w:lang w:val="zh-CN"/>
    </w:rPr>
  </w:style>
  <w:style w:type="character" w:styleId="1320" w:customStyle="1">
    <w:name w:val="正文文本 Char1"/>
    <w:qFormat/>
    <w:rPr>
      <w:rFonts w:ascii="Times New Roman" w:hAnsi="Times New Roman" w:eastAsia="宋体" w:cs="Times New Roman"/>
      <w:szCs w:val="24"/>
    </w:rPr>
  </w:style>
  <w:style w:type="character" w:styleId="1321" w:customStyle="1">
    <w:name w:val="WW8Num26z1"/>
    <w:qFormat/>
    <w:rPr>
      <w:rFonts w:ascii="Wingdings 2" w:hAnsi="Wingdings 2" w:cs="StarSymbol"/>
      <w:sz w:val="18"/>
      <w:szCs w:val="18"/>
    </w:rPr>
  </w:style>
  <w:style w:type="character" w:styleId="1322" w:customStyle="1">
    <w:name w:val="font51"/>
    <w:qFormat/>
    <w:rPr>
      <w:rFonts w:hint="default" w:ascii="Arial" w:hAnsi="Arial" w:cs="Arial"/>
      <w:color w:val="000000"/>
      <w:sz w:val="20"/>
      <w:szCs w:val="20"/>
      <w:u w:val="none"/>
    </w:rPr>
  </w:style>
  <w:style w:type="character" w:styleId="1323" w:customStyle="1">
    <w:name w:val="WW8Num25z0"/>
    <w:qFormat/>
    <w:rPr>
      <w:rFonts w:ascii="Wingdings" w:hAnsi="Wingdings" w:cs="StarSymbol"/>
      <w:sz w:val="18"/>
      <w:szCs w:val="18"/>
    </w:rPr>
  </w:style>
  <w:style w:type="character" w:styleId="1324" w:customStyle="1">
    <w:name w:val="paramlista1"/>
    <w:qFormat/>
    <w:rPr>
      <w:rFonts w:ascii="Calibri" w:hAnsi="Calibri" w:eastAsia="宋体" w:cs="Times New Roman"/>
      <w:sz w:val="18"/>
      <w:szCs w:val="18"/>
    </w:rPr>
  </w:style>
  <w:style w:type="character" w:styleId="1325" w:customStyle="1">
    <w:name w:val="high-light-bg4"/>
    <w:qFormat/>
  </w:style>
  <w:style w:type="character" w:styleId="1326" w:customStyle="1">
    <w:name w:val="Char Char201"/>
    <w:qFormat/>
    <w:rPr>
      <w:rFonts w:ascii="楷体_GB2312" w:eastAsia="楷体_GB2312"/>
      <w:sz w:val="28"/>
    </w:rPr>
  </w:style>
  <w:style w:type="character" w:styleId="1327" w:customStyle="1">
    <w:name w:val="页脚 字符1"/>
    <w:uiPriority w:val="99"/>
    <w:qFormat/>
    <w:rPr>
      <w:rFonts w:ascii="Times New Roman" w:hAnsi="Times New Roman" w:eastAsia="方正仿宋_GBK" w:cs="Times New Roman"/>
      <w:sz w:val="18"/>
      <w:szCs w:val="18"/>
    </w:rPr>
  </w:style>
  <w:style w:type="character" w:styleId="1328" w:customStyle="1">
    <w:name w:val="font41"/>
    <w:qFormat/>
    <w:rPr>
      <w:rFonts w:hint="eastAsia" w:ascii="宋体" w:hAnsi="宋体" w:eastAsia="宋体" w:cs="宋体"/>
      <w:color w:val="000000"/>
      <w:sz w:val="20"/>
      <w:szCs w:val="20"/>
      <w:u w:val="none"/>
    </w:rPr>
  </w:style>
  <w:style w:type="character" w:styleId="1329" w:customStyle="1">
    <w:name w:val="WW8Num38z0"/>
    <w:qFormat/>
    <w:rPr>
      <w:rFonts w:ascii="Wingdings" w:hAnsi="Wingdings" w:cs="StarSymbol"/>
      <w:sz w:val="18"/>
      <w:szCs w:val="18"/>
    </w:rPr>
  </w:style>
  <w:style w:type="character" w:styleId="1330" w:customStyle="1">
    <w:name w:val="+正文 Char3"/>
    <w:link w:val="1331"/>
    <w:qFormat/>
    <w:rPr>
      <w:sz w:val="28"/>
    </w:rPr>
  </w:style>
  <w:style w:type="paragraph" w:styleId="1331" w:customStyle="1">
    <w:name w:val="+正文"/>
    <w:basedOn w:val="919"/>
    <w:link w:val="1330"/>
    <w:qFormat/>
    <w:pPr>
      <w:ind w:firstLine="200"/>
      <w:spacing w:line="360" w:lineRule="auto"/>
    </w:pPr>
    <w:rPr>
      <w:rFonts w:asciiTheme="minorHAnsi" w:hAnsiTheme="minorHAnsi" w:eastAsiaTheme="minorEastAsia" w:cstheme="minorBidi"/>
      <w:sz w:val="28"/>
      <w:szCs w:val="22"/>
    </w:rPr>
  </w:style>
  <w:style w:type="character" w:styleId="1332" w:customStyle="1">
    <w:name w:val="正文文本 3 字符1"/>
    <w:uiPriority w:val="99"/>
    <w:qFormat/>
    <w:rPr>
      <w:rFonts w:ascii="Times New Roman" w:hAnsi="Times New Roman" w:eastAsia="方正仿宋_GBK" w:cs="Times New Roman"/>
      <w:sz w:val="16"/>
      <w:szCs w:val="16"/>
    </w:rPr>
  </w:style>
  <w:style w:type="character" w:styleId="1333" w:customStyle="1">
    <w:name w:val="Char Char171"/>
    <w:qFormat/>
    <w:rPr>
      <w:rFonts w:ascii="Arial" w:hAnsi="Arial" w:eastAsia="黑体"/>
      <w:b/>
      <w:spacing w:val="-2"/>
      <w:position w:val="-6"/>
      <w:sz w:val="24"/>
    </w:rPr>
  </w:style>
  <w:style w:type="character" w:styleId="1334" w:customStyle="1">
    <w:name w:val="style241"/>
    <w:qFormat/>
    <w:rPr>
      <w:rFonts w:hint="eastAsia" w:ascii="宋体" w:hAnsi="宋体" w:eastAsia="宋体"/>
      <w:color w:val="333333"/>
      <w:lang w:val="en-US" w:eastAsia="zh-CN" w:bidi="ar-SA"/>
    </w:rPr>
  </w:style>
  <w:style w:type="character" w:styleId="1335" w:customStyle="1">
    <w:name w:val="fontstyle01"/>
    <w:qFormat/>
    <w:rPr>
      <w:rFonts w:hint="default" w:ascii="楷体" w:hAnsi="楷体"/>
      <w:color w:val="000000"/>
      <w:sz w:val="24"/>
      <w:szCs w:val="24"/>
    </w:rPr>
  </w:style>
  <w:style w:type="character" w:styleId="1336" w:customStyle="1">
    <w:name w:val="Numbering Symbols"/>
    <w:qFormat/>
  </w:style>
  <w:style w:type="character" w:styleId="1337" w:customStyle="1">
    <w:name w:val="标题 1 Char1"/>
    <w:qFormat/>
    <w:rPr>
      <w:b/>
      <w:sz w:val="44"/>
    </w:rPr>
  </w:style>
  <w:style w:type="character" w:styleId="1338" w:customStyle="1">
    <w:name w:val="引用 Char1"/>
    <w:uiPriority w:val="29"/>
    <w:qFormat/>
    <w:rPr>
      <w:i/>
      <w:iCs/>
      <w:color w:val="404040"/>
      <w:sz w:val="21"/>
    </w:rPr>
  </w:style>
  <w:style w:type="character" w:styleId="1339" w:customStyle="1">
    <w:name w:val="Char Char181"/>
    <w:qFormat/>
    <w:rPr>
      <w:rFonts w:ascii="宋体"/>
      <w:b/>
      <w:spacing w:val="-2"/>
      <w:position w:val="-6"/>
      <w:sz w:val="28"/>
    </w:rPr>
  </w:style>
  <w:style w:type="character" w:styleId="1340" w:customStyle="1">
    <w:name w:val="Table Heading Char"/>
    <w:qFormat/>
    <w:rPr>
      <w:rFonts w:hint="default" w:ascii="Book Antiqua" w:hAnsi="Book Antiqua" w:eastAsia="黑体"/>
      <w:bCs/>
      <w:sz w:val="21"/>
      <w:szCs w:val="21"/>
    </w:rPr>
  </w:style>
  <w:style w:type="character" w:styleId="1341" w:customStyle="1">
    <w:name w:val="Char Char151"/>
    <w:qFormat/>
    <w:rPr>
      <w:rFonts w:ascii="Arial" w:hAnsi="Arial" w:eastAsia="黑体"/>
      <w:spacing w:val="-2"/>
      <w:position w:val="-6"/>
      <w:sz w:val="24"/>
    </w:rPr>
  </w:style>
  <w:style w:type="character" w:styleId="1342" w:customStyle="1">
    <w:name w:val="WW8Num14z1"/>
    <w:qFormat/>
    <w:rPr>
      <w:rFonts w:ascii="Wingdings 2" w:hAnsi="Wingdings 2" w:cs="StarSymbol"/>
      <w:sz w:val="18"/>
      <w:szCs w:val="18"/>
    </w:rPr>
  </w:style>
  <w:style w:type="character" w:styleId="1343" w:customStyle="1">
    <w:name w:val="font111"/>
    <w:qFormat/>
    <w:rPr>
      <w:rFonts w:hint="eastAsia" w:ascii="宋体" w:hAnsi="宋体" w:eastAsia="宋体" w:cs="宋体"/>
      <w:color w:val="000000"/>
      <w:sz w:val="21"/>
      <w:szCs w:val="21"/>
      <w:u w:val="none"/>
    </w:rPr>
  </w:style>
  <w:style w:type="character" w:styleId="1344" w:customStyle="1">
    <w:name w:val="样式2 Char"/>
    <w:qFormat/>
    <w:rPr>
      <w:rFonts w:hint="eastAsia" w:ascii="方正仿宋_GBK" w:eastAsia="方正仿宋_GBK"/>
      <w:bCs/>
      <w:sz w:val="32"/>
      <w:szCs w:val="24"/>
    </w:rPr>
  </w:style>
  <w:style w:type="character" w:styleId="1345" w:customStyle="1">
    <w:name w:val="Char Char18"/>
    <w:qFormat/>
    <w:rPr>
      <w:rFonts w:ascii="宋体"/>
      <w:b/>
      <w:spacing w:val="-2"/>
      <w:position w:val="-6"/>
      <w:sz w:val="28"/>
    </w:rPr>
  </w:style>
  <w:style w:type="character" w:styleId="1346" w:customStyle="1">
    <w:name w:val="WW8Num25z7"/>
    <w:qFormat/>
    <w:rPr>
      <w:rFonts w:ascii="Wingdings" w:hAnsi="Wingdings"/>
    </w:rPr>
  </w:style>
  <w:style w:type="character" w:styleId="1347" w:customStyle="1">
    <w:name w:val="font71"/>
    <w:qFormat/>
    <w:rPr>
      <w:rFonts w:hint="default" w:ascii="Arial" w:hAnsi="Arial" w:cs="Arial"/>
      <w:color w:val="000000"/>
      <w:sz w:val="20"/>
      <w:szCs w:val="20"/>
      <w:u w:val="none"/>
    </w:rPr>
  </w:style>
  <w:style w:type="character" w:styleId="1348" w:customStyle="1">
    <w:name w:val="WW8Num8z0"/>
    <w:qFormat/>
    <w:rPr>
      <w:rFonts w:ascii="Wingdings" w:hAnsi="Wingdings" w:cs="StarSymbol"/>
      <w:sz w:val="18"/>
      <w:szCs w:val="18"/>
    </w:rPr>
  </w:style>
  <w:style w:type="character" w:styleId="1349" w:customStyle="1">
    <w:name w:val="页码2"/>
    <w:basedOn w:val="929"/>
    <w:qFormat/>
  </w:style>
  <w:style w:type="character" w:styleId="1350" w:customStyle="1">
    <w:name w:val="WW8Num12z0"/>
    <w:qFormat/>
    <w:rPr>
      <w:rFonts w:ascii="Wingdings" w:hAnsi="Wingdings" w:cs="StarSymbol"/>
      <w:sz w:val="18"/>
      <w:szCs w:val="18"/>
    </w:rPr>
  </w:style>
  <w:style w:type="character" w:styleId="1351" w:customStyle="1">
    <w:name w:val="方案文档 Char"/>
    <w:link w:val="1352"/>
    <w:qFormat/>
    <w:rPr>
      <w:sz w:val="24"/>
      <w:szCs w:val="24"/>
    </w:rPr>
  </w:style>
  <w:style w:type="paragraph" w:styleId="1352" w:customStyle="1">
    <w:name w:val="方案文档"/>
    <w:link w:val="1351"/>
    <w:qFormat/>
    <w:pPr>
      <w:ind w:firstLine="200"/>
      <w:spacing w:line="360" w:lineRule="auto"/>
    </w:pPr>
    <w:rPr>
      <w:rFonts w:asciiTheme="minorHAnsi" w:hAnsiTheme="minorHAnsi" w:eastAsiaTheme="minorEastAsia" w:cstheme="minorBidi"/>
      <w:sz w:val="24"/>
      <w:szCs w:val="24"/>
    </w:rPr>
  </w:style>
  <w:style w:type="character" w:styleId="1353" w:customStyle="1">
    <w:name w:val="称呼 Char3"/>
    <w:qFormat/>
    <w:rPr>
      <w:rFonts w:ascii="Arial" w:hAnsi="Arial" w:eastAsia="方正仿宋_GBK" w:cs="Arial"/>
    </w:rPr>
  </w:style>
  <w:style w:type="character" w:styleId="1354" w:customStyle="1">
    <w:name w:val="font141"/>
    <w:qFormat/>
    <w:rPr>
      <w:rFonts w:hint="eastAsia" w:ascii="宋体" w:hAnsi="宋体" w:eastAsia="宋体" w:cs="宋体"/>
      <w:color w:val="000000"/>
      <w:sz w:val="20"/>
      <w:szCs w:val="20"/>
      <w:u w:val="none"/>
    </w:rPr>
  </w:style>
  <w:style w:type="character" w:styleId="1355" w:customStyle="1">
    <w:name w:val="WW8Num13z2"/>
    <w:qFormat/>
    <w:rPr>
      <w:rFonts w:ascii="StarSymbol" w:hAnsi="StarSymbol" w:cs="StarSymbol"/>
      <w:sz w:val="18"/>
      <w:szCs w:val="18"/>
    </w:rPr>
  </w:style>
  <w:style w:type="character" w:styleId="1356" w:customStyle="1">
    <w:name w:val="项目编号B Char"/>
    <w:link w:val="1357"/>
    <w:qFormat/>
    <w:rPr>
      <w:sz w:val="24"/>
      <w:szCs w:val="24"/>
    </w:rPr>
  </w:style>
  <w:style w:type="paragraph" w:styleId="1357" w:customStyle="1">
    <w:name w:val="项目编号B"/>
    <w:link w:val="1356"/>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358" w:customStyle="1">
    <w:name w:val="WW8Num33z1"/>
    <w:qFormat/>
    <w:rPr>
      <w:rFonts w:ascii="Wingdings 2" w:hAnsi="Wingdings 2" w:cs="StarSymbol"/>
      <w:sz w:val="18"/>
      <w:szCs w:val="18"/>
    </w:rPr>
  </w:style>
  <w:style w:type="character" w:styleId="1359" w:customStyle="1">
    <w:name w:val="项目编号A Char Char"/>
    <w:link w:val="1360"/>
    <w:qFormat/>
    <w:rPr>
      <w:sz w:val="24"/>
      <w:szCs w:val="24"/>
    </w:rPr>
  </w:style>
  <w:style w:type="paragraph" w:styleId="1360" w:customStyle="1">
    <w:name w:val="项目编号A"/>
    <w:link w:val="1359"/>
    <w:qFormat/>
    <w:pPr>
      <w:spacing w:line="360" w:lineRule="auto"/>
      <w:tabs>
        <w:tab w:val="left" w:pos="840" w:leader="none"/>
      </w:tabs>
    </w:pPr>
    <w:rPr>
      <w:rFonts w:asciiTheme="minorHAnsi" w:hAnsiTheme="minorHAnsi" w:eastAsiaTheme="minorEastAsia" w:cstheme="minorBidi"/>
      <w:sz w:val="24"/>
      <w:szCs w:val="24"/>
    </w:rPr>
  </w:style>
  <w:style w:type="character" w:styleId="1361" w:customStyle="1">
    <w:name w:val="style11"/>
    <w:qFormat/>
    <w:rPr>
      <w:color w:val="ff0000"/>
    </w:rPr>
  </w:style>
  <w:style w:type="character" w:styleId="1362" w:customStyle="1">
    <w:name w:val="Char Char15"/>
    <w:qFormat/>
    <w:rPr>
      <w:rFonts w:ascii="Arial" w:hAnsi="Arial" w:eastAsia="黑体"/>
      <w:spacing w:val="-2"/>
      <w:position w:val="-6"/>
      <w:sz w:val="24"/>
    </w:rPr>
  </w:style>
  <w:style w:type="character" w:styleId="1363" w:customStyle="1">
    <w:name w:val="WW8Num14z0"/>
    <w:qFormat/>
    <w:rPr>
      <w:rFonts w:ascii="Wingdings" w:hAnsi="Wingdings" w:cs="StarSymbol"/>
      <w:sz w:val="18"/>
      <w:szCs w:val="18"/>
    </w:rPr>
  </w:style>
  <w:style w:type="character" w:styleId="1364" w:customStyle="1">
    <w:name w:val="Char Char17"/>
    <w:qFormat/>
    <w:rPr>
      <w:rFonts w:ascii="Arial" w:hAnsi="Arial" w:eastAsia="黑体"/>
      <w:b/>
      <w:spacing w:val="-2"/>
      <w:position w:val="-6"/>
      <w:sz w:val="24"/>
    </w:rPr>
  </w:style>
  <w:style w:type="character" w:styleId="1365" w:customStyle="1">
    <w:name w:val="表格内容 Char"/>
    <w:qFormat/>
    <w:rPr>
      <w:rFonts w:hint="eastAsia" w:ascii="微软雅黑" w:hAnsi="微软雅黑" w:eastAsia="微软雅黑"/>
      <w:sz w:val="18"/>
      <w:szCs w:val="24"/>
      <w:lang w:val="en-GB"/>
    </w:rPr>
  </w:style>
  <w:style w:type="character" w:styleId="1366" w:customStyle="1">
    <w:name w:val="武汉表格 Char"/>
    <w:link w:val="1367"/>
    <w:qFormat/>
    <w:rPr>
      <w:rFonts w:eastAsia="黑体"/>
      <w:szCs w:val="21"/>
    </w:rPr>
  </w:style>
  <w:style w:type="paragraph" w:styleId="1367" w:customStyle="1">
    <w:name w:val="武汉表格"/>
    <w:basedOn w:val="919"/>
    <w:link w:val="1366"/>
    <w:qFormat/>
    <w:rPr>
      <w:rFonts w:eastAsia="黑体" w:asciiTheme="minorHAnsi" w:hAnsiTheme="minorHAnsi" w:cstheme="minorBidi"/>
      <w:szCs w:val="21"/>
    </w:rPr>
  </w:style>
  <w:style w:type="character" w:styleId="1368" w:customStyle="1">
    <w:name w:val="WW8Num12z1"/>
    <w:qFormat/>
    <w:rPr>
      <w:rFonts w:ascii="Wingdings 2" w:hAnsi="Wingdings 2" w:cs="StarSymbol"/>
      <w:sz w:val="18"/>
      <w:szCs w:val="18"/>
    </w:rPr>
  </w:style>
  <w:style w:type="character" w:styleId="1369" w:customStyle="1">
    <w:name w:val="Char Char20"/>
    <w:qFormat/>
    <w:rPr>
      <w:rFonts w:ascii="楷体_GB2312" w:eastAsia="楷体_GB2312"/>
      <w:sz w:val="28"/>
    </w:rPr>
  </w:style>
  <w:style w:type="character" w:styleId="1370" w:customStyle="1">
    <w:name w:val="con_text1"/>
    <w:qFormat/>
  </w:style>
  <w:style w:type="character" w:styleId="1371" w:customStyle="1">
    <w:name w:val="批注引用2"/>
    <w:qFormat/>
    <w:rPr>
      <w:sz w:val="21"/>
      <w:szCs w:val="21"/>
    </w:rPr>
  </w:style>
  <w:style w:type="character" w:styleId="1372" w:customStyle="1">
    <w:name w:val="WW8Num5z2"/>
    <w:qFormat/>
    <w:rPr>
      <w:rFonts w:ascii="StarSymbol" w:hAnsi="StarSymbol" w:cs="StarSymbol"/>
      <w:sz w:val="18"/>
      <w:szCs w:val="18"/>
    </w:rPr>
  </w:style>
  <w:style w:type="character" w:styleId="1373" w:customStyle="1">
    <w:name w:val="正文缩进 Char2"/>
    <w:qFormat/>
    <w:rPr>
      <w:rFonts w:eastAsia="宋体"/>
      <w:sz w:val="21"/>
      <w:lang w:val="en-US" w:eastAsia="zh-CN" w:bidi="ar-SA"/>
    </w:rPr>
  </w:style>
  <w:style w:type="character" w:styleId="1374"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375" w:customStyle="1">
    <w:name w:val="Char Char16"/>
    <w:qFormat/>
    <w:rPr>
      <w:rFonts w:ascii="宋体"/>
      <w:b/>
      <w:spacing w:val="-2"/>
      <w:position w:val="-6"/>
      <w:sz w:val="24"/>
    </w:rPr>
  </w:style>
  <w:style w:type="character" w:styleId="1376" w:customStyle="1">
    <w:name w:val="批注主题 字符1"/>
    <w:uiPriority w:val="99"/>
    <w:qFormat/>
    <w:rPr>
      <w:rFonts w:ascii="Times New Roman" w:hAnsi="Times New Roman" w:eastAsia="方正仿宋_GBK" w:cs="Times New Roman"/>
      <w:b/>
      <w:bCs/>
      <w:sz w:val="24"/>
      <w:szCs w:val="24"/>
    </w:rPr>
  </w:style>
  <w:style w:type="character" w:styleId="1377" w:customStyle="1">
    <w:name w:val="Char Char161"/>
    <w:qFormat/>
    <w:rPr>
      <w:rFonts w:ascii="宋体"/>
      <w:b/>
      <w:spacing w:val="-2"/>
      <w:position w:val="-6"/>
      <w:sz w:val="24"/>
    </w:rPr>
  </w:style>
  <w:style w:type="character" w:styleId="1378" w:customStyle="1">
    <w:name w:val="引用 Char"/>
    <w:qFormat/>
    <w:rPr>
      <w:rFonts w:ascii="Times New Roman" w:hAnsi="Times New Roman" w:eastAsia="方正仿宋_GBK" w:cs="Times New Roman"/>
      <w:i/>
      <w:iCs/>
      <w:color w:val="000000"/>
      <w:sz w:val="24"/>
      <w:szCs w:val="20"/>
    </w:rPr>
  </w:style>
  <w:style w:type="character" w:styleId="1379" w:customStyle="1">
    <w:name w:val="标题 3 Char1"/>
    <w:qFormat/>
    <w:rPr>
      <w:b/>
      <w:sz w:val="32"/>
    </w:rPr>
  </w:style>
  <w:style w:type="character" w:styleId="1380" w:customStyle="1">
    <w:name w:val="InfoBlue Char"/>
    <w:qFormat/>
    <w:rPr>
      <w:color w:val="0000ff"/>
      <w:sz w:val="21"/>
    </w:rPr>
  </w:style>
  <w:style w:type="character" w:styleId="1381" w:customStyle="1">
    <w:name w:val="副标题 Char3"/>
    <w:qFormat/>
    <w:rPr>
      <w:b/>
      <w:bCs/>
      <w:sz w:val="32"/>
      <w:szCs w:val="32"/>
    </w:rPr>
  </w:style>
  <w:style w:type="character" w:styleId="1382" w:customStyle="1">
    <w:name w:val="title_orange1"/>
    <w:qFormat/>
    <w:rPr>
      <w:b/>
      <w:bCs/>
      <w:color w:val="cc6600"/>
      <w:sz w:val="33"/>
      <w:szCs w:val="33"/>
      <w:u w:val="none"/>
    </w:rPr>
  </w:style>
  <w:style w:type="character" w:styleId="1383" w:customStyle="1">
    <w:name w:val="font61"/>
    <w:qFormat/>
    <w:rPr>
      <w:rFonts w:hint="default" w:ascii="Arial" w:hAnsi="Arial" w:cs="Arial"/>
      <w:b/>
      <w:color w:val="000000"/>
      <w:sz w:val="20"/>
      <w:szCs w:val="20"/>
      <w:u w:val="none"/>
    </w:rPr>
  </w:style>
  <w:style w:type="character" w:styleId="1384" w:customStyle="1">
    <w:name w:val="一级条标题 Char Char"/>
    <w:link w:val="1270"/>
    <w:qFormat/>
    <w:rPr>
      <w:rFonts w:ascii="黑体" w:eastAsia="黑体"/>
    </w:rPr>
  </w:style>
  <w:style w:type="character" w:styleId="1385" w:customStyle="1">
    <w:name w:val="Char Char191"/>
    <w:qFormat/>
    <w:rPr>
      <w:rFonts w:ascii="Arial" w:hAnsi="Arial" w:eastAsia="黑体"/>
      <w:b/>
      <w:bCs/>
      <w:sz w:val="28"/>
      <w:szCs w:val="28"/>
    </w:rPr>
  </w:style>
  <w:style w:type="character" w:styleId="1386" w:customStyle="1">
    <w:name w:val="WW8Num33z0"/>
    <w:qFormat/>
    <w:rPr>
      <w:rFonts w:ascii="Wingdings" w:hAnsi="Wingdings" w:cs="StarSymbol"/>
      <w:sz w:val="18"/>
      <w:szCs w:val="18"/>
    </w:rPr>
  </w:style>
  <w:style w:type="character" w:styleId="1387" w:customStyle="1">
    <w:name w:val="font91"/>
    <w:qFormat/>
    <w:rPr>
      <w:rFonts w:hint="eastAsia" w:ascii="宋体" w:hAnsi="宋体" w:eastAsia="宋体" w:cs="宋体"/>
      <w:color w:val="000000"/>
      <w:sz w:val="20"/>
      <w:szCs w:val="20"/>
      <w:u w:val="none"/>
    </w:rPr>
  </w:style>
  <w:style w:type="character" w:styleId="1388" w:customStyle="1">
    <w:name w:val="op_dict_text21"/>
    <w:qFormat/>
  </w:style>
  <w:style w:type="character" w:styleId="1389" w:customStyle="1">
    <w:name w:val="normal91"/>
    <w:qFormat/>
    <w:rPr>
      <w:rFonts w:ascii="Calibri" w:hAnsi="Calibri" w:eastAsia="宋体" w:cs="Times New Roman"/>
      <w:sz w:val="20"/>
      <w:szCs w:val="20"/>
    </w:rPr>
  </w:style>
  <w:style w:type="character" w:styleId="1390" w:customStyle="1">
    <w:name w:val="WW8Num18z1"/>
    <w:qFormat/>
    <w:rPr>
      <w:rFonts w:ascii="Wingdings 2" w:hAnsi="Wingdings 2" w:cs="StarSymbol"/>
      <w:sz w:val="18"/>
      <w:szCs w:val="18"/>
    </w:rPr>
  </w:style>
  <w:style w:type="character" w:styleId="1391" w:customStyle="1">
    <w:name w:val="font121"/>
    <w:qFormat/>
    <w:rPr>
      <w:rFonts w:hint="eastAsia" w:ascii="宋体" w:hAnsi="宋体" w:eastAsia="宋体" w:cs="宋体"/>
      <w:b/>
      <w:color w:val="000000"/>
      <w:sz w:val="20"/>
      <w:szCs w:val="20"/>
      <w:u w:val="none"/>
    </w:rPr>
  </w:style>
  <w:style w:type="character" w:styleId="1392" w:customStyle="1">
    <w:name w:val="标题 4 Char1"/>
    <w:qFormat/>
    <w:rPr>
      <w:rFonts w:hint="default" w:ascii="Cambria" w:hAnsi="Cambria" w:eastAsia="宋体" w:cs="Times New Roman"/>
      <w:b/>
      <w:bCs/>
      <w:sz w:val="28"/>
      <w:szCs w:val="28"/>
    </w:rPr>
  </w:style>
  <w:style w:type="character" w:styleId="1393" w:customStyle="1">
    <w:name w:val="Char Char19"/>
    <w:qFormat/>
    <w:rPr>
      <w:rFonts w:ascii="Arial" w:hAnsi="Arial" w:eastAsia="黑体"/>
      <w:b/>
      <w:bCs/>
      <w:sz w:val="28"/>
      <w:szCs w:val="28"/>
    </w:rPr>
  </w:style>
  <w:style w:type="character" w:styleId="1394" w:customStyle="1">
    <w:name w:val="标题 9 字符1"/>
    <w:uiPriority w:val="9"/>
    <w:qFormat/>
    <w:rPr>
      <w:rFonts w:ascii="Arial" w:hAnsi="Arial" w:eastAsia="黑体" w:cs="Times New Roman"/>
      <w:sz w:val="24"/>
      <w:szCs w:val="21"/>
    </w:rPr>
  </w:style>
  <w:style w:type="character" w:styleId="1395" w:customStyle="1">
    <w:name w:val="font131"/>
    <w:qFormat/>
    <w:rPr>
      <w:rFonts w:hint="eastAsia" w:ascii="宋体" w:hAnsi="宋体" w:eastAsia="宋体" w:cs="宋体"/>
      <w:color w:val="000000"/>
      <w:sz w:val="18"/>
      <w:szCs w:val="18"/>
      <w:u w:val="none"/>
    </w:rPr>
  </w:style>
  <w:style w:type="character" w:styleId="1396" w:customStyle="1">
    <w:name w:val="标题G Char"/>
    <w:qFormat/>
    <w:rPr>
      <w:rFonts w:hint="eastAsia" w:ascii="方正小标宋_GBK" w:hAnsi="方正小标宋_GBK" w:eastAsia="方正小标宋_GBK"/>
      <w:color w:val="000000"/>
      <w:spacing w:val="-20"/>
      <w:sz w:val="44"/>
      <w:szCs w:val="52"/>
    </w:rPr>
  </w:style>
  <w:style w:type="character" w:styleId="1397" w:customStyle="1">
    <w:name w:val="批注引用1"/>
    <w:qFormat/>
    <w:rPr>
      <w:sz w:val="21"/>
      <w:szCs w:val="21"/>
    </w:rPr>
  </w:style>
  <w:style w:type="character" w:styleId="1398" w:customStyle="1">
    <w:name w:val="WW-Absatz-Standardschriftart111"/>
    <w:qFormat/>
  </w:style>
  <w:style w:type="character" w:styleId="1399" w:customStyle="1">
    <w:name w:val="font81"/>
    <w:qFormat/>
    <w:rPr>
      <w:rFonts w:hint="eastAsia" w:ascii="宋体" w:hAnsi="宋体" w:eastAsia="宋体" w:cs="宋体"/>
      <w:b/>
      <w:color w:val="000000"/>
      <w:sz w:val="20"/>
      <w:szCs w:val="20"/>
      <w:u w:val="none"/>
    </w:rPr>
  </w:style>
  <w:style w:type="character" w:styleId="1400" w:customStyle="1">
    <w:name w:val="m1"/>
    <w:qFormat/>
    <w:rPr>
      <w:rFonts w:hint="eastAsia" w:ascii="宋体" w:hAnsi="宋体" w:eastAsia="宋体"/>
      <w:color w:val="0000ff"/>
      <w:lang w:val="en-US" w:eastAsia="zh-CN" w:bidi="ar-SA"/>
    </w:rPr>
  </w:style>
  <w:style w:type="character" w:styleId="1401" w:customStyle="1">
    <w:name w:val="表格 Char Char"/>
    <w:link w:val="1402"/>
    <w:qFormat/>
    <w:rPr>
      <w:rFonts w:ascii="Arial" w:hAnsi="Arial"/>
      <w:sz w:val="24"/>
      <w:szCs w:val="24"/>
    </w:rPr>
  </w:style>
  <w:style w:type="paragraph" w:styleId="1402" w:customStyle="1">
    <w:name w:val="表格"/>
    <w:basedOn w:val="919"/>
    <w:link w:val="1401"/>
    <w:qFormat/>
    <w:rPr>
      <w:rFonts w:ascii="Arial" w:hAnsi="Arial" w:eastAsiaTheme="minorEastAsia" w:cstheme="minorBidi"/>
      <w:sz w:val="24"/>
    </w:rPr>
  </w:style>
  <w:style w:type="character" w:styleId="1403" w:customStyle="1">
    <w:name w:val="WW8Num21z2"/>
    <w:qFormat/>
    <w:rPr>
      <w:rFonts w:ascii="StarSymbol" w:hAnsi="StarSymbol" w:cs="StarSymbol"/>
      <w:sz w:val="18"/>
      <w:szCs w:val="18"/>
    </w:rPr>
  </w:style>
  <w:style w:type="character" w:styleId="1404" w:customStyle="1">
    <w:name w:val="副标题 Char1"/>
    <w:qFormat/>
    <w:rPr>
      <w:rFonts w:ascii="Cambria" w:hAnsi="Cambria" w:cs="Times New Roman"/>
      <w:b/>
      <w:bCs/>
      <w:sz w:val="32"/>
      <w:szCs w:val="32"/>
    </w:rPr>
  </w:style>
  <w:style w:type="character" w:styleId="1405" w:customStyle="1">
    <w:name w:val="atitle31"/>
    <w:qFormat/>
    <w:rPr>
      <w:rFonts w:hint="default" w:ascii="Arial" w:hAnsi="Arial" w:cs="Arial"/>
      <w:b/>
      <w:bCs/>
      <w:sz w:val="29"/>
      <w:szCs w:val="29"/>
    </w:rPr>
  </w:style>
  <w:style w:type="character" w:styleId="1406" w:customStyle="1">
    <w:name w:val="副标题 Char2"/>
    <w:qFormat/>
    <w:rPr>
      <w:rFonts w:ascii="Cambria" w:hAnsi="Cambria" w:cs="Times New Roman"/>
      <w:b/>
      <w:bCs/>
      <w:sz w:val="32"/>
      <w:szCs w:val="32"/>
    </w:rPr>
  </w:style>
  <w:style w:type="character" w:styleId="1407" w:customStyle="1">
    <w:name w:val="WW8Num21z1"/>
    <w:qFormat/>
    <w:rPr>
      <w:rFonts w:ascii="Wingdings" w:hAnsi="Wingdings"/>
    </w:rPr>
  </w:style>
  <w:style w:type="character" w:styleId="1408" w:customStyle="1">
    <w:name w:val="font191"/>
    <w:qFormat/>
    <w:rPr>
      <w:rFonts w:hint="default" w:ascii="Arial" w:hAnsi="Arial" w:cs="Arial"/>
      <w:b/>
      <w:color w:val="000000"/>
      <w:sz w:val="20"/>
      <w:szCs w:val="20"/>
      <w:u w:val="none"/>
    </w:rPr>
  </w:style>
  <w:style w:type="character" w:styleId="1409" w:customStyle="1">
    <w:name w:val="MM Topic 2 Char"/>
    <w:link w:val="1410"/>
    <w:qFormat/>
    <w:rPr>
      <w:rFonts w:ascii="Cambria" w:hAnsi="Cambria"/>
      <w:b/>
      <w:bCs/>
      <w:sz w:val="32"/>
      <w:szCs w:val="32"/>
      <w:lang w:val="zh-CN"/>
    </w:rPr>
  </w:style>
  <w:style w:type="paragraph" w:styleId="1410" w:customStyle="1">
    <w:name w:val="MM Topic 2"/>
    <w:basedOn w:val="921"/>
    <w:link w:val="1409"/>
    <w:qFormat/>
    <w:pPr>
      <w:ind w:left="840" w:hanging="420"/>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411" w:customStyle="1">
    <w:name w:val="注释标题 Char"/>
    <w:qFormat/>
    <w:rPr>
      <w:sz w:val="21"/>
      <w:szCs w:val="24"/>
    </w:rPr>
  </w:style>
  <w:style w:type="character" w:styleId="1412" w:customStyle="1">
    <w:name w:val="页眉 字符1"/>
    <w:qFormat/>
    <w:rPr>
      <w:rFonts w:ascii="Times New Roman" w:hAnsi="Times New Roman" w:eastAsia="方正仿宋_GBK" w:cs="Times New Roman"/>
      <w:sz w:val="18"/>
      <w:szCs w:val="18"/>
    </w:rPr>
  </w:style>
  <w:style w:type="character" w:styleId="1413" w:customStyle="1">
    <w:name w:val="称呼 Char"/>
    <w:qFormat/>
    <w:rPr>
      <w:sz w:val="21"/>
      <w:szCs w:val="24"/>
    </w:rPr>
  </w:style>
  <w:style w:type="character" w:styleId="1414" w:customStyle="1">
    <w:name w:val="WW8Num16z2"/>
    <w:qFormat/>
    <w:rPr>
      <w:rFonts w:ascii="StarSymbol" w:hAnsi="StarSymbol" w:cs="StarSymbol"/>
      <w:sz w:val="18"/>
      <w:szCs w:val="18"/>
    </w:rPr>
  </w:style>
  <w:style w:type="character" w:styleId="1415" w:customStyle="1">
    <w:name w:val="HTML 地址 Char"/>
    <w:qFormat/>
    <w:rPr>
      <w:i/>
      <w:iCs/>
      <w:sz w:val="21"/>
      <w:szCs w:val="24"/>
    </w:rPr>
  </w:style>
  <w:style w:type="character" w:styleId="1416" w:customStyle="1">
    <w:name w:val="WW8Num22z0"/>
    <w:qFormat/>
    <w:rPr>
      <w:rFonts w:ascii="Wingdings" w:hAnsi="Wingdings" w:cs="StarSymbol"/>
      <w:sz w:val="18"/>
      <w:szCs w:val="18"/>
    </w:rPr>
  </w:style>
  <w:style w:type="character" w:styleId="1417" w:customStyle="1">
    <w:name w:val="尾注文本 Char1"/>
    <w:qFormat/>
    <w:rPr>
      <w:szCs w:val="24"/>
      <w:lang w:val="zh-CN"/>
    </w:rPr>
  </w:style>
  <w:style w:type="character" w:styleId="1418" w:customStyle="1">
    <w:name w:val="WW8Num18z0"/>
    <w:qFormat/>
    <w:rPr>
      <w:rFonts w:ascii="Wingdings" w:hAnsi="Wingdings" w:cs="StarSymbol"/>
      <w:sz w:val="18"/>
      <w:szCs w:val="18"/>
    </w:rPr>
  </w:style>
  <w:style w:type="character" w:styleId="1419" w:customStyle="1">
    <w:name w:val="HTML 预设格式 Char"/>
    <w:uiPriority w:val="99"/>
    <w:qFormat/>
    <w:rPr>
      <w:rFonts w:ascii="Courier New" w:hAnsi="Courier New" w:cs="Courier New"/>
    </w:rPr>
  </w:style>
  <w:style w:type="character" w:styleId="1420" w:customStyle="1">
    <w:name w:val="WW8Num27z2"/>
    <w:qFormat/>
    <w:rPr>
      <w:rFonts w:ascii="StarSymbol" w:hAnsi="StarSymbol" w:cs="StarSymbol"/>
      <w:sz w:val="18"/>
      <w:szCs w:val="18"/>
    </w:rPr>
  </w:style>
  <w:style w:type="character" w:styleId="1421" w:customStyle="1">
    <w:name w:val="正文首行缩进 2 Char"/>
    <w:qFormat/>
    <w:rPr>
      <w:rFonts w:ascii="楷体_GB2312" w:eastAsia="楷体_GB2312"/>
      <w:sz w:val="21"/>
      <w:szCs w:val="24"/>
    </w:rPr>
  </w:style>
  <w:style w:type="character" w:styleId="1422" w:customStyle="1">
    <w:name w:val="atitle21"/>
    <w:qFormat/>
    <w:rPr>
      <w:rFonts w:hint="default" w:ascii="Arial" w:hAnsi="Arial" w:cs="Arial"/>
      <w:b/>
      <w:bCs/>
      <w:sz w:val="35"/>
      <w:szCs w:val="35"/>
    </w:rPr>
  </w:style>
  <w:style w:type="character" w:styleId="1423" w:customStyle="1">
    <w:name w:val="标题 1 Char2"/>
    <w:qFormat/>
    <w:rPr>
      <w:rFonts w:ascii="Times New Roman" w:hAnsi="Times New Roman" w:eastAsia="宋体" w:cs="Times New Roman"/>
      <w:b/>
      <w:bCs/>
      <w:sz w:val="32"/>
      <w:szCs w:val="28"/>
    </w:rPr>
  </w:style>
  <w:style w:type="character" w:styleId="1424" w:customStyle="1">
    <w:name w:val="op_dict3_lineone_result_tip"/>
    <w:qFormat/>
    <w:rPr>
      <w:color w:val="999999"/>
    </w:rPr>
  </w:style>
  <w:style w:type="character" w:styleId="1425" w:customStyle="1">
    <w:name w:val="标题 2 Char2"/>
    <w:qFormat/>
    <w:rPr>
      <w:rFonts w:ascii="Times New Roman" w:hAnsi="Times New Roman" w:eastAsia="宋体" w:cs="Times New Roman"/>
      <w:b/>
      <w:bCs/>
      <w:sz w:val="30"/>
      <w:szCs w:val="32"/>
    </w:rPr>
  </w:style>
  <w:style w:type="character" w:styleId="1426" w:customStyle="1">
    <w:name w:val="标题 3 Char2"/>
    <w:qFormat/>
    <w:rPr>
      <w:rFonts w:ascii="Times New Roman" w:hAnsi="Times New Roman" w:eastAsia="宋体" w:cs="Times New Roman"/>
      <w:b/>
      <w:bCs/>
      <w:sz w:val="28"/>
      <w:szCs w:val="18"/>
    </w:rPr>
  </w:style>
  <w:style w:type="character" w:styleId="1427" w:customStyle="1">
    <w:name w:val="WW8Num9z2"/>
    <w:qFormat/>
    <w:rPr>
      <w:rFonts w:ascii="StarSymbol" w:hAnsi="StarSymbol" w:cs="StarSymbol"/>
      <w:sz w:val="18"/>
      <w:szCs w:val="18"/>
    </w:rPr>
  </w:style>
  <w:style w:type="character" w:styleId="1428" w:customStyle="1">
    <w:name w:val="标题 4 Char2"/>
    <w:qFormat/>
    <w:rPr>
      <w:rFonts w:ascii="Times New Roman" w:hAnsi="Times New Roman" w:eastAsia="宋体" w:cs="Times New Roman"/>
      <w:b/>
      <w:bCs/>
      <w:sz w:val="24"/>
      <w:szCs w:val="28"/>
    </w:rPr>
  </w:style>
  <w:style w:type="character" w:styleId="1429" w:customStyle="1">
    <w:name w:val="WW8Num13z1"/>
    <w:qFormat/>
    <w:rPr>
      <w:rFonts w:ascii="Wingdings 2" w:hAnsi="Wingdings 2" w:cs="StarSymbol"/>
      <w:sz w:val="18"/>
      <w:szCs w:val="18"/>
    </w:rPr>
  </w:style>
  <w:style w:type="character" w:styleId="1430" w:customStyle="1">
    <w:name w:val="标题 5 Char2"/>
    <w:qFormat/>
    <w:rPr>
      <w:rFonts w:ascii="Times New Roman" w:hAnsi="Times New Roman" w:eastAsia="宋体" w:cs="Times New Roman"/>
      <w:b/>
      <w:bCs/>
      <w:sz w:val="21"/>
      <w:szCs w:val="28"/>
      <w:lang w:val="zh-CN"/>
    </w:rPr>
  </w:style>
  <w:style w:type="character" w:styleId="1431" w:customStyle="1">
    <w:name w:val="WW8Num15z7"/>
    <w:qFormat/>
    <w:rPr>
      <w:rFonts w:ascii="Wingdings" w:hAnsi="Wingdings"/>
    </w:rPr>
  </w:style>
  <w:style w:type="character" w:styleId="1432" w:customStyle="1">
    <w:name w:val="标题 6 Char2"/>
    <w:qFormat/>
    <w:rPr>
      <w:rFonts w:ascii="Cambria" w:hAnsi="Cambria" w:eastAsia="宋体" w:cs="Times New Roman"/>
      <w:b/>
      <w:bCs/>
      <w:sz w:val="24"/>
      <w:szCs w:val="24"/>
      <w:lang w:val="zh-CN"/>
    </w:rPr>
  </w:style>
  <w:style w:type="character" w:styleId="1433" w:customStyle="1">
    <w:name w:val="WW8Num26z0"/>
    <w:qFormat/>
    <w:rPr>
      <w:rFonts w:ascii="Wingdings" w:hAnsi="Wingdings" w:cs="StarSymbol"/>
      <w:sz w:val="18"/>
      <w:szCs w:val="18"/>
    </w:rPr>
  </w:style>
  <w:style w:type="character" w:styleId="1434" w:customStyle="1">
    <w:name w:val="正文文本缩进 Char3"/>
    <w:qFormat/>
    <w:rPr>
      <w:rFonts w:ascii="Times New Roman" w:hAnsi="Times New Roman" w:eastAsia="宋体" w:cs="Times New Roman"/>
      <w:szCs w:val="24"/>
      <w:lang w:val="zh-CN" w:eastAsia="zh-CN"/>
    </w:rPr>
  </w:style>
  <w:style w:type="character" w:styleId="1435" w:customStyle="1">
    <w:name w:val="WW8Num26z2"/>
    <w:qFormat/>
    <w:rPr>
      <w:rFonts w:ascii="StarSymbol" w:hAnsi="StarSymbol" w:cs="StarSymbol"/>
      <w:sz w:val="18"/>
      <w:szCs w:val="18"/>
    </w:rPr>
  </w:style>
  <w:style w:type="character" w:styleId="1436" w:customStyle="1">
    <w:name w:val="批注框文本 Char3"/>
    <w:uiPriority w:val="99"/>
    <w:qFormat/>
    <w:rPr>
      <w:rFonts w:ascii="Times New Roman" w:hAnsi="Times New Roman" w:eastAsia="宋体" w:cs="Times New Roman"/>
      <w:sz w:val="18"/>
      <w:szCs w:val="18"/>
    </w:rPr>
  </w:style>
  <w:style w:type="character" w:styleId="1437" w:customStyle="1">
    <w:name w:val="bz-content"/>
    <w:qFormat/>
  </w:style>
  <w:style w:type="character" w:styleId="1438" w:customStyle="1">
    <w:name w:val="标题 Char2"/>
    <w:qFormat/>
    <w:rPr>
      <w:rFonts w:ascii="Cambria" w:hAnsi="Cambria" w:eastAsia="黑体" w:cs="Times New Roman"/>
      <w:b/>
      <w:bCs/>
      <w:sz w:val="52"/>
      <w:szCs w:val="32"/>
    </w:rPr>
  </w:style>
  <w:style w:type="character" w:styleId="1439" w:customStyle="1">
    <w:name w:val="标题 字符1"/>
    <w:qFormat/>
    <w:rPr>
      <w:rFonts w:ascii="宋体" w:hAnsi="宋体" w:eastAsia="方正小标宋_GBK" w:cs="Times New Roman"/>
      <w:color w:val="000000"/>
      <w:sz w:val="52"/>
      <w:szCs w:val="52"/>
    </w:rPr>
  </w:style>
  <w:style w:type="character" w:styleId="1440" w:customStyle="1">
    <w:name w:val="正文2 字符"/>
    <w:link w:val="1441"/>
    <w:qFormat/>
    <w:rPr>
      <w:szCs w:val="24"/>
    </w:rPr>
  </w:style>
  <w:style w:type="paragraph" w:styleId="1441" w:customStyle="1">
    <w:name w:val="正文2"/>
    <w:basedOn w:val="919"/>
    <w:link w:val="1440"/>
    <w:qFormat/>
    <w:pPr>
      <w:ind w:firstLine="420"/>
      <w:spacing w:line="360" w:lineRule="auto"/>
    </w:pPr>
    <w:rPr>
      <w:rFonts w:asciiTheme="minorHAnsi" w:hAnsiTheme="minorHAnsi" w:eastAsiaTheme="minorEastAsia" w:cstheme="minorBidi"/>
    </w:rPr>
  </w:style>
  <w:style w:type="character" w:styleId="1442" w:customStyle="1">
    <w:name w:val="WW8Num4z2"/>
    <w:qFormat/>
    <w:rPr>
      <w:rFonts w:ascii="StarSymbol" w:hAnsi="StarSymbol" w:cs="StarSymbol"/>
      <w:sz w:val="18"/>
      <w:szCs w:val="18"/>
    </w:rPr>
  </w:style>
  <w:style w:type="character" w:styleId="1443" w:customStyle="1">
    <w:name w:val="标题 7 Char2"/>
    <w:qFormat/>
    <w:rPr>
      <w:rFonts w:ascii="Times New Roman" w:hAnsi="Times New Roman" w:eastAsia="宋体" w:cs="Times New Roman"/>
      <w:b/>
      <w:bCs/>
      <w:sz w:val="24"/>
      <w:szCs w:val="24"/>
    </w:rPr>
  </w:style>
  <w:style w:type="character" w:styleId="1444" w:customStyle="1">
    <w:name w:val="WW-Absatz-Standardschriftart1"/>
    <w:qFormat/>
  </w:style>
  <w:style w:type="character" w:styleId="1445" w:customStyle="1">
    <w:name w:val="标题 9 Char2"/>
    <w:qFormat/>
    <w:rPr>
      <w:rFonts w:ascii="Times New Roman" w:hAnsi="Times New Roman" w:eastAsia="宋体" w:cs="Times New Roman"/>
      <w:b/>
      <w:bCs/>
      <w:sz w:val="30"/>
      <w:szCs w:val="18"/>
    </w:rPr>
  </w:style>
  <w:style w:type="character" w:styleId="1446" w:customStyle="1">
    <w:name w:val="WW8Num3z1"/>
    <w:qFormat/>
    <w:rPr>
      <w:rFonts w:ascii="Wingdings 2" w:hAnsi="Wingdings 2" w:cs="StarSymbol"/>
      <w:sz w:val="18"/>
      <w:szCs w:val="18"/>
    </w:rPr>
  </w:style>
  <w:style w:type="character" w:styleId="1447" w:customStyle="1">
    <w:name w:val="批注文字 Char3"/>
    <w:uiPriority w:val="99"/>
    <w:qFormat/>
    <w:rPr>
      <w:rFonts w:ascii="Times New Roman" w:hAnsi="Times New Roman" w:eastAsia="宋体" w:cs="Times New Roman"/>
      <w:szCs w:val="24"/>
      <w:lang w:val="zh-CN"/>
    </w:rPr>
  </w:style>
  <w:style w:type="character" w:styleId="1448" w:customStyle="1">
    <w:name w:val="WW8Num29z1"/>
    <w:qFormat/>
    <w:rPr>
      <w:rFonts w:ascii="Wingdings 2" w:hAnsi="Wingdings 2" w:cs="StarSymbol"/>
      <w:sz w:val="18"/>
      <w:szCs w:val="18"/>
    </w:rPr>
  </w:style>
  <w:style w:type="character" w:styleId="1449" w:customStyle="1">
    <w:name w:val="正文文本 Char3"/>
    <w:qFormat/>
    <w:rPr>
      <w:rFonts w:ascii="Times New Roman" w:hAnsi="Times New Roman" w:eastAsia="宋体" w:cs="Times New Roman"/>
      <w:szCs w:val="24"/>
    </w:rPr>
  </w:style>
  <w:style w:type="character" w:styleId="1450" w:customStyle="1">
    <w:name w:val="WW8Num9z1"/>
    <w:qFormat/>
    <w:rPr>
      <w:rFonts w:ascii="Wingdings 2" w:hAnsi="Wingdings 2" w:cs="StarSymbol"/>
      <w:sz w:val="18"/>
      <w:szCs w:val="18"/>
    </w:rPr>
  </w:style>
  <w:style w:type="character" w:styleId="1451" w:customStyle="1">
    <w:name w:val="日期 Char3"/>
    <w:qFormat/>
    <w:rPr>
      <w:rFonts w:ascii="Times New Roman" w:hAnsi="Times New Roman" w:eastAsia="宋体" w:cs="Times New Roman"/>
      <w:szCs w:val="24"/>
    </w:rPr>
  </w:style>
  <w:style w:type="character" w:styleId="1452" w:customStyle="1">
    <w:name w:val="WW8Num5z1"/>
    <w:qFormat/>
    <w:rPr>
      <w:rFonts w:ascii="Wingdings 2" w:hAnsi="Wingdings 2" w:cs="StarSymbol"/>
      <w:sz w:val="18"/>
      <w:szCs w:val="18"/>
    </w:rPr>
  </w:style>
  <w:style w:type="character" w:styleId="1453" w:customStyle="1">
    <w:name w:val="正文首行缩进 Char4"/>
    <w:basedOn w:val="1449"/>
    <w:qFormat/>
    <w:rPr>
      <w:rFonts w:ascii="Times New Roman" w:hAnsi="Times New Roman" w:eastAsia="宋体" w:cs="Times New Roman"/>
      <w:szCs w:val="24"/>
    </w:rPr>
  </w:style>
  <w:style w:type="character" w:styleId="1454" w:customStyle="1">
    <w:name w:val="标题 4 字符1"/>
    <w:uiPriority w:val="9"/>
    <w:qFormat/>
    <w:rPr>
      <w:rFonts w:ascii="仿宋" w:hAnsi="仿宋" w:eastAsia="仿宋"/>
      <w:b/>
      <w:bCs/>
      <w:sz w:val="32"/>
      <w:szCs w:val="32"/>
    </w:rPr>
  </w:style>
  <w:style w:type="character" w:styleId="1455" w:customStyle="1">
    <w:name w:val="正文文本 2 Char2"/>
    <w:qFormat/>
    <w:rPr>
      <w:rFonts w:ascii="Times New Roman" w:hAnsi="Times New Roman" w:eastAsia="宋体" w:cs="Times New Roman"/>
      <w:szCs w:val="24"/>
    </w:rPr>
  </w:style>
  <w:style w:type="character" w:styleId="1456" w:customStyle="1">
    <w:name w:val="Bullets"/>
    <w:qFormat/>
    <w:rPr>
      <w:rFonts w:ascii="StarSymbol" w:hAnsi="StarSymbol" w:eastAsia="StarSymbol" w:cs="StarSymbol"/>
      <w:sz w:val="18"/>
      <w:szCs w:val="18"/>
    </w:rPr>
  </w:style>
  <w:style w:type="character" w:styleId="1457" w:customStyle="1">
    <w:name w:val="正文文本 3 Char2"/>
    <w:qFormat/>
    <w:rPr>
      <w:rFonts w:ascii="Times New Roman" w:hAnsi="Times New Roman" w:eastAsia="宋体" w:cs="Times New Roman"/>
      <w:sz w:val="16"/>
      <w:szCs w:val="16"/>
    </w:rPr>
  </w:style>
  <w:style w:type="character" w:styleId="1458" w:customStyle="1">
    <w:name w:val="WW8Num39z2"/>
    <w:qFormat/>
    <w:rPr>
      <w:rFonts w:ascii="StarSymbol" w:hAnsi="StarSymbol" w:cs="StarSymbol"/>
      <w:sz w:val="18"/>
      <w:szCs w:val="18"/>
    </w:rPr>
  </w:style>
  <w:style w:type="character" w:styleId="1459" w:customStyle="1">
    <w:name w:val="正文文本缩进 2 Char3"/>
    <w:qFormat/>
    <w:rPr>
      <w:rFonts w:ascii="Times New Roman" w:hAnsi="Times New Roman" w:eastAsia="楷体_GB2312" w:cs="Times New Roman"/>
      <w:sz w:val="24"/>
      <w:szCs w:val="24"/>
    </w:rPr>
  </w:style>
  <w:style w:type="character" w:styleId="1460" w:customStyle="1">
    <w:name w:val="WW8Num11z2"/>
    <w:qFormat/>
    <w:rPr>
      <w:rFonts w:ascii="StarSymbol" w:hAnsi="StarSymbol" w:cs="StarSymbol"/>
      <w:sz w:val="18"/>
      <w:szCs w:val="18"/>
    </w:rPr>
  </w:style>
  <w:style w:type="character" w:styleId="1461" w:customStyle="1">
    <w:name w:val="正文文本缩进 3 Char2"/>
    <w:qFormat/>
    <w:rPr>
      <w:rFonts w:ascii="Times New Roman" w:hAnsi="Times New Roman" w:eastAsia="宋体" w:cs="Times New Roman"/>
      <w:sz w:val="16"/>
      <w:szCs w:val="16"/>
    </w:rPr>
  </w:style>
  <w:style w:type="character" w:styleId="1462" w:customStyle="1">
    <w:name w:val="WW8Num4z1"/>
    <w:qFormat/>
    <w:rPr>
      <w:rFonts w:ascii="Wingdings" w:hAnsi="Wingdings"/>
    </w:rPr>
  </w:style>
  <w:style w:type="character" w:styleId="1463" w:customStyle="1">
    <w:name w:val="方案正文 Char1"/>
    <w:link w:val="1464"/>
    <w:qFormat/>
    <w:rPr>
      <w:rFonts w:ascii="宋体" w:hAnsi="宋体" w:cs="宋体"/>
      <w:szCs w:val="28"/>
    </w:rPr>
  </w:style>
  <w:style w:type="paragraph" w:styleId="1464" w:customStyle="1">
    <w:name w:val="方案正文"/>
    <w:basedOn w:val="919"/>
    <w:next w:val="919"/>
    <w:link w:val="1463"/>
    <w:qFormat/>
    <w:pPr>
      <w:ind w:firstLine="200"/>
      <w:jc w:val="left"/>
      <w:spacing w:line="440" w:lineRule="exact"/>
    </w:pPr>
    <w:rPr>
      <w:rFonts w:ascii="宋体" w:hAnsi="宋体" w:cs="宋体" w:eastAsiaTheme="minorEastAsia"/>
      <w:szCs w:val="28"/>
    </w:rPr>
  </w:style>
  <w:style w:type="character" w:styleId="1465" w:customStyle="1">
    <w:name w:val="标题 8 字符1"/>
    <w:uiPriority w:val="9"/>
    <w:qFormat/>
    <w:rPr>
      <w:rFonts w:ascii="Arial" w:hAnsi="Arial" w:eastAsia="黑体" w:cs="Times New Roman"/>
      <w:sz w:val="24"/>
      <w:szCs w:val="24"/>
    </w:rPr>
  </w:style>
  <w:style w:type="character" w:styleId="1466" w:customStyle="1">
    <w:name w:val="FA正文 Char"/>
    <w:link w:val="1467"/>
    <w:qFormat/>
    <w:rPr>
      <w:rFonts w:ascii="宋体" w:hAnsi="宋体"/>
      <w:spacing w:val="10"/>
      <w:sz w:val="24"/>
      <w:szCs w:val="24"/>
    </w:rPr>
  </w:style>
  <w:style w:type="paragraph" w:styleId="1467" w:customStyle="1">
    <w:name w:val="FA正文"/>
    <w:basedOn w:val="919"/>
    <w:link w:val="1466"/>
    <w:qFormat/>
    <w:pPr>
      <w:ind w:firstLine="520"/>
      <w:spacing w:line="360" w:lineRule="auto"/>
      <w:tabs>
        <w:tab w:val="left" w:pos="3375" w:leader="none"/>
      </w:tabs>
    </w:pPr>
    <w:rPr>
      <w:rFonts w:ascii="宋体" w:hAnsi="宋体" w:eastAsiaTheme="minorEastAsia" w:cstheme="minorBidi"/>
      <w:spacing w:val="10"/>
      <w:sz w:val="24"/>
    </w:rPr>
  </w:style>
  <w:style w:type="character" w:styleId="1468" w:customStyle="1">
    <w:name w:val="WW8Num18z7"/>
    <w:qFormat/>
    <w:rPr>
      <w:rFonts w:ascii="Wingdings" w:hAnsi="Wingdings"/>
    </w:rPr>
  </w:style>
  <w:style w:type="character" w:styleId="1469" w:customStyle="1">
    <w:name w:val="方案正文-样式 小四 行距: 1.5 倍行距 Char"/>
    <w:link w:val="1470"/>
    <w:qFormat/>
    <w:rPr>
      <w:sz w:val="24"/>
      <w:lang w:val="zh-CN"/>
    </w:rPr>
  </w:style>
  <w:style w:type="paragraph" w:styleId="1470" w:customStyle="1">
    <w:name w:val="方案正文-样式 小四 行距: 1.5 倍行距"/>
    <w:basedOn w:val="919"/>
    <w:link w:val="1469"/>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471" w:customStyle="1">
    <w:name w:val="WW8Num36z2"/>
    <w:qFormat/>
    <w:rPr>
      <w:rFonts w:ascii="StarSymbol" w:hAnsi="StarSymbol" w:cs="StarSymbol"/>
      <w:sz w:val="18"/>
      <w:szCs w:val="18"/>
    </w:rPr>
  </w:style>
  <w:style w:type="character" w:styleId="1472" w:customStyle="1">
    <w:name w:val="label_list1"/>
    <w:qFormat/>
  </w:style>
  <w:style w:type="character" w:styleId="1473" w:customStyle="1">
    <w:name w:val="WW8Num9z0"/>
    <w:qFormat/>
    <w:rPr>
      <w:rFonts w:ascii="Wingdings" w:hAnsi="Wingdings" w:cs="StarSymbol"/>
      <w:sz w:val="18"/>
      <w:szCs w:val="18"/>
    </w:rPr>
  </w:style>
  <w:style w:type="character" w:styleId="1474" w:customStyle="1">
    <w:name w:val="p11b1"/>
    <w:qFormat/>
    <w:rPr>
      <w:color w:val="000000"/>
      <w:spacing w:val="320"/>
      <w:sz w:val="20"/>
      <w:szCs w:val="20"/>
      <w:u w:val="none"/>
    </w:rPr>
  </w:style>
  <w:style w:type="character" w:styleId="1475" w:customStyle="1">
    <w:name w:val="WW8Num8z1"/>
    <w:qFormat/>
    <w:rPr>
      <w:rFonts w:ascii="Wingdings 2" w:hAnsi="Wingdings 2" w:cs="StarSymbol"/>
      <w:sz w:val="18"/>
      <w:szCs w:val="18"/>
    </w:rPr>
  </w:style>
  <w:style w:type="character" w:styleId="1476" w:customStyle="1">
    <w:name w:val="Indent Normal Char"/>
    <w:qFormat/>
    <w:rPr>
      <w:rFonts w:hint="eastAsia" w:ascii="宋体" w:hAnsi="宋体" w:eastAsia="宋体"/>
      <w:sz w:val="21"/>
      <w:szCs w:val="24"/>
      <w:lang w:val="en-US" w:eastAsia="zh-CN" w:bidi="ar-SA"/>
    </w:rPr>
  </w:style>
  <w:style w:type="character" w:styleId="1477" w:customStyle="1">
    <w:name w:val="标题 2 字符1"/>
    <w:qFormat/>
    <w:rPr>
      <w:rFonts w:ascii="楷体" w:eastAsia="楷体"/>
      <w:b/>
      <w:bCs/>
      <w:color w:val="000000"/>
      <w:sz w:val="32"/>
      <w:szCs w:val="28"/>
    </w:rPr>
  </w:style>
  <w:style w:type="character" w:styleId="1478" w:customStyle="1">
    <w:name w:val="large1"/>
    <w:qFormat/>
    <w:rPr>
      <w:rFonts w:hint="eastAsia" w:ascii="宋体" w:hAnsi="宋体" w:eastAsia="宋体"/>
      <w:sz w:val="22"/>
      <w:szCs w:val="22"/>
    </w:rPr>
  </w:style>
  <w:style w:type="character" w:styleId="1479" w:customStyle="1">
    <w:name w:val="WW8Num32z1"/>
    <w:qFormat/>
    <w:rPr>
      <w:rFonts w:ascii="Wingdings 2" w:hAnsi="Wingdings 2" w:cs="StarSymbol"/>
      <w:sz w:val="18"/>
      <w:szCs w:val="18"/>
    </w:rPr>
  </w:style>
  <w:style w:type="character" w:styleId="1480" w:customStyle="1">
    <w:name w:val="f141"/>
    <w:qFormat/>
    <w:rPr>
      <w:sz w:val="21"/>
      <w:szCs w:val="21"/>
    </w:rPr>
  </w:style>
  <w:style w:type="character" w:styleId="1481" w:customStyle="1">
    <w:name w:val="WW8Num25z2"/>
    <w:qFormat/>
    <w:rPr>
      <w:rFonts w:ascii="StarSymbol" w:hAnsi="StarSymbol" w:cs="StarSymbol"/>
      <w:sz w:val="18"/>
      <w:szCs w:val="18"/>
    </w:rPr>
  </w:style>
  <w:style w:type="character" w:styleId="1482" w:customStyle="1">
    <w:name w:val="14_black1"/>
    <w:qFormat/>
    <w:rPr>
      <w:color w:val="000000"/>
      <w:sz w:val="23"/>
      <w:szCs w:val="23"/>
    </w:rPr>
  </w:style>
  <w:style w:type="character" w:styleId="1483" w:customStyle="1">
    <w:name w:val="WW8Num20z0"/>
    <w:qFormat/>
    <w:rPr>
      <w:rFonts w:ascii="Wingdings" w:hAnsi="Wingdings"/>
    </w:rPr>
  </w:style>
  <w:style w:type="character" w:styleId="1484" w:customStyle="1">
    <w:name w:val="正文2 Char Char"/>
    <w:qFormat/>
    <w:rPr>
      <w:rFonts w:hint="eastAsia" w:ascii="仿宋_GB2312" w:eastAsia="仿宋_GB2312"/>
      <w:sz w:val="24"/>
    </w:rPr>
  </w:style>
  <w:style w:type="character" w:styleId="1485" w:customStyle="1">
    <w:name w:val="WW8Num2z0"/>
    <w:qFormat/>
    <w:rPr>
      <w:rFonts w:ascii="Wingdings" w:hAnsi="Wingdings" w:cs="StarSymbol"/>
      <w:sz w:val="18"/>
      <w:szCs w:val="18"/>
    </w:rPr>
  </w:style>
  <w:style w:type="character" w:styleId="1486" w:customStyle="1">
    <w:name w:val="mini-tree-nodetext2"/>
    <w:basedOn w:val="929"/>
    <w:qFormat/>
  </w:style>
  <w:style w:type="character" w:styleId="1487" w:customStyle="1">
    <w:name w:val="WW8Num8z2"/>
    <w:qFormat/>
    <w:rPr>
      <w:rFonts w:ascii="StarSymbol" w:hAnsi="StarSymbol" w:cs="StarSymbol"/>
      <w:sz w:val="18"/>
      <w:szCs w:val="18"/>
    </w:rPr>
  </w:style>
  <w:style w:type="character" w:styleId="1488" w:customStyle="1">
    <w:name w:val="before"/>
    <w:basedOn w:val="929"/>
    <w:qFormat/>
  </w:style>
  <w:style w:type="character" w:styleId="1489" w:customStyle="1">
    <w:name w:val="WW8Num39z0"/>
    <w:qFormat/>
    <w:rPr>
      <w:rFonts w:ascii="Wingdings" w:hAnsi="Wingdings" w:cs="StarSymbol"/>
      <w:sz w:val="18"/>
      <w:szCs w:val="18"/>
    </w:rPr>
  </w:style>
  <w:style w:type="character" w:styleId="1490" w:customStyle="1">
    <w:name w:val="first-child"/>
    <w:basedOn w:val="929"/>
    <w:qFormat/>
  </w:style>
  <w:style w:type="character" w:styleId="1491" w:customStyle="1">
    <w:name w:val="WW8Num6z0"/>
    <w:qFormat/>
    <w:rPr>
      <w:rFonts w:ascii="Wingdings" w:hAnsi="Wingdings" w:cs="StarSymbol"/>
      <w:sz w:val="18"/>
      <w:szCs w:val="18"/>
    </w:rPr>
  </w:style>
  <w:style w:type="character" w:styleId="1492" w:customStyle="1">
    <w:name w:val="icon501"/>
    <w:qFormat/>
    <w:rPr>
      <w:color w:val="a6a6a6"/>
      <w:sz w:val="27"/>
      <w:szCs w:val="27"/>
    </w:rPr>
  </w:style>
  <w:style w:type="character" w:styleId="1493" w:customStyle="1">
    <w:name w:val="WW8Num36z0"/>
    <w:qFormat/>
    <w:rPr>
      <w:rFonts w:ascii="Wingdings" w:hAnsi="Wingdings" w:cs="StarSymbol"/>
      <w:sz w:val="18"/>
      <w:szCs w:val="18"/>
    </w:rPr>
  </w:style>
  <w:style w:type="character" w:styleId="1494" w:customStyle="1">
    <w:name w:val="range-menu-item-main-content"/>
    <w:basedOn w:val="929"/>
    <w:qFormat/>
  </w:style>
  <w:style w:type="character" w:styleId="1495" w:customStyle="1">
    <w:name w:val="WW8Num37z2"/>
    <w:qFormat/>
    <w:rPr>
      <w:rFonts w:ascii="StarSymbol" w:hAnsi="StarSymbol" w:cs="StarSymbol"/>
      <w:sz w:val="18"/>
      <w:szCs w:val="18"/>
    </w:rPr>
  </w:style>
  <w:style w:type="character" w:styleId="1496" w:customStyle="1">
    <w:name w:val="first-child1"/>
    <w:basedOn w:val="929"/>
    <w:qFormat/>
  </w:style>
  <w:style w:type="character" w:styleId="1497" w:customStyle="1">
    <w:name w:val="默认段落字体1"/>
    <w:qFormat/>
  </w:style>
  <w:style w:type="character" w:styleId="1498" w:customStyle="1">
    <w:name w:val="active__1oyv"/>
    <w:qFormat/>
    <w:rPr>
      <w:color w:val="383838"/>
    </w:rPr>
  </w:style>
  <w:style w:type="character" w:styleId="1499" w:customStyle="1">
    <w:name w:val="WW8Num36z1"/>
    <w:qFormat/>
    <w:rPr>
      <w:rFonts w:ascii="Wingdings 2" w:hAnsi="Wingdings 2" w:cs="StarSymbol"/>
      <w:sz w:val="18"/>
      <w:szCs w:val="18"/>
    </w:rPr>
  </w:style>
  <w:style w:type="character" w:styleId="1500" w:customStyle="1">
    <w:name w:val="icon499"/>
    <w:qFormat/>
    <w:rPr>
      <w:color w:val="a6a6a6"/>
      <w:sz w:val="27"/>
      <w:szCs w:val="27"/>
    </w:rPr>
  </w:style>
  <w:style w:type="character" w:styleId="1501" w:customStyle="1">
    <w:name w:val="main1"/>
    <w:qFormat/>
    <w:rPr>
      <w:rFonts w:hint="default" w:ascii="ˎ̥" w:hAnsi="ˎ̥" w:eastAsia="宋体"/>
      <w:b/>
      <w:sz w:val="21"/>
      <w:szCs w:val="21"/>
      <w:lang w:val="en-US" w:eastAsia="zh-CN" w:bidi="ar-SA"/>
    </w:rPr>
  </w:style>
  <w:style w:type="character" w:styleId="1502" w:customStyle="1">
    <w:name w:val="first-child2"/>
    <w:basedOn w:val="929"/>
    <w:qFormat/>
  </w:style>
  <w:style w:type="character" w:styleId="150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04" w:customStyle="1">
    <w:name w:val="icon500"/>
    <w:basedOn w:val="929"/>
    <w:qFormat/>
  </w:style>
  <w:style w:type="character" w:styleId="1505" w:customStyle="1">
    <w:name w:val="WW8Num15z2"/>
    <w:qFormat/>
    <w:rPr>
      <w:rFonts w:ascii="StarSymbol" w:hAnsi="StarSymbol" w:cs="StarSymbol"/>
      <w:sz w:val="18"/>
      <w:szCs w:val="18"/>
    </w:rPr>
  </w:style>
  <w:style w:type="character" w:styleId="1506" w:customStyle="1">
    <w:name w:val="range-menu-item-main-content1"/>
    <w:basedOn w:val="929"/>
    <w:qFormat/>
  </w:style>
  <w:style w:type="character" w:styleId="1507" w:customStyle="1">
    <w:name w:val="WW8Num3z0"/>
    <w:qFormat/>
    <w:rPr>
      <w:rFonts w:ascii="Wingdings" w:hAnsi="Wingdings" w:cs="StarSymbol"/>
      <w:sz w:val="18"/>
      <w:szCs w:val="18"/>
    </w:rPr>
  </w:style>
  <w:style w:type="character" w:styleId="1508" w:customStyle="1">
    <w:name w:val="overdue"/>
    <w:basedOn w:val="929"/>
    <w:qFormat/>
  </w:style>
  <w:style w:type="character" w:styleId="1509" w:customStyle="1">
    <w:name w:val="正文文本 字符1"/>
    <w:semiHidden/>
    <w:qFormat/>
    <w:rPr>
      <w:rFonts w:ascii="Times New Roman" w:hAnsi="Times New Roman" w:eastAsia="方正仿宋_GBK" w:cs="Times New Roman"/>
      <w:sz w:val="24"/>
      <w:szCs w:val="20"/>
    </w:rPr>
  </w:style>
  <w:style w:type="character" w:styleId="1510" w:customStyle="1">
    <w:name w:val="overdue2"/>
    <w:basedOn w:val="929"/>
    <w:qFormat/>
  </w:style>
  <w:style w:type="character" w:styleId="1511" w:customStyle="1">
    <w:name w:val="表头样式 Char"/>
    <w:qFormat/>
    <w:rPr>
      <w:rFonts w:hint="default" w:ascii="Arial" w:hAnsi="Arial" w:cs="Arial"/>
      <w:b/>
      <w:sz w:val="21"/>
      <w:szCs w:val="21"/>
    </w:rPr>
  </w:style>
  <w:style w:type="character" w:styleId="1512" w:customStyle="1">
    <w:name w:val="dls-icon[data-role=icon]"/>
    <w:qFormat/>
    <w:rPr>
      <w:sz w:val="24"/>
      <w:szCs w:val="24"/>
    </w:rPr>
  </w:style>
  <w:style w:type="character" w:styleId="1513" w:customStyle="1">
    <w:name w:val="maintext1"/>
    <w:qFormat/>
    <w:rPr>
      <w:rFonts w:hint="default" w:ascii="Arial" w:hAnsi="Arial" w:cs="Arial"/>
      <w:color w:val="000000"/>
      <w:sz w:val="18"/>
      <w:szCs w:val="18"/>
    </w:rPr>
  </w:style>
  <w:style w:type="character" w:styleId="1514" w:customStyle="1">
    <w:name w:val="icon502"/>
    <w:qFormat/>
    <w:rPr>
      <w:color w:val="a6a6a6"/>
      <w:sz w:val="27"/>
      <w:szCs w:val="27"/>
    </w:rPr>
  </w:style>
  <w:style w:type="character" w:styleId="1515" w:customStyle="1">
    <w:name w:val="tw4winMark"/>
    <w:qFormat/>
    <w:rPr>
      <w:rFonts w:hint="default" w:ascii="Courier New" w:hAnsi="Courier New" w:cs="Courier New"/>
      <w:vanish/>
      <w:color w:val="800080"/>
      <w:vertAlign w:val="subscript"/>
    </w:rPr>
  </w:style>
  <w:style w:type="character" w:styleId="1516" w:customStyle="1">
    <w:name w:val="列表段落 字符"/>
    <w:link w:val="1517"/>
    <w:qFormat/>
    <w:rPr>
      <w:szCs w:val="24"/>
    </w:rPr>
  </w:style>
  <w:style w:type="paragraph" w:styleId="1517" w:customStyle="1">
    <w:name w:val="列表段落1"/>
    <w:basedOn w:val="919"/>
    <w:link w:val="1516"/>
    <w:qFormat/>
    <w:pPr>
      <w:ind w:firstLine="420"/>
    </w:pPr>
    <w:rPr>
      <w:rFonts w:asciiTheme="minorHAnsi" w:hAnsiTheme="minorHAnsi" w:eastAsiaTheme="minorEastAsia" w:cstheme="minorBidi"/>
    </w:rPr>
  </w:style>
  <w:style w:type="character" w:styleId="1518" w:customStyle="1">
    <w:name w:val="称呼 Char1"/>
    <w:qFormat/>
    <w:rPr>
      <w:sz w:val="21"/>
    </w:rPr>
  </w:style>
  <w:style w:type="character" w:styleId="1519" w:customStyle="1">
    <w:name w:val="批注主题 Char3"/>
    <w:uiPriority w:val="99"/>
    <w:qFormat/>
    <w:rPr>
      <w:rFonts w:ascii="Times New Roman" w:hAnsi="Times New Roman" w:eastAsia="宋体" w:cs="Times New Roman"/>
      <w:b/>
      <w:bCs/>
      <w:szCs w:val="24"/>
      <w:lang w:val="zh-CN"/>
    </w:rPr>
  </w:style>
  <w:style w:type="character" w:styleId="1520" w:customStyle="1">
    <w:name w:val="正文Normal Char"/>
    <w:qFormat/>
    <w:rPr>
      <w:rFonts w:hint="default" w:ascii="Arial" w:hAnsi="Arial" w:cs="Arial"/>
      <w:sz w:val="24"/>
      <w:szCs w:val="24"/>
    </w:rPr>
  </w:style>
  <w:style w:type="character" w:styleId="1521" w:customStyle="1">
    <w:name w:val="定制正文 Arial 小四 首行缩进:  0.74 厘米 行距: 1.5 倍行距1 + 宋体 Char"/>
    <w:link w:val="1522"/>
    <w:qFormat/>
    <w:rPr>
      <w:rFonts w:ascii="Arial" w:hAnsi="Arial" w:cs="宋体"/>
      <w:bCs/>
      <w:szCs w:val="21"/>
    </w:rPr>
  </w:style>
  <w:style w:type="paragraph" w:styleId="1522" w:customStyle="1">
    <w:name w:val="定制正文 Arial 小四 首行缩进:  0.74 厘米 行距: 1.5 倍行距1 + 宋体"/>
    <w:basedOn w:val="919"/>
    <w:link w:val="1521"/>
    <w:qFormat/>
    <w:pPr>
      <w:ind w:firstLine="420"/>
      <w:spacing w:line="360" w:lineRule="auto"/>
    </w:pPr>
    <w:rPr>
      <w:rFonts w:ascii="Arial" w:hAnsi="Arial" w:cs="宋体" w:eastAsiaTheme="minorEastAsia"/>
      <w:bCs/>
      <w:szCs w:val="21"/>
    </w:rPr>
  </w:style>
  <w:style w:type="character" w:styleId="1523" w:customStyle="1">
    <w:name w:val="WW8Num16z1"/>
    <w:qFormat/>
    <w:rPr>
      <w:rFonts w:ascii="Wingdings" w:hAnsi="Wingdings"/>
    </w:rPr>
  </w:style>
  <w:style w:type="character" w:styleId="1524" w:customStyle="1">
    <w:name w:val="Indent Normal Char1"/>
    <w:link w:val="1525"/>
    <w:qFormat/>
    <w:rPr>
      <w:sz w:val="24"/>
      <w:szCs w:val="24"/>
    </w:rPr>
  </w:style>
  <w:style w:type="paragraph" w:styleId="1525" w:customStyle="1">
    <w:name w:val="Indent Normal"/>
    <w:basedOn w:val="919"/>
    <w:link w:val="1524"/>
    <w:qFormat/>
    <w:pPr>
      <w:ind w:firstLine="150"/>
      <w:spacing w:line="360" w:lineRule="auto"/>
    </w:pPr>
    <w:rPr>
      <w:rFonts w:asciiTheme="minorHAnsi" w:hAnsiTheme="minorHAnsi" w:eastAsiaTheme="minorEastAsia" w:cstheme="minorBidi"/>
      <w:sz w:val="24"/>
    </w:rPr>
  </w:style>
  <w:style w:type="character" w:styleId="1526" w:customStyle="1">
    <w:name w:val="WW8Num7z2"/>
    <w:qFormat/>
    <w:rPr>
      <w:rFonts w:ascii="StarSymbol" w:hAnsi="StarSymbol" w:cs="StarSymbol"/>
      <w:sz w:val="18"/>
      <w:szCs w:val="18"/>
    </w:rPr>
  </w:style>
  <w:style w:type="character" w:styleId="1527" w:customStyle="1">
    <w:name w:val="正文-new Char"/>
    <w:link w:val="1528"/>
    <w:qFormat/>
    <w:rPr>
      <w:rFonts w:ascii="宋体" w:hAnsi="宋体" w:cs="宋体"/>
      <w:szCs w:val="21"/>
    </w:rPr>
  </w:style>
  <w:style w:type="paragraph" w:styleId="1528" w:customStyle="1">
    <w:name w:val="正文-new"/>
    <w:basedOn w:val="919"/>
    <w:link w:val="1527"/>
    <w:qFormat/>
    <w:pPr>
      <w:ind w:firstLine="425"/>
      <w:spacing w:line="360" w:lineRule="auto"/>
    </w:pPr>
    <w:rPr>
      <w:rFonts w:ascii="宋体" w:hAnsi="宋体" w:cs="宋体" w:eastAsiaTheme="minorEastAsia"/>
      <w:szCs w:val="21"/>
    </w:rPr>
  </w:style>
  <w:style w:type="character" w:styleId="1529" w:customStyle="1">
    <w:name w:val="WW8Num24z0"/>
    <w:qFormat/>
    <w:rPr>
      <w:rFonts w:ascii="Wingdings" w:hAnsi="Wingdings" w:cs="StarSymbol"/>
      <w:sz w:val="18"/>
      <w:szCs w:val="18"/>
    </w:rPr>
  </w:style>
  <w:style w:type="character" w:styleId="1530" w:customStyle="1">
    <w:name w:val="_正文段落 Char"/>
    <w:qFormat/>
    <w:rPr>
      <w:sz w:val="24"/>
      <w:szCs w:val="24"/>
    </w:rPr>
  </w:style>
  <w:style w:type="character" w:styleId="1531" w:customStyle="1">
    <w:name w:val="WW8Num33z2"/>
    <w:qFormat/>
    <w:rPr>
      <w:rFonts w:ascii="StarSymbol" w:hAnsi="StarSymbol" w:cs="StarSymbol"/>
      <w:sz w:val="18"/>
      <w:szCs w:val="18"/>
    </w:rPr>
  </w:style>
  <w:style w:type="character" w:styleId="1532" w:customStyle="1">
    <w:name w:val="样式 宋体 小四 段前: 7.8 磅 行距: 1.5 倍行距 Char"/>
    <w:link w:val="1533"/>
    <w:qFormat/>
    <w:rPr>
      <w:rFonts w:ascii="宋体" w:hAnsi="宋体"/>
      <w:szCs w:val="21"/>
    </w:rPr>
  </w:style>
  <w:style w:type="paragraph" w:styleId="1533" w:customStyle="1">
    <w:name w:val="样式 宋体 小四 段前: 7.8 磅 行距: 1.5 倍行距"/>
    <w:basedOn w:val="919"/>
    <w:link w:val="1532"/>
    <w:qFormat/>
    <w:pPr>
      <w:ind w:firstLine="420"/>
      <w:jc w:val="left"/>
      <w:spacing w:line="360" w:lineRule="auto"/>
    </w:pPr>
    <w:rPr>
      <w:rFonts w:ascii="宋体" w:hAnsi="宋体" w:eastAsiaTheme="minorEastAsia" w:cstheme="minorBidi"/>
      <w:szCs w:val="21"/>
    </w:rPr>
  </w:style>
  <w:style w:type="character" w:styleId="1534" w:customStyle="1">
    <w:name w:val="WW8Num38z1"/>
    <w:qFormat/>
    <w:rPr>
      <w:rFonts w:ascii="Wingdings 2" w:hAnsi="Wingdings 2" w:cs="StarSymbol"/>
      <w:sz w:val="18"/>
      <w:szCs w:val="18"/>
    </w:rPr>
  </w:style>
  <w:style w:type="character" w:styleId="1535" w:customStyle="1">
    <w:name w:val="表格样式 宋体 5号 Char"/>
    <w:link w:val="1536"/>
    <w:qFormat/>
    <w:rPr>
      <w:rFonts w:ascii="宋体" w:hAnsi="宋体"/>
      <w:szCs w:val="21"/>
      <w:lang w:val="zh-CN"/>
    </w:rPr>
  </w:style>
  <w:style w:type="paragraph" w:styleId="1536" w:customStyle="1">
    <w:name w:val="表格样式 宋体 5号"/>
    <w:basedOn w:val="919"/>
    <w:link w:val="1535"/>
    <w:qFormat/>
    <w:pPr>
      <w:jc w:val="left"/>
    </w:pPr>
    <w:rPr>
      <w:rFonts w:ascii="宋体" w:hAnsi="宋体" w:eastAsiaTheme="minorEastAsia" w:cstheme="minorBidi"/>
      <w:szCs w:val="21"/>
      <w:lang w:val="zh-CN"/>
    </w:rPr>
  </w:style>
  <w:style w:type="character" w:styleId="1537" w:customStyle="1">
    <w:name w:val="WW8Num7z1"/>
    <w:qFormat/>
    <w:rPr>
      <w:rFonts w:ascii="Wingdings 2" w:hAnsi="Wingdings 2" w:cs="StarSymbol"/>
      <w:sz w:val="18"/>
      <w:szCs w:val="18"/>
    </w:rPr>
  </w:style>
  <w:style w:type="character" w:styleId="1538" w:customStyle="1">
    <w:name w:val="样式 宋体 四号"/>
    <w:qFormat/>
    <w:rPr>
      <w:rFonts w:ascii="宋体" w:hAnsi="宋体" w:eastAsia="仿宋_GB2312"/>
      <w:sz w:val="28"/>
    </w:rPr>
  </w:style>
  <w:style w:type="character" w:styleId="1539" w:customStyle="1">
    <w:name w:val="WW8Num17z2"/>
    <w:qFormat/>
    <w:rPr>
      <w:rFonts w:ascii="StarSymbol" w:hAnsi="StarSymbol" w:cs="StarSymbol"/>
      <w:sz w:val="18"/>
      <w:szCs w:val="18"/>
    </w:rPr>
  </w:style>
  <w:style w:type="character" w:styleId="1540" w:customStyle="1">
    <w:name w:val="我的正文 Char"/>
    <w:link w:val="1541"/>
    <w:qFormat/>
    <w:rPr>
      <w:rFonts w:ascii="Arial" w:hAnsi="Arial"/>
      <w:sz w:val="24"/>
      <w:szCs w:val="18"/>
    </w:rPr>
  </w:style>
  <w:style w:type="paragraph" w:styleId="1541" w:customStyle="1">
    <w:name w:val="我的正文"/>
    <w:basedOn w:val="919"/>
    <w:link w:val="1540"/>
    <w:qFormat/>
    <w:pPr>
      <w:ind w:firstLine="200"/>
      <w:spacing w:line="360" w:lineRule="auto"/>
      <w:widowControl/>
    </w:pPr>
    <w:rPr>
      <w:rFonts w:ascii="Arial" w:hAnsi="Arial" w:eastAsiaTheme="minorEastAsia" w:cstheme="minorBidi"/>
      <w:sz w:val="24"/>
      <w:szCs w:val="18"/>
    </w:rPr>
  </w:style>
  <w:style w:type="character" w:styleId="1542" w:customStyle="1">
    <w:name w:val="WW8Num10z1"/>
    <w:qFormat/>
    <w:rPr>
      <w:rFonts w:ascii="Wingdings 2" w:hAnsi="Wingdings 2" w:cs="StarSymbol"/>
      <w:sz w:val="18"/>
      <w:szCs w:val="18"/>
    </w:rPr>
  </w:style>
  <w:style w:type="character" w:styleId="1543" w:customStyle="1">
    <w:name w:val="脚注文本 字符"/>
    <w:qFormat/>
    <w:rPr>
      <w:rFonts w:ascii="Times New Roman" w:hAnsi="Times New Roman" w:eastAsia="宋体" w:cs="Times New Roman"/>
      <w:sz w:val="18"/>
      <w:szCs w:val="18"/>
    </w:rPr>
  </w:style>
  <w:style w:type="character" w:styleId="1544" w:customStyle="1">
    <w:name w:val="WW8Num27z0"/>
    <w:qFormat/>
    <w:rPr>
      <w:rFonts w:ascii="Wingdings" w:hAnsi="Wingdings" w:cs="StarSymbol"/>
      <w:sz w:val="18"/>
      <w:szCs w:val="18"/>
    </w:rPr>
  </w:style>
  <w:style w:type="character" w:styleId="1545" w:customStyle="1">
    <w:name w:val="脚注文本 Char2"/>
    <w:qFormat/>
    <w:rPr>
      <w:rFonts w:ascii="Times New Roman" w:hAnsi="Times New Roman" w:eastAsia="宋体" w:cs="Times New Roman"/>
      <w:sz w:val="18"/>
      <w:szCs w:val="18"/>
    </w:rPr>
  </w:style>
  <w:style w:type="character" w:styleId="1546" w:customStyle="1">
    <w:name w:val="WW8Num10z2"/>
    <w:qFormat/>
    <w:rPr>
      <w:rFonts w:ascii="StarSymbol" w:hAnsi="StarSymbol" w:cs="StarSymbol"/>
      <w:sz w:val="18"/>
      <w:szCs w:val="18"/>
    </w:rPr>
  </w:style>
  <w:style w:type="character" w:styleId="1547" w:customStyle="1">
    <w:name w:val="HTML 地址 字符"/>
    <w:qFormat/>
    <w:rPr>
      <w:rFonts w:ascii="Times New Roman" w:hAnsi="Times New Roman" w:eastAsia="宋体" w:cs="Times New Roman"/>
      <w:i/>
      <w:iCs/>
      <w:szCs w:val="24"/>
    </w:rPr>
  </w:style>
  <w:style w:type="character" w:styleId="1548" w:customStyle="1">
    <w:name w:val="pi1"/>
    <w:qFormat/>
    <w:rPr>
      <w:color w:val="0000ff"/>
    </w:rPr>
  </w:style>
  <w:style w:type="character" w:styleId="1549" w:customStyle="1">
    <w:name w:val="HTML 地址 Char2"/>
    <w:qFormat/>
    <w:rPr>
      <w:i/>
      <w:iCs/>
      <w:szCs w:val="24"/>
    </w:rPr>
  </w:style>
  <w:style w:type="character" w:styleId="1550" w:customStyle="1">
    <w:name w:val="WW-Absatz-Standardschriftart"/>
    <w:qFormat/>
  </w:style>
  <w:style w:type="character" w:styleId="1551" w:customStyle="1">
    <w:name w:val="HTML 预设格式 字符"/>
    <w:qFormat/>
    <w:rPr>
      <w:rFonts w:ascii="Courier New" w:hAnsi="Courier New" w:eastAsia="宋体" w:cs="Courier New"/>
      <w:sz w:val="20"/>
      <w:szCs w:val="20"/>
    </w:rPr>
  </w:style>
  <w:style w:type="character" w:styleId="1552" w:customStyle="1">
    <w:name w:val="WW8Num27z1"/>
    <w:qFormat/>
    <w:rPr>
      <w:rFonts w:ascii="Wingdings 2" w:hAnsi="Wingdings 2" w:cs="StarSymbol"/>
      <w:sz w:val="18"/>
      <w:szCs w:val="18"/>
    </w:rPr>
  </w:style>
  <w:style w:type="character" w:styleId="1553" w:customStyle="1">
    <w:name w:val="HTML 预设格式 Char2"/>
    <w:qFormat/>
    <w:rPr>
      <w:rFonts w:ascii="Courier New" w:hAnsi="Courier New" w:cs="Courier New"/>
    </w:rPr>
  </w:style>
  <w:style w:type="character" w:styleId="1554" w:customStyle="1">
    <w:name w:val="WW8Num20z2"/>
    <w:qFormat/>
    <w:rPr>
      <w:rFonts w:ascii="StarSymbol" w:hAnsi="StarSymbol" w:cs="StarSymbol"/>
      <w:sz w:val="18"/>
      <w:szCs w:val="18"/>
    </w:rPr>
  </w:style>
  <w:style w:type="character" w:styleId="1555" w:customStyle="1">
    <w:name w:val="发布"/>
    <w:qFormat/>
    <w:rPr>
      <w:rFonts w:ascii="黑体" w:eastAsia="黑体"/>
      <w:spacing w:val="22"/>
      <w:position w:val="3"/>
      <w:sz w:val="28"/>
    </w:rPr>
  </w:style>
  <w:style w:type="character" w:styleId="1556" w:customStyle="1">
    <w:name w:val="WW8Num29z0"/>
    <w:qFormat/>
    <w:rPr>
      <w:rFonts w:ascii="Wingdings" w:hAnsi="Wingdings" w:cs="StarSymbol"/>
      <w:sz w:val="18"/>
      <w:szCs w:val="18"/>
    </w:rPr>
  </w:style>
  <w:style w:type="character" w:styleId="1557" w:customStyle="1">
    <w:name w:val="EmailStyle87"/>
    <w:qFormat/>
    <w:rPr>
      <w:rFonts w:ascii="Arial" w:hAnsi="Arial" w:eastAsia="宋体" w:cs="Arial"/>
      <w:color w:val="auto"/>
      <w:sz w:val="20"/>
    </w:rPr>
  </w:style>
  <w:style w:type="character" w:styleId="1558" w:customStyle="1">
    <w:name w:val="WW8Num24z2"/>
    <w:qFormat/>
    <w:rPr>
      <w:rFonts w:ascii="StarSymbol" w:hAnsi="StarSymbol" w:cs="StarSymbol"/>
      <w:sz w:val="18"/>
      <w:szCs w:val="18"/>
    </w:rPr>
  </w:style>
  <w:style w:type="character" w:styleId="1559" w:customStyle="1">
    <w:name w:val="EmailStyle88"/>
    <w:qFormat/>
    <w:rPr>
      <w:rFonts w:ascii="Arial" w:hAnsi="Arial" w:eastAsia="宋体" w:cs="Arial"/>
      <w:color w:val="auto"/>
      <w:sz w:val="20"/>
    </w:rPr>
  </w:style>
  <w:style w:type="character" w:styleId="1560" w:customStyle="1">
    <w:name w:val="称呼 字符1"/>
    <w:qFormat/>
    <w:rPr>
      <w:rFonts w:ascii="Times New Roman" w:hAnsi="Times New Roman" w:eastAsia="宋体" w:cs="Times New Roman"/>
      <w:szCs w:val="24"/>
    </w:rPr>
  </w:style>
  <w:style w:type="character" w:styleId="1561" w:customStyle="1">
    <w:name w:val="FA正文 Char Char"/>
    <w:qFormat/>
    <w:rPr>
      <w:rFonts w:hAnsi="宋体" w:cs="宋体"/>
      <w:sz w:val="24"/>
      <w:szCs w:val="21"/>
    </w:rPr>
  </w:style>
  <w:style w:type="character" w:styleId="1562" w:customStyle="1">
    <w:name w:val="副标题 字符1"/>
    <w:qFormat/>
    <w:rPr>
      <w:b/>
      <w:bCs/>
      <w:sz w:val="32"/>
      <w:szCs w:val="32"/>
    </w:rPr>
  </w:style>
  <w:style w:type="character" w:styleId="1563" w:customStyle="1">
    <w:name w:val="注释标题 字符"/>
    <w:qFormat/>
    <w:rPr>
      <w:rFonts w:ascii="Times New Roman" w:hAnsi="Times New Roman" w:eastAsia="宋体" w:cs="Times New Roman"/>
      <w:szCs w:val="24"/>
    </w:rPr>
  </w:style>
  <w:style w:type="character" w:styleId="1564" w:customStyle="1">
    <w:name w:val="正文文本首行缩进 2 字符1"/>
    <w:basedOn w:val="1434"/>
    <w:qFormat/>
    <w:rPr>
      <w:rFonts w:ascii="Times New Roman" w:hAnsi="Times New Roman" w:eastAsia="宋体" w:cs="Times New Roman"/>
      <w:szCs w:val="24"/>
      <w:lang w:val="zh-CN" w:eastAsia="zh-CN"/>
    </w:rPr>
  </w:style>
  <w:style w:type="character" w:styleId="1565" w:customStyle="1">
    <w:name w:val="注释标题 Char3"/>
    <w:qFormat/>
    <w:rPr>
      <w:szCs w:val="24"/>
    </w:rPr>
  </w:style>
  <w:style w:type="character" w:styleId="1566" w:customStyle="1">
    <w:name w:val="Char Char312"/>
    <w:qFormat/>
    <w:rPr>
      <w:rFonts w:eastAsia="宋体"/>
      <w:sz w:val="21"/>
      <w:szCs w:val="24"/>
      <w:lang w:val="en-US" w:eastAsia="zh-CN" w:bidi="ar-SA"/>
    </w:rPr>
  </w:style>
  <w:style w:type="character" w:styleId="1567" w:customStyle="1">
    <w:name w:val="EmailStyle127"/>
    <w:qFormat/>
    <w:rPr>
      <w:rFonts w:ascii="Arial" w:hAnsi="Arial" w:eastAsia="宋体" w:cs="Arial"/>
      <w:color w:val="auto"/>
      <w:sz w:val="20"/>
    </w:rPr>
  </w:style>
  <w:style w:type="character" w:styleId="1568" w:customStyle="1">
    <w:name w:val="!BECC正文 Char"/>
    <w:link w:val="1569"/>
    <w:qFormat/>
    <w:rPr>
      <w:sz w:val="24"/>
      <w:szCs w:val="24"/>
    </w:rPr>
  </w:style>
  <w:style w:type="paragraph" w:styleId="1569" w:customStyle="1">
    <w:name w:val="!BECC正文"/>
    <w:basedOn w:val="919"/>
    <w:link w:val="1568"/>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570" w:customStyle="1">
    <w:name w:val="EmailStyle128"/>
    <w:qFormat/>
    <w:rPr>
      <w:rFonts w:ascii="Arial" w:hAnsi="Arial" w:eastAsia="宋体" w:cs="Arial"/>
      <w:color w:val="auto"/>
      <w:sz w:val="20"/>
    </w:rPr>
  </w:style>
  <w:style w:type="character" w:styleId="1571" w:customStyle="1">
    <w:name w:val="ordinary-span-edit2"/>
    <w:qFormat/>
  </w:style>
  <w:style w:type="character" w:styleId="1572" w:customStyle="1">
    <w:name w:val="标题 2 Char1"/>
    <w:qFormat/>
    <w:rPr>
      <w:b/>
      <w:bCs/>
      <w:sz w:val="30"/>
      <w:szCs w:val="32"/>
    </w:rPr>
  </w:style>
  <w:style w:type="character" w:styleId="1573" w:customStyle="1">
    <w:name w:val="!RepPar_alt+p Char"/>
    <w:link w:val="1574"/>
    <w:qFormat/>
    <w:rPr>
      <w:sz w:val="24"/>
      <w:szCs w:val="24"/>
      <w:lang w:val="zh-CN"/>
    </w:rPr>
  </w:style>
  <w:style w:type="paragraph" w:styleId="1574" w:customStyle="1">
    <w:name w:val="!RepPar_alt+p"/>
    <w:basedOn w:val="919"/>
    <w:link w:val="1573"/>
    <w:qFormat/>
    <w:pPr>
      <w:ind w:firstLine="200"/>
      <w:spacing w:line="360" w:lineRule="auto"/>
    </w:pPr>
    <w:rPr>
      <w:rFonts w:asciiTheme="minorHAnsi" w:hAnsiTheme="minorHAnsi" w:eastAsiaTheme="minorEastAsia" w:cstheme="minorBidi"/>
      <w:sz w:val="24"/>
      <w:lang w:val="zh-CN"/>
    </w:rPr>
  </w:style>
  <w:style w:type="character" w:styleId="1575" w:customStyle="1">
    <w:name w:val="bz-content1"/>
    <w:qFormat/>
    <w:rPr>
      <w:sz w:val="20"/>
      <w:szCs w:val="20"/>
      <w:u w:val="none"/>
    </w:rPr>
  </w:style>
  <w:style w:type="character" w:styleId="1576" w:customStyle="1">
    <w:name w:val="highlight1"/>
    <w:qFormat/>
    <w:rPr>
      <w:shd w:val="clear" w:color="auto" w:fill="ffff00"/>
    </w:rPr>
  </w:style>
  <w:style w:type="character" w:styleId="1577" w:customStyle="1">
    <w:name w:val="Char Char3"/>
    <w:qFormat/>
    <w:rPr>
      <w:rFonts w:eastAsia="宋体"/>
      <w:sz w:val="21"/>
      <w:szCs w:val="24"/>
      <w:lang w:val="en-US" w:eastAsia="zh-CN" w:bidi="ar-SA"/>
    </w:rPr>
  </w:style>
  <w:style w:type="character" w:styleId="1578" w:customStyle="1">
    <w:name w:val="highlight"/>
    <w:qFormat/>
  </w:style>
  <w:style w:type="character" w:styleId="1579" w:customStyle="1">
    <w:name w:val="style12"/>
    <w:qFormat/>
  </w:style>
  <w:style w:type="character" w:styleId="1580" w:customStyle="1">
    <w:name w:val="样式1 Char"/>
    <w:link w:val="1581"/>
    <w:qFormat/>
    <w:rPr>
      <w:sz w:val="24"/>
      <w:szCs w:val="24"/>
    </w:rPr>
  </w:style>
  <w:style w:type="paragraph" w:styleId="1581" w:customStyle="1">
    <w:name w:val="样式1"/>
    <w:basedOn w:val="919"/>
    <w:link w:val="1580"/>
    <w:qFormat/>
    <w:pPr>
      <w:ind w:firstLine="480"/>
      <w:spacing w:line="300" w:lineRule="auto"/>
    </w:pPr>
    <w:rPr>
      <w:rFonts w:asciiTheme="minorHAnsi" w:hAnsiTheme="minorHAnsi" w:eastAsiaTheme="minorEastAsia" w:cstheme="minorBidi"/>
      <w:sz w:val="24"/>
    </w:rPr>
  </w:style>
  <w:style w:type="character" w:styleId="1582" w:customStyle="1">
    <w:name w:val="font201"/>
    <w:qFormat/>
    <w:rPr>
      <w:spacing w:val="300"/>
    </w:rPr>
  </w:style>
  <w:style w:type="character" w:styleId="1583" w:customStyle="1">
    <w:name w:val="明显强调1"/>
    <w:qFormat/>
    <w:rPr>
      <w:i/>
      <w:iCs/>
      <w:color w:val="5b9bd5"/>
    </w:rPr>
  </w:style>
  <w:style w:type="character" w:styleId="1584" w:customStyle="1">
    <w:name w:val="lawsitemtext1"/>
    <w:qFormat/>
    <w:rPr>
      <w:color w:val="696969"/>
      <w:spacing w:val="280"/>
      <w:sz w:val="21"/>
      <w:szCs w:val="21"/>
    </w:rPr>
  </w:style>
  <w:style w:type="character" w:styleId="1585" w:customStyle="1">
    <w:name w:val="文字 Char Char"/>
    <w:link w:val="1586"/>
    <w:qFormat/>
    <w:rPr>
      <w:rFonts w:ascii="楷体_GB2312" w:eastAsia="楷体_GB2312"/>
      <w:sz w:val="28"/>
    </w:rPr>
  </w:style>
  <w:style w:type="paragraph" w:styleId="1586" w:customStyle="1">
    <w:name w:val="文字"/>
    <w:basedOn w:val="919"/>
    <w:link w:val="1585"/>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587" w:customStyle="1">
    <w:name w:val="l151"/>
    <w:qFormat/>
  </w:style>
  <w:style w:type="character" w:styleId="1588" w:customStyle="1">
    <w:name w:val="Char Char31"/>
    <w:qFormat/>
    <w:rPr>
      <w:rFonts w:eastAsia="宋体"/>
      <w:sz w:val="21"/>
      <w:szCs w:val="24"/>
      <w:lang w:val="en-US" w:eastAsia="zh-CN" w:bidi="ar-SA"/>
    </w:rPr>
  </w:style>
  <w:style w:type="character" w:styleId="1589" w:customStyle="1">
    <w:name w:val="EmailStyle891"/>
    <w:qFormat/>
    <w:rPr>
      <w:rFonts w:ascii="Arial" w:hAnsi="Arial" w:eastAsia="宋体" w:cs="Arial"/>
      <w:color w:val="auto"/>
      <w:sz w:val="20"/>
    </w:rPr>
  </w:style>
  <w:style w:type="character" w:styleId="1590" w:customStyle="1">
    <w:name w:val="一级条标题 Char"/>
    <w:qFormat/>
    <w:rPr>
      <w:rFonts w:ascii="黑体" w:hAnsi="Times New Roman" w:eastAsia="黑体" w:cs="Times New Roman"/>
      <w:szCs w:val="20"/>
    </w:rPr>
  </w:style>
  <w:style w:type="character" w:styleId="1591" w:customStyle="1">
    <w:name w:val="EmailStyle901"/>
    <w:qFormat/>
    <w:rPr>
      <w:rFonts w:ascii="Arial" w:hAnsi="Arial" w:eastAsia="宋体" w:cs="Arial"/>
      <w:color w:val="auto"/>
      <w:sz w:val="20"/>
    </w:rPr>
  </w:style>
  <w:style w:type="character" w:styleId="1592" w:customStyle="1">
    <w:name w:val="章标题 Char"/>
    <w:link w:val="1271"/>
    <w:qFormat/>
    <w:rPr>
      <w:rFonts w:ascii="黑体" w:eastAsia="黑体"/>
    </w:rPr>
  </w:style>
  <w:style w:type="character" w:styleId="1593" w:customStyle="1">
    <w:name w:val="small1"/>
    <w:qFormat/>
    <w:rPr>
      <w:rFonts w:hint="default" w:ascii="Verdana" w:hAnsi="Verdana"/>
      <w:sz w:val="18"/>
      <w:szCs w:val="18"/>
    </w:rPr>
  </w:style>
  <w:style w:type="character" w:styleId="1594" w:customStyle="1">
    <w:name w:val="二级条标题 Char"/>
    <w:qFormat/>
    <w:rPr>
      <w:rFonts w:ascii="黑体" w:hAnsi="Times New Roman" w:eastAsia="黑体" w:cs="Times New Roman"/>
      <w:szCs w:val="20"/>
    </w:rPr>
  </w:style>
  <w:style w:type="character" w:styleId="1595" w:customStyle="1">
    <w:name w:val="fnt1"/>
    <w:qFormat/>
    <w:rPr>
      <w:rFonts w:hint="default" w:ascii="Verdana" w:hAnsi="Verdana"/>
      <w:color w:val="666666"/>
      <w:sz w:val="18"/>
      <w:szCs w:val="18"/>
    </w:rPr>
  </w:style>
  <w:style w:type="character" w:styleId="1596" w:customStyle="1">
    <w:name w:val="三级条标题 Char"/>
    <w:link w:val="1597"/>
    <w:qFormat/>
    <w:rPr>
      <w:rFonts w:ascii="黑体" w:eastAsia="黑体"/>
    </w:rPr>
  </w:style>
  <w:style w:type="paragraph" w:styleId="1597" w:customStyle="1">
    <w:name w:val="三级条标题"/>
    <w:basedOn w:val="1269"/>
    <w:next w:val="1246"/>
    <w:link w:val="1596"/>
    <w:qFormat/>
    <w:pPr>
      <w:ind w:left="780" w:hanging="360"/>
      <w:tabs>
        <w:tab w:val="left" w:pos="1440" w:leader="none"/>
      </w:tabs>
      <w:outlineLvl w:val="4"/>
    </w:pPr>
  </w:style>
  <w:style w:type="character" w:styleId="1598" w:customStyle="1">
    <w:name w:val="paragraph1 Char"/>
    <w:link w:val="1599"/>
    <w:qFormat/>
    <w:rPr>
      <w:rFonts w:ascii="仿宋_GB2312" w:eastAsia="仿宋_GB2312"/>
      <w:sz w:val="28"/>
      <w:szCs w:val="24"/>
    </w:rPr>
  </w:style>
  <w:style w:type="paragraph" w:styleId="1599" w:customStyle="1">
    <w:name w:val="paragraph1"/>
    <w:basedOn w:val="919"/>
    <w:link w:val="1598"/>
    <w:qFormat/>
    <w:pPr>
      <w:ind w:firstLine="200"/>
      <w:spacing w:line="360" w:lineRule="auto"/>
    </w:pPr>
    <w:rPr>
      <w:rFonts w:ascii="仿宋_GB2312" w:eastAsia="仿宋_GB2312" w:hAnsiTheme="minorHAnsi" w:cstheme="minorBidi"/>
      <w:sz w:val="28"/>
    </w:rPr>
  </w:style>
  <w:style w:type="character" w:styleId="1600" w:customStyle="1">
    <w:name w:val="注： Char"/>
    <w:link w:val="1601"/>
    <w:qFormat/>
    <w:rPr>
      <w:rFonts w:ascii="宋体"/>
      <w:sz w:val="18"/>
    </w:rPr>
  </w:style>
  <w:style w:type="paragraph" w:styleId="1601" w:customStyle="1">
    <w:name w:val="注："/>
    <w:next w:val="1246"/>
    <w:link w:val="1600"/>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602" w:customStyle="1">
    <w:name w:val="EmailStyle1271"/>
    <w:qFormat/>
    <w:rPr>
      <w:rFonts w:ascii="Arial" w:hAnsi="Arial" w:eastAsia="宋体" w:cs="Arial"/>
      <w:color w:val="auto"/>
      <w:sz w:val="20"/>
    </w:rPr>
  </w:style>
  <w:style w:type="character" w:styleId="1603" w:customStyle="1">
    <w:name w:val="WW-Absatz-Standardschriftart1111"/>
    <w:qFormat/>
  </w:style>
  <w:style w:type="character" w:styleId="1604" w:customStyle="1">
    <w:name w:val="EmailStyle1281"/>
    <w:qFormat/>
    <w:rPr>
      <w:rFonts w:ascii="Arial" w:hAnsi="Arial" w:eastAsia="宋体" w:cs="Arial"/>
      <w:color w:val="auto"/>
      <w:sz w:val="20"/>
    </w:rPr>
  </w:style>
  <w:style w:type="character" w:styleId="1605" w:customStyle="1">
    <w:name w:val="WW8Num1z7"/>
    <w:qFormat/>
    <w:rPr>
      <w:rFonts w:ascii="Wingdings" w:hAnsi="Wingdings"/>
    </w:rPr>
  </w:style>
  <w:style w:type="character" w:styleId="1606" w:customStyle="1">
    <w:name w:val="EmailStyle170"/>
    <w:qFormat/>
    <w:rPr>
      <w:rFonts w:ascii="Arial" w:hAnsi="Arial" w:eastAsia="宋体" w:cs="Arial"/>
      <w:color w:val="auto"/>
      <w:sz w:val="20"/>
    </w:rPr>
  </w:style>
  <w:style w:type="character" w:styleId="1607" w:customStyle="1">
    <w:name w:val="WW8Num19z2"/>
    <w:qFormat/>
    <w:rPr>
      <w:rFonts w:ascii="StarSymbol" w:hAnsi="StarSymbol" w:cs="StarSymbol"/>
      <w:sz w:val="18"/>
      <w:szCs w:val="18"/>
    </w:rPr>
  </w:style>
  <w:style w:type="character" w:styleId="1608" w:customStyle="1">
    <w:name w:val="EmailStyle171"/>
    <w:qFormat/>
    <w:rPr>
      <w:rFonts w:ascii="Arial" w:hAnsi="Arial" w:eastAsia="宋体" w:cs="Arial"/>
      <w:color w:val="auto"/>
      <w:sz w:val="20"/>
    </w:rPr>
  </w:style>
  <w:style w:type="character" w:styleId="1609" w:customStyle="1">
    <w:name w:val="WW8Num7z0"/>
    <w:qFormat/>
    <w:rPr>
      <w:rFonts w:ascii="Wingdings" w:hAnsi="Wingdings"/>
    </w:rPr>
  </w:style>
  <w:style w:type="character" w:styleId="1610" w:customStyle="1">
    <w:name w:val="Char Char311"/>
    <w:qFormat/>
    <w:rPr>
      <w:rFonts w:eastAsia="宋体"/>
      <w:sz w:val="21"/>
      <w:szCs w:val="24"/>
      <w:lang w:val="en-US" w:eastAsia="zh-CN" w:bidi="ar-SA"/>
    </w:rPr>
  </w:style>
  <w:style w:type="character" w:styleId="1611" w:customStyle="1">
    <w:name w:val="WW8Num25z1"/>
    <w:qFormat/>
    <w:rPr>
      <w:rFonts w:ascii="Wingdings 2" w:hAnsi="Wingdings 2" w:cs="StarSymbol"/>
      <w:sz w:val="18"/>
      <w:szCs w:val="18"/>
    </w:rPr>
  </w:style>
  <w:style w:type="character" w:styleId="1612" w:customStyle="1">
    <w:name w:val="EmailStyle200"/>
    <w:qFormat/>
    <w:rPr>
      <w:rFonts w:ascii="Arial" w:hAnsi="Arial" w:eastAsia="宋体" w:cs="Arial"/>
      <w:color w:val="auto"/>
      <w:sz w:val="20"/>
    </w:rPr>
  </w:style>
  <w:style w:type="character" w:styleId="1613" w:customStyle="1">
    <w:name w:val="WW8Num11z0"/>
    <w:qFormat/>
    <w:rPr>
      <w:rFonts w:ascii="Wingdings" w:hAnsi="Wingdings" w:cs="StarSymbol"/>
      <w:sz w:val="18"/>
      <w:szCs w:val="18"/>
    </w:rPr>
  </w:style>
  <w:style w:type="character" w:styleId="1614" w:customStyle="1">
    <w:name w:val="EmailStyle201"/>
    <w:qFormat/>
    <w:rPr>
      <w:rFonts w:ascii="Arial" w:hAnsi="Arial" w:eastAsia="宋体" w:cs="Arial"/>
      <w:color w:val="auto"/>
      <w:sz w:val="20"/>
    </w:rPr>
  </w:style>
  <w:style w:type="character" w:styleId="1615" w:customStyle="1">
    <w:name w:val="个人撰写风格"/>
    <w:qFormat/>
    <w:rPr>
      <w:rFonts w:ascii="Arial" w:hAnsi="Arial" w:eastAsia="宋体" w:cs="Arial"/>
      <w:color w:val="auto"/>
      <w:sz w:val="20"/>
    </w:rPr>
  </w:style>
  <w:style w:type="character" w:styleId="1616" w:customStyle="1">
    <w:name w:val="zn2 Char"/>
    <w:link w:val="1617"/>
    <w:qFormat/>
    <w:rPr>
      <w:rFonts w:ascii="华文楷体" w:hAnsi="Cambria" w:eastAsia="仿宋_GB2312"/>
      <w:b/>
      <w:bCs/>
      <w:sz w:val="32"/>
      <w:szCs w:val="32"/>
    </w:rPr>
  </w:style>
  <w:style w:type="paragraph" w:styleId="1617" w:customStyle="1">
    <w:name w:val="zn2"/>
    <w:basedOn w:val="921"/>
    <w:link w:val="1616"/>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618" w:customStyle="1">
    <w:name w:val="引用 字符1"/>
    <w:uiPriority w:val="99"/>
    <w:qFormat/>
    <w:rPr>
      <w:rFonts w:ascii="Times New Roman" w:hAnsi="Times New Roman" w:eastAsia="宋体" w:cs="Times New Roman"/>
      <w:i/>
      <w:iCs/>
      <w:color w:val="404040"/>
      <w:szCs w:val="24"/>
    </w:rPr>
  </w:style>
  <w:style w:type="character" w:styleId="1619" w:customStyle="1">
    <w:name w:val="zn3 Char"/>
    <w:link w:val="1620"/>
    <w:qFormat/>
    <w:rPr>
      <w:rFonts w:ascii="仿宋_GB2312" w:hAnsi="仿宋_GB2312" w:eastAsia="仿宋_GB2312"/>
      <w:b/>
      <w:bCs/>
      <w:sz w:val="32"/>
      <w:szCs w:val="32"/>
    </w:rPr>
  </w:style>
  <w:style w:type="paragraph" w:styleId="1620" w:customStyle="1">
    <w:name w:val="zn3"/>
    <w:basedOn w:val="922"/>
    <w:next w:val="919"/>
    <w:link w:val="1619"/>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621" w:customStyle="1">
    <w:name w:val="明显引用 字符"/>
    <w:link w:val="1622"/>
    <w:qFormat/>
    <w:rPr>
      <w:b/>
      <w:bCs/>
      <w:i/>
      <w:iCs/>
      <w:color w:val="4f81bd"/>
      <w:sz w:val="22"/>
      <w:lang w:eastAsia="en-US" w:bidi="en-US"/>
    </w:rPr>
  </w:style>
  <w:style w:type="paragraph" w:styleId="1622" w:customStyle="1">
    <w:name w:val="明显引用1"/>
    <w:basedOn w:val="919"/>
    <w:next w:val="919"/>
    <w:link w:val="1621"/>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623" w:customStyle="1">
    <w:name w:val="标题 5 Char1"/>
    <w:qFormat/>
    <w:rPr>
      <w:b/>
      <w:bCs/>
      <w:sz w:val="28"/>
      <w:szCs w:val="28"/>
    </w:rPr>
  </w:style>
  <w:style w:type="character" w:styleId="1624" w:customStyle="1">
    <w:name w:val="明显引用 字符1"/>
    <w:uiPriority w:val="99"/>
    <w:qFormat/>
    <w:rPr>
      <w:rFonts w:ascii="Times New Roman" w:hAnsi="Times New Roman" w:eastAsia="宋体" w:cs="Times New Roman"/>
      <w:i/>
      <w:iCs/>
      <w:color w:val="4f81bd"/>
      <w:szCs w:val="24"/>
    </w:rPr>
  </w:style>
  <w:style w:type="character" w:styleId="1625" w:customStyle="1">
    <w:name w:val="标题 6 Char1"/>
    <w:qFormat/>
    <w:rPr>
      <w:rFonts w:ascii="Calibri Light" w:hAnsi="Calibri Light" w:eastAsia="宋体" w:cs="Times New Roman"/>
      <w:b/>
      <w:bCs/>
      <w:sz w:val="24"/>
      <w:szCs w:val="24"/>
    </w:rPr>
  </w:style>
  <w:style w:type="character" w:styleId="1626" w:customStyle="1">
    <w:name w:val="明显引用 Char1"/>
    <w:uiPriority w:val="30"/>
    <w:qFormat/>
    <w:rPr>
      <w:i/>
      <w:iCs/>
      <w:color w:val="5b9bd5"/>
      <w:sz w:val="24"/>
    </w:rPr>
  </w:style>
  <w:style w:type="character" w:styleId="1627" w:customStyle="1">
    <w:name w:val="标题 7 Char1"/>
    <w:qFormat/>
    <w:rPr>
      <w:b/>
      <w:bCs/>
      <w:sz w:val="24"/>
      <w:szCs w:val="24"/>
    </w:rPr>
  </w:style>
  <w:style w:type="character" w:styleId="1628" w:customStyle="1">
    <w:name w:val="引用 字符"/>
    <w:link w:val="1629"/>
    <w:qFormat/>
    <w:rPr>
      <w:i/>
      <w:iCs/>
      <w:color w:val="000000"/>
      <w:sz w:val="22"/>
      <w:lang w:eastAsia="en-US" w:bidi="en-US"/>
    </w:rPr>
  </w:style>
  <w:style w:type="paragraph" w:styleId="1629" w:customStyle="1">
    <w:name w:val="引用1"/>
    <w:basedOn w:val="919"/>
    <w:next w:val="919"/>
    <w:link w:val="1628"/>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630" w:customStyle="1">
    <w:name w:val="标题 8 Char1"/>
    <w:qFormat/>
    <w:rPr>
      <w:rFonts w:ascii="Calibri Light" w:hAnsi="Calibri Light" w:eastAsia="宋体" w:cs="Times New Roman"/>
      <w:sz w:val="24"/>
      <w:szCs w:val="24"/>
    </w:rPr>
  </w:style>
  <w:style w:type="character" w:styleId="1631" w:customStyle="1">
    <w:name w:val="不明显参考1"/>
    <w:qFormat/>
    <w:rPr>
      <w:smallCaps/>
      <w:color w:val="c0504d"/>
      <w:u w:val="single"/>
    </w:rPr>
  </w:style>
  <w:style w:type="character" w:styleId="1632" w:customStyle="1">
    <w:name w:val="标题 9 Char1"/>
    <w:qFormat/>
    <w:rPr>
      <w:rFonts w:ascii="Calibri Light" w:hAnsi="Calibri Light" w:eastAsia="宋体" w:cs="Times New Roman"/>
      <w:sz w:val="21"/>
      <w:szCs w:val="21"/>
    </w:rPr>
  </w:style>
  <w:style w:type="character" w:styleId="1633" w:customStyle="1">
    <w:name w:val="明显参考1"/>
    <w:qFormat/>
    <w:rPr>
      <w:b/>
      <w:bCs/>
      <w:smallCaps/>
      <w:color w:val="c0504d"/>
      <w:spacing w:val="5"/>
      <w:u w:val="single"/>
    </w:rPr>
  </w:style>
  <w:style w:type="character" w:styleId="1634" w:customStyle="1">
    <w:name w:val="脚注文本 Char1"/>
    <w:semiHidden/>
    <w:qFormat/>
    <w:rPr>
      <w:sz w:val="18"/>
      <w:szCs w:val="18"/>
    </w:rPr>
  </w:style>
  <w:style w:type="character" w:styleId="1635" w:customStyle="1">
    <w:name w:val="tpc_content1"/>
    <w:qFormat/>
    <w:rPr>
      <w:sz w:val="19"/>
      <w:szCs w:val="19"/>
    </w:rPr>
  </w:style>
  <w:style w:type="character" w:styleId="1636" w:customStyle="1">
    <w:name w:val="日期 Char1"/>
    <w:qFormat/>
    <w:rPr>
      <w:sz w:val="21"/>
      <w:szCs w:val="24"/>
    </w:rPr>
  </w:style>
  <w:style w:type="character" w:styleId="1637" w:customStyle="1">
    <w:name w:val="书籍标题1"/>
    <w:qFormat/>
    <w:rPr>
      <w:b/>
      <w:bCs/>
      <w:smallCaps/>
      <w:spacing w:val="5"/>
    </w:rPr>
  </w:style>
  <w:style w:type="character" w:styleId="1638" w:customStyle="1">
    <w:name w:val="正文文本 2 Char1"/>
    <w:uiPriority w:val="99"/>
    <w:qFormat/>
    <w:rPr>
      <w:sz w:val="21"/>
      <w:szCs w:val="24"/>
    </w:rPr>
  </w:style>
  <w:style w:type="character" w:styleId="1639" w:customStyle="1">
    <w:name w:val="short_text1"/>
    <w:qFormat/>
    <w:rPr>
      <w:sz w:val="26"/>
      <w:szCs w:val="26"/>
    </w:rPr>
  </w:style>
  <w:style w:type="character" w:styleId="1640" w:customStyle="1">
    <w:name w:val="正文文本 3 Char1"/>
    <w:qFormat/>
    <w:rPr>
      <w:sz w:val="16"/>
      <w:szCs w:val="16"/>
    </w:rPr>
  </w:style>
  <w:style w:type="character" w:styleId="1641" w:customStyle="1">
    <w:name w:val="ABC标题下的小点 Char"/>
    <w:link w:val="1642"/>
    <w:qFormat/>
    <w:rPr>
      <w:rFonts w:ascii="宋体" w:hAnsi="宋体"/>
    </w:rPr>
  </w:style>
  <w:style w:type="paragraph" w:styleId="1642" w:customStyle="1">
    <w:name w:val="ABC标题下的小点"/>
    <w:basedOn w:val="919"/>
    <w:link w:val="1641"/>
    <w:qFormat/>
    <w:pPr>
      <w:ind w:left="1190" w:hanging="567"/>
      <w:spacing w:line="360" w:lineRule="auto"/>
      <w:tabs>
        <w:tab w:val="left" w:pos="1260" w:leader="none"/>
      </w:tabs>
    </w:pPr>
    <w:rPr>
      <w:rFonts w:ascii="宋体" w:hAnsi="宋体" w:eastAsiaTheme="minorEastAsia" w:cstheme="minorBidi"/>
      <w:szCs w:val="22"/>
    </w:rPr>
  </w:style>
  <w:style w:type="character" w:styleId="1643" w:customStyle="1">
    <w:name w:val="标题 Char1"/>
    <w:qFormat/>
    <w:rPr>
      <w:rFonts w:ascii="Calibri Light" w:hAnsi="Calibri Light" w:cs="Times New Roman"/>
      <w:b/>
      <w:bCs/>
      <w:sz w:val="32"/>
      <w:szCs w:val="32"/>
    </w:rPr>
  </w:style>
  <w:style w:type="character" w:styleId="1644" w:customStyle="1">
    <w:name w:val="style21"/>
    <w:qFormat/>
    <w:rPr>
      <w:color w:val="000080"/>
    </w:rPr>
  </w:style>
  <w:style w:type="character" w:styleId="1645" w:customStyle="1">
    <w:name w:val="注释标题 Char1"/>
    <w:qFormat/>
    <w:rPr>
      <w:sz w:val="21"/>
      <w:szCs w:val="24"/>
    </w:rPr>
  </w:style>
  <w:style w:type="character" w:styleId="1646" w:customStyle="1">
    <w:name w:val="ns1"/>
    <w:qFormat/>
    <w:rPr>
      <w:color w:val="ff0000"/>
    </w:rPr>
  </w:style>
  <w:style w:type="character" w:styleId="1647" w:customStyle="1">
    <w:name w:val="zn1 Char"/>
    <w:link w:val="1648"/>
    <w:qFormat/>
    <w:rPr>
      <w:rFonts w:ascii="黑体" w:hAnsi="仿宋_GB2312" w:eastAsia="黑体"/>
      <w:bCs/>
      <w:sz w:val="36"/>
      <w:szCs w:val="32"/>
      <w:lang w:val="zh-CN"/>
    </w:rPr>
  </w:style>
  <w:style w:type="paragraph" w:styleId="1648" w:customStyle="1">
    <w:name w:val="zn1"/>
    <w:basedOn w:val="920"/>
    <w:link w:val="1647"/>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649" w:customStyle="1">
    <w:name w:val="hilite2"/>
    <w:qFormat/>
  </w:style>
  <w:style w:type="character" w:styleId="1650" w:customStyle="1">
    <w:name w:val="WC三级 Char"/>
    <w:link w:val="1651"/>
    <w:qFormat/>
    <w:rPr>
      <w:b/>
      <w:sz w:val="32"/>
      <w:lang w:val="zh-CN"/>
    </w:rPr>
  </w:style>
  <w:style w:type="paragraph" w:styleId="1651" w:customStyle="1">
    <w:name w:val="WC三级"/>
    <w:basedOn w:val="922"/>
    <w:link w:val="165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652" w:customStyle="1">
    <w:name w:val="个人答复风格"/>
    <w:qFormat/>
    <w:rPr>
      <w:rFonts w:ascii="Arial" w:hAnsi="Arial" w:eastAsia="宋体" w:cs="Arial"/>
      <w:color w:val="auto"/>
      <w:sz w:val="20"/>
    </w:rPr>
  </w:style>
  <w:style w:type="character" w:styleId="1653" w:customStyle="1">
    <w:name w:val="WC二级 Char"/>
    <w:link w:val="1654"/>
    <w:qFormat/>
    <w:rPr>
      <w:rFonts w:ascii="Arial" w:hAnsi="Arial" w:eastAsia="黑体"/>
      <w:b/>
      <w:sz w:val="32"/>
      <w:lang w:val="zh-CN"/>
    </w:rPr>
  </w:style>
  <w:style w:type="paragraph" w:styleId="1654" w:customStyle="1">
    <w:name w:val="WC二级"/>
    <w:basedOn w:val="921"/>
    <w:link w:val="1653"/>
    <w:qFormat/>
    <w:pPr>
      <w:ind w:left="567" w:hanging="567"/>
      <w:spacing w:line="240" w:lineRule="auto"/>
      <w:tabs>
        <w:tab w:val="left" w:pos="0" w:leader="none"/>
        <w:tab w:val="left" w:pos="567" w:leader="none"/>
      </w:tabs>
    </w:pPr>
    <w:rPr>
      <w:rFonts w:ascii="Arial" w:eastAsia="黑体" w:cstheme="minorBidi"/>
      <w:sz w:val="32"/>
      <w:szCs w:val="22"/>
      <w:lang w:val="zh-CN"/>
    </w:rPr>
  </w:style>
  <w:style w:type="character" w:styleId="1655" w:customStyle="1">
    <w:name w:val="b1"/>
    <w:qFormat/>
    <w:rPr>
      <w:rFonts w:hint="default" w:ascii="Courier New" w:hAnsi="Courier New" w:cs="Courier New"/>
      <w:b/>
      <w:bCs/>
      <w:color w:val="ff0000"/>
      <w:u w:val="none"/>
    </w:rPr>
  </w:style>
  <w:style w:type="character" w:styleId="1656" w:customStyle="1">
    <w:name w:val="样式sjw Char"/>
    <w:link w:val="1657"/>
    <w:qFormat/>
    <w:rPr>
      <w:rFonts w:ascii="宋体" w:hAnsi="宋体"/>
      <w:caps/>
      <w:color w:val="000000"/>
      <w:sz w:val="18"/>
      <w:szCs w:val="18"/>
      <w:shd w:val="pct10" w:color="auto" w:fill="auto"/>
      <w:lang w:val="zh-CN"/>
    </w:rPr>
  </w:style>
  <w:style w:type="paragraph" w:styleId="1657" w:customStyle="1">
    <w:name w:val="样式sjw"/>
    <w:basedOn w:val="919"/>
    <w:link w:val="1656"/>
    <w:qFormat/>
    <w:pPr>
      <w:jc w:val="left"/>
      <w:shd w:val="pct10" w:color="auto" w:fill="auto"/>
      <w:widowControl/>
    </w:pPr>
    <w:rPr>
      <w:rFonts w:ascii="宋体" w:hAnsi="宋体" w:eastAsiaTheme="minorEastAsia" w:cstheme="minorBidi"/>
      <w:caps/>
      <w:color w:val="000000"/>
      <w:sz w:val="18"/>
      <w:szCs w:val="18"/>
      <w:lang w:val="zh-CN"/>
    </w:rPr>
  </w:style>
  <w:style w:type="character" w:styleId="1658" w:customStyle="1">
    <w:name w:val="myp1111"/>
    <w:qFormat/>
    <w:rPr>
      <w:rFonts w:hint="default" w:ascii="ˎ̥" w:hAnsi="ˎ̥"/>
      <w:color w:val="000000"/>
      <w:sz w:val="20"/>
      <w:szCs w:val="20"/>
      <w:u w:val="none"/>
    </w:rPr>
  </w:style>
  <w:style w:type="character" w:styleId="1659" w:customStyle="1">
    <w:name w:val="faqa1"/>
    <w:qFormat/>
    <w:rPr>
      <w:rFonts w:hint="eastAsia" w:ascii="微软雅黑" w:hAnsi="微软雅黑" w:eastAsia="微软雅黑"/>
      <w:b/>
      <w:bCs/>
      <w:sz w:val="27"/>
      <w:szCs w:val="27"/>
    </w:rPr>
  </w:style>
  <w:style w:type="character" w:styleId="1660" w:customStyle="1">
    <w:name w:val="表头文字(同正文大小) Char"/>
    <w:link w:val="1661"/>
    <w:qFormat/>
    <w:rPr>
      <w:rFonts w:eastAsia="黑体"/>
      <w:lang w:eastAsia="en-US"/>
    </w:rPr>
  </w:style>
  <w:style w:type="paragraph" w:styleId="1661" w:customStyle="1">
    <w:name w:val="表头文字(同正文大小)"/>
    <w:basedOn w:val="919"/>
    <w:link w:val="1660"/>
    <w:qFormat/>
    <w:pPr>
      <w:jc w:val="center"/>
      <w:spacing w:line="264" w:lineRule="auto"/>
    </w:pPr>
    <w:rPr>
      <w:rFonts w:eastAsia="黑体" w:asciiTheme="minorHAnsi" w:hAnsiTheme="minorHAnsi" w:cstheme="minorBidi"/>
      <w:szCs w:val="22"/>
      <w:lang w:eastAsia="en-US"/>
    </w:rPr>
  </w:style>
  <w:style w:type="character" w:styleId="1662" w:customStyle="1">
    <w:name w:val="faqq1"/>
    <w:qFormat/>
    <w:rPr>
      <w:rFonts w:hint="eastAsia" w:ascii="微软雅黑" w:hAnsi="微软雅黑" w:eastAsia="微软雅黑"/>
      <w:sz w:val="24"/>
      <w:szCs w:val="24"/>
    </w:rPr>
  </w:style>
  <w:style w:type="character" w:styleId="1663" w:customStyle="1">
    <w:name w:val="表格 Char"/>
    <w:qFormat/>
    <w:rPr>
      <w:rFonts w:ascii="Times New Roman" w:hAnsi="Times New Roman" w:eastAsia="宋体" w:cs="Times New Roman"/>
      <w:sz w:val="24"/>
      <w:szCs w:val="24"/>
    </w:rPr>
  </w:style>
  <w:style w:type="character" w:styleId="1664" w:customStyle="1">
    <w:name w:val="题注 Char1"/>
    <w:qFormat/>
    <w:rPr>
      <w:rFonts w:ascii="Arial" w:hAnsi="Arial" w:eastAsia="黑体" w:cs="Arial"/>
      <w:sz w:val="20"/>
      <w:szCs w:val="20"/>
    </w:rPr>
  </w:style>
  <w:style w:type="character" w:styleId="1665" w:customStyle="1">
    <w:name w:val="未处理的提及1"/>
    <w:uiPriority w:val="99"/>
    <w:unhideWhenUsed/>
    <w:qFormat/>
    <w:rPr>
      <w:color w:val="605e5c"/>
      <w:shd w:val="clear" w:color="auto" w:fill="e1dfdd"/>
    </w:rPr>
  </w:style>
  <w:style w:type="character" w:styleId="1666" w:customStyle="1">
    <w:name w:val="Char Char32"/>
    <w:qFormat/>
    <w:rPr>
      <w:rFonts w:eastAsia="宋体"/>
      <w:sz w:val="21"/>
      <w:szCs w:val="24"/>
      <w:lang w:val="en-US" w:eastAsia="zh-CN" w:bidi="ar-SA"/>
    </w:rPr>
  </w:style>
  <w:style w:type="character" w:styleId="1667" w:customStyle="1">
    <w:name w:val="WW8Num22z1"/>
    <w:qFormat/>
    <w:rPr>
      <w:rFonts w:ascii="Wingdings 2" w:hAnsi="Wingdings 2" w:cs="StarSymbol"/>
      <w:sz w:val="18"/>
      <w:szCs w:val="18"/>
    </w:rPr>
  </w:style>
  <w:style w:type="character" w:styleId="1668" w:customStyle="1">
    <w:name w:val="正文文本缩进 字符1"/>
    <w:semiHidden/>
    <w:qFormat/>
    <w:rPr>
      <w:rFonts w:ascii="方正仿宋_GBK" w:hAnsi="Times New Roman" w:eastAsia="方正仿宋_GBK" w:cs="Times New Roman"/>
      <w:sz w:val="32"/>
      <w:szCs w:val="20"/>
    </w:rPr>
  </w:style>
  <w:style w:type="character" w:styleId="1669" w:customStyle="1">
    <w:name w:val="WW8Num38z2"/>
    <w:qFormat/>
    <w:rPr>
      <w:rFonts w:ascii="StarSymbol" w:hAnsi="StarSymbol" w:cs="StarSymbol"/>
      <w:sz w:val="18"/>
      <w:szCs w:val="18"/>
    </w:rPr>
  </w:style>
  <w:style w:type="character" w:styleId="1670" w:customStyle="1">
    <w:name w:val="样式 加粗"/>
    <w:qFormat/>
    <w:rPr>
      <w:rFonts w:hint="eastAsia" w:ascii="宋体" w:hAnsi="宋体" w:eastAsia="宋体"/>
      <w:b/>
      <w:bCs/>
      <w:lang w:val="en-US" w:eastAsia="zh-CN" w:bidi="ar-SA"/>
    </w:rPr>
  </w:style>
  <w:style w:type="character" w:styleId="1671" w:customStyle="1">
    <w:name w:val="WW8Num18z2"/>
    <w:qFormat/>
    <w:rPr>
      <w:rFonts w:ascii="StarSymbol" w:hAnsi="StarSymbol" w:cs="StarSymbol"/>
      <w:sz w:val="18"/>
      <w:szCs w:val="18"/>
    </w:rPr>
  </w:style>
  <w:style w:type="character" w:styleId="1672" w:customStyle="1">
    <w:name w:val="myp112"/>
    <w:qFormat/>
    <w:rPr>
      <w:rFonts w:hint="default"/>
      <w:color w:val="000000"/>
      <w:sz w:val="22"/>
      <w:szCs w:val="22"/>
      <w:u w:val="none"/>
    </w:rPr>
  </w:style>
  <w:style w:type="character" w:styleId="1673" w:customStyle="1">
    <w:name w:val="fontstyle21"/>
    <w:qFormat/>
    <w:rPr>
      <w:rFonts w:hint="default" w:ascii="Arial" w:hAnsi="Arial" w:cs="Arial"/>
      <w:color w:val="000000"/>
      <w:sz w:val="24"/>
      <w:szCs w:val="24"/>
    </w:rPr>
  </w:style>
  <w:style w:type="character" w:styleId="1674" w:customStyle="1">
    <w:name w:val="WW8Num2z1"/>
    <w:qFormat/>
    <w:rPr>
      <w:rFonts w:ascii="Wingdings 2" w:hAnsi="Wingdings 2" w:cs="StarSymbol"/>
      <w:sz w:val="18"/>
      <w:szCs w:val="18"/>
    </w:rPr>
  </w:style>
  <w:style w:type="character" w:styleId="1675" w:customStyle="1">
    <w:name w:val="日期 字符1"/>
    <w:semiHidden/>
    <w:qFormat/>
    <w:rPr>
      <w:rFonts w:ascii="Times New Roman" w:hAnsi="Times New Roman" w:eastAsia="方正仿宋_GBK" w:cs="Times New Roman"/>
      <w:szCs w:val="20"/>
    </w:rPr>
  </w:style>
  <w:style w:type="character" w:styleId="1676" w:customStyle="1">
    <w:name w:val="正文首行缩进 2 Char1"/>
    <w:qFormat/>
    <w:rPr>
      <w:rFonts w:hint="eastAsia" w:ascii="方正仿宋_GBK" w:eastAsia="方正仿宋_GBK"/>
      <w:sz w:val="32"/>
      <w:szCs w:val="28"/>
    </w:rPr>
  </w:style>
  <w:style w:type="character" w:styleId="1677" w:customStyle="1">
    <w:name w:val="WW8Num35z0"/>
    <w:qFormat/>
    <w:rPr>
      <w:rFonts w:ascii="Wingdings" w:hAnsi="Wingdings" w:cs="StarSymbol"/>
      <w:sz w:val="18"/>
      <w:szCs w:val="18"/>
    </w:rPr>
  </w:style>
  <w:style w:type="character" w:styleId="1678" w:customStyle="1">
    <w:name w:val="WW8Num12z2"/>
    <w:qFormat/>
    <w:rPr>
      <w:rFonts w:ascii="StarSymbol" w:hAnsi="StarSymbol" w:cs="StarSymbol"/>
      <w:sz w:val="18"/>
      <w:szCs w:val="18"/>
    </w:rPr>
  </w:style>
  <w:style w:type="character" w:styleId="1679" w:customStyle="1">
    <w:name w:val="WW8Num16z0"/>
    <w:qFormat/>
    <w:rPr>
      <w:rFonts w:ascii="Wingdings" w:hAnsi="Wingdings" w:cs="StarSymbol"/>
      <w:sz w:val="18"/>
      <w:szCs w:val="18"/>
    </w:rPr>
  </w:style>
  <w:style w:type="character" w:styleId="1680" w:customStyle="1">
    <w:name w:val="Bid_正文 Char"/>
    <w:qFormat/>
    <w:rPr>
      <w:sz w:val="24"/>
    </w:rPr>
  </w:style>
  <w:style w:type="character" w:styleId="1681" w:customStyle="1">
    <w:name w:val="WW8Num13z0"/>
    <w:qFormat/>
    <w:rPr>
      <w:rFonts w:ascii="Wingdings" w:hAnsi="Wingdings" w:cs="StarSymbol"/>
      <w:sz w:val="18"/>
      <w:szCs w:val="18"/>
    </w:rPr>
  </w:style>
  <w:style w:type="character" w:styleId="1682" w:customStyle="1">
    <w:name w:val="WW8Num37z0"/>
    <w:qFormat/>
    <w:rPr>
      <w:rFonts w:ascii="Wingdings" w:hAnsi="Wingdings" w:cs="StarSymbol"/>
      <w:sz w:val="18"/>
      <w:szCs w:val="18"/>
    </w:rPr>
  </w:style>
  <w:style w:type="character" w:styleId="1683" w:customStyle="1">
    <w:name w:val="WW8Num37z1"/>
    <w:qFormat/>
    <w:rPr>
      <w:rFonts w:ascii="Wingdings 2" w:hAnsi="Wingdings 2" w:cs="StarSymbol"/>
      <w:sz w:val="18"/>
      <w:szCs w:val="18"/>
    </w:rPr>
  </w:style>
  <w:style w:type="character" w:styleId="1684" w:customStyle="1">
    <w:name w:val="WW8Num34z0"/>
    <w:qFormat/>
    <w:rPr>
      <w:rFonts w:ascii="Wingdings" w:hAnsi="Wingdings" w:cs="StarSymbol"/>
      <w:sz w:val="18"/>
      <w:szCs w:val="18"/>
    </w:rPr>
  </w:style>
  <w:style w:type="character" w:styleId="1685" w:customStyle="1">
    <w:name w:val="WW8Num17z0"/>
    <w:qFormat/>
    <w:rPr>
      <w:rFonts w:ascii="Wingdings" w:hAnsi="Wingdings"/>
    </w:rPr>
  </w:style>
  <w:style w:type="character" w:styleId="1686" w:customStyle="1">
    <w:name w:val="WW8Num15z0"/>
    <w:qFormat/>
    <w:rPr>
      <w:rFonts w:ascii="Wingdings" w:hAnsi="Wingdings" w:cs="StarSymbol"/>
      <w:sz w:val="18"/>
      <w:szCs w:val="18"/>
    </w:rPr>
  </w:style>
  <w:style w:type="character" w:styleId="1687" w:customStyle="1">
    <w:name w:val="WW8Num28z1"/>
    <w:qFormat/>
    <w:rPr>
      <w:rFonts w:ascii="Wingdings 2" w:hAnsi="Wingdings 2" w:cs="StarSymbol"/>
      <w:sz w:val="18"/>
      <w:szCs w:val="18"/>
    </w:rPr>
  </w:style>
  <w:style w:type="character" w:styleId="1688" w:customStyle="1">
    <w:name w:val="WW8Num4z0"/>
    <w:qFormat/>
    <w:rPr>
      <w:rFonts w:ascii="Wingdings" w:hAnsi="Wingdings" w:cs="StarSymbol"/>
      <w:sz w:val="18"/>
      <w:szCs w:val="18"/>
    </w:rPr>
  </w:style>
  <w:style w:type="character" w:styleId="1689" w:customStyle="1">
    <w:name w:val="style101"/>
    <w:qFormat/>
    <w:rPr>
      <w:rFonts w:hint="eastAsia" w:ascii="宋体" w:hAnsi="宋体" w:eastAsia="宋体"/>
      <w:b/>
      <w:bCs/>
      <w:color w:val="ffffff"/>
      <w:sz w:val="21"/>
      <w:szCs w:val="21"/>
      <w:lang w:val="en-US" w:eastAsia="zh-CN" w:bidi="ar-SA"/>
    </w:rPr>
  </w:style>
  <w:style w:type="character" w:styleId="1690" w:customStyle="1">
    <w:name w:val="WW8Num5z0"/>
    <w:qFormat/>
    <w:rPr>
      <w:rFonts w:ascii="Wingdings" w:hAnsi="Wingdings" w:cs="StarSymbol"/>
      <w:sz w:val="18"/>
      <w:szCs w:val="18"/>
    </w:rPr>
  </w:style>
  <w:style w:type="character" w:styleId="1691" w:customStyle="1">
    <w:name w:val="无首行缩进正文 Char"/>
    <w:qFormat/>
  </w:style>
  <w:style w:type="character" w:styleId="1692" w:customStyle="1">
    <w:name w:val="批注框文本 Char2"/>
    <w:qFormat/>
    <w:rPr>
      <w:rFonts w:ascii="Times New Roman" w:hAnsi="Times New Roman" w:eastAsia="方正仿宋_GBK" w:cs="Times New Roman"/>
      <w:sz w:val="18"/>
      <w:szCs w:val="18"/>
    </w:rPr>
  </w:style>
  <w:style w:type="character" w:styleId="1693" w:customStyle="1">
    <w:name w:val="WW8Num29z2"/>
    <w:qFormat/>
    <w:rPr>
      <w:rFonts w:ascii="StarSymbol" w:hAnsi="StarSymbol" w:cs="StarSymbol"/>
      <w:sz w:val="18"/>
      <w:szCs w:val="18"/>
    </w:rPr>
  </w:style>
  <w:style w:type="character" w:styleId="1694" w:customStyle="1">
    <w:name w:val="WW8Num23z2"/>
    <w:qFormat/>
    <w:rPr>
      <w:rFonts w:ascii="StarSymbol" w:hAnsi="StarSymbol" w:cs="StarSymbol"/>
      <w:sz w:val="18"/>
      <w:szCs w:val="18"/>
    </w:rPr>
  </w:style>
  <w:style w:type="character" w:styleId="1695" w:customStyle="1">
    <w:name w:val="WW8Num19z0"/>
    <w:qFormat/>
    <w:rPr>
      <w:rFonts w:ascii="Wingdings" w:hAnsi="Wingdings" w:cs="StarSymbol"/>
      <w:sz w:val="18"/>
      <w:szCs w:val="18"/>
    </w:rPr>
  </w:style>
  <w:style w:type="character" w:styleId="1696" w:customStyle="1">
    <w:name w:val="WW8Num22z2"/>
    <w:qFormat/>
    <w:rPr>
      <w:rFonts w:ascii="StarSymbol" w:hAnsi="StarSymbol" w:cs="StarSymbol"/>
      <w:sz w:val="18"/>
      <w:szCs w:val="18"/>
    </w:rPr>
  </w:style>
  <w:style w:type="character" w:styleId="1697" w:customStyle="1">
    <w:name w:val="WW8Num24z1"/>
    <w:qFormat/>
    <w:rPr>
      <w:rFonts w:ascii="Wingdings 2" w:hAnsi="Wingdings 2" w:cs="StarSymbol"/>
      <w:sz w:val="18"/>
      <w:szCs w:val="18"/>
    </w:rPr>
  </w:style>
  <w:style w:type="character" w:styleId="1698" w:customStyle="1">
    <w:name w:val="标题 7 字符1"/>
    <w:uiPriority w:val="9"/>
    <w:qFormat/>
    <w:rPr>
      <w:rFonts w:ascii="Times New Roman" w:hAnsi="Times New Roman" w:eastAsia="方正仿宋_GBK" w:cs="Times New Roman"/>
      <w:b/>
      <w:bCs/>
      <w:sz w:val="24"/>
      <w:szCs w:val="24"/>
    </w:rPr>
  </w:style>
  <w:style w:type="character" w:styleId="1699" w:customStyle="1">
    <w:name w:val="标题 6 字符1"/>
    <w:uiPriority w:val="9"/>
    <w:qFormat/>
    <w:rPr>
      <w:rFonts w:ascii="仿宋" w:hAnsi="仿宋" w:eastAsia="仿宋"/>
      <w:bCs/>
      <w:sz w:val="32"/>
      <w:szCs w:val="32"/>
    </w:rPr>
  </w:style>
  <w:style w:type="character" w:styleId="1700" w:customStyle="1">
    <w:name w:val="WW8Num39z1"/>
    <w:qFormat/>
    <w:rPr>
      <w:rFonts w:ascii="Wingdings 2" w:hAnsi="Wingdings 2" w:cs="StarSymbol"/>
      <w:sz w:val="18"/>
      <w:szCs w:val="18"/>
    </w:rPr>
  </w:style>
  <w:style w:type="character" w:styleId="1701" w:customStyle="1">
    <w:name w:val="apple-style-span"/>
    <w:qFormat/>
  </w:style>
  <w:style w:type="character" w:styleId="1702" w:customStyle="1">
    <w:name w:val="注×： Char"/>
    <w:link w:val="1703"/>
    <w:qFormat/>
    <w:rPr>
      <w:rFonts w:ascii="宋体"/>
      <w:sz w:val="18"/>
    </w:rPr>
  </w:style>
  <w:style w:type="paragraph" w:styleId="1703" w:customStyle="1">
    <w:name w:val="注×："/>
    <w:link w:val="1702"/>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704" w:customStyle="1">
    <w:name w:val="附录公式 Char"/>
    <w:link w:val="1705"/>
    <w:qFormat/>
    <w:rPr>
      <w:rFonts w:ascii="宋体"/>
    </w:rPr>
  </w:style>
  <w:style w:type="paragraph" w:styleId="1705" w:customStyle="1">
    <w:name w:val="附录公式"/>
    <w:basedOn w:val="1246"/>
    <w:next w:val="1246"/>
    <w:link w:val="1704"/>
    <w:qFormat/>
    <w:pPr>
      <w:ind w:firstLine="420"/>
      <w:tabs>
        <w:tab w:val="center" w:pos="4201" w:leader="none"/>
        <w:tab w:val="right" w:pos="9298" w:leader="dot"/>
      </w:tabs>
    </w:pPr>
    <w:rPr>
      <w:rFonts w:hAnsiTheme="minorHAnsi" w:eastAsiaTheme="minorEastAsia" w:cstheme="minorBidi"/>
      <w:szCs w:val="22"/>
    </w:rPr>
  </w:style>
  <w:style w:type="character" w:styleId="1706" w:customStyle="1">
    <w:name w:val="附录图标题 Char"/>
    <w:link w:val="1707"/>
    <w:qFormat/>
    <w:rPr>
      <w:rFonts w:ascii="黑体" w:eastAsia="黑体"/>
    </w:rPr>
  </w:style>
  <w:style w:type="paragraph" w:styleId="1707" w:customStyle="1">
    <w:name w:val="附录图标题"/>
    <w:next w:val="1246"/>
    <w:link w:val="1706"/>
    <w:qFormat/>
    <w:pPr>
      <w:jc w:val="center"/>
    </w:pPr>
    <w:rPr>
      <w:rFonts w:ascii="黑体" w:eastAsia="黑体" w:hAnsiTheme="minorHAnsi" w:cstheme="minorBidi"/>
      <w:sz w:val="21"/>
      <w:szCs w:val="22"/>
    </w:rPr>
  </w:style>
  <w:style w:type="character" w:styleId="1708" w:customStyle="1">
    <w:name w:val="附录章标题 Char"/>
    <w:link w:val="1709"/>
    <w:qFormat/>
    <w:rPr>
      <w:rFonts w:ascii="黑体" w:eastAsia="黑体"/>
    </w:rPr>
  </w:style>
  <w:style w:type="paragraph" w:styleId="1709" w:customStyle="1">
    <w:name w:val="附录章标题"/>
    <w:next w:val="1246"/>
    <w:link w:val="1708"/>
    <w:qFormat/>
    <w:pPr>
      <w:ind w:left="567" w:hanging="567"/>
      <w:jc w:val="both"/>
      <w:tabs>
        <w:tab w:val="left" w:pos="567" w:leader="none"/>
      </w:tabs>
      <w:outlineLvl w:val="1"/>
    </w:pPr>
    <w:rPr>
      <w:rFonts w:ascii="黑体" w:eastAsia="黑体" w:hAnsiTheme="minorHAnsi" w:cstheme="minorBidi"/>
      <w:sz w:val="21"/>
      <w:szCs w:val="22"/>
    </w:rPr>
  </w:style>
  <w:style w:type="character" w:styleId="1710" w:customStyle="1">
    <w:name w:val="附录一级条标题 Char"/>
    <w:link w:val="1711"/>
    <w:qFormat/>
    <w:rPr>
      <w:rFonts w:ascii="黑体" w:eastAsia="黑体"/>
    </w:rPr>
  </w:style>
  <w:style w:type="paragraph" w:styleId="1711" w:customStyle="1">
    <w:name w:val="附录一级条标题"/>
    <w:basedOn w:val="1709"/>
    <w:next w:val="1246"/>
    <w:link w:val="1710"/>
    <w:qFormat/>
    <w:pPr>
      <w:ind w:left="0" w:firstLine="0"/>
      <w:outlineLvl w:val="2"/>
    </w:pPr>
  </w:style>
  <w:style w:type="character" w:styleId="1712" w:customStyle="1">
    <w:name w:val="首示例 Char"/>
    <w:link w:val="1713"/>
    <w:qFormat/>
    <w:rPr>
      <w:rFonts w:ascii="宋体" w:hAnsi="宋体"/>
      <w:sz w:val="18"/>
      <w:szCs w:val="18"/>
    </w:rPr>
  </w:style>
  <w:style w:type="paragraph" w:styleId="1713" w:customStyle="1">
    <w:name w:val="首示例"/>
    <w:next w:val="1246"/>
    <w:link w:val="1712"/>
    <w:qFormat/>
    <w:pPr>
      <w:ind w:left="900"/>
      <w:tabs>
        <w:tab w:val="left" w:pos="360" w:leader="none"/>
      </w:tabs>
    </w:pPr>
    <w:rPr>
      <w:rFonts w:ascii="宋体" w:hAnsi="宋体" w:eastAsiaTheme="minorEastAsia" w:cstheme="minorBidi"/>
      <w:sz w:val="18"/>
      <w:szCs w:val="18"/>
    </w:rPr>
  </w:style>
  <w:style w:type="character" w:styleId="1714" w:customStyle="1">
    <w:name w:val="无间隔 字符"/>
    <w:link w:val="1715"/>
    <w:qFormat/>
    <w:rPr>
      <w:rFonts w:ascii="Calibri" w:hAnsi="Calibri"/>
    </w:rPr>
  </w:style>
  <w:style w:type="paragraph" w:styleId="1715" w:customStyle="1">
    <w:name w:val="无间隔1"/>
    <w:link w:val="1714"/>
    <w:qFormat/>
    <w:pPr>
      <w:jc w:val="both"/>
      <w:widowControl w:val="off"/>
    </w:pPr>
    <w:rPr>
      <w:rFonts w:ascii="Calibri" w:hAnsi="Calibri" w:eastAsiaTheme="minorEastAsia" w:cstheme="minorBidi"/>
      <w:sz w:val="21"/>
      <w:szCs w:val="22"/>
    </w:rPr>
  </w:style>
  <w:style w:type="character" w:styleId="1716" w:customStyle="1">
    <w:name w:val="标题 字符"/>
    <w:basedOn w:val="929"/>
    <w:link w:val="1133"/>
    <w:qFormat/>
    <w:rPr>
      <w:rFonts w:eastAsia="宋体" w:asciiTheme="majorHAnsi" w:hAnsiTheme="majorHAnsi" w:cstheme="majorBidi"/>
      <w:b/>
      <w:bCs/>
      <w:sz w:val="32"/>
      <w:szCs w:val="32"/>
    </w:rPr>
  </w:style>
  <w:style w:type="character" w:styleId="1717" w:customStyle="1">
    <w:name w:val="文档结构图 字符"/>
    <w:basedOn w:val="929"/>
    <w:link w:val="1094"/>
    <w:uiPriority w:val="99"/>
    <w:semiHidden/>
    <w:qFormat/>
    <w:rPr>
      <w:rFonts w:ascii="宋体" w:hAnsi="Times New Roman" w:eastAsia="宋体" w:cs="Times New Roman"/>
      <w:sz w:val="18"/>
      <w:szCs w:val="18"/>
    </w:rPr>
  </w:style>
  <w:style w:type="character" w:styleId="1718" w:customStyle="1">
    <w:name w:val="日期 字符"/>
    <w:basedOn w:val="929"/>
    <w:link w:val="1112"/>
    <w:uiPriority w:val="99"/>
    <w:semiHidden/>
    <w:qFormat/>
    <w:rPr>
      <w:rFonts w:ascii="Times New Roman" w:hAnsi="Times New Roman" w:eastAsia="宋体" w:cs="Times New Roman"/>
      <w:szCs w:val="24"/>
    </w:rPr>
  </w:style>
  <w:style w:type="character" w:styleId="1719" w:customStyle="1">
    <w:name w:val="HTML 地址 字符1"/>
    <w:basedOn w:val="929"/>
    <w:link w:val="1106"/>
    <w:uiPriority w:val="99"/>
    <w:semiHidden/>
    <w:qFormat/>
    <w:rPr>
      <w:rFonts w:ascii="Times New Roman" w:hAnsi="Times New Roman" w:eastAsia="宋体" w:cs="Times New Roman"/>
      <w:i/>
      <w:iCs/>
      <w:szCs w:val="24"/>
    </w:rPr>
  </w:style>
  <w:style w:type="character" w:styleId="1720" w:customStyle="1">
    <w:name w:val="纯文本 字符"/>
    <w:basedOn w:val="929"/>
    <w:link w:val="1109"/>
    <w:uiPriority w:val="99"/>
    <w:qFormat/>
    <w:rPr>
      <w:rFonts w:ascii="宋体" w:hAnsi="Courier New" w:eastAsia="宋体" w:cs="Courier New"/>
      <w:szCs w:val="21"/>
    </w:rPr>
  </w:style>
  <w:style w:type="character" w:styleId="1721" w:customStyle="1">
    <w:name w:val="HTML 预设格式 字符1"/>
    <w:basedOn w:val="929"/>
    <w:link w:val="1130"/>
    <w:uiPriority w:val="99"/>
    <w:semiHidden/>
    <w:qFormat/>
    <w:rPr>
      <w:rFonts w:ascii="Courier New" w:hAnsi="Courier New" w:eastAsia="宋体" w:cs="Courier New"/>
      <w:sz w:val="20"/>
      <w:szCs w:val="20"/>
    </w:rPr>
  </w:style>
  <w:style w:type="character" w:styleId="1722" w:customStyle="1">
    <w:name w:val="脚注文本 字符1"/>
    <w:basedOn w:val="929"/>
    <w:link w:val="1122"/>
    <w:uiPriority w:val="99"/>
    <w:semiHidden/>
    <w:qFormat/>
    <w:rPr>
      <w:rFonts w:ascii="Times New Roman" w:hAnsi="Times New Roman" w:eastAsia="宋体" w:cs="Times New Roman"/>
      <w:sz w:val="18"/>
      <w:szCs w:val="18"/>
    </w:rPr>
  </w:style>
  <w:style w:type="character" w:styleId="1723" w:customStyle="1">
    <w:name w:val="批注文字 字符"/>
    <w:basedOn w:val="929"/>
    <w:link w:val="1095"/>
    <w:qFormat/>
    <w:rPr>
      <w:rFonts w:ascii="Times New Roman" w:hAnsi="Times New Roman" w:eastAsia="宋体" w:cs="Times New Roman"/>
      <w:szCs w:val="24"/>
    </w:rPr>
  </w:style>
  <w:style w:type="character" w:styleId="1724" w:customStyle="1">
    <w:name w:val="正文文本缩进 字符"/>
    <w:basedOn w:val="929"/>
    <w:link w:val="1101"/>
    <w:uiPriority w:val="99"/>
    <w:semiHidden/>
    <w:qFormat/>
    <w:rPr>
      <w:rFonts w:ascii="Times New Roman" w:hAnsi="Times New Roman" w:eastAsia="宋体" w:cs="Times New Roman"/>
      <w:szCs w:val="24"/>
    </w:rPr>
  </w:style>
  <w:style w:type="character" w:styleId="1725" w:customStyle="1">
    <w:name w:val="正文文本 字符"/>
    <w:basedOn w:val="929"/>
    <w:link w:val="1100"/>
    <w:uiPriority w:val="99"/>
    <w:semiHidden/>
    <w:qFormat/>
    <w:rPr>
      <w:rFonts w:ascii="Times New Roman" w:hAnsi="Times New Roman" w:eastAsia="宋体" w:cs="Times New Roman"/>
      <w:szCs w:val="24"/>
    </w:rPr>
  </w:style>
  <w:style w:type="character" w:styleId="1726" w:customStyle="1">
    <w:name w:val="正文文本缩进 2 字符"/>
    <w:basedOn w:val="929"/>
    <w:link w:val="1113"/>
    <w:uiPriority w:val="99"/>
    <w:semiHidden/>
    <w:qFormat/>
    <w:rPr>
      <w:rFonts w:ascii="Times New Roman" w:hAnsi="Times New Roman" w:eastAsia="宋体" w:cs="Times New Roman"/>
      <w:szCs w:val="24"/>
    </w:rPr>
  </w:style>
  <w:style w:type="character" w:styleId="1727" w:customStyle="1">
    <w:name w:val="正文文本 3 字符"/>
    <w:basedOn w:val="929"/>
    <w:link w:val="1098"/>
    <w:uiPriority w:val="99"/>
    <w:semiHidden/>
    <w:qFormat/>
    <w:rPr>
      <w:rFonts w:ascii="Times New Roman" w:hAnsi="Times New Roman" w:eastAsia="宋体" w:cs="Times New Roman"/>
      <w:sz w:val="16"/>
      <w:szCs w:val="16"/>
    </w:rPr>
  </w:style>
  <w:style w:type="character" w:styleId="1728" w:customStyle="1">
    <w:name w:val="正文文本缩进 3 字符"/>
    <w:basedOn w:val="929"/>
    <w:link w:val="1123"/>
    <w:uiPriority w:val="99"/>
    <w:semiHidden/>
    <w:qFormat/>
    <w:rPr>
      <w:rFonts w:ascii="Times New Roman" w:hAnsi="Times New Roman" w:eastAsia="宋体" w:cs="Times New Roman"/>
      <w:sz w:val="16"/>
      <w:szCs w:val="16"/>
    </w:rPr>
  </w:style>
  <w:style w:type="character" w:styleId="1729" w:customStyle="1">
    <w:name w:val="注释标题 字符1"/>
    <w:basedOn w:val="929"/>
    <w:link w:val="1087"/>
    <w:uiPriority w:val="99"/>
    <w:semiHidden/>
    <w:qFormat/>
    <w:rPr>
      <w:rFonts w:ascii="Times New Roman" w:hAnsi="Times New Roman" w:eastAsia="宋体" w:cs="Times New Roman"/>
      <w:szCs w:val="24"/>
    </w:rPr>
  </w:style>
  <w:style w:type="character" w:styleId="1730" w:customStyle="1">
    <w:name w:val="批注主题 字符"/>
    <w:basedOn w:val="1723"/>
    <w:link w:val="1134"/>
    <w:uiPriority w:val="99"/>
    <w:semiHidden/>
    <w:qFormat/>
    <w:rPr>
      <w:rFonts w:ascii="Times New Roman" w:hAnsi="Times New Roman" w:eastAsia="宋体" w:cs="Times New Roman"/>
      <w:b/>
      <w:bCs/>
      <w:szCs w:val="24"/>
    </w:rPr>
  </w:style>
  <w:style w:type="character" w:styleId="1731" w:customStyle="1">
    <w:name w:val="批注框文本 字符"/>
    <w:basedOn w:val="929"/>
    <w:link w:val="1115"/>
    <w:uiPriority w:val="99"/>
    <w:qFormat/>
    <w:rPr>
      <w:rFonts w:ascii="Times New Roman" w:hAnsi="Times New Roman" w:eastAsia="宋体" w:cs="Times New Roman"/>
      <w:sz w:val="18"/>
      <w:szCs w:val="18"/>
    </w:rPr>
  </w:style>
  <w:style w:type="character" w:styleId="1732" w:customStyle="1">
    <w:name w:val="正文文本 2 字符"/>
    <w:basedOn w:val="929"/>
    <w:link w:val="1129"/>
    <w:uiPriority w:val="99"/>
    <w:semiHidden/>
    <w:qFormat/>
    <w:rPr>
      <w:rFonts w:ascii="Times New Roman" w:hAnsi="Times New Roman" w:eastAsia="宋体" w:cs="Times New Roman"/>
      <w:szCs w:val="24"/>
    </w:rPr>
  </w:style>
  <w:style w:type="character" w:styleId="1733" w:customStyle="1">
    <w:name w:val="称呼 字符"/>
    <w:basedOn w:val="929"/>
    <w:link w:val="1097"/>
    <w:uiPriority w:val="99"/>
    <w:semiHidden/>
    <w:qFormat/>
    <w:rPr>
      <w:rFonts w:ascii="Times New Roman" w:hAnsi="Times New Roman" w:eastAsia="宋体" w:cs="Times New Roman"/>
      <w:szCs w:val="24"/>
    </w:rPr>
  </w:style>
  <w:style w:type="character" w:styleId="1734" w:customStyle="1">
    <w:name w:val="副标题 字符"/>
    <w:basedOn w:val="929"/>
    <w:link w:val="1121"/>
    <w:uiPriority w:val="11"/>
    <w:qFormat/>
    <w:rPr>
      <w:rFonts w:eastAsia="宋体" w:asciiTheme="majorHAnsi" w:hAnsiTheme="majorHAnsi" w:cstheme="majorBidi"/>
      <w:b/>
      <w:bCs/>
      <w:sz w:val="32"/>
      <w:szCs w:val="32"/>
    </w:rPr>
  </w:style>
  <w:style w:type="character" w:styleId="1735" w:customStyle="1">
    <w:name w:val="尾注文本 字符"/>
    <w:basedOn w:val="929"/>
    <w:link w:val="1114"/>
    <w:uiPriority w:val="99"/>
    <w:semiHidden/>
    <w:qFormat/>
    <w:rPr>
      <w:rFonts w:ascii="Times New Roman" w:hAnsi="Times New Roman" w:eastAsia="宋体" w:cs="Times New Roman"/>
      <w:szCs w:val="24"/>
    </w:rPr>
  </w:style>
  <w:style w:type="paragraph" w:styleId="1736" w:customStyle="1">
    <w:name w:val="xl199"/>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xl194"/>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标准书眉一"/>
    <w:qFormat/>
    <w:pPr>
      <w:jc w:val="both"/>
    </w:pPr>
  </w:style>
  <w:style w:type="paragraph" w:styleId="1739" w:customStyle="1">
    <w:name w:val="xl257"/>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hands-on正文"/>
    <w:basedOn w:val="919"/>
    <w:qFormat/>
    <w:pPr>
      <w:ind w:firstLine="420"/>
      <w:jc w:val="left"/>
      <w:spacing w:before="40" w:after="80" w:line="320" w:lineRule="exact"/>
    </w:pPr>
    <w:rPr>
      <w:rFonts w:ascii="宋体" w:hAnsi="宋体" w:cs="宋体"/>
      <w:color w:val="000000"/>
      <w:szCs w:val="20"/>
    </w:rPr>
  </w:style>
  <w:style w:type="paragraph" w:styleId="1741" w:customStyle="1">
    <w:name w:val="标题3"/>
    <w:basedOn w:val="922"/>
    <w:qFormat/>
    <w:pPr>
      <w:keepLines w:val="0"/>
      <w:keepNext w:val="0"/>
      <w:spacing w:before="0" w:after="0" w:line="360" w:lineRule="auto"/>
    </w:pPr>
    <w:rPr>
      <w:rFonts w:eastAsia="仿宋_GB2312"/>
      <w:b w:val="0"/>
      <w:bCs/>
      <w:sz w:val="30"/>
      <w:szCs w:val="32"/>
    </w:rPr>
  </w:style>
  <w:style w:type="paragraph" w:styleId="1742" w:customStyle="1">
    <w:name w:val="xl195"/>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三级无标题条"/>
    <w:basedOn w:val="919"/>
    <w:qFormat/>
    <w:pPr>
      <w:ind w:hanging="420"/>
    </w:pPr>
  </w:style>
  <w:style w:type="paragraph" w:styleId="1744" w:customStyle="1">
    <w:name w:val="列出段落3"/>
    <w:basedOn w:val="919"/>
    <w:uiPriority w:val="99"/>
    <w:qFormat/>
    <w:pPr>
      <w:ind w:firstLine="420"/>
    </w:pPr>
    <w:rPr>
      <w:rFonts w:ascii="Calibri" w:hAnsi="Calibri"/>
      <w:szCs w:val="22"/>
    </w:rPr>
  </w:style>
  <w:style w:type="paragraph" w:styleId="1745" w:customStyle="1">
    <w:name w:val="参考文献、索引标题"/>
    <w:basedOn w:val="1746"/>
    <w:next w:val="919"/>
    <w:qFormat/>
    <w:pPr>
      <w:spacing w:after="200"/>
    </w:pPr>
    <w:rPr>
      <w:sz w:val="21"/>
    </w:rPr>
  </w:style>
  <w:style w:type="paragraph" w:styleId="1746" w:customStyle="1">
    <w:name w:val="前言、引言标题"/>
    <w:next w:val="919"/>
    <w:qFormat/>
    <w:pPr>
      <w:jc w:val="center"/>
      <w:spacing w:before="640" w:after="560"/>
      <w:shd w:val="clear" w:color="ffffff" w:fill="ffffff"/>
      <w:tabs>
        <w:tab w:val="left" w:pos="425" w:leader="none"/>
      </w:tabs>
      <w:outlineLvl w:val="0"/>
    </w:pPr>
    <w:rPr>
      <w:rFonts w:ascii="黑体" w:eastAsia="黑体"/>
      <w:sz w:val="32"/>
    </w:rPr>
  </w:style>
  <w:style w:type="paragraph" w:styleId="1747" w:customStyle="1">
    <w:name w:val="xl281"/>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小四缩进"/>
    <w:basedOn w:val="919"/>
    <w:qFormat/>
    <w:pPr>
      <w:ind w:firstLine="480"/>
      <w:spacing w:line="360" w:lineRule="auto"/>
    </w:pPr>
    <w:rPr>
      <w:sz w:val="24"/>
    </w:rPr>
  </w:style>
  <w:style w:type="paragraph" w:styleId="1749" w:customStyle="1">
    <w:name w:val="xl154"/>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示例"/>
    <w:next w:val="1246"/>
    <w:qFormat/>
    <w:pPr>
      <w:ind w:left="425" w:firstLine="419"/>
      <w:jc w:val="both"/>
      <w:tabs>
        <w:tab w:val="left" w:pos="425" w:leader="none"/>
        <w:tab w:val="left" w:pos="816" w:leader="none"/>
      </w:tabs>
    </w:pPr>
    <w:rPr>
      <w:rFonts w:ascii="宋体"/>
      <w:sz w:val="18"/>
    </w:rPr>
  </w:style>
  <w:style w:type="paragraph" w:styleId="1751" w:customStyle="1">
    <w:name w:val="xl47"/>
    <w:basedOn w:val="919"/>
    <w:qFormat/>
    <w:pPr>
      <w:jc w:val="center"/>
      <w:spacing w:before="100" w:beforeAutospacing="1" w:after="100" w:afterAutospacing="1"/>
      <w:widowControl/>
    </w:pPr>
    <w:rPr>
      <w:rFonts w:hint="eastAsia" w:ascii="黑体" w:hAnsi="Arial Unicode MS" w:eastAsia="黑体"/>
      <w:b/>
      <w:bCs/>
      <w:sz w:val="24"/>
    </w:rPr>
  </w:style>
  <w:style w:type="paragraph" w:styleId="1752" w:customStyle="1">
    <w:name w:val="xl169"/>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xl180"/>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xl58"/>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5" w:customStyle="1">
    <w:name w:val="xl215"/>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可研正文"/>
    <w:basedOn w:val="919"/>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57" w:customStyle="1">
    <w:name w:val="正文文本 31"/>
    <w:basedOn w:val="919"/>
    <w:qFormat/>
    <w:rPr>
      <w:rFonts w:ascii="仿宋_GB2312" w:hAnsi="Arial" w:eastAsia="仿宋_GB2312"/>
      <w:sz w:val="32"/>
      <w:szCs w:val="20"/>
    </w:rPr>
  </w:style>
  <w:style w:type="paragraph" w:styleId="1758" w:customStyle="1">
    <w:name w:val="xl171"/>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实施日期"/>
    <w:basedOn w:val="1760"/>
    <w:qFormat/>
    <w:pPr>
      <w:ind w:left="2580" w:hanging="420"/>
      <w:jc w:val="right"/>
      <w:framePr w:hSpace="0" w:wrap="around" w:xAlign="right"/>
    </w:pPr>
  </w:style>
  <w:style w:type="paragraph" w:styleId="1760" w:customStyle="1">
    <w:name w:val="发布日期"/>
    <w:qFormat/>
    <w:pPr>
      <w:framePr w:w="4000" w:h="473" w:vSpace="180" w:hSpace="180" w:wrap="around" w:hAnchor="margin" w:y="13511" w:hRule="exact"/>
    </w:pPr>
    <w:rPr>
      <w:rFonts w:eastAsia="黑体"/>
      <w:sz w:val="28"/>
    </w:rPr>
  </w:style>
  <w:style w:type="paragraph" w:styleId="1761" w:customStyle="1">
    <w:name w:val="xl30"/>
    <w:basedOn w:val="919"/>
    <w:qFormat/>
    <w:pPr>
      <w:jc w:val="left"/>
      <w:spacing w:before="100" w:beforeAutospacing="1" w:after="100" w:afterAutospacing="1"/>
      <w:widowControl/>
    </w:pPr>
    <w:rPr>
      <w:rFonts w:ascii="Tahoma" w:hAnsi="Tahoma" w:eastAsia="Arial Unicode MS" w:cs="Tahoma"/>
      <w:sz w:val="16"/>
      <w:szCs w:val="16"/>
    </w:rPr>
  </w:style>
  <w:style w:type="paragraph" w:styleId="1762" w:customStyle="1">
    <w:name w:val="xl309"/>
    <w:basedOn w:val="9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3" w:customStyle="1">
    <w:name w:val="xl28"/>
    <w:basedOn w:val="919"/>
    <w:qFormat/>
    <w:pPr>
      <w:jc w:val="left"/>
      <w:spacing w:before="100" w:beforeAutospacing="1" w:after="100" w:afterAutospacing="1"/>
      <w:widowControl/>
    </w:pPr>
    <w:rPr>
      <w:rFonts w:ascii="Tahoma" w:hAnsi="Tahoma" w:eastAsia="Arial Unicode MS" w:cs="Tahoma"/>
      <w:sz w:val="16"/>
      <w:szCs w:val="16"/>
    </w:rPr>
  </w:style>
  <w:style w:type="paragraph" w:styleId="1764" w:customStyle="1">
    <w:name w:val="xl285"/>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5" w:customStyle="1">
    <w:name w:val="我的标题1"/>
    <w:basedOn w:val="91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66" w:customStyle="1">
    <w:name w:val="无间隔11"/>
    <w:next w:val="1715"/>
    <w:uiPriority w:val="1"/>
    <w:qFormat/>
    <w:rPr>
      <w:rFonts w:ascii="Calibri" w:hAnsi="Calibri"/>
      <w:sz w:val="22"/>
      <w:szCs w:val="22"/>
    </w:rPr>
  </w:style>
  <w:style w:type="paragraph" w:styleId="1767" w:customStyle="1">
    <w:name w:val="标准"/>
    <w:basedOn w:val="919"/>
    <w:qFormat/>
    <w:pPr>
      <w:spacing w:line="240" w:lineRule="atLeast"/>
    </w:pPr>
    <w:rPr>
      <w:rFonts w:eastAsia="楷体_GB2312"/>
      <w:sz w:val="24"/>
      <w:szCs w:val="20"/>
    </w:rPr>
  </w:style>
  <w:style w:type="paragraph" w:styleId="1768" w:customStyle="1">
    <w:name w:val="xl184"/>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四级条标题"/>
    <w:basedOn w:val="1597"/>
    <w:next w:val="1246"/>
    <w:qFormat/>
    <w:pPr>
      <w:ind w:left="2520" w:hanging="420"/>
      <w:outlineLvl w:val="5"/>
    </w:pPr>
  </w:style>
  <w:style w:type="paragraph" w:styleId="1770" w:customStyle="1">
    <w:name w:val="正文首行缩进两字"/>
    <w:qFormat/>
    <w:pPr>
      <w:ind w:left="710"/>
      <w:jc w:val="both"/>
      <w:spacing w:line="300" w:lineRule="auto"/>
    </w:pPr>
    <w:rPr>
      <w:szCs w:val="21"/>
    </w:rPr>
  </w:style>
  <w:style w:type="paragraph" w:styleId="1771" w:customStyle="1">
    <w:name w:val="xl276"/>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315"/>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3" w:customStyle="1">
    <w:name w:val="xl73"/>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74" w:customStyle="1">
    <w:name w:val="xl242"/>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xl48"/>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76" w:customStyle="1">
    <w:name w:val="数字编号列项（二级）"/>
    <w:qFormat/>
    <w:pPr>
      <w:ind w:left="1260" w:hanging="420"/>
      <w:jc w:val="both"/>
      <w:tabs>
        <w:tab w:val="left" w:pos="360" w:leader="none"/>
      </w:tabs>
    </w:pPr>
    <w:rPr>
      <w:rFonts w:ascii="宋体"/>
      <w:sz w:val="21"/>
    </w:rPr>
  </w:style>
  <w:style w:type="paragraph" w:styleId="1777" w:customStyle="1">
    <w:name w:val="正文(首行缩进)"/>
    <w:basedOn w:val="919"/>
    <w:qFormat/>
    <w:pPr>
      <w:ind w:firstLine="480"/>
      <w:jc w:val="left"/>
      <w:spacing w:line="360" w:lineRule="auto"/>
    </w:pPr>
    <w:rPr>
      <w:rFonts w:ascii="楷体_GB2312" w:hAnsi="宋体" w:eastAsia="楷体_GB2312"/>
      <w:color w:val="000000"/>
      <w:sz w:val="24"/>
    </w:rPr>
  </w:style>
  <w:style w:type="paragraph" w:styleId="1778" w:customStyle="1">
    <w:name w:val="批注主题2"/>
    <w:basedOn w:val="1095"/>
    <w:next w:val="1095"/>
    <w:qFormat/>
    <w:rPr>
      <w:b/>
      <w:bCs/>
    </w:rPr>
  </w:style>
  <w:style w:type="paragraph" w:styleId="1779" w:customStyle="1">
    <w:name w:val="xl32"/>
    <w:basedOn w:val="919"/>
    <w:qFormat/>
    <w:pPr>
      <w:jc w:val="left"/>
      <w:spacing w:before="100" w:beforeAutospacing="1" w:after="100" w:afterAutospacing="1"/>
      <w:widowControl/>
    </w:pPr>
    <w:rPr>
      <w:rFonts w:ascii="Tahoma" w:hAnsi="Tahoma" w:eastAsia="Arial Unicode MS" w:cs="Tahoma"/>
      <w:sz w:val="16"/>
      <w:szCs w:val="16"/>
    </w:rPr>
  </w:style>
  <w:style w:type="paragraph" w:styleId="1780" w:customStyle="1">
    <w:name w:val="普通(网站)2"/>
    <w:basedOn w:val="919"/>
    <w:qFormat/>
    <w:pPr>
      <w:jc w:val="left"/>
      <w:spacing w:before="100" w:beforeAutospacing="1" w:after="100" w:afterAutospacing="1"/>
      <w:widowControl/>
    </w:pPr>
    <w:rPr>
      <w:rFonts w:ascii="宋体" w:hAnsi="宋体" w:cs="宋体"/>
      <w:color w:val="000000"/>
      <w:sz w:val="24"/>
    </w:rPr>
  </w:style>
  <w:style w:type="paragraph" w:styleId="1781" w:customStyle="1">
    <w:name w:val="xl227"/>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条文脚注"/>
    <w:basedOn w:val="1122"/>
    <w:qFormat/>
    <w:pPr>
      <w:ind w:left="780" w:hanging="360"/>
      <w:jc w:val="both"/>
    </w:pPr>
    <w:rPr>
      <w:rFonts w:ascii="宋体" w:hAnsi="Times New Roman"/>
    </w:rPr>
  </w:style>
  <w:style w:type="paragraph" w:styleId="1783" w:customStyle="1">
    <w:name w:val="22h222heading2hiddenhead"/>
    <w:basedOn w:val="919"/>
    <w:qFormat/>
    <w:pPr>
      <w:jc w:val="left"/>
      <w:spacing w:before="100" w:beforeAutospacing="1" w:after="100" w:afterAutospacing="1"/>
      <w:widowControl/>
    </w:pPr>
    <w:rPr>
      <w:rFonts w:ascii="宋体" w:hAnsi="宋体" w:cs="宋体"/>
      <w:sz w:val="24"/>
    </w:rPr>
  </w:style>
  <w:style w:type="paragraph" w:styleId="1784" w:customStyle="1">
    <w:name w:val="xl244"/>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5" w:customStyle="1">
    <w:name w:val="xl284"/>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xl234"/>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正文·"/>
    <w:basedOn w:val="919"/>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88" w:customStyle="1">
    <w:name w:val="标题4"/>
    <w:basedOn w:val="922"/>
    <w:qFormat/>
    <w:pPr>
      <w:jc w:val="center"/>
      <w:spacing w:before="120" w:after="120" w:line="415" w:lineRule="auto"/>
    </w:pPr>
    <w:rPr>
      <w:rFonts w:eastAsia="仿宋_GB2312"/>
    </w:rPr>
  </w:style>
  <w:style w:type="paragraph" w:styleId="1789" w:customStyle="1">
    <w:name w:val="xl164"/>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font0"/>
    <w:basedOn w:val="919"/>
    <w:qFormat/>
    <w:pPr>
      <w:jc w:val="left"/>
      <w:spacing w:before="100" w:beforeAutospacing="1" w:after="100" w:afterAutospacing="1"/>
      <w:widowControl/>
    </w:pPr>
    <w:rPr>
      <w:rFonts w:hint="eastAsia" w:ascii="宋体" w:hAnsi="宋体"/>
      <w:sz w:val="24"/>
    </w:rPr>
  </w:style>
  <w:style w:type="paragraph" w:styleId="1791" w:customStyle="1">
    <w:name w:val="文献分类号"/>
    <w:qFormat/>
    <w:pPr>
      <w:widowControl w:val="off"/>
      <w:framePr w:vSpace="180" w:hSpace="180" w:wrap="around" w:hAnchor="margin" w:y="1"/>
    </w:pPr>
    <w:rPr>
      <w:rFonts w:eastAsia="黑体"/>
      <w:sz w:val="21"/>
    </w:rPr>
  </w:style>
  <w:style w:type="paragraph" w:styleId="1792" w:customStyle="1">
    <w:name w:val="xl237"/>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xl162"/>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封面标准号1"/>
    <w:qFormat/>
    <w:pPr>
      <w:jc w:val="right"/>
      <w:spacing w:before="308"/>
      <w:widowControl w:val="off"/>
    </w:pPr>
    <w:rPr>
      <w:sz w:val="28"/>
    </w:rPr>
  </w:style>
  <w:style w:type="paragraph" w:styleId="1795" w:customStyle="1">
    <w:name w:val="font13"/>
    <w:basedOn w:val="919"/>
    <w:qFormat/>
    <w:pPr>
      <w:jc w:val="left"/>
      <w:spacing w:before="100" w:beforeAutospacing="1" w:after="100" w:afterAutospacing="1"/>
      <w:widowControl/>
    </w:pPr>
    <w:rPr>
      <w:rFonts w:hint="eastAsia" w:ascii="宋体" w:hAnsi="宋体"/>
      <w:b/>
      <w:bCs/>
      <w:sz w:val="20"/>
      <w:szCs w:val="20"/>
    </w:rPr>
  </w:style>
  <w:style w:type="paragraph" w:styleId="1796" w:customStyle="1">
    <w:name w:val="样式4"/>
    <w:basedOn w:val="919"/>
    <w:qFormat/>
    <w:pPr>
      <w:ind w:left="-2"/>
      <w:spacing w:line="440" w:lineRule="exact"/>
    </w:pPr>
    <w:rPr>
      <w:rFonts w:ascii="宋体" w:hAnsi="宋体"/>
      <w:sz w:val="28"/>
    </w:rPr>
  </w:style>
  <w:style w:type="paragraph" w:styleId="1797" w:customStyle="1">
    <w:name w:val="Char2"/>
    <w:basedOn w:val="919"/>
    <w:qFormat/>
    <w:pPr>
      <w:tabs>
        <w:tab w:val="left" w:pos="360" w:leader="none"/>
      </w:tabs>
    </w:pPr>
    <w:rPr>
      <w:sz w:val="24"/>
    </w:rPr>
  </w:style>
  <w:style w:type="paragraph" w:styleId="1798" w:customStyle="1">
    <w:name w:val="正文文本缩进1"/>
    <w:basedOn w:val="919"/>
    <w:qFormat/>
    <w:pPr>
      <w:ind w:firstLine="645"/>
    </w:pPr>
    <w:rPr>
      <w:rFonts w:ascii="楷体_GB2312" w:eastAsia="楷体_GB2312"/>
      <w:sz w:val="32"/>
      <w:szCs w:val="20"/>
    </w:rPr>
  </w:style>
  <w:style w:type="paragraph" w:styleId="1799" w:customStyle="1">
    <w:name w:val="xl253"/>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0" w:customStyle="1">
    <w:name w:val="xl246"/>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列表2"/>
    <w:basedOn w:val="919"/>
    <w:qFormat/>
    <w:pPr>
      <w:ind w:left="200" w:hanging="200"/>
    </w:pPr>
  </w:style>
  <w:style w:type="paragraph" w:styleId="1802" w:customStyle="1">
    <w:name w:val="Char Char1 Char Char Char Char Char Char Char Char"/>
    <w:basedOn w:val="919"/>
    <w:qFormat/>
    <w:pPr>
      <w:spacing w:line="360" w:lineRule="auto"/>
    </w:pPr>
  </w:style>
  <w:style w:type="paragraph" w:styleId="1803" w:customStyle="1">
    <w:name w:val="正文4"/>
    <w:basedOn w:val="919"/>
    <w:qFormat/>
    <w:pPr>
      <w:ind w:firstLine="480"/>
      <w:spacing w:line="360" w:lineRule="auto"/>
    </w:pPr>
    <w:rPr>
      <w:rFonts w:ascii="楷体_GB2312" w:hAnsi="宋体" w:eastAsia="楷体_GB2312"/>
      <w:sz w:val="24"/>
      <w:szCs w:val="20"/>
    </w:rPr>
  </w:style>
  <w:style w:type="paragraph" w:styleId="1804" w:customStyle="1">
    <w:name w:val="封面标准号2"/>
    <w:basedOn w:val="1794"/>
    <w:qFormat/>
    <w:pPr>
      <w:spacing w:before="357" w:line="280" w:lineRule="exact"/>
      <w:framePr w:w="9138" w:h="1244" w:wrap="around" w:vAnchor="page" w:hAnchor="margin" w:y="2908" w:hRule="exact"/>
    </w:pPr>
  </w:style>
  <w:style w:type="paragraph" w:styleId="1805" w:customStyle="1">
    <w:name w:val="xl264"/>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日期3"/>
    <w:basedOn w:val="919"/>
    <w:next w:val="919"/>
    <w:qFormat/>
    <w:pPr>
      <w:ind w:left="100"/>
    </w:pPr>
    <w:rPr>
      <w:rFonts w:ascii="仿宋_GB2312" w:eastAsia="仿宋_GB2312"/>
      <w:b/>
      <w:sz w:val="36"/>
    </w:rPr>
  </w:style>
  <w:style w:type="paragraph" w:styleId="1807" w:customStyle="1">
    <w:name w:val="xl214"/>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xl267"/>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批注主题1"/>
    <w:basedOn w:val="1095"/>
    <w:next w:val="1095"/>
    <w:qFormat/>
    <w:rPr>
      <w:b/>
      <w:bCs/>
    </w:rPr>
  </w:style>
  <w:style w:type="paragraph" w:styleId="1810" w:customStyle="1">
    <w:name w:val="xl77"/>
    <w:basedOn w:val="91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1" w:customStyle="1">
    <w:name w:val="封面标准英文名称"/>
    <w:qFormat/>
    <w:pPr>
      <w:jc w:val="center"/>
      <w:spacing w:before="370" w:line="400" w:lineRule="exact"/>
      <w:widowControl w:val="off"/>
    </w:pPr>
    <w:rPr>
      <w:sz w:val="28"/>
    </w:rPr>
  </w:style>
  <w:style w:type="paragraph" w:styleId="1812" w:customStyle="1">
    <w:name w:val="xl64"/>
    <w:basedOn w:val="91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3" w:customStyle="1">
    <w:name w:val="xl228"/>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列出段落11"/>
    <w:basedOn w:val="919"/>
    <w:qFormat/>
    <w:pPr>
      <w:ind w:firstLine="420"/>
    </w:pPr>
  </w:style>
  <w:style w:type="paragraph" w:styleId="1815" w:customStyle="1">
    <w:name w:val="Style Heading 2 节 + Before:  0.35 line After:  0.35 line"/>
    <w:basedOn w:val="1816"/>
    <w:qFormat/>
    <w:pPr>
      <w:ind w:left="0" w:firstLine="0"/>
    </w:pPr>
    <w:rPr>
      <w:szCs w:val="20"/>
    </w:rPr>
  </w:style>
  <w:style w:type="paragraph" w:styleId="1816" w:customStyle="1">
    <w:name w:val="Heading 2 节"/>
    <w:next w:val="919"/>
    <w:qFormat/>
    <w:pPr>
      <w:ind w:left="576" w:hanging="576"/>
      <w:jc w:val="center"/>
      <w:spacing w:line="440" w:lineRule="exact"/>
      <w:tabs>
        <w:tab w:val="left" w:pos="576" w:leader="none"/>
      </w:tabs>
    </w:pPr>
    <w:rPr>
      <w:rFonts w:eastAsia="黑体"/>
      <w:b/>
      <w:bCs/>
      <w:sz w:val="28"/>
      <w:szCs w:val="28"/>
    </w:rPr>
  </w:style>
  <w:style w:type="paragraph" w:styleId="1817" w:customStyle="1">
    <w:name w:val="正文文本 32"/>
    <w:basedOn w:val="919"/>
    <w:qFormat/>
    <w:rPr>
      <w:rFonts w:ascii="仿宋_GB2312" w:hAnsi="Arial" w:eastAsia="仿宋_GB2312"/>
      <w:sz w:val="32"/>
      <w:szCs w:val="20"/>
    </w:rPr>
  </w:style>
  <w:style w:type="paragraph" w:styleId="1818" w:customStyle="1">
    <w:name w:val="xl183"/>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279"/>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50"/>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21" w:customStyle="1">
    <w:name w:val="xl166"/>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TOC 标题11"/>
    <w:basedOn w:val="920"/>
    <w:next w:val="91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23" w:customStyle="1">
    <w:name w:val="xl145"/>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xl200"/>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GP正文(首行缩进)"/>
    <w:basedOn w:val="919"/>
    <w:qFormat/>
    <w:pPr>
      <w:ind w:firstLine="200"/>
      <w:jc w:val="left"/>
      <w:spacing w:line="360" w:lineRule="auto"/>
    </w:pPr>
    <w:rPr>
      <w:sz w:val="24"/>
      <w:szCs w:val="21"/>
    </w:rPr>
  </w:style>
  <w:style w:type="paragraph" w:styleId="1826" w:customStyle="1">
    <w:name w:val="xl261"/>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xl53"/>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8" w:customStyle="1">
    <w:name w:val="xl216"/>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font9"/>
    <w:basedOn w:val="919"/>
    <w:qFormat/>
    <w:pPr>
      <w:jc w:val="left"/>
      <w:spacing w:before="100" w:beforeAutospacing="1" w:after="100" w:afterAutospacing="1"/>
      <w:widowControl/>
    </w:pPr>
    <w:rPr>
      <w:rFonts w:eastAsia="Arial Unicode MS"/>
      <w:sz w:val="20"/>
      <w:szCs w:val="20"/>
    </w:rPr>
  </w:style>
  <w:style w:type="paragraph" w:styleId="1830" w:customStyle="1">
    <w:name w:val="xl35"/>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31" w:customStyle="1">
    <w:name w:val="正文文本 21"/>
    <w:basedOn w:val="919"/>
    <w:qFormat/>
    <w:pPr>
      <w:spacing w:after="120" w:line="480" w:lineRule="auto"/>
    </w:pPr>
  </w:style>
  <w:style w:type="paragraph" w:styleId="1832" w:customStyle="1">
    <w:name w:val="五级条标题"/>
    <w:basedOn w:val="1769"/>
    <w:next w:val="1246"/>
    <w:qFormat/>
    <w:pPr>
      <w:ind w:left="1276" w:hanging="1276"/>
      <w:tabs>
        <w:tab w:val="clear" w:pos="780" w:leader="none"/>
        <w:tab w:val="left" w:pos="1800" w:leader="none"/>
      </w:tabs>
      <w:outlineLvl w:val="6"/>
    </w:pPr>
  </w:style>
  <w:style w:type="paragraph" w:styleId="1833" w:customStyle="1">
    <w:name w:val="xl303"/>
    <w:basedOn w:val="91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4" w:customStyle="1">
    <w:name w:val="xl270"/>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正文编号"/>
    <w:basedOn w:val="919"/>
    <w:qFormat/>
    <w:pPr>
      <w:ind w:left="195" w:hanging="51"/>
      <w:spacing w:line="360" w:lineRule="auto"/>
      <w:tabs>
        <w:tab w:val="left" w:pos="0" w:leader="none"/>
        <w:tab w:val="left" w:pos="1380" w:leader="none"/>
      </w:tabs>
    </w:pPr>
    <w:rPr>
      <w:rFonts w:ascii="Book Antiqua" w:hAnsi="Book Antiqua"/>
      <w:sz w:val="24"/>
      <w:szCs w:val="20"/>
    </w:rPr>
  </w:style>
  <w:style w:type="paragraph" w:styleId="1836" w:customStyle="1">
    <w:name w:val="xl301"/>
    <w:basedOn w:val="9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xl61"/>
    <w:basedOn w:val="91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8" w:customStyle="1">
    <w:name w:val="xl287"/>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9" w:customStyle="1">
    <w:name w:val="xl282"/>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封面正文"/>
    <w:qFormat/>
    <w:pPr>
      <w:jc w:val="both"/>
    </w:pPr>
  </w:style>
  <w:style w:type="paragraph" w:styleId="1841" w:customStyle="1">
    <w:name w:val="xl211"/>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制作人文字"/>
    <w:basedOn w:val="919"/>
    <w:qFormat/>
    <w:rPr>
      <w:rFonts w:ascii="Arial" w:hAnsi="Arial" w:eastAsia="仿宋_GB2312"/>
      <w:bCs/>
      <w:sz w:val="28"/>
      <w:szCs w:val="20"/>
    </w:rPr>
  </w:style>
  <w:style w:type="paragraph" w:styleId="1843" w:customStyle="1">
    <w:name w:val="xl56"/>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44" w:customStyle="1">
    <w:name w:val="xl258"/>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5" w:customStyle="1">
    <w:name w:val="xl39"/>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846" w:customStyle="1">
    <w:name w:val="font10"/>
    <w:basedOn w:val="919"/>
    <w:qFormat/>
    <w:pPr>
      <w:jc w:val="left"/>
      <w:spacing w:before="100" w:beforeAutospacing="1" w:after="100" w:afterAutospacing="1"/>
      <w:widowControl/>
    </w:pPr>
    <w:rPr>
      <w:rFonts w:eastAsia="Arial Unicode MS"/>
      <w:color w:val="000000"/>
      <w:sz w:val="20"/>
      <w:szCs w:val="20"/>
    </w:rPr>
  </w:style>
  <w:style w:type="paragraph" w:styleId="1847" w:customStyle="1">
    <w:name w:val="纯文本2"/>
    <w:basedOn w:val="919"/>
    <w:qFormat/>
    <w:rPr>
      <w:rFonts w:ascii="宋体" w:hAnsi="Courier New"/>
      <w:szCs w:val="21"/>
    </w:rPr>
  </w:style>
  <w:style w:type="paragraph" w:styleId="1848" w:customStyle="1">
    <w:name w:val="font12"/>
    <w:basedOn w:val="919"/>
    <w:qFormat/>
    <w:pPr>
      <w:jc w:val="left"/>
      <w:spacing w:before="100" w:beforeAutospacing="1" w:after="100" w:afterAutospacing="1"/>
      <w:widowControl/>
    </w:pPr>
    <w:rPr>
      <w:rFonts w:eastAsia="Arial Unicode MS"/>
      <w:b/>
      <w:bCs/>
      <w:sz w:val="20"/>
      <w:szCs w:val="20"/>
    </w:rPr>
  </w:style>
  <w:style w:type="paragraph" w:styleId="1849" w:customStyle="1">
    <w:name w:val="xl319"/>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0" w:customStyle="1">
    <w:name w:val="xl67"/>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1" w:customStyle="1">
    <w:name w:val="xl312"/>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xl63"/>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3" w:customStyle="1">
    <w:name w:val="xl291"/>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附录标识"/>
    <w:basedOn w:val="1746"/>
    <w:qFormat/>
    <w:pPr>
      <w:ind w:left="780" w:hanging="360"/>
      <w:spacing w:after="200"/>
      <w:tabs>
        <w:tab w:val="left" w:pos="780" w:leader="none"/>
        <w:tab w:val="left" w:pos="6405" w:leader="none"/>
      </w:tabs>
    </w:pPr>
    <w:rPr>
      <w:sz w:val="21"/>
    </w:rPr>
  </w:style>
  <w:style w:type="paragraph" w:styleId="1855" w:customStyle="1">
    <w:name w:val="xl34"/>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56" w:customStyle="1">
    <w:name w:val="xl220"/>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正文文本1"/>
    <w:basedOn w:val="919"/>
    <w:qFormat/>
    <w:pPr>
      <w:jc w:val="left"/>
      <w:spacing w:after="120" w:line="288" w:lineRule="auto"/>
      <w:widowControl/>
    </w:pPr>
    <w:rPr>
      <w:rFonts w:ascii="Verdana" w:hAnsi="Verdana"/>
      <w:sz w:val="24"/>
      <w:szCs w:val="20"/>
      <w:lang w:eastAsia="en-US"/>
    </w:rPr>
  </w:style>
  <w:style w:type="paragraph" w:styleId="1858" w:customStyle="1">
    <w:name w:val="font5"/>
    <w:basedOn w:val="919"/>
    <w:qFormat/>
    <w:pPr>
      <w:jc w:val="left"/>
      <w:spacing w:before="100" w:beforeAutospacing="1" w:after="100" w:afterAutospacing="1"/>
      <w:widowControl/>
    </w:pPr>
    <w:rPr>
      <w:rFonts w:ascii="Tahoma" w:hAnsi="Tahoma" w:eastAsia="Arial Unicode MS" w:cs="Tahoma"/>
      <w:sz w:val="20"/>
      <w:szCs w:val="20"/>
    </w:rPr>
  </w:style>
  <w:style w:type="paragraph" w:styleId="1859" w:customStyle="1">
    <w:name w:val="xl190"/>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xl72"/>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1" w:customStyle="1">
    <w:name w:val="_Style 5"/>
    <w:basedOn w:val="919"/>
    <w:uiPriority w:val="34"/>
    <w:qFormat/>
  </w:style>
  <w:style w:type="paragraph" w:styleId="1862" w:customStyle="1">
    <w:name w:val="xl219"/>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font6"/>
    <w:basedOn w:val="919"/>
    <w:qFormat/>
    <w:pPr>
      <w:jc w:val="left"/>
      <w:spacing w:before="100" w:beforeAutospacing="1" w:after="100" w:afterAutospacing="1"/>
      <w:widowControl/>
    </w:pPr>
    <w:rPr>
      <w:rFonts w:hint="eastAsia" w:ascii="黑体" w:hAnsi="Arial Unicode MS" w:eastAsia="黑体"/>
      <w:b/>
      <w:bCs/>
      <w:sz w:val="20"/>
      <w:szCs w:val="20"/>
    </w:rPr>
  </w:style>
  <w:style w:type="paragraph" w:styleId="1864" w:customStyle="1">
    <w:name w:val="xl300"/>
    <w:basedOn w:val="91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5" w:customStyle="1">
    <w:name w:val="样式1111"/>
    <w:basedOn w:val="919"/>
    <w:qFormat/>
    <w:pPr>
      <w:ind w:firstLine="200"/>
      <w:jc w:val="left"/>
      <w:spacing w:line="360" w:lineRule="auto"/>
    </w:pPr>
    <w:rPr>
      <w:sz w:val="24"/>
    </w:rPr>
  </w:style>
  <w:style w:type="paragraph" w:styleId="1866" w:customStyle="1">
    <w:name w:val="xl75"/>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7" w:customStyle="1">
    <w:name w:val="xl313"/>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8" w:customStyle="1">
    <w:name w:val="xl247"/>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36"/>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70" w:customStyle="1">
    <w:name w:val="TOC 标题2"/>
    <w:basedOn w:val="920"/>
    <w:next w:val="91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71" w:customStyle="1">
    <w:name w:val="样式 样式 标题 3H3Heading 3 - oldh3sect1.2.3BOD 0level_3PIM 3Leve... +..."/>
    <w:basedOn w:val="919"/>
    <w:qFormat/>
    <w:pPr>
      <w:ind w:left="709" w:hanging="709"/>
      <w:spacing w:line="300" w:lineRule="auto"/>
      <w:tabs>
        <w:tab w:val="left" w:pos="709" w:leader="none"/>
      </w:tabs>
    </w:pPr>
  </w:style>
  <w:style w:type="paragraph" w:styleId="1872" w:customStyle="1">
    <w:name w:val="Char11"/>
    <w:basedOn w:val="919"/>
    <w:qFormat/>
    <w:rPr>
      <w:rFonts w:ascii="Tahoma" w:hAnsi="Tahoma"/>
      <w:sz w:val="24"/>
      <w:szCs w:val="20"/>
    </w:rPr>
  </w:style>
  <w:style w:type="paragraph" w:styleId="1873" w:customStyle="1">
    <w:name w:val="xl174"/>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207"/>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我的表格文字"/>
    <w:basedOn w:val="919"/>
    <w:qFormat/>
    <w:pPr>
      <w:jc w:val="left"/>
      <w:widowControl/>
    </w:pPr>
    <w:rPr>
      <w:rFonts w:ascii="Arial" w:hAnsi="Arial" w:cs="Microsoft Sans Serif"/>
      <w:sz w:val="24"/>
      <w:szCs w:val="18"/>
    </w:rPr>
  </w:style>
  <w:style w:type="paragraph" w:styleId="1876" w:customStyle="1">
    <w:name w:val="xl24"/>
    <w:basedOn w:val="91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7" w:customStyle="1">
    <w:name w:val="正文文本 22"/>
    <w:basedOn w:val="919"/>
    <w:qFormat/>
    <w:pPr>
      <w:spacing w:after="120" w:line="480" w:lineRule="auto"/>
    </w:pPr>
  </w:style>
  <w:style w:type="paragraph" w:styleId="1878" w:customStyle="1">
    <w:name w:val="xl37"/>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79" w:customStyle="1">
    <w:name w:val="xl293"/>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xl296"/>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1" w:customStyle="1">
    <w:name w:val="附录二级条标题"/>
    <w:basedOn w:val="1711"/>
    <w:next w:val="1246"/>
    <w:qFormat/>
    <w:pPr>
      <w:ind w:left="1779" w:hanging="1069"/>
      <w:outlineLvl w:val="3"/>
    </w:pPr>
  </w:style>
  <w:style w:type="paragraph" w:styleId="1882" w:customStyle="1">
    <w:name w:val="xl60"/>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883" w:customStyle="1">
    <w:name w:val="xl189"/>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FA正文+标号"/>
    <w:basedOn w:val="919"/>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85" w:customStyle="1">
    <w:name w:val="xl69"/>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6" w:customStyle="1">
    <w:name w:val="xl156"/>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附录三级条标题"/>
    <w:basedOn w:val="1881"/>
    <w:next w:val="1246"/>
    <w:qFormat/>
    <w:pPr>
      <w:ind w:left="851" w:hanging="851"/>
      <w:outlineLvl w:val="4"/>
    </w:pPr>
  </w:style>
  <w:style w:type="paragraph" w:styleId="1888" w:customStyle="1">
    <w:name w:val="xl29"/>
    <w:basedOn w:val="919"/>
    <w:qFormat/>
    <w:pPr>
      <w:jc w:val="left"/>
      <w:spacing w:before="100" w:beforeAutospacing="1" w:after="100" w:afterAutospacing="1"/>
      <w:widowControl/>
    </w:pPr>
    <w:rPr>
      <w:rFonts w:ascii="Tahoma" w:hAnsi="Tahoma" w:eastAsia="Arial Unicode MS" w:cs="Tahoma"/>
      <w:sz w:val="16"/>
      <w:szCs w:val="16"/>
    </w:rPr>
  </w:style>
  <w:style w:type="paragraph" w:styleId="1889" w:customStyle="1">
    <w:name w:val="文档结构图2"/>
    <w:basedOn w:val="919"/>
    <w:qFormat/>
    <w:rPr>
      <w:rFonts w:ascii="宋体"/>
      <w:sz w:val="18"/>
      <w:szCs w:val="18"/>
    </w:rPr>
  </w:style>
  <w:style w:type="paragraph" w:styleId="1890" w:customStyle="1">
    <w:name w:val="xl59"/>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91" w:customStyle="1">
    <w:name w:val="xl206"/>
    <w:basedOn w:val="919"/>
    <w:qFormat/>
    <w:pPr>
      <w:jc w:val="left"/>
      <w:spacing w:before="100" w:beforeAutospacing="1" w:after="100" w:afterAutospacing="1"/>
      <w:shd w:val="clear" w:color="000000" w:fill="ffffff"/>
      <w:widowControl/>
    </w:pPr>
    <w:rPr>
      <w:rFonts w:ascii="Arial" w:hAnsi="Arial" w:cs="Arial"/>
      <w:sz w:val="20"/>
      <w:szCs w:val="20"/>
    </w:rPr>
  </w:style>
  <w:style w:type="paragraph" w:styleId="1892" w:customStyle="1">
    <w:name w:val="xl320"/>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93" w:customStyle="1">
    <w:name w:val="xl38"/>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94" w:customStyle="1">
    <w:name w:val="附录四级条标题"/>
    <w:basedOn w:val="1887"/>
    <w:next w:val="1246"/>
    <w:qFormat/>
    <w:pPr>
      <w:ind w:left="992" w:hanging="992"/>
      <w:outlineLvl w:val="5"/>
    </w:pPr>
  </w:style>
  <w:style w:type="paragraph" w:styleId="1895" w:customStyle="1">
    <w:name w:val="font8"/>
    <w:basedOn w:val="919"/>
    <w:qFormat/>
    <w:pPr>
      <w:jc w:val="left"/>
      <w:spacing w:before="100" w:beforeAutospacing="1" w:after="100" w:afterAutospacing="1"/>
      <w:widowControl/>
    </w:pPr>
    <w:rPr>
      <w:rFonts w:hint="eastAsia" w:ascii="宋体" w:hAnsi="宋体"/>
      <w:color w:val="000000"/>
      <w:sz w:val="20"/>
      <w:szCs w:val="20"/>
    </w:rPr>
  </w:style>
  <w:style w:type="paragraph" w:styleId="1896" w:customStyle="1">
    <w:name w:val="xl187"/>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xl280"/>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正文符号编号"/>
    <w:basedOn w:val="919"/>
    <w:qFormat/>
    <w:pPr>
      <w:ind w:left="1395" w:hanging="600"/>
      <w:spacing w:line="360" w:lineRule="auto"/>
      <w:tabs>
        <w:tab w:val="left" w:pos="1395" w:leader="none"/>
      </w:tabs>
    </w:pPr>
    <w:rPr>
      <w:sz w:val="24"/>
      <w:szCs w:val="20"/>
    </w:rPr>
  </w:style>
  <w:style w:type="paragraph" w:styleId="1899" w:customStyle="1">
    <w:name w:val="xl310"/>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0" w:customStyle="1">
    <w:name w:val="xl252"/>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正文 + 四号"/>
    <w:basedOn w:val="919"/>
    <w:qFormat/>
    <w:pPr>
      <w:spacing w:line="480" w:lineRule="exact"/>
    </w:pPr>
    <w:rPr>
      <w:sz w:val="28"/>
      <w:szCs w:val="20"/>
    </w:rPr>
  </w:style>
  <w:style w:type="paragraph" w:styleId="1902" w:customStyle="1">
    <w:name w:val="xl157"/>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Char1 Char Char Char"/>
    <w:basedOn w:val="919"/>
    <w:uiPriority w:val="99"/>
    <w:qFormat/>
    <w:rPr>
      <w:rFonts w:ascii="Tahoma" w:hAnsi="Tahoma"/>
      <w:sz w:val="24"/>
      <w:szCs w:val="20"/>
    </w:rPr>
  </w:style>
  <w:style w:type="paragraph" w:styleId="1904" w:customStyle="1">
    <w:name w:val="xl51"/>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905" w:customStyle="1">
    <w:name w:val="xl295"/>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6" w:customStyle="1">
    <w:name w:val="附录五级条标题"/>
    <w:basedOn w:val="1894"/>
    <w:next w:val="1246"/>
    <w:qFormat/>
    <w:pPr>
      <w:ind w:left="2940" w:hanging="420"/>
      <w:tabs>
        <w:tab w:val="left" w:pos="780" w:leader="none"/>
        <w:tab w:val="left" w:pos="1800" w:leader="none"/>
      </w:tabs>
      <w:outlineLvl w:val="6"/>
    </w:pPr>
  </w:style>
  <w:style w:type="paragraph" w:styleId="1907" w:customStyle="1">
    <w:name w:val="font11"/>
    <w:basedOn w:val="919"/>
    <w:qFormat/>
    <w:pPr>
      <w:jc w:val="left"/>
      <w:spacing w:before="100" w:beforeAutospacing="1" w:after="100" w:afterAutospacing="1"/>
      <w:widowControl/>
    </w:pPr>
    <w:rPr>
      <w:rFonts w:hint="eastAsia" w:ascii="宋体" w:hAnsi="宋体"/>
      <w:sz w:val="20"/>
      <w:szCs w:val="20"/>
    </w:rPr>
  </w:style>
  <w:style w:type="paragraph" w:styleId="1908" w:customStyle="1">
    <w:name w:val="xl173"/>
    <w:basedOn w:val="91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正文首行缩进1"/>
    <w:basedOn w:val="919"/>
    <w:qFormat/>
    <w:pPr>
      <w:ind w:firstLine="420"/>
      <w:spacing w:line="360" w:lineRule="auto"/>
    </w:pPr>
    <w:rPr>
      <w:rFonts w:ascii="Arial" w:hAnsi="Arial"/>
      <w:sz w:val="20"/>
      <w:szCs w:val="21"/>
    </w:rPr>
  </w:style>
  <w:style w:type="paragraph" w:styleId="1910" w:customStyle="1">
    <w:name w:val="图表目录1"/>
    <w:basedOn w:val="1110"/>
    <w:qFormat/>
    <w:pPr>
      <w:jc w:val="center"/>
      <w:spacing w:after="120" w:line="360" w:lineRule="auto"/>
    </w:pPr>
    <w:rPr>
      <w:rFonts w:ascii="楷体"/>
      <w:sz w:val="28"/>
    </w:rPr>
  </w:style>
  <w:style w:type="paragraph" w:styleId="1911" w:customStyle="1">
    <w:name w:val="xl299"/>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2" w:customStyle="1">
    <w:name w:val="xl259"/>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xl46"/>
    <w:basedOn w:val="919"/>
    <w:qFormat/>
    <w:pPr>
      <w:jc w:val="left"/>
      <w:spacing w:before="100" w:beforeAutospacing="1" w:after="100" w:afterAutospacing="1"/>
      <w:widowControl/>
    </w:pPr>
    <w:rPr>
      <w:rFonts w:ascii="Arial Unicode MS" w:hAnsi="Arial Unicode MS" w:eastAsia="Arial Unicode MS"/>
      <w:sz w:val="24"/>
    </w:rPr>
  </w:style>
  <w:style w:type="paragraph" w:styleId="1914" w:customStyle="1">
    <w:name w:val="xl71"/>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915" w:customStyle="1">
    <w:name w:val="xl226"/>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xl217"/>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表格1"/>
    <w:basedOn w:val="919"/>
    <w:qFormat/>
    <w:rPr>
      <w:rFonts w:ascii="宋体"/>
      <w:szCs w:val="21"/>
    </w:rPr>
  </w:style>
  <w:style w:type="paragraph" w:styleId="1918" w:customStyle="1">
    <w:name w:val="TOC 51"/>
    <w:basedOn w:val="919"/>
    <w:next w:val="919"/>
    <w:uiPriority w:val="39"/>
    <w:qFormat/>
    <w:pPr>
      <w:ind w:left="1680"/>
    </w:pPr>
    <w:rPr>
      <w:rFonts w:ascii="Calibri" w:hAnsi="Calibri"/>
      <w:szCs w:val="22"/>
    </w:rPr>
  </w:style>
  <w:style w:type="paragraph" w:styleId="1919" w:customStyle="1">
    <w:name w:val="xl172"/>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Style Heading 3H31.1.1标题 3Level 3 Headlevel_3PIM 3h3sect1.2...."/>
    <w:basedOn w:val="922"/>
    <w:qFormat/>
    <w:pPr>
      <w:ind w:left="720" w:hanging="720"/>
      <w:spacing w:before="120" w:after="120" w:line="360" w:lineRule="auto"/>
    </w:pPr>
    <w:rPr>
      <w:rFonts w:eastAsia="黑体"/>
      <w:bCs/>
      <w:sz w:val="24"/>
    </w:rPr>
  </w:style>
  <w:style w:type="paragraph" w:styleId="1921" w:customStyle="1">
    <w:name w:val="xl256"/>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xl26"/>
    <w:basedOn w:val="91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3" w:customStyle="1">
    <w:name w:val="xl302"/>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24" w:customStyle="1">
    <w:name w:val="列项——"/>
    <w:qFormat/>
    <w:pPr>
      <w:ind w:left="840" w:hanging="420"/>
      <w:jc w:val="both"/>
      <w:widowControl w:val="off"/>
      <w:tabs>
        <w:tab w:val="left" w:pos="1140" w:leader="none"/>
      </w:tabs>
    </w:pPr>
    <w:rPr>
      <w:rFonts w:ascii="宋体"/>
      <w:sz w:val="21"/>
    </w:rPr>
  </w:style>
  <w:style w:type="paragraph" w:styleId="1925" w:customStyle="1">
    <w:name w:val="Char1"/>
    <w:basedOn w:val="919"/>
    <w:qFormat/>
    <w:pPr>
      <w:ind w:left="840" w:hanging="420"/>
      <w:tabs>
        <w:tab w:val="left" w:pos="840" w:leader="none"/>
      </w:tabs>
    </w:pPr>
    <w:rPr>
      <w:sz w:val="24"/>
    </w:rPr>
  </w:style>
  <w:style w:type="paragraph" w:styleId="1926" w:customStyle="1">
    <w:name w:val="xl255"/>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7" w:customStyle="1">
    <w:name w:val="font14"/>
    <w:basedOn w:val="919"/>
    <w:qFormat/>
    <w:pPr>
      <w:jc w:val="left"/>
      <w:spacing w:before="100" w:beforeAutospacing="1" w:after="100" w:afterAutospacing="1"/>
      <w:widowControl/>
    </w:pPr>
    <w:rPr>
      <w:rFonts w:ascii="宋体" w:hAnsi="宋体" w:cs="宋体"/>
      <w:sz w:val="20"/>
      <w:szCs w:val="20"/>
    </w:rPr>
  </w:style>
  <w:style w:type="paragraph" w:styleId="1928" w:customStyle="1">
    <w:name w:val="font7"/>
    <w:basedOn w:val="919"/>
    <w:qFormat/>
    <w:pPr>
      <w:jc w:val="left"/>
      <w:spacing w:before="100" w:beforeAutospacing="1" w:after="100" w:afterAutospacing="1"/>
      <w:widowControl/>
    </w:pPr>
    <w:rPr>
      <w:rFonts w:eastAsia="Arial Unicode MS"/>
      <w:b/>
      <w:bCs/>
      <w:color w:val="000000"/>
      <w:sz w:val="20"/>
      <w:szCs w:val="20"/>
    </w:rPr>
  </w:style>
  <w:style w:type="paragraph" w:styleId="1929" w:customStyle="1">
    <w:name w:val="xl222"/>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xl236"/>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TOC 81"/>
    <w:basedOn w:val="919"/>
    <w:next w:val="919"/>
    <w:uiPriority w:val="39"/>
    <w:qFormat/>
    <w:pPr>
      <w:ind w:left="2940"/>
    </w:pPr>
    <w:rPr>
      <w:rFonts w:ascii="Calibri" w:hAnsi="Calibri"/>
      <w:szCs w:val="22"/>
    </w:rPr>
  </w:style>
  <w:style w:type="paragraph" w:styleId="1932" w:customStyle="1">
    <w:name w:val="xl292"/>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标准标志"/>
    <w:next w:val="919"/>
    <w:qFormat/>
    <w:pPr>
      <w:jc w:val="right"/>
      <w:spacing w:line="0" w:lineRule="atLeast"/>
      <w:shd w:val="solid" w:color="ffffff" w:fill="ffffff"/>
      <w:framePr w:w="2268" w:h="1392" w:wrap="around" w:hAnchor="margin" w:x="6748" w:y="171" w:hRule="exact"/>
    </w:pPr>
    <w:rPr>
      <w:b/>
      <w:sz w:val="96"/>
    </w:rPr>
  </w:style>
  <w:style w:type="paragraph" w:styleId="1934" w:customStyle="1">
    <w:name w:val="xl45"/>
    <w:basedOn w:val="919"/>
    <w:qFormat/>
    <w:pPr>
      <w:jc w:val="left"/>
      <w:spacing w:before="100" w:beforeAutospacing="1" w:after="100" w:afterAutospacing="1"/>
      <w:widowControl/>
    </w:pPr>
    <w:rPr>
      <w:rFonts w:hint="eastAsia" w:ascii="黑体" w:hAnsi="Arial Unicode MS" w:eastAsia="黑体"/>
      <w:b/>
      <w:bCs/>
      <w:sz w:val="24"/>
    </w:rPr>
  </w:style>
  <w:style w:type="paragraph" w:styleId="1935" w:customStyle="1">
    <w:name w:val="xl198"/>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列项·"/>
    <w:qFormat/>
    <w:pPr>
      <w:ind w:left="840" w:hanging="425"/>
      <w:jc w:val="both"/>
      <w:tabs>
        <w:tab w:val="left" w:pos="425" w:leader="none"/>
        <w:tab w:val="left" w:pos="840" w:leader="none"/>
      </w:tabs>
    </w:pPr>
    <w:rPr>
      <w:rFonts w:ascii="宋体"/>
      <w:sz w:val="21"/>
    </w:rPr>
  </w:style>
  <w:style w:type="paragraph" w:styleId="1937" w:customStyle="1">
    <w:name w:val="xl159"/>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TOC 标题1"/>
    <w:basedOn w:val="920"/>
    <w:next w:val="91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39" w:customStyle="1">
    <w:name w:val="标准称谓"/>
    <w:next w:val="919"/>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940" w:customStyle="1">
    <w:name w:val="xl170"/>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文本块2"/>
    <w:basedOn w:val="919"/>
    <w:qFormat/>
    <w:pPr>
      <w:ind w:left="630" w:right="630"/>
      <w:jc w:val="center"/>
    </w:pPr>
    <w:rPr>
      <w:rFonts w:ascii="宋体"/>
      <w:b/>
      <w:sz w:val="32"/>
    </w:rPr>
  </w:style>
  <w:style w:type="paragraph" w:styleId="1942" w:customStyle="1">
    <w:name w:val="正文格式"/>
    <w:basedOn w:val="919"/>
    <w:qFormat/>
    <w:pPr>
      <w:ind w:firstLine="482"/>
      <w:spacing w:line="400" w:lineRule="exact"/>
      <w:widowControl/>
    </w:pPr>
    <w:rPr>
      <w:rFonts w:ascii="Arial" w:hAnsi="Arial" w:eastAsia="新宋体"/>
      <w:sz w:val="24"/>
      <w:szCs w:val="20"/>
    </w:rPr>
  </w:style>
  <w:style w:type="paragraph" w:styleId="1943" w:customStyle="1">
    <w:name w:val="xl191"/>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xl193"/>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TOC 41"/>
    <w:basedOn w:val="919"/>
    <w:next w:val="919"/>
    <w:uiPriority w:val="39"/>
    <w:qFormat/>
    <w:pPr>
      <w:ind w:left="1260"/>
    </w:pPr>
    <w:rPr>
      <w:rFonts w:ascii="Calibri" w:hAnsi="Calibri"/>
      <w:szCs w:val="22"/>
    </w:rPr>
  </w:style>
  <w:style w:type="paragraph" w:styleId="1946" w:customStyle="1">
    <w:name w:val="xl262"/>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7" w:customStyle="1">
    <w:name w:val="目次、标准名称标题"/>
    <w:basedOn w:val="1746"/>
    <w:next w:val="1246"/>
    <w:qFormat/>
    <w:pPr>
      <w:spacing w:line="460" w:lineRule="exact"/>
    </w:pPr>
  </w:style>
  <w:style w:type="paragraph" w:styleId="1948" w:customStyle="1">
    <w:name w:val="xl68"/>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49" w:customStyle="1">
    <w:name w:val="xl167"/>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xl182"/>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段 Char"/>
    <w:qFormat/>
    <w:pPr>
      <w:ind w:firstLine="200"/>
      <w:jc w:val="both"/>
    </w:pPr>
    <w:rPr>
      <w:rFonts w:ascii="宋体"/>
      <w:sz w:val="21"/>
    </w:rPr>
  </w:style>
  <w:style w:type="paragraph" w:styleId="1952" w:customStyle="1">
    <w:name w:val="xl49"/>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953" w:customStyle="1">
    <w:name w:val="xl298"/>
    <w:basedOn w:val="9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54" w:customStyle="1">
    <w:name w:val="xl221"/>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普通正文"/>
    <w:basedOn w:val="919"/>
    <w:qFormat/>
    <w:pPr>
      <w:ind w:firstLine="480"/>
      <w:jc w:val="left"/>
      <w:spacing w:before="120" w:after="120" w:line="360" w:lineRule="auto"/>
    </w:pPr>
    <w:rPr>
      <w:rFonts w:ascii="Arial" w:hAnsi="Arial"/>
      <w:sz w:val="24"/>
    </w:rPr>
  </w:style>
  <w:style w:type="paragraph" w:styleId="1956" w:customStyle="1">
    <w:name w:val="TOC 61"/>
    <w:basedOn w:val="919"/>
    <w:next w:val="919"/>
    <w:uiPriority w:val="39"/>
    <w:qFormat/>
    <w:pPr>
      <w:ind w:left="2100"/>
    </w:pPr>
    <w:rPr>
      <w:rFonts w:ascii="Calibri" w:hAnsi="Calibri"/>
      <w:szCs w:val="22"/>
    </w:rPr>
  </w:style>
  <w:style w:type="paragraph" w:styleId="1957" w:customStyle="1">
    <w:name w:val="xl239"/>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8" w:customStyle="1">
    <w:name w:val="标准书脚_偶数页"/>
    <w:qFormat/>
    <w:pPr>
      <w:spacing w:before="120"/>
    </w:pPr>
    <w:rPr>
      <w:sz w:val="18"/>
    </w:rPr>
  </w:style>
  <w:style w:type="paragraph" w:styleId="1959" w:customStyle="1">
    <w:name w:val="样式 标题 2市检方案标题2第一层条h22章标题节标题第一章 标题 2Heading 2 HiddenHead..."/>
    <w:basedOn w:val="921"/>
    <w:qFormat/>
    <w:pPr>
      <w:jc w:val="left"/>
      <w:spacing w:before="120" w:after="120" w:line="264" w:lineRule="auto"/>
    </w:pPr>
    <w:rPr>
      <w:rFonts w:ascii="楷体_GB2312" w:hAnsi="楷体" w:cs="宋体"/>
      <w:color w:val="000000"/>
      <w:sz w:val="28"/>
      <w:szCs w:val="28"/>
    </w:rPr>
  </w:style>
  <w:style w:type="paragraph" w:styleId="1960" w:customStyle="1">
    <w:name w:val="xl288"/>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Item List in Table"/>
    <w:basedOn w:val="919"/>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62" w:customStyle="1">
    <w:name w:val="Char Char1"/>
    <w:basedOn w:val="919"/>
    <w:uiPriority w:val="99"/>
    <w:semiHidden/>
    <w:qFormat/>
    <w:pPr>
      <w:jc w:val="left"/>
      <w:spacing w:after="160" w:line="240" w:lineRule="exact"/>
      <w:widowControl/>
    </w:pPr>
    <w:rPr>
      <w:rFonts w:ascii="Verdana" w:hAnsi="Verdana"/>
      <w:sz w:val="20"/>
      <w:lang w:eastAsia="en-US"/>
    </w:rPr>
  </w:style>
  <w:style w:type="paragraph" w:styleId="1963" w:customStyle="1">
    <w:name w:val="xl66"/>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64" w:customStyle="1">
    <w:name w:val="日期2"/>
    <w:basedOn w:val="919"/>
    <w:next w:val="919"/>
    <w:qFormat/>
    <w:pPr>
      <w:ind w:left="100"/>
    </w:pPr>
    <w:rPr>
      <w:rFonts w:ascii="仿宋_GB2312" w:eastAsia="仿宋_GB2312"/>
      <w:b/>
      <w:sz w:val="36"/>
    </w:rPr>
  </w:style>
  <w:style w:type="paragraph" w:styleId="1965" w:customStyle="1">
    <w:name w:val="xl33"/>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66" w:customStyle="1">
    <w:name w:val="xl201"/>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xl271"/>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样式4 Char"/>
    <w:basedOn w:val="919"/>
    <w:qFormat/>
    <w:pPr>
      <w:ind w:firstLine="480"/>
      <w:jc w:val="left"/>
      <w:spacing w:line="360" w:lineRule="auto"/>
      <w:widowControl/>
    </w:pPr>
    <w:rPr>
      <w:color w:val="000000"/>
      <w:sz w:val="24"/>
    </w:rPr>
  </w:style>
  <w:style w:type="paragraph" w:styleId="1969" w:customStyle="1">
    <w:name w:val="xl57"/>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70" w:customStyle="1">
    <w:name w:val="xl203"/>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xl31"/>
    <w:basedOn w:val="919"/>
    <w:qFormat/>
    <w:pPr>
      <w:jc w:val="left"/>
      <w:spacing w:before="100" w:beforeAutospacing="1" w:after="100" w:afterAutospacing="1"/>
      <w:widowControl/>
    </w:pPr>
    <w:rPr>
      <w:rFonts w:ascii="Tahoma" w:hAnsi="Tahoma" w:eastAsia="Arial Unicode MS" w:cs="Tahoma"/>
      <w:sz w:val="16"/>
      <w:szCs w:val="16"/>
    </w:rPr>
  </w:style>
  <w:style w:type="paragraph" w:styleId="1972" w:customStyle="1">
    <w:name w:val="xl297"/>
    <w:basedOn w:val="91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73" w:customStyle="1">
    <w:name w:val="xl150"/>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xl225"/>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75" w:customStyle="1">
    <w:name w:val="xl27"/>
    <w:basedOn w:val="919"/>
    <w:qFormat/>
    <w:pPr>
      <w:jc w:val="left"/>
      <w:spacing w:before="100" w:beforeAutospacing="1" w:after="100" w:afterAutospacing="1"/>
      <w:widowControl/>
    </w:pPr>
    <w:rPr>
      <w:rFonts w:ascii="Tahoma" w:hAnsi="Tahoma" w:eastAsia="Arial Unicode MS" w:cs="Tahoma"/>
      <w:sz w:val="16"/>
      <w:szCs w:val="16"/>
    </w:rPr>
  </w:style>
  <w:style w:type="paragraph" w:styleId="1976" w:customStyle="1">
    <w:name w:val="xl269"/>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306"/>
    <w:basedOn w:val="9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标准书眉_偶数页"/>
    <w:basedOn w:val="1979"/>
    <w:next w:val="919"/>
    <w:qFormat/>
    <w:pPr>
      <w:jc w:val="left"/>
    </w:pPr>
  </w:style>
  <w:style w:type="paragraph" w:styleId="1979" w:customStyle="1">
    <w:name w:val="标准书眉_奇数页"/>
    <w:next w:val="919"/>
    <w:qFormat/>
    <w:pPr>
      <w:jc w:val="right"/>
      <w:spacing w:after="120"/>
      <w:tabs>
        <w:tab w:val="center" w:pos="4154" w:leader="none"/>
        <w:tab w:val="right" w:pos="8306" w:leader="none"/>
      </w:tabs>
    </w:pPr>
    <w:rPr>
      <w:sz w:val="21"/>
    </w:rPr>
  </w:style>
  <w:style w:type="paragraph" w:styleId="1980" w:customStyle="1">
    <w:name w:val="xl55"/>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81" w:customStyle="1">
    <w:name w:val="xl192"/>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xl153"/>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3" w:customStyle="1">
    <w:name w:val="内容标题"/>
    <w:basedOn w:val="919"/>
    <w:qFormat/>
    <w:pPr>
      <w:shd w:val="clear" w:color="auto" w:fill="000080"/>
    </w:pPr>
    <w:rPr>
      <w:rFonts w:ascii="Tahoma" w:hAnsi="Tahoma"/>
      <w:sz w:val="24"/>
      <w:shd w:val="clear" w:color="auto" w:fill="000080"/>
    </w:rPr>
  </w:style>
  <w:style w:type="paragraph" w:styleId="1984" w:customStyle="1">
    <w:name w:val="xl197"/>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xl235"/>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样式2"/>
    <w:basedOn w:val="919"/>
    <w:qFormat/>
    <w:pPr>
      <w:ind w:left="624" w:hanging="720"/>
    </w:pPr>
    <w:rPr>
      <w:rFonts w:ascii="黑体" w:eastAsia="黑体"/>
      <w:b/>
      <w:sz w:val="30"/>
    </w:rPr>
  </w:style>
  <w:style w:type="paragraph" w:styleId="1987" w:customStyle="1">
    <w:name w:val="xl163"/>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xl147"/>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默认段落字体 Para Char Char Char Char Char Char Char"/>
    <w:basedOn w:val="919"/>
    <w:qFormat/>
    <w:pPr>
      <w:ind w:left="200"/>
      <w:jc w:val="left"/>
      <w:spacing w:line="360" w:lineRule="auto"/>
    </w:pPr>
    <w:rPr>
      <w:rFonts w:ascii="宋体" w:hAnsi="宋体"/>
      <w:color w:val="000000"/>
      <w:sz w:val="24"/>
      <w:szCs w:val="20"/>
    </w:rPr>
  </w:style>
  <w:style w:type="paragraph" w:styleId="1990" w:customStyle="1">
    <w:name w:val="xl146"/>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xl76"/>
    <w:basedOn w:val="91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92" w:customStyle="1">
    <w:name w:val="xl186"/>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表格文字"/>
    <w:basedOn w:val="919"/>
    <w:qFormat/>
    <w:pPr>
      <w:jc w:val="center"/>
      <w:tabs>
        <w:tab w:val="left" w:pos="7740" w:leader="none"/>
      </w:tabs>
    </w:pPr>
    <w:rPr>
      <w:rFonts w:ascii="宋体" w:hAnsi="宋体"/>
      <w:sz w:val="24"/>
      <w:szCs w:val="20"/>
    </w:rPr>
  </w:style>
  <w:style w:type="paragraph" w:styleId="1994" w:customStyle="1">
    <w:name w:val="xl213"/>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196"/>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表格文本"/>
    <w:basedOn w:val="919"/>
    <w:qFormat/>
    <w:pPr>
      <w:jc w:val="left"/>
      <w:tabs>
        <w:tab w:val="decimal" w:pos="0" w:leader="none"/>
      </w:tabs>
    </w:pPr>
    <w:rPr>
      <w:rFonts w:ascii="Arial" w:hAnsi="Arial"/>
      <w:szCs w:val="21"/>
    </w:rPr>
  </w:style>
  <w:style w:type="paragraph" w:styleId="1997" w:customStyle="1">
    <w:name w:val="xl307"/>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98" w:customStyle="1">
    <w:name w:val="Default"/>
    <w:qFormat/>
    <w:pPr>
      <w:widowControl w:val="off"/>
    </w:pPr>
    <w:rPr>
      <w:rFonts w:ascii="宋体"/>
      <w:color w:val="000000"/>
      <w:sz w:val="24"/>
      <w:szCs w:val="24"/>
    </w:rPr>
  </w:style>
  <w:style w:type="paragraph" w:styleId="1999" w:customStyle="1">
    <w:name w:val="xl179"/>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tabletext"/>
    <w:basedOn w:val="919"/>
    <w:qFormat/>
    <w:pPr>
      <w:jc w:val="left"/>
      <w:spacing w:before="100" w:beforeAutospacing="1" w:after="100" w:afterAutospacing="1" w:line="284" w:lineRule="atLeast"/>
      <w:widowControl/>
    </w:pPr>
    <w:rPr>
      <w:rFonts w:ascii="宋体" w:hAnsi="宋体" w:cs="宋体"/>
      <w:szCs w:val="21"/>
    </w:rPr>
  </w:style>
  <w:style w:type="paragraph" w:styleId="2001" w:customStyle="1">
    <w:name w:val="xl241"/>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2" w:customStyle="1">
    <w:name w:val="Style First line:  2 ch"/>
    <w:basedOn w:val="919"/>
    <w:qFormat/>
    <w:pPr>
      <w:ind w:firstLine="200"/>
      <w:spacing w:line="440" w:lineRule="exact"/>
    </w:pPr>
    <w:rPr>
      <w:sz w:val="24"/>
    </w:rPr>
  </w:style>
  <w:style w:type="paragraph" w:styleId="2003" w:customStyle="1">
    <w:name w:val="xl160"/>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4" w:customStyle="1">
    <w:name w:val="正文４"/>
    <w:basedOn w:val="919"/>
    <w:qFormat/>
    <w:pPr>
      <w:ind w:firstLine="480"/>
      <w:spacing w:line="360" w:lineRule="auto"/>
    </w:pPr>
    <w:rPr>
      <w:sz w:val="24"/>
      <w:szCs w:val="20"/>
    </w:rPr>
  </w:style>
  <w:style w:type="paragraph" w:styleId="2005" w:customStyle="1">
    <w:name w:val="普通(网站)1"/>
    <w:basedOn w:val="919"/>
    <w:qFormat/>
    <w:pPr>
      <w:jc w:val="left"/>
      <w:spacing w:before="100" w:beforeAutospacing="1" w:after="100" w:afterAutospacing="1"/>
      <w:widowControl/>
    </w:pPr>
    <w:rPr>
      <w:rFonts w:ascii="宋体" w:hAnsi="宋体" w:cs="宋体"/>
      <w:color w:val="000000"/>
      <w:sz w:val="24"/>
    </w:rPr>
  </w:style>
  <w:style w:type="paragraph" w:styleId="2006" w:customStyle="1">
    <w:name w:val="图表脚注"/>
    <w:next w:val="1246"/>
    <w:qFormat/>
    <w:pPr>
      <w:ind w:left="300" w:hanging="100"/>
      <w:jc w:val="both"/>
    </w:pPr>
    <w:rPr>
      <w:rFonts w:ascii="宋体"/>
      <w:sz w:val="18"/>
    </w:rPr>
  </w:style>
  <w:style w:type="paragraph" w:styleId="2007" w:customStyle="1">
    <w:name w:val="列出段落1"/>
    <w:basedOn w:val="919"/>
    <w:qFormat/>
    <w:pPr>
      <w:ind w:firstLine="420"/>
    </w:pPr>
  </w:style>
  <w:style w:type="paragraph" w:styleId="2008" w:customStyle="1">
    <w:name w:val="无标题条"/>
    <w:next w:val="1246"/>
    <w:qFormat/>
    <w:pPr>
      <w:jc w:val="both"/>
    </w:pPr>
    <w:rPr>
      <w:sz w:val="21"/>
    </w:rPr>
  </w:style>
  <w:style w:type="paragraph" w:styleId="2009" w:customStyle="1">
    <w:name w:val="xl177"/>
    <w:basedOn w:val="91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注示头"/>
    <w:basedOn w:val="919"/>
    <w:qFormat/>
    <w:pPr>
      <w:pBdr>
        <w:top w:val="single" w:color="000000" w:sz="4" w:space="1"/>
      </w:pBdr>
    </w:pPr>
    <w:rPr>
      <w:rFonts w:ascii="Arial" w:hAnsi="Arial" w:eastAsia="黑体"/>
      <w:sz w:val="18"/>
      <w:szCs w:val="20"/>
    </w:rPr>
  </w:style>
  <w:style w:type="paragraph" w:styleId="2011" w:customStyle="1">
    <w:name w:val="xl204"/>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2013" w:customStyle="1">
    <w:name w:val="xl25"/>
    <w:basedOn w:val="91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14" w:customStyle="1">
    <w:name w:val="xl238"/>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5" w:customStyle="1">
    <w:name w:val="xl52"/>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16" w:customStyle="1">
    <w:name w:val="DLP3.4.4"/>
    <w:basedOn w:val="919"/>
    <w:qFormat/>
    <w:pPr>
      <w:ind w:left="1069" w:hanging="709"/>
      <w:keepLines/>
      <w:keepNext/>
      <w:spacing w:before="260" w:after="260" w:line="416" w:lineRule="auto"/>
      <w:tabs>
        <w:tab w:val="left" w:pos="1069" w:leader="none"/>
      </w:tabs>
      <w:outlineLvl w:val="2"/>
    </w:pPr>
    <w:rPr>
      <w:b/>
      <w:sz w:val="30"/>
    </w:rPr>
  </w:style>
  <w:style w:type="paragraph" w:styleId="2017" w:customStyle="1">
    <w:name w:val="标准书脚_奇数页"/>
    <w:qFormat/>
    <w:pPr>
      <w:jc w:val="right"/>
      <w:spacing w:before="120"/>
    </w:pPr>
    <w:rPr>
      <w:sz w:val="18"/>
    </w:rPr>
  </w:style>
  <w:style w:type="paragraph" w:styleId="2018" w:customStyle="1">
    <w:name w:val="纯文本1"/>
    <w:basedOn w:val="919"/>
    <w:link w:val="2459"/>
    <w:qFormat/>
    <w:rPr>
      <w:rFonts w:ascii="宋体" w:hAnsi="Courier New"/>
      <w:szCs w:val="21"/>
    </w:rPr>
  </w:style>
  <w:style w:type="paragraph" w:styleId="2019" w:customStyle="1">
    <w:name w:val="列出段落2"/>
    <w:basedOn w:val="919"/>
    <w:qFormat/>
    <w:pPr>
      <w:ind w:firstLine="420"/>
    </w:pPr>
    <w:rPr>
      <w:rFonts w:ascii="Calibri" w:hAnsi="Calibri" w:eastAsia="仿宋_GB2312"/>
      <w:sz w:val="24"/>
      <w:szCs w:val="22"/>
    </w:rPr>
  </w:style>
  <w:style w:type="paragraph" w:styleId="2020" w:customStyle="1">
    <w:name w:val="图5"/>
    <w:basedOn w:val="919"/>
    <w:qFormat/>
    <w:pPr>
      <w:jc w:val="center"/>
      <w:spacing w:line="220" w:lineRule="exact"/>
    </w:pPr>
    <w:rPr>
      <w:rFonts w:ascii="仿宋_GB2312" w:eastAsia="仿宋_GB2312"/>
      <w:szCs w:val="20"/>
    </w:rPr>
  </w:style>
  <w:style w:type="paragraph" w:styleId="2021" w:customStyle="1">
    <w:name w:val="无间隔2"/>
    <w:qFormat/>
    <w:pPr>
      <w:jc w:val="both"/>
      <w:widowControl w:val="off"/>
    </w:pPr>
    <w:rPr>
      <w:rFonts w:ascii="Calibri" w:hAnsi="Calibri" w:cs="黑体"/>
      <w:sz w:val="21"/>
      <w:szCs w:val="22"/>
    </w:rPr>
  </w:style>
  <w:style w:type="paragraph" w:styleId="2022" w:customStyle="1">
    <w:name w:val="xl70"/>
    <w:basedOn w:val="91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23" w:customStyle="1">
    <w:name w:val="xl161"/>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4" w:customStyle="1">
    <w:name w:val="正文缩进2"/>
    <w:basedOn w:val="919"/>
    <w:qFormat/>
    <w:pPr>
      <w:ind w:firstLine="420"/>
    </w:pPr>
    <w:rPr>
      <w:szCs w:val="20"/>
    </w:rPr>
  </w:style>
  <w:style w:type="paragraph" w:styleId="2025" w:customStyle="1">
    <w:name w:val="xl176"/>
    <w:basedOn w:val="91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xl151"/>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7" w:customStyle="1">
    <w:name w:val="xl152"/>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8" w:customStyle="1">
    <w:name w:val="xl62"/>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2029" w:customStyle="1">
    <w:name w:val="xl233"/>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0" w:customStyle="1">
    <w:name w:val="xl266"/>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Heading 1 前言"/>
    <w:next w:val="919"/>
    <w:qFormat/>
    <w:pPr>
      <w:jc w:val="center"/>
    </w:pPr>
    <w:rPr>
      <w:rFonts w:ascii="黑体" w:hAnsi="黑体" w:eastAsia="黑体"/>
      <w:b/>
      <w:bCs/>
      <w:sz w:val="32"/>
    </w:rPr>
  </w:style>
  <w:style w:type="paragraph" w:styleId="2032" w:customStyle="1">
    <w:name w:val="xl286"/>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3" w:customStyle="1">
    <w:name w:val="xl74"/>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2034" w:customStyle="1">
    <w:name w:val="列表1"/>
    <w:basedOn w:val="919"/>
    <w:qFormat/>
    <w:pPr>
      <w:ind w:left="200" w:hanging="200"/>
    </w:pPr>
  </w:style>
  <w:style w:type="paragraph" w:styleId="2035" w:customStyle="1">
    <w:name w:val="xl289"/>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xl268"/>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Char1 Char Char Char11"/>
    <w:basedOn w:val="919"/>
    <w:qFormat/>
    <w:rPr>
      <w:rFonts w:ascii="Tahoma" w:hAnsi="Tahoma"/>
      <w:sz w:val="24"/>
      <w:szCs w:val="20"/>
    </w:rPr>
  </w:style>
  <w:style w:type="paragraph" w:styleId="2038" w:customStyle="1">
    <w:name w:val="xl308"/>
    <w:basedOn w:val="91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2039" w:customStyle="1">
    <w:name w:val="日期1"/>
    <w:basedOn w:val="919"/>
    <w:next w:val="919"/>
    <w:qFormat/>
    <w:pPr>
      <w:jc w:val="right"/>
      <w:spacing w:line="312" w:lineRule="atLeast"/>
    </w:pPr>
    <w:rPr>
      <w:rFonts w:ascii="黑体" w:eastAsia="黑体"/>
      <w:b/>
      <w:sz w:val="32"/>
      <w:szCs w:val="20"/>
    </w:rPr>
  </w:style>
  <w:style w:type="paragraph" w:styleId="2040" w:customStyle="1">
    <w:name w:val="xl317"/>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Char"/>
    <w:basedOn w:val="919"/>
    <w:uiPriority w:val="99"/>
    <w:qFormat/>
    <w:pPr>
      <w:spacing w:line="360" w:lineRule="auto"/>
    </w:pPr>
    <w:rPr>
      <w:sz w:val="24"/>
      <w:szCs w:val="20"/>
    </w:rPr>
  </w:style>
  <w:style w:type="paragraph" w:styleId="2042" w:customStyle="1">
    <w:name w:val="文档结构图1"/>
    <w:basedOn w:val="919"/>
    <w:qFormat/>
    <w:rPr>
      <w:rFonts w:ascii="宋体"/>
      <w:sz w:val="18"/>
      <w:szCs w:val="18"/>
    </w:rPr>
  </w:style>
  <w:style w:type="paragraph" w:styleId="2043" w:customStyle="1">
    <w:name w:val="表格正文"/>
    <w:basedOn w:val="919"/>
    <w:qFormat/>
    <w:pPr>
      <w:jc w:val="center"/>
    </w:pPr>
    <w:rPr>
      <w:rFonts w:eastAsia="仿宋_GB2312"/>
    </w:rPr>
  </w:style>
  <w:style w:type="paragraph" w:styleId="2044" w:customStyle="1">
    <w:name w:val="xl54"/>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45" w:customStyle="1">
    <w:name w:val="xl205"/>
    <w:basedOn w:val="919"/>
    <w:qFormat/>
    <w:pPr>
      <w:jc w:val="left"/>
      <w:spacing w:before="100" w:beforeAutospacing="1" w:after="100" w:afterAutospacing="1"/>
      <w:shd w:val="clear" w:color="000000" w:fill="ffffff"/>
      <w:widowControl/>
    </w:pPr>
    <w:rPr>
      <w:rFonts w:ascii="Arial" w:hAnsi="Arial" w:cs="Arial"/>
      <w:sz w:val="20"/>
      <w:szCs w:val="20"/>
    </w:rPr>
  </w:style>
  <w:style w:type="paragraph" w:styleId="2046" w:customStyle="1">
    <w:name w:val="xl305"/>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47" w:customStyle="1">
    <w:name w:val="Birdseed"/>
    <w:basedOn w:val="919"/>
    <w:qFormat/>
    <w:pPr>
      <w:jc w:val="left"/>
      <w:widowControl/>
    </w:pPr>
    <w:rPr>
      <w:rFonts w:ascii="Palatino Linotype" w:hAnsi="Palatino Linotype"/>
      <w:sz w:val="18"/>
      <w:szCs w:val="20"/>
    </w:rPr>
  </w:style>
  <w:style w:type="paragraph" w:styleId="2048" w:customStyle="1">
    <w:name w:val="TOC 91"/>
    <w:basedOn w:val="919"/>
    <w:next w:val="919"/>
    <w:uiPriority w:val="39"/>
    <w:qFormat/>
    <w:pPr>
      <w:ind w:left="3360"/>
    </w:pPr>
    <w:rPr>
      <w:rFonts w:ascii="Calibri" w:hAnsi="Calibri"/>
      <w:szCs w:val="22"/>
    </w:rPr>
  </w:style>
  <w:style w:type="paragraph" w:styleId="2049" w:customStyle="1">
    <w:name w:val="xl249"/>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0" w:customStyle="1">
    <w:name w:val="xl65"/>
    <w:basedOn w:val="91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51" w:customStyle="1">
    <w:name w:val="xl158"/>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正文--表格内正文"/>
    <w:basedOn w:val="919"/>
    <w:qFormat/>
    <w:pPr>
      <w:jc w:val="center"/>
      <w:spacing w:line="0" w:lineRule="atLeast"/>
    </w:pPr>
    <w:rPr>
      <w:rFonts w:ascii="宋体" w:hAnsi="宋体"/>
      <w:sz w:val="24"/>
    </w:rPr>
  </w:style>
  <w:style w:type="paragraph" w:styleId="2053" w:customStyle="1">
    <w:name w:val="xl265"/>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4" w:customStyle="1">
    <w:name w:val="样式 行距: 1.5 倍行距"/>
    <w:basedOn w:val="919"/>
    <w:qFormat/>
    <w:pPr>
      <w:spacing w:line="360" w:lineRule="auto"/>
    </w:pPr>
    <w:rPr>
      <w:rFonts w:ascii="宋体" w:hAnsi="宋体"/>
      <w:bCs/>
      <w:sz w:val="28"/>
      <w:szCs w:val="20"/>
    </w:rPr>
  </w:style>
  <w:style w:type="paragraph" w:styleId="2055" w:customStyle="1">
    <w:name w:val="正文首行缩进2"/>
    <w:basedOn w:val="919"/>
    <w:qFormat/>
    <w:pPr>
      <w:ind w:firstLine="420"/>
      <w:spacing w:line="360" w:lineRule="auto"/>
    </w:pPr>
    <w:rPr>
      <w:rFonts w:ascii="Arial" w:hAnsi="Arial"/>
      <w:sz w:val="20"/>
      <w:szCs w:val="21"/>
    </w:rPr>
  </w:style>
  <w:style w:type="paragraph" w:styleId="2056" w:customStyle="1">
    <w:name w:val="Table Paragraph"/>
    <w:basedOn w:val="919"/>
    <w:qFormat/>
    <w:pPr>
      <w:jc w:val="left"/>
    </w:pPr>
    <w:rPr>
      <w:rFonts w:ascii="Calibri" w:hAnsi="Calibri" w:cs="黑体"/>
      <w:sz w:val="22"/>
      <w:szCs w:val="22"/>
      <w:lang w:eastAsia="en-US"/>
    </w:rPr>
  </w:style>
  <w:style w:type="paragraph" w:styleId="2057" w:customStyle="1">
    <w:name w:val="列出段落4"/>
    <w:basedOn w:val="919"/>
    <w:qFormat/>
    <w:pPr>
      <w:ind w:firstLine="420"/>
    </w:pPr>
    <w:rPr>
      <w:rFonts w:ascii="Calibri" w:hAnsi="Calibri"/>
      <w:szCs w:val="22"/>
    </w:rPr>
  </w:style>
  <w:style w:type="paragraph" w:styleId="2058" w:customStyle="1">
    <w:name w:val="其他发布部门"/>
    <w:basedOn w:val="2059"/>
    <w:qFormat/>
    <w:pPr>
      <w:spacing w:line="0" w:lineRule="atLeast"/>
      <w:framePr w:wrap="around"/>
    </w:pPr>
    <w:rPr>
      <w:rFonts w:ascii="黑体" w:eastAsia="黑体"/>
      <w:b w:val="0"/>
    </w:rPr>
  </w:style>
  <w:style w:type="paragraph" w:styleId="2059" w:customStyle="1">
    <w:name w:val="发布部门"/>
    <w:next w:val="1246"/>
    <w:qFormat/>
    <w:pPr>
      <w:jc w:val="center"/>
      <w:framePr w:w="7433" w:h="585" w:vSpace="180" w:hSpace="180" w:wrap="around" w:hAnchor="margin" w:xAlign="center" w:y="14401" w:hRule="exact"/>
    </w:pPr>
    <w:rPr>
      <w:rFonts w:ascii="宋体"/>
      <w:b/>
      <w:spacing w:val="20"/>
      <w:sz w:val="36"/>
    </w:rPr>
  </w:style>
  <w:style w:type="paragraph" w:styleId="2060" w:customStyle="1">
    <w:name w:val="xl103"/>
    <w:basedOn w:val="9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61" w:customStyle="1">
    <w:name w:val="二级无标题条"/>
    <w:basedOn w:val="919"/>
    <w:qFormat/>
    <w:pPr>
      <w:ind w:hanging="420"/>
    </w:pPr>
  </w:style>
  <w:style w:type="paragraph" w:styleId="2062" w:customStyle="1">
    <w:name w:val="表格文字1"/>
    <w:basedOn w:val="919"/>
    <w:qFormat/>
    <w:pPr>
      <w:jc w:val="center"/>
    </w:pPr>
    <w:rPr>
      <w:rFonts w:ascii="宋体" w:hAnsi="宋体"/>
      <w:szCs w:val="21"/>
      <w:shd w:val="clear" w:color="auto" w:fill="ffffff"/>
    </w:rPr>
  </w:style>
  <w:style w:type="paragraph" w:styleId="2063" w:customStyle="1">
    <w:name w:val="xl165"/>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4" w:customStyle="1">
    <w:name w:val="xl316"/>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5" w:customStyle="1">
    <w:name w:val="正文文本缩进2"/>
    <w:basedOn w:val="919"/>
    <w:qFormat/>
    <w:pPr>
      <w:ind w:firstLine="645"/>
    </w:pPr>
    <w:rPr>
      <w:rFonts w:ascii="楷体_GB2312" w:eastAsia="楷体_GB2312"/>
      <w:sz w:val="32"/>
      <w:szCs w:val="20"/>
    </w:rPr>
  </w:style>
  <w:style w:type="paragraph" w:styleId="2066" w:customStyle="1">
    <w:name w:val="xl223"/>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封面标准文稿类别"/>
    <w:qFormat/>
    <w:pPr>
      <w:jc w:val="center"/>
      <w:spacing w:before="440" w:line="400" w:lineRule="exact"/>
    </w:pPr>
    <w:rPr>
      <w:rFonts w:ascii="宋体"/>
      <w:sz w:val="24"/>
    </w:rPr>
  </w:style>
  <w:style w:type="paragraph" w:styleId="2068" w:customStyle="1">
    <w:name w:val="xl311"/>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9" w:customStyle="1">
    <w:name w:val="xl144"/>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0" w:customStyle="1">
    <w:name w:val="一级无标题条"/>
    <w:basedOn w:val="919"/>
    <w:qFormat/>
    <w:pPr>
      <w:ind w:left="3420" w:hanging="420"/>
    </w:pPr>
  </w:style>
  <w:style w:type="paragraph" w:styleId="2071" w:customStyle="1">
    <w:name w:val="xl273"/>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2" w:customStyle="1">
    <w:name w:val="_Style 6"/>
    <w:basedOn w:val="919"/>
    <w:uiPriority w:val="34"/>
    <w:qFormat/>
    <w:pPr>
      <w:ind w:firstLine="420"/>
    </w:pPr>
  </w:style>
  <w:style w:type="paragraph" w:styleId="2073" w:customStyle="1">
    <w:name w:val="列出段落12"/>
    <w:basedOn w:val="919"/>
    <w:qFormat/>
    <w:pPr>
      <w:ind w:firstLine="420"/>
    </w:pPr>
  </w:style>
  <w:style w:type="paragraph" w:styleId="2074" w:customStyle="1">
    <w:name w:val="样式 首行缩进:  0 字符"/>
    <w:basedOn w:val="919"/>
    <w:qFormat/>
    <w:pPr>
      <w:ind w:firstLine="200"/>
      <w:spacing w:line="360" w:lineRule="auto"/>
    </w:pPr>
    <w:rPr>
      <w:rFonts w:cs="宋体"/>
      <w:sz w:val="24"/>
      <w:szCs w:val="20"/>
    </w:rPr>
  </w:style>
  <w:style w:type="paragraph" w:styleId="2075" w:customStyle="1">
    <w:name w:val="xl137"/>
    <w:basedOn w:val="91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76" w:customStyle="1">
    <w:name w:val="xl105"/>
    <w:basedOn w:val="9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77" w:customStyle="1">
    <w:name w:val="xl178"/>
    <w:basedOn w:val="91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xl139"/>
    <w:basedOn w:val="919"/>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79" w:customStyle="1">
    <w:name w:val="xl107"/>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80" w:customStyle="1">
    <w:name w:val="正文段"/>
    <w:basedOn w:val="919"/>
    <w:qFormat/>
    <w:pPr>
      <w:ind w:firstLine="454"/>
      <w:spacing w:after="240" w:line="360" w:lineRule="atLeast"/>
      <w:widowControl/>
    </w:pPr>
    <w:rPr>
      <w:rFonts w:ascii="宋体"/>
      <w:sz w:val="24"/>
      <w:szCs w:val="20"/>
    </w:rPr>
  </w:style>
  <w:style w:type="paragraph" w:styleId="2081" w:customStyle="1">
    <w:name w:val="xl224"/>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xl140"/>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83" w:customStyle="1">
    <w:name w:val="xl108"/>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84" w:customStyle="1">
    <w:name w:val="文档正文"/>
    <w:basedOn w:val="919"/>
    <w:uiPriority w:val="99"/>
    <w:qFormat/>
    <w:pPr>
      <w:ind w:firstLine="567"/>
      <w:spacing w:line="312" w:lineRule="atLeast"/>
    </w:pPr>
    <w:rPr>
      <w:rFonts w:ascii="长城仿宋" w:eastAsia="长城仿宋"/>
      <w:sz w:val="28"/>
      <w:szCs w:val="20"/>
    </w:rPr>
  </w:style>
  <w:style w:type="paragraph" w:styleId="2085" w:customStyle="1">
    <w:name w:val="Char Char 字元 字元 字元 Char Char Char Char"/>
    <w:basedOn w:val="919"/>
    <w:uiPriority w:val="99"/>
    <w:unhideWhenUsed/>
    <w:qFormat/>
    <w:pPr>
      <w:spacing w:line="360" w:lineRule="auto"/>
    </w:pPr>
    <w:rPr>
      <w:rFonts w:hint="eastAsia"/>
    </w:rPr>
  </w:style>
  <w:style w:type="paragraph" w:styleId="2086" w:customStyle="1">
    <w:name w:val="xl218"/>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7" w:customStyle="1">
    <w:name w:val="xl141"/>
    <w:basedOn w:val="91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88" w:customStyle="1">
    <w:name w:val="xl109"/>
    <w:basedOn w:val="9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89" w:customStyle="1">
    <w:name w:val="xl78"/>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90" w:customStyle="1">
    <w:name w:val="xl111"/>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1" w:customStyle="1">
    <w:name w:val="xl79"/>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2" w:customStyle="1">
    <w:name w:val="xl112"/>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xl80"/>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4" w:customStyle="1">
    <w:name w:val="xl113"/>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5" w:customStyle="1">
    <w:name w:val="xl81"/>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96" w:customStyle="1">
    <w:name w:val="xl208"/>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7" w:customStyle="1">
    <w:name w:val="技术方案正文样式"/>
    <w:basedOn w:val="919"/>
    <w:qFormat/>
    <w:pPr>
      <w:ind w:firstLine="480"/>
      <w:spacing w:line="400" w:lineRule="exact"/>
    </w:pPr>
    <w:rPr>
      <w:rFonts w:ascii="宋体" w:hAnsi="宋体" w:cs="宋体"/>
      <w:sz w:val="24"/>
      <w:szCs w:val="21"/>
    </w:rPr>
  </w:style>
  <w:style w:type="paragraph" w:styleId="2098" w:customStyle="1">
    <w:name w:val="xl114"/>
    <w:basedOn w:val="919"/>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99" w:customStyle="1">
    <w:name w:val="xl82"/>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0" w:customStyle="1">
    <w:name w:val="xl231"/>
    <w:basedOn w:val="919"/>
    <w:qFormat/>
    <w:pPr>
      <w:jc w:val="left"/>
      <w:spacing w:before="100" w:beforeAutospacing="1" w:after="100" w:afterAutospacing="1"/>
      <w:shd w:val="clear" w:color="000000" w:fill="ffffff"/>
      <w:widowControl/>
    </w:pPr>
    <w:rPr>
      <w:rFonts w:ascii="Arial" w:hAnsi="Arial" w:cs="Arial"/>
      <w:sz w:val="20"/>
      <w:szCs w:val="20"/>
    </w:rPr>
  </w:style>
  <w:style w:type="paragraph" w:styleId="2101" w:customStyle="1">
    <w:name w:val="xl115"/>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2" w:customStyle="1">
    <w:name w:val="xl83"/>
    <w:basedOn w:val="919"/>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03" w:customStyle="1">
    <w:name w:val="xl240"/>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4" w:customStyle="1">
    <w:name w:val="xl116"/>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5" w:customStyle="1">
    <w:name w:val="xl84"/>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6" w:customStyle="1">
    <w:name w:val="xl232"/>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7" w:customStyle="1">
    <w:name w:val="xl117"/>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08" w:customStyle="1">
    <w:name w:val="xl85"/>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09" w:customStyle="1">
    <w:name w:val="xl185"/>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0" w:customStyle="1">
    <w:name w:val="Char Char2 Char"/>
    <w:basedOn w:val="919"/>
    <w:qFormat/>
    <w:pPr>
      <w:ind w:left="390" w:hanging="390"/>
      <w:keepLines/>
      <w:keepNext/>
      <w:pageBreakBefore/>
      <w:tabs>
        <w:tab w:val="left" w:pos="390" w:leader="none"/>
      </w:tabs>
    </w:pPr>
    <w:rPr>
      <w:szCs w:val="20"/>
    </w:rPr>
  </w:style>
  <w:style w:type="paragraph" w:styleId="2111" w:customStyle="1">
    <w:name w:val="xl118"/>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2" w:customStyle="1">
    <w:name w:val="xl86"/>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3" w:customStyle="1">
    <w:name w:val="xl275"/>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4" w:customStyle="1">
    <w:name w:val="xl119"/>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5" w:customStyle="1">
    <w:name w:val="xl87"/>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16" w:customStyle="1">
    <w:name w:val="xl212"/>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7" w:customStyle="1">
    <w:name w:val="样式 首行缩进:  2.25 字符"/>
    <w:basedOn w:val="919"/>
    <w:qFormat/>
    <w:pPr>
      <w:ind w:firstLine="225"/>
      <w:spacing w:line="360" w:lineRule="auto"/>
    </w:pPr>
    <w:rPr>
      <w:rFonts w:cs="宋体"/>
      <w:sz w:val="24"/>
      <w:szCs w:val="20"/>
    </w:rPr>
  </w:style>
  <w:style w:type="paragraph" w:styleId="2118" w:customStyle="1">
    <w:name w:val="xl120"/>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9" w:customStyle="1">
    <w:name w:val="xl88"/>
    <w:basedOn w:val="919"/>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20" w:customStyle="1">
    <w:name w:val="xl251"/>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21" w:customStyle="1">
    <w:name w:val="xl121"/>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2" w:customStyle="1">
    <w:name w:val="xl89"/>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3" w:customStyle="1">
    <w:name w:val="一级标题"/>
    <w:basedOn w:val="920"/>
    <w:qFormat/>
    <w:pPr>
      <w:jc w:val="center"/>
      <w:keepNext w:val="0"/>
      <w:spacing w:line="360" w:lineRule="auto"/>
    </w:pPr>
    <w:rPr>
      <w:rFonts w:ascii="宋体" w:hAnsi="宋体" w:eastAsia="宋体"/>
      <w:b/>
      <w:sz w:val="32"/>
      <w:szCs w:val="28"/>
    </w:rPr>
  </w:style>
  <w:style w:type="paragraph" w:styleId="2124" w:customStyle="1">
    <w:name w:val="xl122"/>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5" w:customStyle="1">
    <w:name w:val="xl90"/>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26" w:customStyle="1">
    <w:name w:val="二级标题"/>
    <w:basedOn w:val="921"/>
    <w:qFormat/>
    <w:pPr>
      <w:ind w:left="1140" w:hanging="720"/>
      <w:jc w:val="left"/>
      <w:spacing w:before="0" w:after="0"/>
      <w:tabs>
        <w:tab w:val="left" w:pos="0" w:leader="none"/>
        <w:tab w:val="left" w:pos="1140" w:leader="none"/>
      </w:tabs>
    </w:pPr>
    <w:rPr>
      <w:sz w:val="32"/>
      <w:szCs w:val="21"/>
    </w:rPr>
  </w:style>
  <w:style w:type="paragraph" w:styleId="2127" w:customStyle="1">
    <w:name w:val="xl123"/>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8" w:customStyle="1">
    <w:name w:val="xl91"/>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9" w:customStyle="1">
    <w:name w:val="04-标书-标题4"/>
    <w:basedOn w:val="919"/>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30" w:customStyle="1">
    <w:name w:val="xl124"/>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1" w:customStyle="1">
    <w:name w:val="xl92"/>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32" w:customStyle="1">
    <w:name w:val="xl125"/>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33" w:customStyle="1">
    <w:name w:val="xl93"/>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4" w:customStyle="1">
    <w:name w:val="xl126"/>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35" w:customStyle="1">
    <w:name w:val="xl94"/>
    <w:basedOn w:val="919"/>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36" w:customStyle="1">
    <w:name w:val="xl127"/>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37" w:customStyle="1">
    <w:name w:val="xl95"/>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8" w:customStyle="1">
    <w:name w:val="xl128"/>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9" w:customStyle="1">
    <w:name w:val="xl96"/>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0" w:customStyle="1">
    <w:name w:val="xl129"/>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1" w:customStyle="1">
    <w:name w:val="xl97"/>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2" w:customStyle="1">
    <w:name w:val="缺省文本"/>
    <w:basedOn w:val="919"/>
    <w:qFormat/>
    <w:pPr>
      <w:ind w:firstLine="200"/>
      <w:jc w:val="left"/>
      <w:spacing w:line="360" w:lineRule="auto"/>
    </w:pPr>
    <w:rPr>
      <w:sz w:val="24"/>
    </w:rPr>
  </w:style>
  <w:style w:type="paragraph" w:styleId="2143" w:customStyle="1">
    <w:name w:val="xl130"/>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44" w:customStyle="1">
    <w:name w:val="xl98"/>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5" w:customStyle="1">
    <w:name w:val="reader-word-layer"/>
    <w:basedOn w:val="919"/>
    <w:qFormat/>
    <w:pPr>
      <w:jc w:val="left"/>
      <w:spacing w:before="100" w:beforeAutospacing="1" w:after="100" w:afterAutospacing="1"/>
      <w:widowControl/>
    </w:pPr>
    <w:rPr>
      <w:rFonts w:ascii="宋体" w:hAnsi="宋体" w:cs="宋体"/>
      <w:sz w:val="24"/>
    </w:rPr>
  </w:style>
  <w:style w:type="paragraph" w:styleId="2146" w:customStyle="1">
    <w:name w:val="xl131"/>
    <w:basedOn w:val="919"/>
    <w:qFormat/>
    <w:pPr>
      <w:jc w:val="left"/>
      <w:spacing w:before="100" w:beforeAutospacing="1" w:after="100" w:afterAutospacing="1"/>
      <w:widowControl/>
    </w:pPr>
    <w:rPr>
      <w:rFonts w:ascii="宋体" w:hAnsi="宋体" w:cs="宋体"/>
      <w:sz w:val="24"/>
    </w:rPr>
  </w:style>
  <w:style w:type="paragraph" w:styleId="2147" w:customStyle="1">
    <w:name w:val="xl99"/>
    <w:basedOn w:val="91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8" w:customStyle="1">
    <w:name w:val="xl132"/>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9" w:customStyle="1">
    <w:name w:val="xl100"/>
    <w:basedOn w:val="9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50" w:customStyle="1">
    <w:name w:val="xl133"/>
    <w:basedOn w:val="91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151" w:customStyle="1">
    <w:name w:val="xl101"/>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2" w:customStyle="1">
    <w:name w:val="正文 首行缩进:  2 字符 Char"/>
    <w:basedOn w:val="919"/>
    <w:qFormat/>
    <w:pPr>
      <w:ind w:firstLine="480"/>
      <w:spacing w:line="360" w:lineRule="auto"/>
    </w:pPr>
    <w:rPr>
      <w:rFonts w:cs="宋体"/>
      <w:sz w:val="24"/>
      <w:szCs w:val="20"/>
    </w:rPr>
  </w:style>
  <w:style w:type="paragraph" w:styleId="2153" w:customStyle="1">
    <w:name w:val="xl134"/>
    <w:basedOn w:val="919"/>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54" w:customStyle="1">
    <w:name w:val="xl102"/>
    <w:basedOn w:val="9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55" w:customStyle="1">
    <w:name w:val="xl136"/>
    <w:basedOn w:val="91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56" w:customStyle="1">
    <w:name w:val="xl104"/>
    <w:basedOn w:val="91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57" w:customStyle="1">
    <w:name w:val="xl248"/>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8" w:customStyle="1">
    <w:name w:val="xl138"/>
    <w:basedOn w:val="91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59" w:customStyle="1">
    <w:name w:val="xl106"/>
    <w:basedOn w:val="91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0" w:customStyle="1">
    <w:name w:val="xl175"/>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1" w:customStyle="1">
    <w:name w:val="_Style 1"/>
    <w:basedOn w:val="919"/>
    <w:uiPriority w:val="99"/>
    <w:qFormat/>
    <w:pPr>
      <w:ind w:firstLine="420"/>
      <w:jc w:val="left"/>
      <w:spacing w:line="400" w:lineRule="exact"/>
    </w:pPr>
    <w:rPr>
      <w:rFonts w:ascii="Calibri" w:hAnsi="Calibri" w:eastAsia="仿宋_GB2312"/>
      <w:sz w:val="24"/>
      <w:szCs w:val="22"/>
    </w:rPr>
  </w:style>
  <w:style w:type="paragraph" w:styleId="2162" w:customStyle="1">
    <w:name w:val="xl110"/>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3" w:customStyle="1">
    <w:name w:val="xl283"/>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64" w:customStyle="1">
    <w:name w:val="xl135"/>
    <w:basedOn w:val="919"/>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65" w:customStyle="1">
    <w:name w:val="xl188"/>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6" w:customStyle="1">
    <w:name w:val="中等深浅网格 21"/>
    <w:qFormat/>
    <w:pPr>
      <w:jc w:val="both"/>
      <w:widowControl w:val="off"/>
    </w:pPr>
    <w:rPr>
      <w:rFonts w:ascii="Calibri" w:hAnsi="Calibri"/>
      <w:sz w:val="21"/>
      <w:szCs w:val="22"/>
    </w:rPr>
  </w:style>
  <w:style w:type="paragraph" w:styleId="2167" w:customStyle="1">
    <w:name w:val="表头"/>
    <w:basedOn w:val="919"/>
    <w:qFormat/>
    <w:pPr>
      <w:jc w:val="center"/>
      <w:spacing w:line="360" w:lineRule="auto"/>
    </w:pPr>
    <w:rPr>
      <w:rFonts w:ascii="Calibri" w:hAnsi="Calibri" w:cs="宋体"/>
      <w:b/>
      <w:bCs/>
      <w:color w:val="000000"/>
      <w:szCs w:val="20"/>
    </w:rPr>
  </w:style>
  <w:style w:type="paragraph" w:styleId="2168" w:customStyle="1">
    <w:name w:val="样式 标题 2标题 2 Char Char子子系统子系统1子系统2子系统3子系统4子系统11子系统21子系统..."/>
    <w:basedOn w:val="921"/>
    <w:qFormat/>
    <w:pPr>
      <w:ind w:left="786" w:hanging="360"/>
      <w:spacing w:before="0" w:after="0" w:line="240" w:lineRule="auto"/>
      <w:tabs>
        <w:tab w:val="left" w:pos="360" w:leader="none"/>
      </w:tabs>
    </w:pPr>
    <w:rPr>
      <w:rFonts w:ascii="Arial" w:eastAsia="黑体"/>
      <w:sz w:val="30"/>
    </w:rPr>
  </w:style>
  <w:style w:type="paragraph" w:styleId="2169" w:customStyle="1">
    <w:name w:val="居中图片"/>
    <w:basedOn w:val="919"/>
    <w:qFormat/>
    <w:pPr>
      <w:jc w:val="center"/>
    </w:pPr>
    <w:rPr>
      <w:rFonts w:ascii="Calibri" w:hAnsi="Calibri" w:eastAsia="仿宋"/>
      <w:sz w:val="28"/>
      <w:szCs w:val="21"/>
    </w:rPr>
  </w:style>
  <w:style w:type="paragraph" w:styleId="2170" w:customStyle="1">
    <w:name w:val="01-标书-标题1"/>
    <w:next w:val="919"/>
    <w:qFormat/>
    <w:pPr>
      <w:ind w:left="425" w:hanging="425"/>
      <w:spacing w:line="360" w:lineRule="auto"/>
      <w:tabs>
        <w:tab w:val="left" w:pos="425" w:leader="none"/>
      </w:tabs>
      <w:outlineLvl w:val="0"/>
    </w:pPr>
    <w:rPr>
      <w:rFonts w:ascii="黑体" w:hAnsi="宋体" w:eastAsia="黑体"/>
      <w:sz w:val="44"/>
      <w:szCs w:val="32"/>
    </w:rPr>
  </w:style>
  <w:style w:type="paragraph" w:styleId="2171"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172"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173" w:customStyle="1">
    <w:name w:val="xl304"/>
    <w:basedOn w:val="9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74" w:customStyle="1">
    <w:name w:val="正文文本缩进 32"/>
    <w:basedOn w:val="919"/>
    <w:qFormat/>
    <w:pPr>
      <w:ind w:left="520" w:firstLine="425"/>
      <w:jc w:val="center"/>
    </w:pPr>
    <w:rPr>
      <w:rFonts w:ascii="宋体" w:hAnsi="Arial"/>
      <w:sz w:val="36"/>
      <w:szCs w:val="20"/>
    </w:rPr>
  </w:style>
  <w:style w:type="paragraph" w:styleId="2175" w:customStyle="1">
    <w:name w:val="xl202"/>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6" w:customStyle="1">
    <w:name w:val="正文文本缩进 21"/>
    <w:basedOn w:val="919"/>
    <w:qFormat/>
    <w:pPr>
      <w:ind w:firstLine="560"/>
      <w:spacing w:line="520" w:lineRule="exact"/>
    </w:pPr>
    <w:rPr>
      <w:rFonts w:ascii="楷体_GB2312" w:eastAsia="楷体_GB2312"/>
      <w:sz w:val="28"/>
      <w:szCs w:val="28"/>
    </w:rPr>
  </w:style>
  <w:style w:type="paragraph" w:styleId="2177" w:customStyle="1">
    <w:name w:val="Char Char3 Char Char Char Char"/>
    <w:basedOn w:val="919"/>
    <w:qFormat/>
    <w:pPr>
      <w:jc w:val="left"/>
      <w:spacing w:after="160" w:line="240" w:lineRule="exact"/>
      <w:widowControl/>
    </w:pPr>
    <w:rPr>
      <w:rFonts w:ascii="Verdana" w:hAnsi="Verdana"/>
      <w:sz w:val="20"/>
      <w:szCs w:val="20"/>
      <w:lang w:eastAsia="en-US"/>
    </w:rPr>
  </w:style>
  <w:style w:type="paragraph" w:styleId="2178" w:customStyle="1">
    <w:name w:val="目录标题"/>
    <w:next w:val="1352"/>
    <w:qFormat/>
    <w:pPr>
      <w:jc w:val="center"/>
      <w:spacing w:before="240" w:after="120"/>
    </w:pPr>
    <w:rPr>
      <w:rFonts w:ascii="Calibri" w:hAnsi="Calibri" w:eastAsia="华文新魏"/>
      <w:sz w:val="44"/>
      <w:szCs w:val="24"/>
    </w:rPr>
  </w:style>
  <w:style w:type="paragraph" w:styleId="2179" w:customStyle="1">
    <w:name w:val="xl168"/>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0" w:customStyle="1">
    <w:name w:val="封面标准代替信息"/>
    <w:basedOn w:val="1804"/>
    <w:qFormat/>
    <w:pPr>
      <w:spacing w:before="57"/>
      <w:framePr w:wrap="around"/>
    </w:pPr>
    <w:rPr>
      <w:rFonts w:ascii="宋体"/>
      <w:sz w:val="21"/>
    </w:rPr>
  </w:style>
  <w:style w:type="paragraph" w:styleId="2181" w:customStyle="1">
    <w:name w:val="xl245"/>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2" w:customStyle="1">
    <w:name w:val="DT T-Body"/>
    <w:qFormat/>
    <w:pPr>
      <w:spacing w:before="60" w:after="60" w:line="300" w:lineRule="auto"/>
    </w:pPr>
    <w:rPr>
      <w:rFonts w:ascii="Trebuchet MS" w:hAnsi="Trebuchet MS"/>
      <w:szCs w:val="18"/>
      <w:lang w:val="en-GB" w:eastAsia="en-US"/>
    </w:rPr>
  </w:style>
  <w:style w:type="paragraph" w:styleId="2183" w:customStyle="1">
    <w:name w:val="xl254"/>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4" w:customStyle="1">
    <w:name w:val="xl181"/>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5" w:customStyle="1">
    <w:name w:val="xl290"/>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86" w:customStyle="1">
    <w:name w:val="样式 小四 首行缩进:  0.74 厘米"/>
    <w:basedOn w:val="919"/>
    <w:qFormat/>
    <w:pPr>
      <w:ind w:firstLine="420"/>
      <w:spacing w:line="360" w:lineRule="auto"/>
    </w:pPr>
    <w:rPr>
      <w:rFonts w:cs="宋体"/>
      <w:sz w:val="24"/>
      <w:szCs w:val="20"/>
    </w:rPr>
  </w:style>
  <w:style w:type="paragraph" w:styleId="2187" w:customStyle="1">
    <w:name w:val="正文文本缩进 22"/>
    <w:basedOn w:val="919"/>
    <w:qFormat/>
    <w:pPr>
      <w:ind w:firstLine="560"/>
      <w:spacing w:line="520" w:lineRule="exact"/>
    </w:pPr>
    <w:rPr>
      <w:rFonts w:ascii="楷体_GB2312" w:eastAsia="楷体_GB2312"/>
      <w:sz w:val="28"/>
      <w:szCs w:val="28"/>
    </w:rPr>
  </w:style>
  <w:style w:type="paragraph" w:styleId="2188" w:customStyle="1">
    <w:name w:val="xl260"/>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89" w:customStyle="1">
    <w:name w:val="正文文本缩进 31"/>
    <w:basedOn w:val="919"/>
    <w:qFormat/>
    <w:pPr>
      <w:ind w:left="520" w:firstLine="425"/>
      <w:jc w:val="center"/>
    </w:pPr>
    <w:rPr>
      <w:rFonts w:ascii="宋体" w:hAnsi="Arial"/>
      <w:sz w:val="36"/>
      <w:szCs w:val="20"/>
    </w:rPr>
  </w:style>
  <w:style w:type="paragraph" w:styleId="2190" w:customStyle="1">
    <w:name w:val="DLP正文"/>
    <w:basedOn w:val="919"/>
    <w:qFormat/>
    <w:pPr>
      <w:ind w:firstLine="473"/>
    </w:pPr>
    <w:rPr>
      <w:rFonts w:hAnsi="宋体"/>
      <w:szCs w:val="22"/>
    </w:rPr>
  </w:style>
  <w:style w:type="paragraph" w:styleId="2191" w:customStyle="1">
    <w:name w:val="xl142"/>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2" w:customStyle="1">
    <w:name w:val="xl149"/>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3" w:customStyle="1">
    <w:name w:val="封面一致性程度标识"/>
    <w:qFormat/>
    <w:pPr>
      <w:jc w:val="center"/>
      <w:spacing w:before="440" w:line="400" w:lineRule="exact"/>
    </w:pPr>
    <w:rPr>
      <w:rFonts w:ascii="宋体"/>
      <w:sz w:val="28"/>
    </w:rPr>
  </w:style>
  <w:style w:type="paragraph" w:styleId="2194" w:customStyle="1">
    <w:name w:val="xl294"/>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5" w:customStyle="1">
    <w:name w:val="xl250"/>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96" w:customStyle="1">
    <w:name w:val="正文图标题"/>
    <w:next w:val="1246"/>
    <w:qFormat/>
    <w:pPr>
      <w:jc w:val="center"/>
    </w:pPr>
    <w:rPr>
      <w:rFonts w:ascii="黑体" w:eastAsia="黑体"/>
      <w:sz w:val="21"/>
    </w:rPr>
  </w:style>
  <w:style w:type="paragraph" w:styleId="2197" w:customStyle="1">
    <w:name w:val="文本块1"/>
    <w:basedOn w:val="919"/>
    <w:qFormat/>
    <w:pPr>
      <w:ind w:left="630" w:right="630"/>
      <w:jc w:val="center"/>
    </w:pPr>
    <w:rPr>
      <w:rFonts w:ascii="宋体"/>
      <w:b/>
      <w:sz w:val="32"/>
    </w:rPr>
  </w:style>
  <w:style w:type="paragraph" w:styleId="2198" w:customStyle="1">
    <w:name w:val="xl277"/>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99" w:customStyle="1">
    <w:name w:val="xl263"/>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00" w:customStyle="1">
    <w:name w:val="xl243"/>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1" w:customStyle="1">
    <w:name w:val="xl229"/>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2" w:customStyle="1">
    <w:name w:val="_Style 2"/>
    <w:basedOn w:val="919"/>
    <w:uiPriority w:val="34"/>
    <w:qFormat/>
    <w:pPr>
      <w:ind w:firstLine="420"/>
    </w:pPr>
    <w:rPr>
      <w:rFonts w:ascii="Calibri" w:hAnsi="Calibri"/>
      <w:szCs w:val="22"/>
    </w:rPr>
  </w:style>
  <w:style w:type="paragraph" w:styleId="2203" w:customStyle="1">
    <w:name w:val="xl318"/>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4" w:customStyle="1">
    <w:name w:val="li_正文"/>
    <w:basedOn w:val="919"/>
    <w:qFormat/>
    <w:pPr>
      <w:ind w:firstLine="560"/>
      <w:spacing w:line="360" w:lineRule="auto"/>
    </w:pPr>
    <w:rPr>
      <w:rFonts w:ascii="仿宋_GB2312" w:eastAsia="仿宋_GB2312"/>
      <w:sz w:val="28"/>
      <w:szCs w:val="28"/>
    </w:rPr>
  </w:style>
  <w:style w:type="paragraph" w:styleId="2205" w:customStyle="1">
    <w:name w:val="xl209"/>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6" w:customStyle="1">
    <w:name w:val="xl274"/>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7" w:customStyle="1">
    <w:name w:val="xl272"/>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8" w:customStyle="1">
    <w:name w:val="附录表标题"/>
    <w:next w:val="1246"/>
    <w:qFormat/>
    <w:pPr>
      <w:jc w:val="center"/>
    </w:pPr>
    <w:rPr>
      <w:rFonts w:ascii="黑体" w:eastAsia="黑体"/>
      <w:sz w:val="21"/>
    </w:rPr>
  </w:style>
  <w:style w:type="paragraph" w:styleId="2209" w:customStyle="1">
    <w:name w:val="xl148"/>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0" w:customStyle="1">
    <w:name w:val="xl155"/>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1" w:customStyle="1">
    <w:name w:val="xl210"/>
    <w:basedOn w:val="919"/>
    <w:qFormat/>
    <w:pPr>
      <w:jc w:val="left"/>
      <w:spacing w:before="100" w:beforeAutospacing="1" w:after="100" w:afterAutospacing="1"/>
      <w:shd w:val="clear" w:color="000000" w:fill="ffffff"/>
      <w:widowControl/>
    </w:pPr>
    <w:rPr>
      <w:rFonts w:ascii="Arial" w:hAnsi="Arial" w:cs="Arial"/>
      <w:sz w:val="20"/>
      <w:szCs w:val="20"/>
    </w:rPr>
  </w:style>
  <w:style w:type="paragraph" w:styleId="2212" w:customStyle="1">
    <w:name w:val="正文缩进1"/>
    <w:basedOn w:val="919"/>
    <w:qFormat/>
    <w:pPr>
      <w:ind w:firstLine="420"/>
    </w:pPr>
    <w:rPr>
      <w:szCs w:val="20"/>
    </w:rPr>
  </w:style>
  <w:style w:type="paragraph" w:styleId="2213" w:customStyle="1">
    <w:name w:val="xl278"/>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14" w:customStyle="1">
    <w:name w:val="TOC 标题12"/>
    <w:basedOn w:val="920"/>
    <w:next w:val="91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15" w:customStyle="1">
    <w:name w:val="xl143"/>
    <w:basedOn w:val="91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6" w:customStyle="1">
    <w:name w:val="xl314"/>
    <w:basedOn w:val="91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217" w:customStyle="1">
    <w:name w:val="Char Char Char"/>
    <w:basedOn w:val="919"/>
    <w:qFormat/>
    <w:pPr>
      <w:ind w:hanging="425"/>
      <w:keepNext/>
      <w:spacing w:before="80" w:after="80"/>
      <w:widowControl/>
      <w:tabs>
        <w:tab w:val="left" w:pos="425" w:leader="none"/>
      </w:tabs>
    </w:pPr>
    <w:rPr>
      <w:rFonts w:ascii="Arial" w:hAnsi="Arial" w:cs="Arial"/>
      <w:sz w:val="20"/>
      <w:szCs w:val="20"/>
    </w:rPr>
  </w:style>
  <w:style w:type="paragraph" w:styleId="2218" w:customStyle="1">
    <w:name w:val="xl230"/>
    <w:basedOn w:val="91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9" w:customStyle="1">
    <w:name w:val="四号正文"/>
    <w:basedOn w:val="919"/>
    <w:qFormat/>
    <w:pPr>
      <w:ind w:firstLine="560"/>
      <w:spacing w:line="360" w:lineRule="auto"/>
    </w:pPr>
    <w:rPr>
      <w:sz w:val="28"/>
      <w:szCs w:val="28"/>
    </w:rPr>
  </w:style>
  <w:style w:type="paragraph" w:styleId="2220" w:customStyle="1">
    <w:name w:val="标题1"/>
    <w:basedOn w:val="919"/>
    <w:next w:val="91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21" w:customStyle="1">
    <w:name w:val="五号字体"/>
    <w:basedOn w:val="919"/>
    <w:qFormat/>
    <w:pPr>
      <w:jc w:val="center"/>
    </w:pPr>
  </w:style>
  <w:style w:type="paragraph" w:styleId="2222" w:customStyle="1">
    <w:name w:val="字母编号列项（一级）"/>
    <w:qFormat/>
    <w:pPr>
      <w:ind w:left="840" w:hanging="420"/>
      <w:jc w:val="both"/>
    </w:pPr>
    <w:rPr>
      <w:rFonts w:ascii="宋体"/>
      <w:sz w:val="21"/>
    </w:rPr>
  </w:style>
  <w:style w:type="paragraph" w:styleId="2223" w:customStyle="1">
    <w:name w:val="msonormal"/>
    <w:basedOn w:val="919"/>
    <w:qFormat/>
    <w:pPr>
      <w:jc w:val="left"/>
      <w:spacing w:before="100" w:beforeAutospacing="1" w:after="100" w:afterAutospacing="1" w:line="360" w:lineRule="auto"/>
      <w:widowControl/>
    </w:pPr>
    <w:rPr>
      <w:rFonts w:ascii="宋体" w:hAnsi="宋体" w:cs="宋体"/>
      <w:sz w:val="24"/>
    </w:rPr>
  </w:style>
  <w:style w:type="paragraph" w:styleId="2224" w:customStyle="1">
    <w:name w:val="简单回函地址"/>
    <w:basedOn w:val="919"/>
    <w:qFormat/>
    <w:pPr>
      <w:tabs>
        <w:tab w:val="left" w:pos="1140" w:leader="none"/>
      </w:tabs>
    </w:pPr>
  </w:style>
  <w:style w:type="paragraph" w:styleId="2225" w:customStyle="1">
    <w:name w:val="TOC 标题111"/>
    <w:basedOn w:val="920"/>
    <w:next w:val="91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26" w:customStyle="1">
    <w:name w:val="Char Char111"/>
    <w:basedOn w:val="919"/>
    <w:uiPriority w:val="99"/>
    <w:semiHidden/>
    <w:qFormat/>
    <w:pPr>
      <w:jc w:val="left"/>
      <w:spacing w:after="160" w:line="240" w:lineRule="exact"/>
      <w:widowControl/>
    </w:pPr>
    <w:rPr>
      <w:rFonts w:ascii="Verdana" w:hAnsi="Verdana"/>
      <w:sz w:val="20"/>
      <w:lang w:eastAsia="en-US"/>
    </w:rPr>
  </w:style>
  <w:style w:type="paragraph" w:styleId="2227" w:customStyle="1">
    <w:name w:val="TOC 71"/>
    <w:basedOn w:val="919"/>
    <w:next w:val="919"/>
    <w:uiPriority w:val="39"/>
    <w:qFormat/>
    <w:pPr>
      <w:ind w:left="2520"/>
    </w:pPr>
    <w:rPr>
      <w:rFonts w:ascii="Calibri" w:hAnsi="Calibri"/>
      <w:szCs w:val="22"/>
    </w:rPr>
  </w:style>
  <w:style w:type="paragraph" w:styleId="2228" w:customStyle="1">
    <w:name w:val="paragraphindent"/>
    <w:basedOn w:val="919"/>
    <w:qFormat/>
    <w:pPr>
      <w:ind w:firstLine="480"/>
      <w:jc w:val="left"/>
      <w:spacing w:before="100" w:beforeAutospacing="1" w:after="100" w:afterAutospacing="1"/>
      <w:widowControl/>
    </w:pPr>
    <w:rPr>
      <w:rFonts w:ascii="宋体" w:hAnsi="宋体" w:cs="宋体"/>
      <w:sz w:val="24"/>
    </w:rPr>
  </w:style>
  <w:style w:type="paragraph" w:styleId="2229" w:customStyle="1">
    <w:name w:val="助手文本"/>
    <w:basedOn w:val="919"/>
    <w:qFormat/>
    <w:pPr>
      <w:ind w:left="14" w:firstLine="434"/>
      <w:spacing w:line="360" w:lineRule="auto"/>
    </w:pPr>
    <w:rPr>
      <w:rFonts w:ascii="楷体_GB2312" w:eastAsia="楷体_GB2312"/>
      <w:sz w:val="24"/>
      <w:szCs w:val="20"/>
      <w:u w:val="single"/>
    </w:rPr>
  </w:style>
  <w:style w:type="paragraph" w:styleId="2230" w:customStyle="1">
    <w:name w:val="正文无缩进"/>
    <w:basedOn w:val="919"/>
    <w:qFormat/>
    <w:pPr>
      <w:jc w:val="center"/>
      <w:spacing w:line="300" w:lineRule="auto"/>
    </w:pPr>
    <w:rPr>
      <w:rFonts w:ascii="宋体" w:hAnsi="宋体"/>
      <w:sz w:val="24"/>
    </w:rPr>
  </w:style>
  <w:style w:type="paragraph" w:styleId="2231" w:customStyle="1">
    <w:name w:val="Char Char1 Char Char Char Char Char Char"/>
    <w:basedOn w:val="919"/>
    <w:qFormat/>
    <w:pPr>
      <w:jc w:val="left"/>
      <w:spacing w:after="160" w:line="240" w:lineRule="exact"/>
      <w:widowControl/>
    </w:pPr>
    <w:rPr>
      <w:rFonts w:ascii="Verdana" w:hAnsi="Verdana" w:eastAsia="仿宋_GB2312"/>
      <w:sz w:val="24"/>
      <w:szCs w:val="20"/>
      <w:lang w:eastAsia="en-US"/>
    </w:rPr>
  </w:style>
  <w:style w:type="paragraph" w:styleId="2232" w:customStyle="1">
    <w:name w:val="È±Ê¡ÎÄ±¾"/>
    <w:basedOn w:val="919"/>
    <w:qFormat/>
    <w:pPr>
      <w:jc w:val="left"/>
      <w:widowControl/>
    </w:pPr>
    <w:rPr>
      <w:sz w:val="24"/>
      <w:szCs w:val="20"/>
    </w:rPr>
  </w:style>
  <w:style w:type="paragraph" w:styleId="2233" w:customStyle="1">
    <w:name w:val="14_black"/>
    <w:basedOn w:val="919"/>
    <w:qFormat/>
    <w:pPr>
      <w:jc w:val="left"/>
      <w:spacing w:before="100" w:beforeAutospacing="1" w:after="100" w:afterAutospacing="1"/>
      <w:widowControl/>
    </w:pPr>
    <w:rPr>
      <w:rFonts w:ascii="宋体" w:hAnsi="宋体" w:cs="宋体"/>
      <w:color w:val="000000"/>
      <w:sz w:val="23"/>
      <w:szCs w:val="23"/>
    </w:rPr>
  </w:style>
  <w:style w:type="paragraph" w:styleId="2234" w:customStyle="1">
    <w:name w:val="Char Char Char Char"/>
    <w:basedOn w:val="1094"/>
    <w:qFormat/>
    <w:pPr>
      <w:ind w:firstLine="454"/>
      <w:jc w:val="left"/>
      <w:shd w:val="clear" w:color="auto" w:fill="000080"/>
      <w:widowControl/>
    </w:pPr>
    <w:rPr>
      <w:rFonts w:ascii="Tahoma" w:hAnsi="Tahoma" w:cs="宋体"/>
      <w:sz w:val="21"/>
      <w:szCs w:val="20"/>
    </w:rPr>
  </w:style>
  <w:style w:type="paragraph" w:styleId="2235" w:customStyle="1">
    <w:name w:val="封面标准文稿编辑信息"/>
    <w:qFormat/>
    <w:pPr>
      <w:jc w:val="center"/>
      <w:spacing w:before="180" w:line="180" w:lineRule="exact"/>
    </w:pPr>
    <w:rPr>
      <w:rFonts w:ascii="宋体"/>
      <w:sz w:val="21"/>
    </w:rPr>
  </w:style>
  <w:style w:type="paragraph" w:styleId="2236" w:customStyle="1">
    <w:name w:val="目次、索引正文"/>
    <w:qFormat/>
    <w:pPr>
      <w:jc w:val="both"/>
      <w:spacing w:line="320" w:lineRule="exact"/>
    </w:pPr>
    <w:rPr>
      <w:rFonts w:ascii="宋体"/>
      <w:sz w:val="21"/>
    </w:rPr>
  </w:style>
  <w:style w:type="paragraph" w:styleId="2237" w:customStyle="1">
    <w:name w:val="其他标准称谓"/>
    <w:qFormat/>
    <w:pPr>
      <w:jc w:val="both"/>
      <w:spacing w:line="0" w:lineRule="atLeast"/>
    </w:pPr>
    <w:rPr>
      <w:rFonts w:ascii="黑体" w:hAnsi="宋体" w:eastAsia="黑体"/>
      <w:sz w:val="52"/>
    </w:rPr>
  </w:style>
  <w:style w:type="paragraph" w:styleId="2238" w:customStyle="1">
    <w:name w:val="四级无标题条"/>
    <w:basedOn w:val="919"/>
    <w:qFormat/>
    <w:pPr>
      <w:ind w:left="2520" w:hanging="420"/>
    </w:pPr>
  </w:style>
  <w:style w:type="paragraph" w:styleId="2239" w:customStyle="1">
    <w:name w:val="五级无标题条"/>
    <w:basedOn w:val="919"/>
    <w:qFormat/>
    <w:pPr>
      <w:ind w:left="2940" w:hanging="420"/>
    </w:pPr>
  </w:style>
  <w:style w:type="paragraph" w:styleId="2240" w:customStyle="1">
    <w:name w:val="正文表标题"/>
    <w:next w:val="1246"/>
    <w:qFormat/>
    <w:pPr>
      <w:ind w:left="1740" w:hanging="420"/>
      <w:jc w:val="center"/>
    </w:pPr>
    <w:rPr>
      <w:rFonts w:ascii="黑体" w:eastAsia="黑体"/>
      <w:sz w:val="21"/>
    </w:rPr>
  </w:style>
  <w:style w:type="paragraph" w:styleId="2241" w:customStyle="1">
    <w:name w:val="我的图片"/>
    <w:basedOn w:val="919"/>
    <w:next w:val="1541"/>
    <w:qFormat/>
    <w:pPr>
      <w:jc w:val="center"/>
      <w:spacing w:line="360" w:lineRule="auto"/>
      <w:widowControl/>
    </w:pPr>
    <w:rPr>
      <w:rFonts w:ascii="Arial" w:hAnsi="Arial" w:eastAsia="楷体_GB2312"/>
      <w:sz w:val="24"/>
    </w:rPr>
  </w:style>
  <w:style w:type="paragraph" w:styleId="2242" w:customStyle="1">
    <w:name w:val="1 Char Char Char Char"/>
    <w:basedOn w:val="919"/>
    <w:qFormat/>
    <w:rPr>
      <w:rFonts w:ascii="Tahoma" w:hAnsi="Tahoma"/>
      <w:sz w:val="24"/>
      <w:szCs w:val="20"/>
    </w:rPr>
  </w:style>
  <w:style w:type="paragraph" w:styleId="2243" w:customStyle="1">
    <w:name w:val="NAP Normal"/>
    <w:basedOn w:val="919"/>
    <w:qFormat/>
    <w:pPr>
      <w:spacing w:line="240" w:lineRule="exact"/>
    </w:pPr>
    <w:rPr>
      <w:sz w:val="22"/>
      <w:szCs w:val="20"/>
    </w:rPr>
  </w:style>
  <w:style w:type="paragraph" w:styleId="2244" w:customStyle="1">
    <w:name w:val="样式 标题 2第一章 标题 2Heading 2 HiddenHeading 2 CCBSH2h22nd level..."/>
    <w:basedOn w:val="921"/>
    <w:qFormat/>
    <w:pPr>
      <w:ind w:left="288" w:hanging="576"/>
      <w:spacing w:line="240" w:lineRule="auto"/>
      <w:tabs>
        <w:tab w:val="left" w:pos="0" w:leader="none"/>
        <w:tab w:val="left" w:pos="567" w:leader="none"/>
      </w:tabs>
    </w:pPr>
    <w:rPr>
      <w:rFonts w:ascii="Arial" w:eastAsia="黑体" w:cs="宋体"/>
      <w:bCs/>
      <w:sz w:val="36"/>
    </w:rPr>
  </w:style>
  <w:style w:type="paragraph" w:styleId="2245" w:customStyle="1">
    <w:name w:val="Char Char Char Char Char Char Char Char Char Char"/>
    <w:basedOn w:val="924"/>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46" w:customStyle="1">
    <w:name w:val="zn4"/>
    <w:basedOn w:val="1620"/>
    <w:next w:val="923"/>
    <w:qFormat/>
    <w:pPr>
      <w:ind w:left="851" w:hanging="851"/>
      <w:tabs>
        <w:tab w:val="clear" w:pos="780" w:leader="none"/>
        <w:tab w:val="clear" w:pos="1069" w:leader="none"/>
        <w:tab w:val="left" w:pos="1080" w:leader="none"/>
      </w:tabs>
      <w:outlineLvl w:val="3"/>
    </w:pPr>
    <w:rPr>
      <w:lang w:val="zh-CN"/>
    </w:rPr>
  </w:style>
  <w:style w:type="paragraph" w:styleId="2247" w:customStyle="1">
    <w:name w:val="图表"/>
    <w:basedOn w:val="919"/>
    <w:uiPriority w:val="99"/>
    <w:qFormat/>
    <w:pPr>
      <w:ind w:firstLine="200"/>
      <w:jc w:val="center"/>
      <w:spacing w:line="360" w:lineRule="auto"/>
    </w:pPr>
    <w:rPr>
      <w:rFonts w:ascii="方正仿宋_GBK" w:hAnsi="方正仿宋_GBK" w:eastAsia="方正仿宋_GBK"/>
      <w:sz w:val="32"/>
      <w:szCs w:val="22"/>
    </w:rPr>
  </w:style>
  <w:style w:type="paragraph" w:styleId="2248" w:customStyle="1">
    <w:name w:val="图释"/>
    <w:basedOn w:val="919"/>
    <w:uiPriority w:val="99"/>
    <w:qFormat/>
    <w:pPr>
      <w:ind w:firstLine="200"/>
      <w:jc w:val="center"/>
      <w:spacing w:line="560" w:lineRule="exact"/>
    </w:pPr>
    <w:rPr>
      <w:rFonts w:ascii="方正仿宋_GBK" w:hAnsi="方正仿宋_GBK" w:eastAsia="方正楷体_GBK"/>
      <w:sz w:val="28"/>
      <w:szCs w:val="22"/>
    </w:rPr>
  </w:style>
  <w:style w:type="paragraph" w:styleId="2249" w:customStyle="1">
    <w:name w:val="修订1"/>
    <w:uiPriority w:val="99"/>
    <w:semiHidden/>
    <w:qFormat/>
    <w:rPr>
      <w:rFonts w:eastAsia="仿宋"/>
      <w:sz w:val="28"/>
      <w:szCs w:val="24"/>
    </w:rPr>
  </w:style>
  <w:style w:type="paragraph" w:styleId="2250" w:customStyle="1">
    <w:name w:val="五号正文项目（标准）"/>
    <w:basedOn w:val="919"/>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51" w:customStyle="1">
    <w:name w:val="序列1"/>
    <w:basedOn w:val="919"/>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52" w:customStyle="1">
    <w:name w:val="标题8"/>
    <w:basedOn w:val="925"/>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53" w:customStyle="1">
    <w:name w:val="wx正文+标号"/>
    <w:basedOn w:val="919"/>
    <w:semiHidden/>
    <w:qFormat/>
    <w:pPr>
      <w:ind w:left="510" w:hanging="340"/>
      <w:spacing w:line="360" w:lineRule="auto"/>
      <w:tabs>
        <w:tab w:val="left" w:pos="510" w:leader="none"/>
      </w:tabs>
    </w:pPr>
    <w:rPr>
      <w:rFonts w:cs="宋体"/>
      <w:sz w:val="24"/>
      <w:szCs w:val="20"/>
    </w:rPr>
  </w:style>
  <w:style w:type="paragraph" w:styleId="2254" w:customStyle="1">
    <w:name w:val="text-center"/>
    <w:basedOn w:val="919"/>
    <w:qFormat/>
    <w:pPr>
      <w:jc w:val="center"/>
      <w:spacing w:after="150"/>
      <w:widowControl/>
    </w:pPr>
    <w:rPr>
      <w:rFonts w:ascii="宋体" w:hAnsi="宋体" w:cs="宋体"/>
      <w:sz w:val="24"/>
    </w:rPr>
  </w:style>
  <w:style w:type="paragraph" w:styleId="2255" w:customStyle="1">
    <w:name w:val="faqa"/>
    <w:basedOn w:val="919"/>
    <w:qFormat/>
    <w:pPr>
      <w:jc w:val="left"/>
      <w:spacing w:after="150"/>
      <w:widowControl/>
    </w:pPr>
    <w:rPr>
      <w:rFonts w:ascii="微软雅黑" w:hAnsi="微软雅黑" w:eastAsia="微软雅黑" w:cs="宋体"/>
      <w:b/>
      <w:bCs/>
      <w:sz w:val="27"/>
      <w:szCs w:val="27"/>
    </w:rPr>
  </w:style>
  <w:style w:type="paragraph" w:styleId="2256" w:customStyle="1">
    <w:name w:val="样式 标题 55l4H5h5Second Subheading + 段前: 0.5 行 段后: 0.5 行 行距:..."/>
    <w:basedOn w:val="924"/>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57" w:customStyle="1">
    <w:name w:val="Test2"/>
    <w:basedOn w:val="921"/>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paragraph" w:styleId="2258" w:customStyle="1">
    <w:name w:val="正文编号项"/>
    <w:basedOn w:val="110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59" w:customStyle="1">
    <w:name w:val="正文文本2"/>
    <w:basedOn w:val="919"/>
    <w:uiPriority w:val="99"/>
    <w:qFormat/>
    <w:pPr>
      <w:jc w:val="left"/>
      <w:spacing w:after="120" w:line="288" w:lineRule="auto"/>
      <w:widowControl/>
    </w:pPr>
    <w:rPr>
      <w:rFonts w:ascii="Verdana" w:hAnsi="Verdana"/>
      <w:sz w:val="24"/>
      <w:szCs w:val="20"/>
      <w:lang w:eastAsia="en-US"/>
    </w:rPr>
  </w:style>
  <w:style w:type="paragraph" w:styleId="2260" w:customStyle="1">
    <w:name w:val="Char21"/>
    <w:basedOn w:val="919"/>
    <w:qFormat/>
    <w:rPr>
      <w:rFonts w:ascii="仿宋_GB2312" w:eastAsia="仿宋_GB2312"/>
      <w:b/>
      <w:sz w:val="32"/>
      <w:szCs w:val="32"/>
    </w:rPr>
  </w:style>
  <w:style w:type="paragraph" w:styleId="2261" w:customStyle="1">
    <w:name w:val="Char1 Char Char Char21"/>
    <w:basedOn w:val="919"/>
    <w:qFormat/>
    <w:rPr>
      <w:rFonts w:ascii="Tahoma" w:hAnsi="Tahoma"/>
      <w:sz w:val="24"/>
      <w:szCs w:val="20"/>
    </w:rPr>
  </w:style>
  <w:style w:type="paragraph" w:styleId="2262" w:customStyle="1">
    <w:name w:val="Char Char12"/>
    <w:basedOn w:val="919"/>
    <w:qFormat/>
    <w:pPr>
      <w:jc w:val="left"/>
      <w:spacing w:after="160" w:line="240" w:lineRule="exact"/>
      <w:widowControl/>
    </w:pPr>
    <w:rPr>
      <w:rFonts w:ascii="Verdana" w:hAnsi="Verdana"/>
      <w:sz w:val="20"/>
      <w:lang w:eastAsia="en-US"/>
    </w:rPr>
  </w:style>
  <w:style w:type="paragraph" w:styleId="2263" w:customStyle="1">
    <w:name w:val="Normal (Web)1"/>
    <w:basedOn w:val="919"/>
    <w:qFormat/>
    <w:pPr>
      <w:jc w:val="left"/>
      <w:spacing w:before="100" w:beforeAutospacing="1" w:after="100" w:afterAutospacing="1"/>
      <w:widowControl/>
    </w:pPr>
    <w:rPr>
      <w:rFonts w:ascii="宋体" w:hAnsi="宋体" w:cs="宋体"/>
      <w:sz w:val="24"/>
    </w:rPr>
  </w:style>
  <w:style w:type="paragraph" w:styleId="2264" w:customStyle="1">
    <w:name w:val="_Style 171"/>
    <w:basedOn w:val="919"/>
    <w:next w:val="919"/>
    <w:qFormat/>
    <w:pPr>
      <w:ind w:firstLine="560"/>
      <w:spacing w:line="500" w:lineRule="exact"/>
    </w:pPr>
    <w:rPr>
      <w:rFonts w:ascii="Cambria" w:hAnsi="Cambria" w:eastAsia="仿宋"/>
      <w:color w:val="000000"/>
      <w:sz w:val="28"/>
      <w:szCs w:val="20"/>
    </w:rPr>
  </w:style>
  <w:style w:type="paragraph" w:styleId="2265" w:customStyle="1">
    <w:name w:val="中等深浅底纹 1 - 着色 11"/>
    <w:next w:val="2266"/>
    <w:qFormat/>
    <w:pPr>
      <w:widowControl w:val="off"/>
    </w:pPr>
    <w:rPr>
      <w:rFonts w:ascii="宋体" w:hAnsi="Calibri"/>
      <w:sz w:val="21"/>
      <w:szCs w:val="22"/>
    </w:rPr>
  </w:style>
  <w:style w:type="paragraph" w:styleId="2266" w:customStyle="1">
    <w:name w:val="D表"/>
    <w:basedOn w:val="919"/>
    <w:next w:val="1094"/>
    <w:qFormat/>
    <w:pPr>
      <w:ind w:hanging="2"/>
      <w:spacing w:line="500" w:lineRule="exact"/>
    </w:pPr>
    <w:rPr>
      <w:rFonts w:ascii="Calibri" w:hAnsi="Calibri" w:eastAsia="仿宋"/>
      <w:sz w:val="18"/>
      <w:szCs w:val="18"/>
    </w:rPr>
  </w:style>
  <w:style w:type="paragraph" w:styleId="2267" w:customStyle="1">
    <w:name w:val="金宏发行正文 Char Char"/>
    <w:basedOn w:val="919"/>
    <w:next w:val="2238"/>
    <w:qFormat/>
    <w:pPr>
      <w:ind w:firstLine="560"/>
      <w:spacing w:line="500" w:lineRule="exact"/>
    </w:pPr>
    <w:rPr>
      <w:rFonts w:ascii="Calibri" w:hAnsi="Calibri" w:eastAsia="仿宋_GB2312" w:cs="宋体"/>
      <w:sz w:val="28"/>
      <w:szCs w:val="20"/>
    </w:rPr>
  </w:style>
  <w:style w:type="paragraph" w:styleId="2268" w:customStyle="1">
    <w:name w:val="Char1 Char Char Char2"/>
    <w:basedOn w:val="919"/>
    <w:qFormat/>
    <w:pPr>
      <w:ind w:firstLine="560"/>
      <w:spacing w:line="500" w:lineRule="exact"/>
    </w:pPr>
    <w:rPr>
      <w:rFonts w:ascii="Tahoma" w:hAnsi="Tahoma" w:eastAsia="仿宋"/>
      <w:sz w:val="28"/>
      <w:szCs w:val="20"/>
    </w:rPr>
  </w:style>
  <w:style w:type="paragraph" w:styleId="2269" w:customStyle="1">
    <w:name w:val="Char Char Char Char2"/>
    <w:basedOn w:val="919"/>
    <w:qFormat/>
    <w:pPr>
      <w:ind w:firstLine="560"/>
      <w:spacing w:line="500" w:lineRule="exact"/>
    </w:pPr>
    <w:rPr>
      <w:rFonts w:ascii="Calibri" w:hAnsi="Calibri" w:eastAsia="仿宋"/>
      <w:sz w:val="28"/>
    </w:rPr>
  </w:style>
  <w:style w:type="paragraph" w:styleId="2270" w:customStyle="1">
    <w:name w:val="Heading"/>
    <w:basedOn w:val="919"/>
    <w:next w:val="110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71" w:customStyle="1">
    <w:name w:val="Char Char Char Char1"/>
    <w:basedOn w:val="919"/>
    <w:qFormat/>
    <w:pPr>
      <w:ind w:firstLine="560"/>
      <w:spacing w:line="500" w:lineRule="exact"/>
    </w:pPr>
    <w:rPr>
      <w:rFonts w:ascii="Calibri" w:hAnsi="Calibri" w:eastAsia="仿宋"/>
      <w:sz w:val="28"/>
    </w:rPr>
  </w:style>
  <w:style w:type="paragraph" w:styleId="2272" w:customStyle="1">
    <w:name w:val="Char Char Char Char Char Char Char Char Char Char Char Char Char Char Char Char Char Char Char Char"/>
    <w:basedOn w:val="919"/>
    <w:next w:val="919"/>
    <w:qFormat/>
    <w:pPr>
      <w:ind w:left="420" w:hanging="420"/>
      <w:spacing w:line="360" w:lineRule="auto"/>
      <w:tabs>
        <w:tab w:val="left" w:pos="851" w:leader="none"/>
      </w:tabs>
    </w:pPr>
    <w:rPr>
      <w:rFonts w:ascii="Calibri" w:hAnsi="Calibri" w:eastAsia="仿宋"/>
      <w:sz w:val="28"/>
    </w:rPr>
  </w:style>
  <w:style w:type="paragraph" w:styleId="2273" w:customStyle="1">
    <w:name w:val="中等深浅网格 1 - 着色 21"/>
    <w:basedOn w:val="919"/>
    <w:uiPriority w:val="34"/>
    <w:qFormat/>
    <w:pPr>
      <w:ind w:firstLine="420"/>
    </w:pPr>
    <w:rPr>
      <w:rFonts w:ascii="Calibri" w:hAnsi="Calibri" w:eastAsia="仿宋"/>
      <w:sz w:val="28"/>
      <w:szCs w:val="22"/>
    </w:rPr>
  </w:style>
  <w:style w:type="paragraph" w:styleId="2274" w:customStyle="1">
    <w:name w:val="注意事项"/>
    <w:basedOn w:val="919"/>
    <w:qFormat/>
    <w:pPr>
      <w:ind w:firstLine="200"/>
      <w:spacing w:before="60" w:after="60" w:line="360" w:lineRule="auto"/>
    </w:pPr>
    <w:rPr>
      <w:rFonts w:ascii="仿宋" w:hAnsi="仿宋"/>
      <w:b/>
      <w:bCs/>
      <w:sz w:val="28"/>
      <w:lang w:eastAsia="ar-SA"/>
    </w:rPr>
  </w:style>
  <w:style w:type="paragraph" w:styleId="2275" w:customStyle="1">
    <w:name w:val="正常"/>
    <w:qFormat/>
    <w:pPr>
      <w:jc w:val="both"/>
      <w:widowControl w:val="off"/>
    </w:pPr>
    <w:rPr>
      <w:rFonts w:ascii="Calibri" w:hAnsi="Calibri"/>
      <w:sz w:val="21"/>
      <w:szCs w:val="22"/>
    </w:rPr>
  </w:style>
  <w:style w:type="paragraph" w:styleId="2276" w:customStyle="1">
    <w:name w:val="无编号标题"/>
    <w:basedOn w:val="919"/>
    <w:next w:val="1794"/>
    <w:qFormat/>
    <w:pPr>
      <w:ind w:firstLine="560"/>
      <w:jc w:val="center"/>
      <w:pageBreakBefore/>
      <w:spacing w:line="480" w:lineRule="auto"/>
      <w:suppressLineNumbers/>
    </w:pPr>
    <w:rPr>
      <w:rFonts w:ascii="宋体" w:hAnsi="宋体" w:eastAsia="仿宋"/>
      <w:b/>
      <w:sz w:val="36"/>
      <w:szCs w:val="44"/>
    </w:rPr>
  </w:style>
  <w:style w:type="paragraph" w:styleId="2277" w:customStyle="1">
    <w:name w:val="Bid_正文"/>
    <w:basedOn w:val="1085"/>
    <w:next w:val="2278"/>
    <w:qFormat/>
    <w:pPr>
      <w:ind w:firstLine="200"/>
      <w:jc w:val="left"/>
      <w:spacing w:line="590" w:lineRule="atLeast"/>
      <w:widowControl/>
    </w:pPr>
    <w:rPr>
      <w:rFonts w:ascii="方正仿宋_GBK" w:hAnsi="Calibri" w:eastAsia="仿宋"/>
      <w:spacing w:val="-25"/>
      <w:sz w:val="32"/>
      <w:szCs w:val="20"/>
    </w:rPr>
  </w:style>
  <w:style w:type="paragraph" w:styleId="2278" w:customStyle="1">
    <w:name w:val="p1"/>
    <w:basedOn w:val="919"/>
    <w:next w:val="1086"/>
    <w:qFormat/>
    <w:pPr>
      <w:ind w:firstLine="560"/>
      <w:jc w:val="left"/>
      <w:spacing w:line="500" w:lineRule="exact"/>
      <w:widowControl/>
    </w:pPr>
    <w:rPr>
      <w:rFonts w:ascii="Lucida Grande" w:hAnsi="Lucida Grande" w:eastAsia="仿宋" w:cs="Lucida Grande"/>
      <w:color w:val="000000"/>
      <w:sz w:val="20"/>
      <w:szCs w:val="20"/>
    </w:rPr>
  </w:style>
  <w:style w:type="paragraph" w:styleId="2279" w:customStyle="1">
    <w:name w:val="正文首行缩进 Char3"/>
    <w:basedOn w:val="919"/>
    <w:qFormat/>
    <w:pPr>
      <w:ind w:firstLine="560"/>
      <w:spacing w:line="500" w:lineRule="exact"/>
    </w:pPr>
    <w:rPr>
      <w:rFonts w:ascii="Calibri" w:hAnsi="Calibri" w:eastAsia="仿宋"/>
      <w:sz w:val="28"/>
      <w:szCs w:val="20"/>
    </w:rPr>
  </w:style>
  <w:style w:type="paragraph" w:styleId="2280" w:customStyle="1">
    <w:name w:val="表格内容"/>
    <w:basedOn w:val="919"/>
    <w:next w:val="2059"/>
    <w:qFormat/>
    <w:pPr>
      <w:ind w:firstLine="560"/>
      <w:jc w:val="left"/>
      <w:spacing w:line="360" w:lineRule="auto"/>
    </w:pPr>
    <w:rPr>
      <w:rFonts w:ascii="微软雅黑" w:hAnsi="微软雅黑" w:eastAsia="微软雅黑"/>
      <w:sz w:val="18"/>
      <w:lang w:val="en-GB"/>
    </w:rPr>
  </w:style>
  <w:style w:type="paragraph" w:styleId="2281" w:customStyle="1">
    <w:name w:val="文章正文"/>
    <w:basedOn w:val="919"/>
    <w:next w:val="2282"/>
    <w:qFormat/>
    <w:pPr>
      <w:ind w:firstLine="482"/>
      <w:spacing w:line="360" w:lineRule="auto"/>
    </w:pPr>
    <w:rPr>
      <w:rFonts w:ascii="Calibri" w:hAnsi="Calibri" w:eastAsia="仿宋"/>
    </w:rPr>
  </w:style>
  <w:style w:type="paragraph" w:styleId="2282" w:customStyle="1">
    <w:name w:val="我的图表标题"/>
    <w:basedOn w:val="919"/>
    <w:next w:val="1248"/>
    <w:qFormat/>
    <w:pPr>
      <w:ind w:firstLine="560"/>
      <w:jc w:val="center"/>
      <w:spacing w:line="360" w:lineRule="auto"/>
    </w:pPr>
    <w:rPr>
      <w:rFonts w:ascii="Cambria" w:hAnsi="Cambria" w:eastAsia="黑体" w:cs="宋体"/>
      <w:sz w:val="28"/>
      <w:szCs w:val="20"/>
    </w:rPr>
  </w:style>
  <w:style w:type="paragraph" w:styleId="2283" w:customStyle="1">
    <w:name w:val="11111"/>
    <w:basedOn w:val="919"/>
    <w:next w:val="2284"/>
    <w:qFormat/>
    <w:pPr>
      <w:ind w:firstLine="200"/>
      <w:spacing w:after="120" w:line="360" w:lineRule="auto"/>
    </w:pPr>
    <w:rPr>
      <w:rFonts w:ascii="宋体" w:hAnsi="Calibri" w:eastAsia="仿宋" w:cs="宋体"/>
      <w:color w:val="000000"/>
      <w:sz w:val="28"/>
      <w:lang w:val="zh-CN"/>
    </w:rPr>
  </w:style>
  <w:style w:type="paragraph" w:styleId="2284" w:customStyle="1">
    <w:name w:val="Char Char Char Char Char Char Char Char Char Char Char Char Char"/>
    <w:basedOn w:val="919"/>
    <w:next w:val="1085"/>
    <w:qFormat/>
    <w:pPr>
      <w:jc w:val="left"/>
      <w:spacing w:after="160" w:line="240" w:lineRule="exact"/>
      <w:widowControl/>
    </w:pPr>
    <w:rPr>
      <w:rFonts w:ascii="Verdana" w:hAnsi="Verdana" w:eastAsia="仿宋_GB2312"/>
      <w:sz w:val="28"/>
      <w:szCs w:val="20"/>
      <w:lang w:eastAsia="en-US"/>
    </w:rPr>
  </w:style>
  <w:style w:type="paragraph" w:styleId="2285" w:customStyle="1">
    <w:name w:val="标题 41"/>
    <w:basedOn w:val="922"/>
    <w:next w:val="110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86" w:customStyle="1">
    <w:name w:val="Char Char Char Char Char Char Char Char Char1 Char Char Char Char Char Char Char Char Char Char"/>
    <w:basedOn w:val="919"/>
    <w:next w:val="2287"/>
    <w:qFormat/>
    <w:pPr>
      <w:ind w:firstLine="560"/>
      <w:jc w:val="left"/>
      <w:spacing w:after="160" w:line="240" w:lineRule="exact"/>
      <w:widowControl/>
    </w:pPr>
    <w:rPr>
      <w:rFonts w:ascii="Verdana" w:hAnsi="Verdana" w:eastAsia="仿宋_GB2312"/>
      <w:sz w:val="28"/>
      <w:szCs w:val="20"/>
      <w:lang w:eastAsia="en-US"/>
    </w:rPr>
  </w:style>
  <w:style w:type="paragraph" w:styleId="2287" w:customStyle="1">
    <w:name w:val="样式3"/>
    <w:basedOn w:val="919"/>
    <w:qFormat/>
    <w:pPr>
      <w:ind w:firstLine="420"/>
      <w:spacing w:line="360" w:lineRule="auto"/>
      <w:tabs>
        <w:tab w:val="left" w:pos="695" w:leader="none"/>
      </w:tabs>
    </w:pPr>
    <w:rPr>
      <w:rFonts w:ascii="Calibri" w:hAnsi="Calibri" w:eastAsia="仿宋"/>
      <w:sz w:val="28"/>
    </w:rPr>
  </w:style>
  <w:style w:type="paragraph" w:styleId="2288" w:customStyle="1">
    <w:name w:val="正文Normal"/>
    <w:basedOn w:val="919"/>
    <w:next w:val="1160"/>
    <w:qFormat/>
    <w:pPr>
      <w:ind w:firstLine="480"/>
      <w:spacing w:after="120" w:line="360" w:lineRule="auto"/>
    </w:pPr>
    <w:rPr>
      <w:rFonts w:ascii="Arial" w:hAnsi="Arial" w:eastAsia="仿宋" w:cs="Arial"/>
      <w:sz w:val="28"/>
    </w:rPr>
  </w:style>
  <w:style w:type="paragraph" w:styleId="2289" w:customStyle="1">
    <w:name w:val="标准正文"/>
    <w:basedOn w:val="919"/>
    <w:next w:val="928"/>
    <w:qFormat/>
    <w:pPr>
      <w:ind w:firstLine="560"/>
      <w:spacing w:line="500" w:lineRule="exact"/>
    </w:pPr>
    <w:rPr>
      <w:rFonts w:ascii="Calibri" w:hAnsi="Calibri" w:eastAsia="仿宋"/>
      <w:sz w:val="28"/>
      <w:lang w:val="en-GB"/>
    </w:rPr>
  </w:style>
  <w:style w:type="paragraph" w:styleId="2290" w:customStyle="1">
    <w:name w:val="_Style 62"/>
    <w:next w:val="1128"/>
    <w:qFormat/>
    <w:pPr>
      <w:jc w:val="both"/>
      <w:widowControl w:val="off"/>
    </w:pPr>
    <w:rPr>
      <w:rFonts w:ascii="Calibri" w:hAnsi="Calibri"/>
      <w:sz w:val="21"/>
      <w:szCs w:val="22"/>
    </w:rPr>
  </w:style>
  <w:style w:type="paragraph" w:styleId="2291" w:customStyle="1">
    <w:name w:val="_Style 54"/>
    <w:next w:val="1707"/>
    <w:qFormat/>
    <w:rPr>
      <w:rFonts w:ascii="Calibri" w:hAnsi="Calibri"/>
      <w:sz w:val="24"/>
      <w:szCs w:val="24"/>
    </w:rPr>
  </w:style>
  <w:style w:type="paragraph" w:styleId="2292" w:customStyle="1">
    <w:name w:val="样式 标题 2 + 行距: 最小值 12 磅"/>
    <w:basedOn w:val="921"/>
    <w:next w:val="928"/>
    <w:qFormat/>
    <w:pPr>
      <w:ind w:left="1320" w:hanging="420"/>
      <w:jc w:val="left"/>
      <w:spacing w:before="0" w:after="0" w:line="240" w:lineRule="atLeast"/>
      <w:tabs>
        <w:tab w:val="left" w:pos="0" w:leader="none"/>
        <w:tab w:val="left" w:pos="840" w:leader="none"/>
      </w:tabs>
    </w:pPr>
    <w:rPr>
      <w:rFonts w:ascii="楷体" w:hAnsi="Calibri" w:cs="宋体"/>
      <w:bCs/>
      <w:color w:val="000000"/>
      <w:sz w:val="30"/>
      <w:szCs w:val="36"/>
    </w:rPr>
  </w:style>
  <w:style w:type="paragraph" w:styleId="2293" w:customStyle="1">
    <w:name w:val="ABC_正文"/>
    <w:basedOn w:val="919"/>
    <w:qFormat/>
    <w:pPr>
      <w:ind w:firstLine="200"/>
      <w:widowControl/>
    </w:pPr>
    <w:rPr>
      <w:rFonts w:ascii="Calibri" w:hAnsi="宋体" w:eastAsia="Times New Roman"/>
      <w:sz w:val="20"/>
      <w:szCs w:val="20"/>
    </w:rPr>
  </w:style>
  <w:style w:type="paragraph" w:styleId="2294" w:customStyle="1">
    <w:name w:val="InfoBlue"/>
    <w:basedOn w:val="919"/>
    <w:qFormat/>
    <w:pPr>
      <w:ind w:left="720" w:firstLine="560"/>
      <w:jc w:val="left"/>
      <w:spacing w:after="120" w:line="360" w:lineRule="auto"/>
    </w:pPr>
    <w:rPr>
      <w:rFonts w:ascii="Calibri" w:hAnsi="Calibri" w:eastAsia="仿宋"/>
      <w:color w:val="0000ff"/>
      <w:szCs w:val="20"/>
    </w:rPr>
  </w:style>
  <w:style w:type="paragraph" w:styleId="2295" w:customStyle="1">
    <w:name w:val="样式 标题 3"/>
    <w:basedOn w:val="922"/>
    <w:next w:val="1103"/>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96" w:customStyle="1">
    <w:name w:val="正文文本21"/>
    <w:qFormat/>
    <w:pPr>
      <w:keepLines/>
      <w:spacing w:after="120" w:line="220" w:lineRule="atLeast"/>
    </w:pPr>
    <w:rPr>
      <w:rFonts w:ascii="宋体" w:hAnsi="Calibri"/>
      <w:lang w:val="en-GB"/>
    </w:rPr>
  </w:style>
  <w:style w:type="paragraph" w:styleId="2297" w:customStyle="1">
    <w:name w:val="Char Char Char Char Char Char Char Char Char Char Char Char Char Char Char1 Char"/>
    <w:basedOn w:val="919"/>
    <w:next w:val="1101"/>
    <w:qFormat/>
    <w:pPr>
      <w:ind w:firstLine="560"/>
      <w:jc w:val="left"/>
      <w:spacing w:after="160" w:line="240" w:lineRule="exact"/>
      <w:widowControl/>
    </w:pPr>
    <w:rPr>
      <w:rFonts w:ascii="Verdana" w:hAnsi="Verdana" w:eastAsia="仿宋"/>
      <w:sz w:val="20"/>
      <w:szCs w:val="20"/>
      <w:lang w:eastAsia="en-US"/>
    </w:rPr>
  </w:style>
  <w:style w:type="paragraph" w:styleId="2298" w:customStyle="1">
    <w:name w:val="无首行缩进正文"/>
    <w:basedOn w:val="2282"/>
    <w:next w:val="2234"/>
    <w:qFormat/>
    <w:pPr>
      <w:ind w:firstLine="0"/>
      <w:jc w:val="both"/>
    </w:pPr>
    <w:rPr>
      <w:rFonts w:ascii="Calibri" w:hAnsi="Calibri" w:eastAsia="方正仿宋_GBK" w:cs="Times New Roman"/>
      <w:sz w:val="21"/>
      <w:szCs w:val="24"/>
    </w:rPr>
  </w:style>
  <w:style w:type="paragraph" w:styleId="2299" w:customStyle="1">
    <w:name w:val="Plain Text1"/>
    <w:basedOn w:val="919"/>
    <w:next w:val="1087"/>
    <w:qFormat/>
    <w:pPr>
      <w:ind w:firstLine="560"/>
      <w:spacing w:line="360" w:lineRule="auto"/>
    </w:pPr>
    <w:rPr>
      <w:rFonts w:ascii="宋体" w:hAnsi="宋体" w:eastAsia="仿宋"/>
      <w:sz w:val="28"/>
      <w:szCs w:val="20"/>
    </w:rPr>
  </w:style>
  <w:style w:type="paragraph" w:styleId="2300" w:customStyle="1">
    <w:name w:val="Char Char Char Char Char Char Char Char Char Char Char Char Char1"/>
    <w:basedOn w:val="919"/>
    <w:qFormat/>
    <w:pPr>
      <w:ind w:firstLine="560"/>
      <w:jc w:val="left"/>
      <w:spacing w:after="160" w:line="240" w:lineRule="exact"/>
      <w:widowControl/>
    </w:pPr>
    <w:rPr>
      <w:rFonts w:ascii="Verdana" w:hAnsi="Verdana" w:eastAsia="仿宋_GB2312"/>
      <w:sz w:val="28"/>
      <w:szCs w:val="20"/>
      <w:lang w:eastAsia="en-US"/>
    </w:rPr>
  </w:style>
  <w:style w:type="paragraph" w:styleId="2301" w:customStyle="1">
    <w:name w:val="样式 Tabletext + 五号 加粗 居中 段后: 0 磅 行距: 1.5 倍行距"/>
    <w:basedOn w:val="919"/>
    <w:qFormat/>
    <w:pPr>
      <w:ind w:firstLine="560"/>
      <w:spacing w:line="500" w:lineRule="exact"/>
    </w:pPr>
    <w:rPr>
      <w:rFonts w:ascii="Calibri" w:hAnsi="Calibri" w:eastAsia="仿宋"/>
      <w:sz w:val="28"/>
      <w:szCs w:val="20"/>
    </w:rPr>
  </w:style>
  <w:style w:type="paragraph" w:styleId="2302" w:customStyle="1">
    <w:name w:val="Subject"/>
    <w:basedOn w:val="919"/>
    <w:qFormat/>
    <w:pPr>
      <w:jc w:val="center"/>
      <w:widowControl/>
    </w:pPr>
    <w:rPr>
      <w:rFonts w:ascii="Calibri" w:hAnsi="Calibri" w:eastAsia="黑体"/>
      <w:b/>
      <w:sz w:val="48"/>
    </w:rPr>
  </w:style>
  <w:style w:type="paragraph" w:styleId="2303" w:customStyle="1">
    <w:name w:val="题注1"/>
    <w:basedOn w:val="919"/>
    <w:qFormat/>
    <w:pPr>
      <w:ind w:firstLine="720"/>
      <w:spacing w:before="120" w:after="120" w:line="360" w:lineRule="auto"/>
      <w:suppressLineNumbers/>
    </w:pPr>
    <w:rPr>
      <w:rFonts w:ascii="仿宋" w:hAnsi="仿宋"/>
      <w:i/>
      <w:iCs/>
      <w:sz w:val="28"/>
      <w:lang w:eastAsia="ar-SA"/>
    </w:rPr>
  </w:style>
  <w:style w:type="paragraph" w:styleId="2304" w:customStyle="1">
    <w:name w:val="默认段落字体 Para Char Char Char Char"/>
    <w:basedOn w:val="919"/>
    <w:next w:val="1108"/>
    <w:qFormat/>
    <w:pPr>
      <w:ind w:firstLine="560"/>
      <w:spacing w:line="360" w:lineRule="auto"/>
    </w:pPr>
    <w:rPr>
      <w:rFonts w:ascii="Calibri" w:hAnsi="Calibri" w:eastAsia="仿宋"/>
      <w:sz w:val="28"/>
      <w:szCs w:val="20"/>
    </w:rPr>
  </w:style>
  <w:style w:type="paragraph" w:styleId="2305" w:customStyle="1">
    <w:name w:val="样式 标题 1 + 行距: 最小值 12 磅"/>
    <w:basedOn w:val="920"/>
    <w:next w:val="2294"/>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06" w:customStyle="1">
    <w:name w:val="_Style 224"/>
    <w:basedOn w:val="919"/>
    <w:next w:val="919"/>
    <w:uiPriority w:val="39"/>
    <w:unhideWhenUsed/>
    <w:qFormat/>
    <w:pPr>
      <w:ind w:left="2100"/>
      <w:jc w:val="left"/>
      <w:widowControl/>
    </w:pPr>
    <w:rPr>
      <w:rFonts w:ascii="Calibri" w:hAnsi="Calibri"/>
      <w:szCs w:val="22"/>
    </w:rPr>
  </w:style>
  <w:style w:type="paragraph" w:styleId="2307" w:customStyle="1">
    <w:name w:val="图中文字"/>
    <w:basedOn w:val="919"/>
    <w:next w:val="1709"/>
    <w:qFormat/>
    <w:pPr>
      <w:ind w:firstLine="560"/>
      <w:jc w:val="center"/>
      <w:spacing w:line="500" w:lineRule="exact"/>
      <w:widowControl/>
    </w:pPr>
    <w:rPr>
      <w:rFonts w:ascii="Calibri" w:hAnsi="Calibri" w:eastAsia="仿宋_GB2312"/>
      <w:sz w:val="28"/>
      <w:szCs w:val="20"/>
    </w:rPr>
  </w:style>
  <w:style w:type="paragraph" w:styleId="2308" w:customStyle="1">
    <w:name w:val="标题 11"/>
    <w:basedOn w:val="919"/>
    <w:next w:val="919"/>
    <w:qFormat/>
    <w:pPr>
      <w:keepLines/>
      <w:keepNext/>
      <w:spacing w:line="590" w:lineRule="exact"/>
      <w:outlineLvl w:val="0"/>
    </w:pPr>
    <w:rPr>
      <w:rFonts w:ascii="Calibri" w:hAnsi="Calibri" w:eastAsia="方正黑体_GBK"/>
      <w:bCs/>
      <w:sz w:val="32"/>
      <w:szCs w:val="44"/>
    </w:rPr>
  </w:style>
  <w:style w:type="paragraph" w:styleId="2309" w:customStyle="1">
    <w:name w:val="样式 标题 + 右"/>
    <w:basedOn w:val="1090"/>
    <w:next w:val="2196"/>
    <w:qFormat/>
    <w:pPr>
      <w:ind w:left="0" w:firstLine="560"/>
      <w:jc w:val="right"/>
      <w:spacing w:line="500" w:lineRule="exact"/>
    </w:pPr>
    <w:rPr>
      <w:rFonts w:ascii="宋体" w:hAnsi="Calibri" w:eastAsia="方正小标宋_GBK" w:cs="宋体"/>
      <w:color w:val="000000"/>
      <w:sz w:val="28"/>
      <w:szCs w:val="20"/>
    </w:rPr>
  </w:style>
  <w:style w:type="paragraph" w:styleId="2310" w:customStyle="1">
    <w:name w:val="表号"/>
    <w:basedOn w:val="919"/>
    <w:next w:val="1243"/>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11" w:customStyle="1">
    <w:name w:val="表头样式"/>
    <w:basedOn w:val="919"/>
    <w:qFormat/>
    <w:pPr>
      <w:ind w:firstLine="560"/>
      <w:jc w:val="center"/>
      <w:keepNext/>
      <w:spacing w:line="500" w:lineRule="exact"/>
    </w:pPr>
    <w:rPr>
      <w:rFonts w:ascii="Arial" w:hAnsi="Arial" w:eastAsia="仿宋"/>
      <w:b/>
      <w:szCs w:val="21"/>
    </w:rPr>
  </w:style>
  <w:style w:type="paragraph" w:styleId="2312" w:customStyle="1">
    <w:name w:val="评估表"/>
    <w:basedOn w:val="919"/>
    <w:qFormat/>
    <w:pPr>
      <w:spacing w:line="240" w:lineRule="exact"/>
    </w:pPr>
    <w:rPr>
      <w:rFonts w:ascii="方正仿宋_GBK" w:hAnsi="方正仿宋_GBK" w:eastAsia="方正仿宋_GBK"/>
      <w:sz w:val="18"/>
      <w:szCs w:val="18"/>
    </w:rPr>
  </w:style>
  <w:style w:type="paragraph" w:styleId="2313" w:customStyle="1">
    <w:name w:val="Table Contents"/>
    <w:basedOn w:val="919"/>
    <w:qFormat/>
    <w:pPr>
      <w:ind w:firstLine="720"/>
      <w:spacing w:line="360" w:lineRule="auto"/>
      <w:suppressLineNumbers/>
    </w:pPr>
    <w:rPr>
      <w:rFonts w:ascii="仿宋" w:hAnsi="仿宋"/>
      <w:sz w:val="28"/>
      <w:lang w:eastAsia="ar-SA"/>
    </w:rPr>
  </w:style>
  <w:style w:type="paragraph" w:styleId="2314" w:customStyle="1">
    <w:name w:val="Paragraph1"/>
    <w:basedOn w:val="919"/>
    <w:next w:val="1958"/>
    <w:qFormat/>
    <w:pPr>
      <w:ind w:firstLine="560"/>
      <w:spacing w:before="80" w:line="500" w:lineRule="exact"/>
    </w:pPr>
    <w:rPr>
      <w:rFonts w:ascii="宋体" w:hAnsi="Calibri" w:eastAsia="仿宋"/>
      <w:sz w:val="20"/>
      <w:szCs w:val="20"/>
    </w:rPr>
  </w:style>
  <w:style w:type="paragraph" w:styleId="2315" w:customStyle="1">
    <w:name w:val="Tabletext"/>
    <w:basedOn w:val="919"/>
    <w:next w:val="1872"/>
    <w:qFormat/>
    <w:pPr>
      <w:ind w:firstLine="560"/>
      <w:jc w:val="left"/>
      <w:keepLines/>
      <w:spacing w:after="120" w:line="240" w:lineRule="atLeast"/>
    </w:pPr>
    <w:rPr>
      <w:rFonts w:ascii="Calibri" w:hAnsi="Calibri" w:eastAsia="仿宋"/>
      <w:sz w:val="28"/>
      <w:szCs w:val="20"/>
      <w:lang w:eastAsia="en-US"/>
    </w:rPr>
  </w:style>
  <w:style w:type="paragraph" w:styleId="2316" w:customStyle="1">
    <w:name w:val="编写建议"/>
    <w:basedOn w:val="919"/>
    <w:next w:val="1100"/>
    <w:qFormat/>
    <w:pPr>
      <w:ind w:firstLine="420"/>
      <w:jc w:val="left"/>
      <w:spacing w:line="360" w:lineRule="auto"/>
    </w:pPr>
    <w:rPr>
      <w:rFonts w:ascii="Arial" w:hAnsi="Arial" w:cs="宋体"/>
      <w:i/>
      <w:iCs/>
      <w:color w:val="0000ff"/>
      <w:sz w:val="28"/>
      <w:lang w:eastAsia="ar-SA"/>
    </w:rPr>
  </w:style>
  <w:style w:type="paragraph" w:styleId="2317" w:customStyle="1">
    <w:name w:val="引用 Char2"/>
    <w:basedOn w:val="919"/>
    <w:qFormat/>
    <w:pPr>
      <w:ind w:firstLine="560"/>
      <w:spacing w:line="500" w:lineRule="exact"/>
    </w:pPr>
    <w:rPr>
      <w:rFonts w:ascii="Calibri" w:hAnsi="Calibri" w:eastAsia="仿宋"/>
      <w:sz w:val="28"/>
      <w:szCs w:val="20"/>
    </w:rPr>
  </w:style>
  <w:style w:type="paragraph" w:styleId="2318" w:customStyle="1">
    <w:name w:val="文档名称"/>
    <w:basedOn w:val="919"/>
    <w:qFormat/>
    <w:pPr>
      <w:ind w:firstLine="720"/>
      <w:jc w:val="center"/>
      <w:spacing w:line="360" w:lineRule="auto"/>
    </w:pPr>
    <w:rPr>
      <w:rFonts w:ascii="仿宋" w:hAnsi="仿宋" w:eastAsia="黑体"/>
      <w:b/>
      <w:sz w:val="48"/>
      <w:szCs w:val="48"/>
      <w:lang w:eastAsia="ar-SA"/>
    </w:rPr>
  </w:style>
  <w:style w:type="paragraph" w:styleId="2319" w:customStyle="1">
    <w:name w:val="explanation"/>
    <w:basedOn w:val="919"/>
    <w:next w:val="1928"/>
    <w:qFormat/>
    <w:pPr>
      <w:ind w:firstLine="560"/>
      <w:spacing w:line="500" w:lineRule="exact"/>
    </w:pPr>
    <w:rPr>
      <w:rFonts w:ascii="Calibri" w:hAnsi="Calibri" w:eastAsia="仿宋"/>
      <w:sz w:val="28"/>
    </w:rPr>
  </w:style>
  <w:style w:type="paragraph" w:styleId="2320" w:customStyle="1">
    <w:name w:val="左对齐的表内文字"/>
    <w:basedOn w:val="919"/>
    <w:next w:val="1127"/>
    <w:qFormat/>
    <w:pPr>
      <w:ind w:firstLine="560"/>
      <w:spacing w:line="500" w:lineRule="exact"/>
    </w:pPr>
    <w:rPr>
      <w:rFonts w:ascii="Calibri" w:hAnsi="Calibri" w:eastAsia="仿宋_GB2312" w:cs="宋体"/>
      <w:sz w:val="28"/>
      <w:szCs w:val="20"/>
    </w:rPr>
  </w:style>
  <w:style w:type="paragraph" w:styleId="2321" w:customStyle="1">
    <w:name w:val="_Style 44"/>
    <w:next w:val="919"/>
    <w:qFormat/>
    <w:pPr>
      <w:jc w:val="both"/>
      <w:widowControl w:val="off"/>
    </w:pPr>
    <w:rPr>
      <w:rFonts w:ascii="Calibri" w:hAnsi="Calibri"/>
      <w:sz w:val="24"/>
      <w:szCs w:val="24"/>
    </w:rPr>
  </w:style>
  <w:style w:type="paragraph" w:styleId="2322" w:customStyle="1">
    <w:name w:val="样式 标题 3 + 非加粗 倾斜"/>
    <w:basedOn w:val="922"/>
    <w:next w:val="2323"/>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23" w:customStyle="1">
    <w:name w:val="样式 标题 2 + 五号"/>
    <w:basedOn w:val="921"/>
    <w:next w:val="1135"/>
    <w:qFormat/>
    <w:pPr>
      <w:ind w:left="1035" w:hanging="720"/>
      <w:jc w:val="left"/>
      <w:spacing w:before="60" w:after="60"/>
      <w:tabs>
        <w:tab w:val="left" w:pos="0" w:leader="none"/>
        <w:tab w:val="left" w:pos="314" w:leader="none"/>
      </w:tabs>
    </w:pPr>
    <w:rPr>
      <w:rFonts w:ascii="楷体" w:hAnsi="Calibri"/>
      <w:bCs/>
      <w:color w:val="000000"/>
      <w:sz w:val="36"/>
    </w:rPr>
  </w:style>
  <w:style w:type="paragraph" w:styleId="2324" w:customStyle="1">
    <w:name w:val="版权申明"/>
    <w:basedOn w:val="919"/>
    <w:qFormat/>
    <w:pPr>
      <w:ind w:firstLine="720"/>
      <w:jc w:val="center"/>
      <w:spacing w:line="360" w:lineRule="auto"/>
    </w:pPr>
    <w:rPr>
      <w:rFonts w:ascii="宋体" w:hAnsi="宋体" w:cs="宋体"/>
      <w:b/>
      <w:bCs/>
      <w:color w:val="000000"/>
      <w:sz w:val="28"/>
      <w:szCs w:val="20"/>
      <w:lang w:eastAsia="ar-SA"/>
    </w:rPr>
  </w:style>
  <w:style w:type="paragraph" w:styleId="2325" w:customStyle="1">
    <w:name w:val="标题G"/>
    <w:basedOn w:val="1090"/>
    <w:next w:val="2305"/>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26" w:customStyle="1">
    <w:name w:val="标题5"/>
    <w:basedOn w:val="919"/>
    <w:qFormat/>
    <w:pPr>
      <w:ind w:firstLine="560"/>
      <w:jc w:val="center"/>
      <w:spacing w:line="500" w:lineRule="exact"/>
    </w:pPr>
    <w:rPr>
      <w:rFonts w:ascii="宋体" w:hAnsi="宋体" w:eastAsia="仿宋"/>
      <w:b/>
      <w:sz w:val="52"/>
      <w:szCs w:val="22"/>
    </w:rPr>
  </w:style>
  <w:style w:type="paragraph" w:styleId="2327" w:customStyle="1">
    <w:name w:val="修订11"/>
    <w:uiPriority w:val="99"/>
    <w:qFormat/>
    <w:rPr>
      <w:rFonts w:ascii="宋体" w:hAnsi="Calibri"/>
      <w:sz w:val="21"/>
    </w:rPr>
  </w:style>
  <w:style w:type="paragraph" w:styleId="2328" w:customStyle="1">
    <w:name w:val="正文文本3"/>
    <w:qFormat/>
    <w:pPr>
      <w:keepLines/>
      <w:spacing w:after="120" w:line="220" w:lineRule="atLeast"/>
    </w:pPr>
    <w:rPr>
      <w:rFonts w:ascii="宋体" w:hAnsi="Calibri"/>
      <w:lang w:val="en-GB"/>
    </w:rPr>
  </w:style>
  <w:style w:type="paragraph" w:styleId="2329" w:customStyle="1">
    <w:name w:val="目录标题2"/>
    <w:basedOn w:val="920"/>
    <w:next w:val="91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30" w:customStyle="1">
    <w:name w:val="Char1 Char Char Char1"/>
    <w:basedOn w:val="919"/>
    <w:qFormat/>
    <w:pPr>
      <w:ind w:firstLine="560"/>
      <w:spacing w:line="500" w:lineRule="exact"/>
    </w:pPr>
    <w:rPr>
      <w:rFonts w:ascii="Tahoma" w:hAnsi="Tahoma" w:eastAsia="仿宋"/>
      <w:sz w:val="28"/>
      <w:szCs w:val="20"/>
    </w:rPr>
  </w:style>
  <w:style w:type="paragraph" w:styleId="2331" w:customStyle="1">
    <w:name w:val="Bullet Text"/>
    <w:basedOn w:val="919"/>
    <w:next w:val="2295"/>
    <w:qFormat/>
    <w:pPr>
      <w:ind w:left="360" w:hanging="360"/>
      <w:jc w:val="left"/>
      <w:spacing w:after="60" w:line="500" w:lineRule="exact"/>
    </w:pPr>
    <w:rPr>
      <w:rFonts w:ascii="Arial" w:hAnsi="Arial" w:eastAsia="仿宋"/>
      <w:sz w:val="20"/>
      <w:szCs w:val="20"/>
    </w:rPr>
  </w:style>
  <w:style w:type="paragraph" w:styleId="2332" w:customStyle="1">
    <w:name w:val="_Style 47"/>
    <w:basedOn w:val="919"/>
    <w:next w:val="1215"/>
    <w:qFormat/>
    <w:pPr>
      <w:ind w:firstLine="420"/>
      <w:jc w:val="left"/>
      <w:spacing w:line="360" w:lineRule="auto"/>
    </w:pPr>
    <w:rPr>
      <w:rFonts w:ascii="宋体" w:hAnsi="Calibri"/>
      <w:szCs w:val="20"/>
    </w:rPr>
  </w:style>
  <w:style w:type="paragraph" w:styleId="2333" w:customStyle="1">
    <w:name w:val="_Style 196"/>
    <w:basedOn w:val="919"/>
    <w:next w:val="919"/>
    <w:qFormat/>
    <w:pPr>
      <w:ind w:firstLine="560"/>
      <w:spacing w:line="500" w:lineRule="exact"/>
    </w:pPr>
    <w:rPr>
      <w:rFonts w:ascii="Calibri Light" w:hAnsi="Calibri Light" w:eastAsia="仿宋"/>
      <w:color w:val="000000"/>
      <w:sz w:val="28"/>
      <w:szCs w:val="20"/>
    </w:rPr>
  </w:style>
  <w:style w:type="paragraph" w:styleId="2334" w:customStyle="1">
    <w:name w:val="Contents 10"/>
    <w:basedOn w:val="2335"/>
    <w:qFormat/>
    <w:pPr>
      <w:ind w:left="2547"/>
      <w:tabs>
        <w:tab w:val="right" w:pos="24919" w:leader="dot"/>
      </w:tabs>
    </w:pPr>
  </w:style>
  <w:style w:type="paragraph" w:styleId="2335" w:customStyle="1">
    <w:name w:val="Index"/>
    <w:basedOn w:val="919"/>
    <w:qFormat/>
    <w:pPr>
      <w:ind w:firstLine="720"/>
      <w:spacing w:line="360" w:lineRule="auto"/>
      <w:suppressLineNumbers/>
    </w:pPr>
    <w:rPr>
      <w:rFonts w:ascii="仿宋" w:hAnsi="仿宋"/>
      <w:sz w:val="28"/>
      <w:lang w:eastAsia="ar-SA"/>
    </w:rPr>
  </w:style>
  <w:style w:type="paragraph" w:styleId="2336" w:customStyle="1">
    <w:name w:val="subhead1"/>
    <w:basedOn w:val="919"/>
    <w:next w:val="1113"/>
    <w:qFormat/>
    <w:pPr>
      <w:ind w:firstLine="560"/>
      <w:jc w:val="left"/>
      <w:spacing w:line="500" w:lineRule="exact"/>
    </w:pPr>
    <w:rPr>
      <w:rFonts w:ascii="Arial" w:hAnsi="Arial" w:eastAsia="仿宋"/>
      <w:b/>
      <w:sz w:val="28"/>
      <w:szCs w:val="20"/>
    </w:rPr>
  </w:style>
  <w:style w:type="paragraph" w:styleId="2337" w:customStyle="1">
    <w:name w:val="txt"/>
    <w:basedOn w:val="919"/>
    <w:next w:val="184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38" w:customStyle="1">
    <w:name w:val="目录标题1"/>
    <w:basedOn w:val="920"/>
    <w:next w:val="91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39" w:customStyle="1">
    <w:name w:val="Header Odd"/>
    <w:basedOn w:val="2340"/>
    <w:next w:val="1894"/>
    <w:qFormat/>
    <w:pPr>
      <w:jc w:val="right"/>
      <w:widowControl/>
      <w:pBdr>
        <w:bottom w:val="single" w:color="4F81BD" w:sz="4" w:space="1"/>
      </w:pBdr>
    </w:pPr>
    <w:rPr>
      <w:b/>
      <w:bCs/>
      <w:color w:val="1f497d"/>
      <w:sz w:val="20"/>
      <w:szCs w:val="23"/>
    </w:rPr>
  </w:style>
  <w:style w:type="paragraph" w:styleId="2340" w:customStyle="1">
    <w:name w:val="中等深浅网格 2 - 着色 11"/>
    <w:uiPriority w:val="99"/>
    <w:qFormat/>
    <w:pPr>
      <w:widowControl w:val="off"/>
    </w:pPr>
    <w:rPr>
      <w:rFonts w:ascii="宋体" w:hAnsi="Calibri"/>
      <w:sz w:val="21"/>
    </w:rPr>
  </w:style>
  <w:style w:type="paragraph" w:styleId="2341" w:customStyle="1">
    <w:name w:val="样式 两端对齐"/>
    <w:basedOn w:val="919"/>
    <w:next w:val="2301"/>
    <w:qFormat/>
    <w:pPr>
      <w:ind w:firstLine="560"/>
      <w:spacing w:line="360" w:lineRule="auto"/>
    </w:pPr>
    <w:rPr>
      <w:rFonts w:ascii="宋体" w:hAnsi="Calibri" w:eastAsia="仿宋" w:cs="宋体"/>
      <w:sz w:val="28"/>
      <w:szCs w:val="20"/>
    </w:rPr>
  </w:style>
  <w:style w:type="paragraph" w:styleId="2342" w:customStyle="1">
    <w:name w:val="样式 行距: 固定值 20 磅 首行缩进:  2 字符"/>
    <w:basedOn w:val="919"/>
    <w:next w:val="2276"/>
    <w:qFormat/>
    <w:pPr>
      <w:ind w:firstLine="200"/>
      <w:jc w:val="left"/>
      <w:spacing w:line="360" w:lineRule="auto"/>
    </w:pPr>
    <w:rPr>
      <w:rFonts w:ascii="宋体" w:hAnsi="Calibri" w:eastAsia="仿宋" w:cs="宋体"/>
      <w:sz w:val="28"/>
      <w:szCs w:val="20"/>
    </w:rPr>
  </w:style>
  <w:style w:type="paragraph" w:styleId="2343" w:customStyle="1">
    <w:name w:val="_Style 3"/>
    <w:basedOn w:val="919"/>
    <w:uiPriority w:val="34"/>
    <w:qFormat/>
    <w:pPr>
      <w:jc w:val="left"/>
      <w:spacing w:before="100" w:beforeAutospacing="1" w:after="100" w:afterAutospacing="1"/>
      <w:widowControl/>
    </w:pPr>
    <w:rPr>
      <w:rFonts w:ascii="宋体" w:hAnsi="宋体" w:cs="宋体"/>
      <w:sz w:val="28"/>
    </w:rPr>
  </w:style>
  <w:style w:type="paragraph" w:styleId="2344" w:customStyle="1">
    <w:name w:val="文头"/>
    <w:basedOn w:val="919"/>
    <w:qFormat/>
    <w:pPr>
      <w:ind w:left="227" w:right="227"/>
      <w:spacing w:before="120" w:line="227" w:lineRule="atLeast"/>
    </w:pPr>
    <w:rPr>
      <w:rFonts w:ascii="Calibri" w:hAnsi="Calibri" w:eastAsia="方正小标宋_GBK" w:cs="Calibri"/>
      <w:color w:val="ff0000"/>
      <w:spacing w:val="36"/>
      <w:sz w:val="90"/>
      <w:szCs w:val="20"/>
    </w:rPr>
  </w:style>
  <w:style w:type="paragraph" w:styleId="2345" w:customStyle="1">
    <w:name w:val="日期 Char2"/>
    <w:basedOn w:val="919"/>
    <w:qFormat/>
    <w:pPr>
      <w:ind w:firstLine="560"/>
      <w:spacing w:line="500" w:lineRule="exact"/>
    </w:pPr>
    <w:rPr>
      <w:rFonts w:ascii="Calibri" w:hAnsi="Calibri" w:eastAsia="仿宋"/>
      <w:sz w:val="28"/>
      <w:szCs w:val="20"/>
    </w:rPr>
  </w:style>
  <w:style w:type="paragraph" w:styleId="2346" w:customStyle="1">
    <w:name w:val="样式 正文内容 + 左侧:  0.74 厘米 首行缩进:  0.85 厘米"/>
    <w:basedOn w:val="919"/>
    <w:qFormat/>
    <w:pPr>
      <w:ind w:left="420" w:firstLine="480"/>
      <w:spacing w:line="380" w:lineRule="exact"/>
    </w:pPr>
    <w:rPr>
      <w:rFonts w:ascii="宋体" w:hAnsi="宋体" w:cs="宋体"/>
      <w:sz w:val="28"/>
      <w:szCs w:val="20"/>
      <w:lang w:eastAsia="ar-SA"/>
    </w:rPr>
  </w:style>
  <w:style w:type="paragraph" w:styleId="2347" w:customStyle="1">
    <w:name w:val="标题11"/>
    <w:basedOn w:val="919"/>
    <w:next w:val="919"/>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48" w:customStyle="1">
    <w:name w:val="正文3"/>
    <w:basedOn w:val="919"/>
    <w:qFormat/>
    <w:pPr>
      <w:ind w:firstLine="560"/>
      <w:spacing w:line="500" w:lineRule="exact"/>
      <w:widowControl/>
    </w:pPr>
    <w:rPr>
      <w:rFonts w:ascii="Calibri" w:hAnsi="Calibri" w:eastAsia="仿宋"/>
      <w:sz w:val="28"/>
      <w:szCs w:val="20"/>
    </w:rPr>
  </w:style>
  <w:style w:type="paragraph" w:styleId="2349" w:customStyle="1">
    <w:name w:val="正文文本 Char2"/>
    <w:basedOn w:val="919"/>
    <w:qFormat/>
    <w:pPr>
      <w:ind w:firstLine="560"/>
      <w:spacing w:line="500" w:lineRule="exact"/>
    </w:pPr>
    <w:rPr>
      <w:rFonts w:ascii="Calibri" w:hAnsi="Calibri" w:eastAsia="仿宋"/>
      <w:sz w:val="28"/>
      <w:szCs w:val="20"/>
    </w:rPr>
  </w:style>
  <w:style w:type="paragraph" w:styleId="2350" w:customStyle="1">
    <w:name w:val="彩色底纹 - 强调文字颜色 11"/>
    <w:uiPriority w:val="99"/>
    <w:semiHidden/>
    <w:qFormat/>
    <w:rPr>
      <w:rFonts w:ascii="Calibri" w:hAnsi="Calibri"/>
      <w:sz w:val="21"/>
      <w:szCs w:val="22"/>
    </w:rPr>
  </w:style>
  <w:style w:type="paragraph" w:styleId="2351" w:customStyle="1">
    <w:name w:val="样式 InfoBlue + 倾斜"/>
    <w:basedOn w:val="2322"/>
    <w:next w:val="2286"/>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52" w:customStyle="1">
    <w:name w:val="Char Char Char Char Char Char Char Char Char Char Char Char Char2"/>
    <w:basedOn w:val="919"/>
    <w:qFormat/>
    <w:pPr>
      <w:ind w:firstLine="560"/>
      <w:jc w:val="left"/>
      <w:spacing w:after="160" w:line="240" w:lineRule="exact"/>
      <w:widowControl/>
    </w:pPr>
    <w:rPr>
      <w:rFonts w:ascii="Verdana" w:hAnsi="Verdana" w:eastAsia="仿宋_GB2312"/>
      <w:sz w:val="28"/>
      <w:szCs w:val="20"/>
      <w:lang w:eastAsia="en-US"/>
    </w:rPr>
  </w:style>
  <w:style w:type="paragraph" w:styleId="2353" w:customStyle="1">
    <w:name w:val="样式 正文文本缩进 + 左侧:  2 字符 行距: 固定值 20 磅 首行缩进:  2 字符"/>
    <w:basedOn w:val="1095"/>
    <w:next w:val="1738"/>
    <w:qFormat/>
    <w:pPr>
      <w:ind w:left="400" w:firstLine="400"/>
      <w:jc w:val="both"/>
      <w:spacing w:line="360" w:lineRule="auto"/>
    </w:pPr>
    <w:rPr>
      <w:rFonts w:cs="宋体"/>
      <w:szCs w:val="20"/>
    </w:rPr>
  </w:style>
  <w:style w:type="paragraph" w:styleId="2354" w:customStyle="1">
    <w:name w:val="正文文本4"/>
    <w:basedOn w:val="919"/>
    <w:uiPriority w:val="99"/>
    <w:qFormat/>
    <w:pPr>
      <w:jc w:val="left"/>
      <w:spacing w:after="120" w:line="288" w:lineRule="auto"/>
      <w:widowControl/>
    </w:pPr>
    <w:rPr>
      <w:rFonts w:ascii="Verdana" w:hAnsi="Verdana"/>
      <w:sz w:val="24"/>
      <w:szCs w:val="20"/>
      <w:lang w:eastAsia="en-US"/>
    </w:rPr>
  </w:style>
  <w:style w:type="paragraph" w:styleId="2355" w:customStyle="1">
    <w:name w:val="Char1 Char Char Char3"/>
    <w:basedOn w:val="919"/>
    <w:qFormat/>
    <w:rPr>
      <w:rFonts w:ascii="Tahoma" w:hAnsi="Tahoma"/>
      <w:sz w:val="24"/>
      <w:szCs w:val="20"/>
    </w:rPr>
  </w:style>
  <w:style w:type="paragraph" w:styleId="2356" w:customStyle="1">
    <w:name w:val="Char Char112"/>
    <w:basedOn w:val="919"/>
    <w:semiHidden/>
    <w:qFormat/>
    <w:pPr>
      <w:jc w:val="left"/>
      <w:spacing w:after="160" w:line="240" w:lineRule="exact"/>
      <w:widowControl/>
    </w:pPr>
    <w:rPr>
      <w:rFonts w:ascii="Verdana" w:hAnsi="Verdana"/>
      <w:sz w:val="20"/>
      <w:lang w:eastAsia="en-US"/>
    </w:rPr>
  </w:style>
  <w:style w:type="paragraph" w:styleId="2357" w:customStyle="1">
    <w:name w:val="TOC Heading1"/>
    <w:basedOn w:val="920"/>
    <w:next w:val="91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58" w:customStyle="1">
    <w:name w:val="一级项目符号"/>
    <w:basedOn w:val="919"/>
    <w:next w:val="91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59" w:customStyle="1">
    <w:name w:val="正文排列"/>
    <w:basedOn w:val="919"/>
    <w:qFormat/>
    <w:pPr>
      <w:ind w:left="902"/>
      <w:tabs>
        <w:tab w:val="left" w:pos="902" w:leader="none"/>
      </w:tabs>
    </w:pPr>
    <w:rPr>
      <w:rFonts w:eastAsia="仿宋"/>
      <w:sz w:val="28"/>
      <w:szCs w:val="20"/>
    </w:rPr>
  </w:style>
  <w:style w:type="paragraph" w:styleId="2360" w:customStyle="1">
    <w:name w:val="H2 List Num cont"/>
    <w:basedOn w:val="919"/>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61" w:customStyle="1">
    <w:name w:val="number0"/>
    <w:basedOn w:val="110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62" w:customStyle="1">
    <w:name w:val="文件标题1.1"/>
    <w:basedOn w:val="919"/>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63" w:customStyle="1">
    <w:name w:val="编号1-2"/>
    <w:basedOn w:val="919"/>
    <w:next w:val="919"/>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64" w:customStyle="1">
    <w:name w:val="章正文 Char"/>
    <w:basedOn w:val="919"/>
    <w:qFormat/>
    <w:pPr>
      <w:ind w:firstLine="504"/>
      <w:spacing w:line="380" w:lineRule="exact"/>
      <w:widowControl/>
      <w:tabs>
        <w:tab w:val="left" w:pos="780" w:leader="none"/>
      </w:tabs>
    </w:pPr>
    <w:rPr>
      <w:rFonts w:ascii="宋体" w:hAnsi="宋体" w:eastAsia="仿宋_GB2312"/>
      <w:spacing w:val="6"/>
      <w:sz w:val="24"/>
    </w:rPr>
  </w:style>
  <w:style w:type="paragraph" w:styleId="2365" w:customStyle="1">
    <w:name w:val="ordinary-output"/>
    <w:basedOn w:val="919"/>
    <w:qFormat/>
    <w:pPr>
      <w:jc w:val="left"/>
      <w:spacing w:before="100" w:beforeAutospacing="1" w:after="100" w:afterAutospacing="1" w:line="330" w:lineRule="atLeast"/>
      <w:widowControl/>
    </w:pPr>
    <w:rPr>
      <w:rFonts w:ascii="宋体" w:hAnsi="宋体" w:cs="宋体"/>
      <w:color w:val="333333"/>
      <w:sz w:val="24"/>
    </w:rPr>
  </w:style>
  <w:style w:type="paragraph" w:styleId="2366" w:customStyle="1">
    <w:name w:val="正文 New New"/>
    <w:qFormat/>
    <w:pPr>
      <w:jc w:val="both"/>
      <w:widowControl w:val="off"/>
    </w:pPr>
    <w:rPr>
      <w:sz w:val="21"/>
      <w:szCs w:val="24"/>
    </w:rPr>
  </w:style>
  <w:style w:type="paragraph" w:styleId="2367" w:customStyle="1">
    <w:name w:val="Char Char11"/>
    <w:basedOn w:val="919"/>
    <w:semiHidden/>
    <w:qFormat/>
    <w:pPr>
      <w:jc w:val="left"/>
      <w:spacing w:after="160" w:line="240" w:lineRule="exact"/>
      <w:widowControl/>
    </w:pPr>
    <w:rPr>
      <w:rFonts w:ascii="Verdana" w:hAnsi="Verdana"/>
      <w:sz w:val="20"/>
      <w:lang w:eastAsia="en-US"/>
    </w:rPr>
  </w:style>
  <w:style w:type="paragraph" w:styleId="2368" w:customStyle="1">
    <w:name w:val="列项——（一级）"/>
    <w:qFormat/>
    <w:pPr>
      <w:ind w:left="833" w:hanging="408"/>
      <w:jc w:val="both"/>
      <w:widowControl w:val="off"/>
    </w:pPr>
    <w:rPr>
      <w:rFonts w:ascii="宋体"/>
      <w:sz w:val="21"/>
    </w:rPr>
  </w:style>
  <w:style w:type="paragraph" w:styleId="2369" w:customStyle="1">
    <w:name w:val="列项●（二级）"/>
    <w:qFormat/>
    <w:pPr>
      <w:ind w:left="1264" w:hanging="413"/>
      <w:jc w:val="both"/>
      <w:tabs>
        <w:tab w:val="left" w:pos="760" w:leader="none"/>
        <w:tab w:val="left" w:pos="840" w:leader="none"/>
      </w:tabs>
    </w:pPr>
    <w:rPr>
      <w:rFonts w:ascii="宋体"/>
      <w:sz w:val="21"/>
    </w:rPr>
  </w:style>
  <w:style w:type="paragraph" w:styleId="2370" w:customStyle="1">
    <w:name w:val="示例内容"/>
    <w:qFormat/>
    <w:pPr>
      <w:ind w:firstLine="200"/>
      <w:tabs>
        <w:tab w:val="left" w:pos="1620" w:leader="none"/>
      </w:tabs>
    </w:pPr>
    <w:rPr>
      <w:rFonts w:ascii="宋体"/>
      <w:sz w:val="18"/>
      <w:szCs w:val="18"/>
    </w:rPr>
  </w:style>
  <w:style w:type="paragraph" w:styleId="2371" w:customStyle="1">
    <w:name w:val="列项◆（三级）"/>
    <w:basedOn w:val="919"/>
    <w:qFormat/>
    <w:pPr>
      <w:ind w:left="1680" w:hanging="420"/>
    </w:pPr>
    <w:rPr>
      <w:rFonts w:ascii="宋体"/>
      <w:szCs w:val="21"/>
    </w:rPr>
  </w:style>
  <w:style w:type="paragraph" w:styleId="2372" w:customStyle="1">
    <w:name w:val="编号列项（三级）"/>
    <w:qFormat/>
    <w:pPr>
      <w:ind w:left="1260" w:hanging="420"/>
    </w:pPr>
    <w:rPr>
      <w:rFonts w:ascii="宋体"/>
      <w:sz w:val="21"/>
    </w:rPr>
  </w:style>
  <w:style w:type="paragraph" w:styleId="2373" w:customStyle="1">
    <w:name w:val="示例×："/>
    <w:basedOn w:val="1271"/>
    <w:qFormat/>
    <w:pPr>
      <w:ind w:left="842" w:hanging="420"/>
      <w:tabs>
        <w:tab w:val="left" w:pos="360" w:leader="none"/>
        <w:tab w:val="clear" w:pos="780" w:leader="none"/>
      </w:tabs>
      <w:outlineLvl w:val="9"/>
    </w:pPr>
    <w:rPr>
      <w:rFonts w:ascii="宋体" w:eastAsia="宋体"/>
      <w:sz w:val="18"/>
      <w:szCs w:val="18"/>
    </w:rPr>
  </w:style>
  <w:style w:type="paragraph" w:styleId="2374" w:customStyle="1">
    <w:name w:val="二级无"/>
    <w:basedOn w:val="1269"/>
    <w:qFormat/>
    <w:pPr>
      <w:ind w:left="0" w:firstLine="0"/>
      <w:jc w:val="left"/>
    </w:pPr>
    <w:rPr>
      <w:rFonts w:ascii="宋体" w:eastAsia="宋体"/>
      <w:szCs w:val="21"/>
      <w:lang w:val="zh-CN"/>
    </w:rPr>
  </w:style>
  <w:style w:type="paragraph" w:styleId="2375" w:customStyle="1">
    <w:name w:val="注：（正文）"/>
    <w:basedOn w:val="1601"/>
    <w:next w:val="1246"/>
    <w:qFormat/>
    <w:pPr>
      <w:ind w:left="425" w:hanging="425"/>
      <w:tabs>
        <w:tab w:val="left" w:pos="425" w:leader="none"/>
        <w:tab w:val="clear" w:pos="1200" w:leader="none"/>
      </w:tabs>
    </w:pPr>
    <w:rPr>
      <w:szCs w:val="18"/>
    </w:rPr>
  </w:style>
  <w:style w:type="paragraph" w:styleId="2376" w:customStyle="1">
    <w:name w:val="注×：（正文）"/>
    <w:qFormat/>
    <w:pPr>
      <w:ind w:left="360" w:hanging="360"/>
      <w:jc w:val="both"/>
      <w:tabs>
        <w:tab w:val="left" w:pos="0" w:leader="none"/>
      </w:tabs>
    </w:pPr>
    <w:rPr>
      <w:rFonts w:ascii="宋体"/>
      <w:sz w:val="18"/>
      <w:szCs w:val="18"/>
    </w:rPr>
  </w:style>
  <w:style w:type="paragraph" w:styleId="2377" w:customStyle="1">
    <w:name w:val="参考文献"/>
    <w:basedOn w:val="919"/>
    <w:next w:val="1246"/>
    <w:qFormat/>
    <w:pPr>
      <w:jc w:val="center"/>
      <w:keepNext/>
      <w:pageBreakBefore/>
      <w:spacing w:before="640" w:after="200"/>
      <w:shd w:val="clear" w:color="ffffff" w:fill="ffffff"/>
      <w:widowControl/>
      <w:outlineLvl w:val="0"/>
    </w:pPr>
    <w:rPr>
      <w:rFonts w:ascii="黑体" w:eastAsia="黑体"/>
      <w:szCs w:val="20"/>
    </w:rPr>
  </w:style>
  <w:style w:type="paragraph" w:styleId="2378" w:customStyle="1">
    <w:name w:val="附录标题"/>
    <w:basedOn w:val="1246"/>
    <w:next w:val="1246"/>
    <w:qFormat/>
    <w:pPr>
      <w:ind w:firstLine="0"/>
      <w:jc w:val="center"/>
      <w:tabs>
        <w:tab w:val="center" w:pos="4201" w:leader="none"/>
        <w:tab w:val="right" w:pos="9298" w:leader="dot"/>
      </w:tabs>
    </w:pPr>
    <w:rPr>
      <w:rFonts w:ascii="黑体" w:eastAsia="黑体"/>
    </w:rPr>
  </w:style>
  <w:style w:type="paragraph" w:styleId="2379" w:customStyle="1">
    <w:name w:val="附录表标号"/>
    <w:basedOn w:val="919"/>
    <w:next w:val="1246"/>
    <w:qFormat/>
    <w:pPr>
      <w:ind w:left="811" w:hanging="448"/>
      <w:jc w:val="center"/>
      <w:spacing w:line="14" w:lineRule="exact"/>
      <w:outlineLvl w:val="0"/>
    </w:pPr>
    <w:rPr>
      <w:color w:val="ffffff"/>
    </w:rPr>
  </w:style>
  <w:style w:type="paragraph" w:styleId="2380" w:customStyle="1">
    <w:name w:val="附录二级无"/>
    <w:basedOn w:val="1881"/>
    <w:qFormat/>
    <w:pPr>
      <w:ind w:left="851" w:hanging="851"/>
      <w:tabs>
        <w:tab w:val="left" w:pos="360" w:leader="none"/>
      </w:tabs>
    </w:pPr>
    <w:rPr>
      <w:rFonts w:ascii="宋体" w:eastAsia="宋体"/>
      <w:szCs w:val="21"/>
    </w:rPr>
  </w:style>
  <w:style w:type="paragraph" w:styleId="2381" w:customStyle="1">
    <w:name w:val="附录公式编号制表符"/>
    <w:basedOn w:val="919"/>
    <w:next w:val="1246"/>
    <w:qFormat/>
    <w:pPr>
      <w:widowControl/>
      <w:tabs>
        <w:tab w:val="center" w:pos="4201" w:leader="none"/>
        <w:tab w:val="right" w:pos="9298" w:leader="dot"/>
      </w:tabs>
    </w:pPr>
    <w:rPr>
      <w:rFonts w:ascii="宋体"/>
      <w:szCs w:val="20"/>
    </w:rPr>
  </w:style>
  <w:style w:type="paragraph" w:styleId="2382" w:customStyle="1">
    <w:name w:val="附录三级无"/>
    <w:basedOn w:val="1887"/>
    <w:qFormat/>
    <w:pPr>
      <w:ind w:left="992" w:hanging="992"/>
      <w:tabs>
        <w:tab w:val="left" w:pos="360" w:leader="none"/>
      </w:tabs>
    </w:pPr>
    <w:rPr>
      <w:rFonts w:ascii="宋体" w:eastAsia="宋体"/>
      <w:szCs w:val="21"/>
    </w:rPr>
  </w:style>
  <w:style w:type="paragraph" w:styleId="2383" w:customStyle="1">
    <w:name w:val="附录数字编号列项（二级）"/>
    <w:qFormat/>
    <w:pPr>
      <w:ind w:left="1320" w:hanging="420"/>
    </w:pPr>
    <w:rPr>
      <w:rFonts w:ascii="宋体"/>
      <w:sz w:val="21"/>
    </w:rPr>
  </w:style>
  <w:style w:type="paragraph" w:styleId="2384" w:customStyle="1">
    <w:name w:val="附录四级无"/>
    <w:basedOn w:val="1894"/>
    <w:qFormat/>
    <w:pPr>
      <w:ind w:left="1134" w:hanging="1134"/>
      <w:tabs>
        <w:tab w:val="left" w:pos="360" w:leader="none"/>
      </w:tabs>
    </w:pPr>
    <w:rPr>
      <w:rFonts w:ascii="宋体" w:eastAsia="宋体"/>
      <w:szCs w:val="21"/>
    </w:rPr>
  </w:style>
  <w:style w:type="paragraph" w:styleId="2385" w:customStyle="1">
    <w:name w:val="附录图标号"/>
    <w:basedOn w:val="919"/>
    <w:qFormat/>
    <w:pPr>
      <w:ind w:firstLine="363"/>
      <w:jc w:val="center"/>
      <w:keepNext/>
      <w:pageBreakBefore/>
      <w:spacing w:line="14" w:lineRule="exact"/>
      <w:widowControl/>
      <w:outlineLvl w:val="0"/>
    </w:pPr>
    <w:rPr>
      <w:color w:val="ffffff"/>
    </w:rPr>
  </w:style>
  <w:style w:type="paragraph" w:styleId="2386" w:customStyle="1">
    <w:name w:val="附录五级无"/>
    <w:basedOn w:val="1906"/>
    <w:qFormat/>
    <w:pPr>
      <w:ind w:left="980"/>
      <w:tabs>
        <w:tab w:val="left" w:pos="360" w:leader="none"/>
        <w:tab w:val="clear" w:pos="780" w:leader="none"/>
      </w:tabs>
    </w:pPr>
    <w:rPr>
      <w:rFonts w:ascii="宋体" w:eastAsia="宋体"/>
      <w:szCs w:val="21"/>
    </w:rPr>
  </w:style>
  <w:style w:type="paragraph" w:styleId="2387" w:customStyle="1">
    <w:name w:val="附录一级无"/>
    <w:basedOn w:val="1711"/>
    <w:qFormat/>
    <w:pPr>
      <w:ind w:left="1779" w:hanging="1069"/>
      <w:tabs>
        <w:tab w:val="left" w:pos="360" w:leader="none"/>
      </w:tabs>
    </w:pPr>
    <w:rPr>
      <w:rFonts w:ascii="宋体" w:eastAsia="宋体"/>
      <w:szCs w:val="21"/>
    </w:rPr>
  </w:style>
  <w:style w:type="paragraph" w:styleId="2388" w:customStyle="1">
    <w:name w:val="附录字母编号列项（一级）"/>
    <w:qFormat/>
    <w:pPr>
      <w:ind w:left="900" w:hanging="420"/>
    </w:pPr>
    <w:rPr>
      <w:rFonts w:ascii="宋体"/>
      <w:sz w:val="21"/>
    </w:rPr>
  </w:style>
  <w:style w:type="paragraph" w:styleId="2389" w:customStyle="1">
    <w:name w:val="列项说明"/>
    <w:basedOn w:val="919"/>
    <w:qFormat/>
    <w:pPr>
      <w:ind w:left="400" w:hanging="200"/>
      <w:jc w:val="left"/>
      <w:spacing w:line="320" w:lineRule="exact"/>
    </w:pPr>
    <w:rPr>
      <w:rFonts w:ascii="宋体"/>
      <w:szCs w:val="20"/>
    </w:rPr>
  </w:style>
  <w:style w:type="paragraph" w:styleId="2390" w:customStyle="1">
    <w:name w:val="列项说明数字编号"/>
    <w:qFormat/>
    <w:pPr>
      <w:ind w:left="600" w:hanging="200"/>
    </w:pPr>
    <w:rPr>
      <w:rFonts w:ascii="宋体"/>
      <w:sz w:val="21"/>
    </w:rPr>
  </w:style>
  <w:style w:type="paragraph" w:styleId="2391" w:customStyle="1">
    <w:name w:val="其他标准标志"/>
    <w:basedOn w:val="1933"/>
    <w:qFormat/>
    <w:pPr>
      <w:framePr w:w="6101" w:h="1389" w:vSpace="181" w:hSpace="181" w:wrap="around" w:vAnchor="page" w:hAnchor="page" w:x="4673" w:y="942" w:hRule="exact"/>
    </w:pPr>
    <w:rPr>
      <w:szCs w:val="96"/>
    </w:rPr>
  </w:style>
  <w:style w:type="paragraph" w:styleId="2392" w:customStyle="1">
    <w:name w:val="三级无"/>
    <w:basedOn w:val="1597"/>
    <w:qFormat/>
    <w:pPr>
      <w:jc w:val="left"/>
    </w:pPr>
    <w:rPr>
      <w:rFonts w:ascii="宋体" w:eastAsia="宋体"/>
      <w:szCs w:val="21"/>
      <w:lang w:val="zh-CN"/>
    </w:rPr>
  </w:style>
  <w:style w:type="paragraph" w:styleId="2393" w:customStyle="1">
    <w:name w:val="示例后文字"/>
    <w:basedOn w:val="1246"/>
    <w:next w:val="1246"/>
    <w:qFormat/>
    <w:pPr>
      <w:ind w:firstLine="360"/>
      <w:tabs>
        <w:tab w:val="center" w:pos="4201" w:leader="none"/>
        <w:tab w:val="right" w:pos="9298" w:leader="dot"/>
      </w:tabs>
    </w:pPr>
    <w:rPr>
      <w:sz w:val="18"/>
    </w:rPr>
  </w:style>
  <w:style w:type="paragraph" w:styleId="2394" w:customStyle="1">
    <w:name w:val="四级无"/>
    <w:basedOn w:val="1769"/>
    <w:qFormat/>
    <w:pPr>
      <w:jc w:val="left"/>
    </w:pPr>
    <w:rPr>
      <w:rFonts w:ascii="宋体" w:eastAsia="宋体"/>
      <w:szCs w:val="21"/>
      <w:lang w:val="zh-CN"/>
    </w:rPr>
  </w:style>
  <w:style w:type="paragraph" w:styleId="2395" w:customStyle="1">
    <w:name w:val="图标脚注说明"/>
    <w:basedOn w:val="1246"/>
    <w:qFormat/>
    <w:pPr>
      <w:ind w:left="840" w:hanging="420"/>
      <w:tabs>
        <w:tab w:val="center" w:pos="4201" w:leader="none"/>
        <w:tab w:val="right" w:pos="9298" w:leader="dot"/>
      </w:tabs>
    </w:pPr>
    <w:rPr>
      <w:sz w:val="18"/>
      <w:szCs w:val="18"/>
    </w:rPr>
  </w:style>
  <w:style w:type="paragraph" w:styleId="2396" w:customStyle="1">
    <w:name w:val="图表脚注说明"/>
    <w:basedOn w:val="919"/>
    <w:qFormat/>
    <w:pPr>
      <w:ind w:left="811" w:hanging="448"/>
    </w:pPr>
    <w:rPr>
      <w:rFonts w:ascii="宋体"/>
      <w:sz w:val="18"/>
      <w:szCs w:val="18"/>
    </w:rPr>
  </w:style>
  <w:style w:type="paragraph" w:styleId="2397" w:customStyle="1">
    <w:name w:val="图的脚注"/>
    <w:next w:val="1246"/>
    <w:qFormat/>
    <w:pPr>
      <w:ind w:left="840" w:hanging="420"/>
      <w:jc w:val="both"/>
      <w:widowControl w:val="off"/>
    </w:pPr>
    <w:rPr>
      <w:rFonts w:ascii="宋体"/>
      <w:sz w:val="18"/>
    </w:rPr>
  </w:style>
  <w:style w:type="paragraph" w:styleId="2398" w:customStyle="1">
    <w:name w:val="五级无"/>
    <w:basedOn w:val="1832"/>
    <w:qFormat/>
    <w:pPr>
      <w:jc w:val="left"/>
    </w:pPr>
    <w:rPr>
      <w:rFonts w:ascii="宋体" w:eastAsia="宋体"/>
      <w:szCs w:val="21"/>
      <w:lang w:val="zh-CN"/>
    </w:rPr>
  </w:style>
  <w:style w:type="paragraph" w:styleId="2399" w:customStyle="1">
    <w:name w:val="一级无"/>
    <w:basedOn w:val="1270"/>
    <w:qFormat/>
    <w:pPr>
      <w:ind w:left="0" w:firstLine="0"/>
      <w:jc w:val="left"/>
    </w:pPr>
    <w:rPr>
      <w:rFonts w:ascii="宋体" w:eastAsia="宋体"/>
      <w:szCs w:val="21"/>
    </w:rPr>
  </w:style>
  <w:style w:type="paragraph" w:styleId="2400" w:customStyle="1">
    <w:name w:val="正文公式编号制表符"/>
    <w:basedOn w:val="1246"/>
    <w:next w:val="1246"/>
    <w:qFormat/>
    <w:pPr>
      <w:ind w:firstLine="0"/>
      <w:tabs>
        <w:tab w:val="center" w:pos="4201" w:leader="none"/>
        <w:tab w:val="right" w:pos="9298" w:leader="dot"/>
      </w:tabs>
    </w:pPr>
  </w:style>
  <w:style w:type="paragraph" w:styleId="2401" w:customStyle="1">
    <w:name w:val="终结线"/>
    <w:basedOn w:val="919"/>
    <w:qFormat/>
    <w:pPr>
      <w:framePr w:vSpace="181" w:hSpace="181" w:wrap="around" w:vAnchor="text" w:hAnchor="margin" w:xAlign="center" w:y="285"/>
    </w:pPr>
  </w:style>
  <w:style w:type="paragraph" w:styleId="2402" w:customStyle="1">
    <w:name w:val="其他发布日期"/>
    <w:basedOn w:val="1760"/>
    <w:qFormat/>
    <w:pPr>
      <w:framePr w:w="3997" w:h="471" w:vSpace="181" w:hSpace="0" w:wrap="around" w:vAnchor="page" w:hAnchor="page" w:x="1419" w:y="14097" w:hRule="exact"/>
    </w:pPr>
  </w:style>
  <w:style w:type="paragraph" w:styleId="2403" w:customStyle="1">
    <w:name w:val="其他实施日期"/>
    <w:basedOn w:val="1759"/>
    <w:qFormat/>
    <w:pPr>
      <w:ind w:left="0" w:firstLine="0"/>
      <w:framePr w:w="3997" w:h="471" w:vSpace="181" w:wrap="around" w:vAnchor="page" w:hAnchor="page" w:x="7089" w:y="14097" w:hRule="exact"/>
    </w:pPr>
  </w:style>
  <w:style w:type="paragraph" w:styleId="2404" w:customStyle="1">
    <w:name w:val="封面标准名称2"/>
    <w:basedOn w:val="2012"/>
    <w:qFormat/>
    <w:pPr>
      <w:framePr w:w="9639" w:wrap="around" w:vAnchor="page" w:hAnchor="page" w:y="4469"/>
    </w:pPr>
  </w:style>
  <w:style w:type="paragraph" w:styleId="2405" w:customStyle="1">
    <w:name w:val="封面标准英文名称2"/>
    <w:basedOn w:val="1811"/>
    <w:qFormat/>
    <w:pPr>
      <w:framePr w:w="9639" w:h="6917" w:wrap="around" w:vAnchor="page" w:hAnchor="page" w:xAlign="center" w:y="4469" w:hRule="exact"/>
    </w:pPr>
    <w:rPr>
      <w:rFonts w:eastAsia="黑体"/>
      <w:szCs w:val="28"/>
    </w:rPr>
  </w:style>
  <w:style w:type="paragraph" w:styleId="2406" w:customStyle="1">
    <w:name w:val="封面一致性程度标识2"/>
    <w:basedOn w:val="2193"/>
    <w:qFormat/>
    <w:pPr>
      <w:widowControl w:val="off"/>
      <w:framePr w:w="9639" w:h="6917" w:wrap="around" w:vAnchor="page" w:hAnchor="page" w:xAlign="center" w:y="4469" w:hRule="exact"/>
    </w:pPr>
    <w:rPr>
      <w:szCs w:val="28"/>
    </w:rPr>
  </w:style>
  <w:style w:type="paragraph" w:styleId="2407" w:customStyle="1">
    <w:name w:val="封面标准文稿类别2"/>
    <w:basedOn w:val="2067"/>
    <w:qFormat/>
    <w:pPr>
      <w:spacing w:after="160" w:line="240" w:lineRule="auto"/>
      <w:widowControl w:val="off"/>
      <w:framePr w:w="9639" w:h="6917" w:wrap="around" w:vAnchor="page" w:hAnchor="page" w:xAlign="center" w:y="4469" w:hRule="exact"/>
    </w:pPr>
    <w:rPr>
      <w:szCs w:val="28"/>
    </w:rPr>
  </w:style>
  <w:style w:type="paragraph" w:styleId="2408" w:customStyle="1">
    <w:name w:val="封面标准文稿编辑信息2"/>
    <w:basedOn w:val="2235"/>
    <w:qFormat/>
    <w:pPr>
      <w:spacing w:after="160"/>
      <w:widowControl w:val="off"/>
      <w:framePr w:w="9639" w:h="6917" w:wrap="around" w:vAnchor="page" w:hAnchor="page" w:xAlign="center" w:y="4469" w:hRule="exact"/>
    </w:pPr>
    <w:rPr>
      <w:szCs w:val="28"/>
    </w:rPr>
  </w:style>
  <w:style w:type="paragraph" w:styleId="2409" w:customStyle="1">
    <w:name w:val="标准文件_段"/>
    <w:qFormat/>
    <w:pPr>
      <w:ind w:left="-50" w:right="-50" w:firstLine="428"/>
      <w:jc w:val="both"/>
      <w:spacing w:line="276" w:lineRule="auto"/>
    </w:pPr>
    <w:rPr>
      <w:rFonts w:ascii="宋体"/>
      <w:color w:val="000000"/>
      <w:spacing w:val="2"/>
      <w:sz w:val="21"/>
      <w:lang w:val="en-GB"/>
    </w:rPr>
  </w:style>
  <w:style w:type="paragraph" w:styleId="2410" w:customStyle="1">
    <w:name w:val="封面正文内容"/>
    <w:basedOn w:val="919"/>
    <w:next w:val="919"/>
    <w:qFormat/>
    <w:rPr>
      <w:rFonts w:ascii="宋体" w:hAnsi="宋体" w:cs="宋体"/>
      <w:sz w:val="30"/>
      <w:szCs w:val="30"/>
    </w:rPr>
  </w:style>
  <w:style w:type="paragraph" w:styleId="2411" w:customStyle="1">
    <w:name w:val="a"/>
    <w:basedOn w:val="919"/>
    <w:qFormat/>
    <w:pPr>
      <w:jc w:val="left"/>
      <w:spacing w:before="100" w:beforeAutospacing="1" w:after="100" w:afterAutospacing="1"/>
      <w:widowControl/>
    </w:pPr>
    <w:rPr>
      <w:rFonts w:ascii="宋体" w:hAnsi="宋体" w:cs="宋体"/>
      <w:sz w:val="24"/>
    </w:rPr>
  </w:style>
  <w:style w:type="paragraph" w:styleId="2412" w:customStyle="1">
    <w:name w:val="方框下的ABC标题"/>
    <w:basedOn w:val="919"/>
    <w:qFormat/>
    <w:pPr>
      <w:spacing w:line="360" w:lineRule="auto"/>
    </w:pPr>
    <w:rPr>
      <w:rFonts w:hAnsi="宋体"/>
    </w:rPr>
  </w:style>
  <w:style w:type="paragraph" w:styleId="2413" w:customStyle="1">
    <w:name w:val="SUR-方框下的ABC标题"/>
    <w:basedOn w:val="919"/>
    <w:qFormat/>
    <w:pPr>
      <w:ind w:left="726" w:hanging="363"/>
      <w:jc w:val="left"/>
      <w:spacing w:line="360" w:lineRule="auto"/>
      <w:tabs>
        <w:tab w:val="left" w:pos="1140" w:leader="none"/>
      </w:tabs>
    </w:pPr>
    <w:rPr>
      <w:szCs w:val="20"/>
      <w:lang w:eastAsia="en-US"/>
    </w:rPr>
  </w:style>
  <w:style w:type="paragraph" w:styleId="2414" w:customStyle="1">
    <w:name w:val="D正文"/>
    <w:qFormat/>
    <w:pPr>
      <w:ind w:firstLine="200"/>
      <w:spacing w:line="360" w:lineRule="auto"/>
    </w:pPr>
    <w:rPr>
      <w:rFonts w:eastAsia="楷体_GB2312"/>
      <w:sz w:val="24"/>
      <w:szCs w:val="24"/>
    </w:rPr>
  </w:style>
  <w:style w:type="paragraph" w:styleId="2415" w:customStyle="1">
    <w:name w:val="D标题二"/>
    <w:basedOn w:val="2414"/>
    <w:next w:val="2414"/>
    <w:qFormat/>
    <w:rPr>
      <w:rFonts w:eastAsia="黑体"/>
    </w:rPr>
  </w:style>
  <w:style w:type="paragraph" w:styleId="2416" w:customStyle="1">
    <w:name w:val="点对点应答文字"/>
    <w:basedOn w:val="919"/>
    <w:qFormat/>
    <w:pPr>
      <w:jc w:val="left"/>
      <w:spacing w:line="360" w:lineRule="auto"/>
    </w:pPr>
    <w:rPr>
      <w:i/>
      <w:color w:val="0000ff"/>
      <w:szCs w:val="20"/>
      <w:lang w:eastAsia="en-US"/>
    </w:rPr>
  </w:style>
  <w:style w:type="paragraph" w:styleId="2417" w:customStyle="1">
    <w:name w:val="SUR-方框标题"/>
    <w:basedOn w:val="919"/>
    <w:qFormat/>
    <w:pPr>
      <w:jc w:val="left"/>
      <w:spacing w:line="360" w:lineRule="auto"/>
    </w:pPr>
    <w:rPr>
      <w:szCs w:val="20"/>
      <w:lang w:eastAsia="en-US"/>
    </w:rPr>
  </w:style>
  <w:style w:type="paragraph" w:styleId="2418" w:customStyle="1">
    <w:name w:val="表内文字"/>
    <w:qFormat/>
    <w:rPr>
      <w:sz w:val="21"/>
    </w:rPr>
  </w:style>
  <w:style w:type="paragraph" w:styleId="2419" w:customStyle="1">
    <w:name w:val="示意图说明"/>
    <w:basedOn w:val="919"/>
    <w:next w:val="1085"/>
    <w:qFormat/>
    <w:pPr>
      <w:jc w:val="center"/>
      <w:spacing w:line="360" w:lineRule="auto"/>
    </w:pPr>
    <w:rPr>
      <w:rFonts w:eastAsia="黑体"/>
      <w:szCs w:val="20"/>
      <w:lang w:eastAsia="en-US"/>
    </w:rPr>
  </w:style>
  <w:style w:type="paragraph" w:styleId="2420" w:customStyle="1">
    <w:name w:val="方框标题"/>
    <w:basedOn w:val="919"/>
    <w:next w:val="919"/>
    <w:qFormat/>
    <w:pPr>
      <w:ind w:firstLine="397"/>
      <w:spacing w:line="360" w:lineRule="auto"/>
      <w:tabs>
        <w:tab w:val="left" w:pos="420" w:leader="none"/>
      </w:tabs>
    </w:pPr>
    <w:rPr>
      <w:rFonts w:eastAsia="黑体"/>
    </w:rPr>
  </w:style>
  <w:style w:type="paragraph" w:styleId="2421" w:customStyle="1">
    <w:name w:val="封面"/>
    <w:qFormat/>
    <w:pPr>
      <w:jc w:val="both"/>
      <w:spacing w:line="412" w:lineRule="atLeast"/>
      <w:widowControl w:val="off"/>
    </w:pPr>
    <w:rPr>
      <w:sz w:val="21"/>
    </w:rPr>
  </w:style>
  <w:style w:type="paragraph" w:styleId="2422" w:customStyle="1">
    <w:name w:val="MM Topic 1"/>
    <w:basedOn w:val="92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23" w:customStyle="1">
    <w:name w:val="MM Topic 3"/>
    <w:basedOn w:val="922"/>
    <w:qFormat/>
    <w:pPr>
      <w:ind w:left="420" w:hanging="420"/>
      <w:tabs>
        <w:tab w:val="left" w:pos="0" w:leader="none"/>
      </w:tabs>
    </w:pPr>
    <w:rPr>
      <w:rFonts w:ascii="Calibri" w:hAnsi="Calibri"/>
      <w:bCs/>
      <w:szCs w:val="32"/>
      <w:lang w:val="zh-CN"/>
    </w:rPr>
  </w:style>
  <w:style w:type="paragraph" w:styleId="2424" w:customStyle="1">
    <w:name w:val="p15"/>
    <w:basedOn w:val="919"/>
    <w:qFormat/>
    <w:pPr>
      <w:jc w:val="left"/>
      <w:spacing w:before="156" w:after="156"/>
      <w:widowControl/>
    </w:pPr>
    <w:rPr>
      <w:rFonts w:ascii="黑体" w:hAnsi="黑体" w:eastAsia="黑体" w:cs="宋体"/>
      <w:szCs w:val="21"/>
    </w:rPr>
  </w:style>
  <w:style w:type="paragraph" w:styleId="2425" w:customStyle="1">
    <w:name w:val="p16"/>
    <w:basedOn w:val="919"/>
    <w:qFormat/>
    <w:pPr>
      <w:ind w:firstLine="420"/>
      <w:widowControl/>
    </w:pPr>
    <w:rPr>
      <w:rFonts w:ascii="宋体" w:hAnsi="宋体" w:cs="宋体"/>
      <w:sz w:val="20"/>
      <w:szCs w:val="20"/>
    </w:rPr>
  </w:style>
  <w:style w:type="paragraph" w:styleId="2426" w:customStyle="1">
    <w:name w:val="p17"/>
    <w:basedOn w:val="919"/>
    <w:qFormat/>
    <w:pPr>
      <w:jc w:val="center"/>
      <w:spacing w:before="156" w:after="156"/>
      <w:widowControl/>
    </w:pPr>
    <w:rPr>
      <w:rFonts w:ascii="黑体" w:hAnsi="黑体" w:eastAsia="黑体" w:cs="宋体"/>
      <w:szCs w:val="21"/>
    </w:rPr>
  </w:style>
  <w:style w:type="paragraph" w:styleId="2427" w:customStyle="1">
    <w:name w:val="0-投标正文"/>
    <w:basedOn w:val="92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28" w:customStyle="1">
    <w:name w:val="网格型1"/>
    <w:basedOn w:val="93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29" w:customStyle="1">
    <w:name w:val="网格型2"/>
    <w:basedOn w:val="93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0" w:customStyle="1">
    <w:name w:val="网格型11"/>
    <w:basedOn w:val="93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1" w:customStyle="1">
    <w:name w:val="网格型21"/>
    <w:basedOn w:val="93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2" w:customStyle="1">
    <w:name w:val="网格型3"/>
    <w:basedOn w:val="9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3" w:customStyle="1">
    <w:name w:val="网格型12"/>
    <w:basedOn w:val="93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4" w:customStyle="1">
    <w:name w:val="网格型22"/>
    <w:basedOn w:val="93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5" w:customStyle="1">
    <w:name w:val="网格型4"/>
    <w:basedOn w:val="9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6" w:customStyle="1">
    <w:name w:val="网格型13"/>
    <w:basedOn w:val="93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7" w:customStyle="1">
    <w:name w:val="网格型23"/>
    <w:basedOn w:val="93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8" w:customStyle="1">
    <w:name w:val="网格型5"/>
    <w:basedOn w:val="9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39" w:customStyle="1">
    <w:name w:val="网格型6"/>
    <w:basedOn w:val="9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40" w:customStyle="1">
    <w:name w:val="网格型14"/>
    <w:basedOn w:val="93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41" w:customStyle="1">
    <w:name w:val="网格型24"/>
    <w:basedOn w:val="93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42" w:customStyle="1">
    <w:name w:val="网格型7"/>
    <w:basedOn w:val="9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43" w:customStyle="1">
    <w:name w:val="网格型8"/>
    <w:basedOn w:val="93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444" w:customStyle="1">
    <w:name w:val="普通(网站) Char"/>
    <w:qFormat/>
    <w:rPr>
      <w:rFonts w:ascii="宋体" w:hAnsi="宋体" w:cs="宋体"/>
      <w:color w:val="000000"/>
      <w:sz w:val="24"/>
      <w:szCs w:val="24"/>
    </w:rPr>
  </w:style>
  <w:style w:type="character" w:styleId="2445" w:customStyle="1">
    <w:name w:val="正文缩进 Char"/>
    <w:qFormat/>
    <w:rPr>
      <w:rFonts w:eastAsia="宋体"/>
      <w:sz w:val="21"/>
      <w:lang w:val="en-US" w:eastAsia="zh-CN" w:bidi="ar-SA"/>
    </w:rPr>
  </w:style>
  <w:style w:type="character" w:styleId="2446" w:customStyle="1">
    <w:name w:val="正文文本首行缩进 2 字符"/>
    <w:basedOn w:val="1724"/>
    <w:link w:val="1136"/>
    <w:uiPriority w:val="99"/>
    <w:semiHidden/>
    <w:qFormat/>
    <w:rPr>
      <w:rFonts w:ascii="Times New Roman" w:hAnsi="Times New Roman" w:eastAsia="宋体" w:cs="Times New Roman"/>
      <w:szCs w:val="24"/>
    </w:rPr>
  </w:style>
  <w:style w:type="character" w:styleId="2447" w:customStyle="1">
    <w:name w:val="正文文本首行缩进 字符"/>
    <w:basedOn w:val="1725"/>
    <w:link w:val="1135"/>
    <w:uiPriority w:val="99"/>
    <w:semiHidden/>
    <w:qFormat/>
    <w:rPr>
      <w:rFonts w:ascii="Times New Roman" w:hAnsi="Times New Roman" w:eastAsia="宋体" w:cs="Times New Roman"/>
      <w:szCs w:val="24"/>
    </w:rPr>
  </w:style>
  <w:style w:type="paragraph" w:styleId="2448" w:customStyle="1">
    <w:name w:val="Andy_正文格式"/>
    <w:basedOn w:val="919"/>
    <w:qFormat/>
    <w:pPr>
      <w:ind w:firstLine="560"/>
      <w:jc w:val="left"/>
    </w:pPr>
    <w:rPr>
      <w:rFonts w:ascii="仿宋_GB2312" w:eastAsia="仿宋_GB2312"/>
      <w:sz w:val="28"/>
      <w:szCs w:val="28"/>
    </w:rPr>
  </w:style>
  <w:style w:type="character" w:styleId="2449" w:customStyle="1">
    <w:name w:val="p141"/>
    <w:qFormat/>
    <w:rPr>
      <w:sz w:val="21"/>
      <w:szCs w:val="21"/>
    </w:rPr>
  </w:style>
  <w:style w:type="character" w:styleId="2450" w:customStyle="1">
    <w:name w:val="标题 3 字符"/>
    <w:qFormat/>
    <w:rPr>
      <w:b/>
      <w:sz w:val="32"/>
    </w:rPr>
  </w:style>
  <w:style w:type="paragraph" w:styleId="2451" w:customStyle="1">
    <w:name w:val="正文_4"/>
    <w:qFormat/>
    <w:pPr>
      <w:jc w:val="both"/>
      <w:widowControl w:val="off"/>
    </w:pPr>
    <w:rPr>
      <w:sz w:val="21"/>
      <w:szCs w:val="24"/>
    </w:rPr>
  </w:style>
  <w:style w:type="character" w:styleId="2452" w:customStyle="1">
    <w:name w:val="px_10"/>
    <w:basedOn w:val="929"/>
    <w:qFormat/>
  </w:style>
  <w:style w:type="paragraph" w:styleId="2453" w:customStyle="1">
    <w:name w:val="正文_8"/>
    <w:qFormat/>
    <w:pPr>
      <w:jc w:val="both"/>
      <w:widowControl w:val="off"/>
    </w:pPr>
    <w:rPr>
      <w:rFonts w:ascii="Calibri" w:hAnsi="Calibri"/>
      <w:sz w:val="21"/>
      <w:szCs w:val="22"/>
    </w:rPr>
  </w:style>
  <w:style w:type="paragraph" w:styleId="2454" w:customStyle="1">
    <w:name w:val="text-tag"/>
    <w:basedOn w:val="919"/>
    <w:uiPriority w:val="99"/>
    <w:semiHidden/>
    <w:qFormat/>
    <w:pPr>
      <w:jc w:val="left"/>
      <w:spacing w:before="100" w:beforeAutospacing="1" w:after="100" w:afterAutospacing="1"/>
      <w:widowControl/>
    </w:pPr>
    <w:rPr>
      <w:rFonts w:ascii="宋体" w:hAnsi="宋体" w:cs="宋体"/>
      <w:sz w:val="24"/>
    </w:rPr>
  </w:style>
  <w:style w:type="paragraph" w:styleId="2455" w:customStyle="1">
    <w:name w:val="_Style 1379"/>
    <w:basedOn w:val="919"/>
    <w:next w:val="919"/>
    <w:qFormat/>
    <w:pPr>
      <w:jc w:val="center"/>
      <w:pBdr>
        <w:bottom w:val="single" w:color="auto" w:sz="6" w:space="1"/>
      </w:pBdr>
    </w:pPr>
    <w:rPr>
      <w:rFonts w:ascii="Arial"/>
      <w:vanish/>
      <w:sz w:val="16"/>
    </w:rPr>
  </w:style>
  <w:style w:type="paragraph" w:styleId="2456" w:customStyle="1">
    <w:name w:val="_Style 1380"/>
    <w:basedOn w:val="919"/>
    <w:next w:val="919"/>
    <w:qFormat/>
    <w:pPr>
      <w:jc w:val="center"/>
      <w:pBdr>
        <w:top w:val="single" w:color="auto" w:sz="6" w:space="1"/>
      </w:pBdr>
    </w:pPr>
    <w:rPr>
      <w:rFonts w:ascii="Arial"/>
      <w:vanish/>
      <w:sz w:val="16"/>
    </w:rPr>
  </w:style>
  <w:style w:type="paragraph" w:styleId="2457" w:customStyle="1">
    <w:name w:val="Normal_19"/>
    <w:next w:val="2458"/>
    <w:qFormat/>
    <w:pPr>
      <w:jc w:val="both"/>
      <w:widowControl w:val="off"/>
    </w:pPr>
    <w:rPr>
      <w:sz w:val="21"/>
      <w:szCs w:val="24"/>
    </w:rPr>
  </w:style>
  <w:style w:type="paragraph" w:styleId="2458" w:customStyle="1">
    <w:name w:val="正文文本5"/>
    <w:basedOn w:val="2457"/>
    <w:qFormat/>
    <w:rPr>
      <w:rFonts w:ascii="楷体_GB2312" w:hAnsi="Arial" w:eastAsia="楷体_GB2312"/>
      <w:sz w:val="28"/>
      <w:szCs w:val="20"/>
    </w:rPr>
  </w:style>
  <w:style w:type="character" w:styleId="2459" w:customStyle="1">
    <w:name w:val="纯文本 Char1"/>
    <w:link w:val="2018"/>
    <w:qFormat/>
    <w:rPr>
      <w:rFonts w:ascii="宋体" w:hAnsi="Courier New"/>
      <w:sz w:val="21"/>
      <w:szCs w:val="21"/>
    </w:rPr>
  </w:style>
  <w:style w:type="paragraph" w:styleId="2460" w:customStyle="1">
    <w:name w:val="索引 11"/>
    <w:basedOn w:val="919"/>
    <w:next w:val="919"/>
    <w:uiPriority w:val="99"/>
    <w:qFormat/>
    <w:pPr>
      <w:spacing w:line="360" w:lineRule="auto"/>
    </w:pPr>
    <w:rPr>
      <w:rFonts w:ascii="仿宋_GB2312" w:eastAsia="仿宋_GB2312"/>
      <w:sz w:val="24"/>
      <w:szCs w:val="20"/>
    </w:rPr>
  </w:style>
  <w:style w:type="paragraph" w:styleId="2461" w:customStyle="1">
    <w:name w:val="修订2"/>
    <w:hidden/>
    <w:uiPriority w:val="99"/>
    <w:unhideWhenUsed/>
    <w:qFormat/>
    <w:rPr>
      <w:sz w:val="21"/>
      <w:szCs w:val="24"/>
    </w:rPr>
  </w:style>
  <w:style w:type="paragraph" w:styleId="2462" w:customStyle="1">
    <w:name w:val="正文_0"/>
    <w:qFormat/>
    <w:pPr>
      <w:jc w:val="both"/>
      <w:widowControl w:val="off"/>
    </w:pPr>
    <w:rPr>
      <w:rFonts w:ascii="Calibri" w:hAnsi="Calibri"/>
      <w:sz w:val="21"/>
      <w:szCs w:val="22"/>
    </w:rPr>
  </w:style>
  <w:style w:type="paragraph" w:styleId="2463" w:customStyle="1">
    <w:name w:val="Normal_0"/>
    <w:qFormat/>
    <w:rPr>
      <w:rFonts w:eastAsia="Times New Roman"/>
      <w:sz w:val="24"/>
      <w:szCs w:val="24"/>
    </w:rPr>
  </w:style>
  <w:style w:type="character" w:styleId="2464" w:customStyle="1">
    <w:name w:val="titlebody"/>
    <w:basedOn w:val="929"/>
    <w:qFormat/>
    <w:rPr>
      <w:rFonts w:ascii="宋体" w:hAnsi="宋体" w:eastAsia="宋体" w:cs="宋体"/>
      <w:b/>
      <w:bCs/>
      <w:color w:val="000000"/>
      <w:sz w:val="24"/>
      <w:szCs w:val="24"/>
    </w:rPr>
  </w:style>
  <w:style w:type="paragraph" w:styleId="2465" w:customStyle="1">
    <w:name w:val="WPSOffice手动目录 1"/>
    <w:qFormat/>
  </w:style>
  <w:style w:type="paragraph" w:styleId="2466" w:customStyle="1">
    <w:name w:val="正文_7_0"/>
    <w:qFormat/>
    <w:rPr>
      <w:sz w:val="24"/>
      <w:szCs w:val="24"/>
    </w:rPr>
  </w:style>
  <w:style w:type="paragraph" w:styleId="2467" w:customStyle="1">
    <w:name w:val="Normal_18"/>
    <w:qFormat/>
    <w:rPr>
      <w:rFonts w:eastAsia="Times New Roman"/>
      <w:sz w:val="24"/>
      <w:szCs w:val="24"/>
    </w:rPr>
  </w:style>
  <w:style w:type="paragraph" w:styleId="2468" w:customStyle="1">
    <w:name w:val="正文文本缩进3"/>
    <w:basedOn w:val="2457"/>
    <w:uiPriority w:val="99"/>
    <w:unhideWhenUsed/>
    <w:qFormat/>
    <w:pPr>
      <w:ind w:left="420"/>
      <w:spacing w:after="120"/>
    </w:pPr>
  </w:style>
  <w:style w:type="paragraph" w:styleId="2469" w:customStyle="1">
    <w:name w:val="Normal Indent_0"/>
    <w:basedOn w:val="2457"/>
    <w:unhideWhenUsed/>
    <w:qFormat/>
    <w:pPr>
      <w:ind w:firstLine="420"/>
    </w:pPr>
  </w:style>
  <w:style w:type="paragraph" w:styleId="2470" w:customStyle="1">
    <w:name w:val="Normal_13_0"/>
    <w:qFormat/>
    <w:rPr>
      <w:rFonts w:eastAsia="Times New Roman"/>
      <w:sz w:val="24"/>
      <w:szCs w:val="24"/>
    </w:rPr>
  </w:style>
  <w:style w:type="paragraph" w:styleId="2471" w:customStyle="1">
    <w:name w:val="Normal_26"/>
    <w:qFormat/>
    <w:rPr>
      <w:rFonts w:eastAsia="Times New Roman"/>
      <w:sz w:val="24"/>
      <w:szCs w:val="24"/>
    </w:rPr>
  </w:style>
  <w:style w:type="paragraph" w:styleId="2472" w:customStyle="1">
    <w:name w:val="Normal_5"/>
    <w:qFormat/>
    <w:rPr>
      <w:rFonts w:eastAsia="Times New Roman"/>
      <w:sz w:val="24"/>
      <w:szCs w:val="24"/>
    </w:rPr>
  </w:style>
  <w:style w:type="paragraph" w:styleId="2473" w:customStyle="1">
    <w:name w:val="Normal_6"/>
    <w:qFormat/>
    <w:rPr>
      <w:rFonts w:eastAsia="Times New Roman"/>
      <w:sz w:val="24"/>
      <w:szCs w:val="24"/>
    </w:rPr>
  </w:style>
  <w:style w:type="paragraph" w:styleId="2474" w:customStyle="1">
    <w:name w:val="正文_11"/>
    <w:qFormat/>
    <w:rPr>
      <w:rFonts w:eastAsia="等线"/>
      <w:sz w:val="24"/>
      <w:szCs w:val="24"/>
    </w:rPr>
  </w:style>
  <w:style w:type="paragraph" w:styleId="2475" w:customStyle="1">
    <w:name w:val="正文_7"/>
    <w:qFormat/>
    <w:rPr>
      <w:sz w:val="24"/>
      <w:szCs w:val="24"/>
    </w:rPr>
  </w:style>
  <w:style w:type="paragraph" w:styleId="2476" w:customStyle="1">
    <w:name w:val="AONormal"/>
    <w:qFormat/>
    <w:pPr>
      <w:ind w:firstLine="440"/>
      <w:spacing w:line="400" w:lineRule="exact"/>
    </w:pPr>
    <w:rPr>
      <w:rFonts w:ascii="华文楷体" w:hAnsi="华文楷体" w:eastAsia="华文楷体" w:cs="华文楷体"/>
      <w:sz w:val="22"/>
      <w:szCs w:val="21"/>
    </w:rPr>
  </w:style>
  <w:style w:type="character" w:styleId="2477" w:customStyle="1">
    <w:name w:val="font101"/>
    <w:basedOn w:val="929"/>
    <w:qFormat/>
    <w:rPr>
      <w:rFonts w:ascii="宋体" w:hAnsi="宋体" w:eastAsia="宋体" w:cs="宋体"/>
      <w:color w:val="000000"/>
      <w:sz w:val="20"/>
      <w:szCs w:val="20"/>
      <w:u w:val="none"/>
    </w:rPr>
  </w:style>
  <w:style w:type="character" w:styleId="2478" w:customStyle="1">
    <w:name w:val="font112"/>
    <w:basedOn w:val="929"/>
    <w:qFormat/>
    <w:rPr>
      <w:rFonts w:hint="eastAsia" w:ascii="宋体" w:hAnsi="宋体" w:eastAsia="宋体" w:cs="宋体"/>
      <w:color w:val="000000"/>
      <w:sz w:val="21"/>
      <w:szCs w:val="21"/>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mailto:4K@30fps" TargetMode="External"/><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hyperlink" Target="mailto:4K@30fps" TargetMode="External"/><Relationship Id="rId40" Type="http://schemas.openxmlformats.org/officeDocument/2006/relationships/hyperlink" Target="http://cx.cnca.cn/CertECloud/index/index/page" TargetMode="External"/><Relationship Id="rId41" Type="http://schemas.openxmlformats.org/officeDocument/2006/relationships/hyperlink" Target="http://cx.cnca.cn/CertECloud/index/index/pag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01FBDF4-3027-49E5-B3D8-EBAE42B9486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史圣雨</cp:lastModifiedBy>
  <cp:revision>32</cp:revision>
  <dcterms:created xsi:type="dcterms:W3CDTF">2023-05-05T09:13:00Z</dcterms:created>
  <dcterms:modified xsi:type="dcterms:W3CDTF">2025-09-08T07:39:49Z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42D83669C7C34074A0E59C830BBE4326_13</vt:lpwstr>
  </property>
  <property fmtid="{D5CDD505-2E9C-101B-9397-08002B2CF9AE}" pid="4" name="KSOTemplateDocerSaveRecord">
    <vt:lpwstr>eyJoZGlkIjoiNmJiYjQxYTg5Y2NhMDU3N2QyN2Q5ZmNjYjNiYzE4MTUiLCJ1c2VySWQiOiI2OTMxMzQ2NzQifQ==</vt:lpwstr>
  </property>
</Properties>
</file>