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项目编号：JSZC-320583-XHSZ-G2024-0008</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尚明甸农事服务中心烘干设备</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昆山市张浦镇人民政府（昆山市张浦镇农村工作局）</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pStyle w:val="902"/>
        <w:ind w:firstLine="420"/>
        <w:spacing w:line="360" w:lineRule="auto"/>
        <w:rPr>
          <w:rFonts w:eastAsia="等线"/>
          <w:lang w:val="zh-CN"/>
        </w:rPr>
      </w:pPr>
      <w:r>
        <w:rPr>
          <w:rFonts w:eastAsia="等线"/>
          <w:lang w:val="zh-CN"/>
        </w:rPr>
      </w:r>
      <w:r/>
    </w:p>
    <w:p>
      <w:pPr>
        <w:rPr>
          <w:rFonts w:eastAsia="等线"/>
          <w:lang w:val="zh-CN"/>
        </w:rPr>
      </w:pPr>
      <w:r>
        <w:rPr>
          <w:rFonts w:eastAsia="等线"/>
          <w:lang w:val="zh-CN"/>
        </w:rPr>
      </w:r>
      <w:r/>
    </w:p>
    <w:p>
      <w:pPr>
        <w:pStyle w:val="871"/>
        <w:rPr>
          <w:rFonts w:eastAsia="等线"/>
          <w:lang w:val="zh-CN"/>
        </w:rPr>
      </w:pPr>
      <w:r>
        <w:rPr>
          <w:rFonts w:eastAsia="等线"/>
          <w:lang w:val="zh-CN"/>
        </w:rPr>
      </w:r>
      <w:r/>
    </w:p>
    <w:p>
      <w:pPr>
        <w:pStyle w:val="871"/>
        <w:rPr>
          <w:rFonts w:eastAsia="等线"/>
          <w:lang w:val="zh-CN"/>
        </w:rPr>
      </w:pPr>
      <w:r>
        <w:rPr>
          <w:rFonts w:eastAsia="等线"/>
          <w:lang w:val="zh-CN"/>
        </w:rPr>
      </w:r>
      <w:r/>
    </w:p>
    <w:p>
      <w:pPr>
        <w:pStyle w:val="902"/>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874"/>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四</w:t>
      </w:r>
      <w:r>
        <w:rPr>
          <w:rFonts w:eastAsia="宋体"/>
          <w:sz w:val="30"/>
          <w:szCs w:val="30"/>
          <w:lang w:val="zh-CN"/>
        </w:rPr>
        <w:t xml:space="preserve">年</w:t>
      </w:r>
      <w:r>
        <w:rPr>
          <w:rFonts w:hint="eastAsia" w:eastAsia="宋体"/>
          <w:sz w:val="30"/>
          <w:szCs w:val="30"/>
          <w:lang w:val="zh-CN"/>
        </w:rPr>
        <w:t xml:space="preserve">五</w:t>
      </w:r>
      <w:r>
        <w:rPr>
          <w:rFonts w:eastAsia="宋体"/>
          <w:sz w:val="30"/>
          <w:szCs w:val="30"/>
          <w:lang w:val="zh-CN"/>
        </w:rPr>
        <w:t xml:space="preserve">月</w:t>
      </w:r>
      <w:r/>
    </w:p>
    <w:p>
      <w:pPr>
        <w:pStyle w:val="866"/>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866"/>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866"/>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866"/>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866"/>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3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3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02"/>
        <w:ind w:firstLine="0"/>
        <w:spacing w:line="360" w:lineRule="auto"/>
        <w:rPr>
          <w:rFonts w:eastAsia="等线"/>
        </w:rPr>
      </w:pPr>
      <w:r>
        <w:rPr>
          <w:rFonts w:eastAsia="等线"/>
        </w:rPr>
      </w:r>
      <w:r/>
    </w:p>
    <w:p>
      <w:pPr>
        <w:pStyle w:val="860"/>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866"/>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昆山市张浦镇人民政府（昆山市张浦镇农村工作局）</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尚明甸农事服务中心烘干设备</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1、项目名称：尚明甸农事服务中心烘干设备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2、项目编号：JSZC-320583-XHSZ-G2024-0008</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highlight w:val="yellow"/>
          <w:shd w:val="clear" w:color="auto" w:fill="ffffff"/>
          <w:lang w:val="en-US" w:eastAsia="zh-CN" w:bidi="ar"/>
        </w:rPr>
        <w:t xml:space="preserve">3、采购内容：项目包含批处理240T（30T/台*8）低温循环式烘干机，高效、节能、环保的高压脉冲除尘系统，2套40T/h的粮食接收系统、清理系统、提升系统及输送系统，8座30T/座的金属方仓（潮粮仓），2座60T/座的金属方仓（干粮仓）</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yellow"/>
          <w:shd w:val="clear" w:color="auto" w:fill="ffffff"/>
          <w:lang w:val="en-US" w:eastAsia="zh-CN" w:bidi="ar"/>
        </w:rPr>
        <w:t xml:space="preserve">4、预算金额：</w:t>
      </w:r>
      <w:r>
        <w:rPr>
          <w:rFonts w:hint="eastAsia" w:asciiTheme="minorEastAsia" w:hAnsiTheme="minorEastAsia" w:eastAsiaTheme="minorEastAsia" w:cstheme="minorEastAsia"/>
          <w:b w:val="0"/>
          <w:bCs w:val="0"/>
          <w:i w:val="0"/>
          <w:iCs w:val="0"/>
          <w:caps w:val="0"/>
          <w:color w:val="0000ff"/>
          <w:spacing w:val="0"/>
          <w:sz w:val="21"/>
          <w:szCs w:val="21"/>
          <w:highlight w:val="yellow"/>
          <w:shd w:val="clear" w:color="auto" w:fill="ffffff"/>
          <w:lang w:val="en-US" w:eastAsia="zh-CN" w:bidi="ar"/>
        </w:rPr>
        <w:t xml:space="preserve">人民币壹仟肆佰叁拾贰万贰仟玖佰柒拾元整（¥14322970.00元）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yellow"/>
          <w:shd w:val="clear" w:color="auto" w:fill="ffffff"/>
          <w:lang w:val="en-US" w:eastAsia="zh-CN" w:bidi="ar"/>
        </w:rPr>
        <w:t xml:space="preserve">2、落实政府采购政策需满足的资格要求：本项目专门面向中小企业采购，残疾人福利性单位、监狱企业视同小型、微型企业。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yellow"/>
          <w:lang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yellow"/>
          <w:shd w:val="clear" w:color="auto" w:fill="ffffff"/>
          <w:lang w:val="en-US" w:eastAsia="zh-CN" w:bidi="ar"/>
        </w:rPr>
        <w:t xml:space="preserve">3、本项目的特定资格要求：无</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1、获取时间：</w:t>
      </w:r>
      <w:r>
        <w:rPr>
          <w:rFonts w:hint="eastAsia" w:asciiTheme="minorEastAsia" w:hAnsiTheme="minorEastAsia" w:eastAsiaTheme="minorEastAsia" w:cstheme="minorEastAsia"/>
          <w:b w:val="0"/>
          <w:bCs w:val="0"/>
          <w:i w:val="0"/>
          <w:iCs w:val="0"/>
          <w:caps w:val="0"/>
          <w:color w:val="ff0000"/>
          <w:spacing w:val="0"/>
          <w:sz w:val="21"/>
          <w:szCs w:val="21"/>
          <w:shd w:val="clear" w:color="auto" w:fill="ffffff"/>
          <w:lang w:val="en-US" w:eastAsia="zh-CN" w:bidi="ar"/>
        </w:rPr>
        <w:t xml:space="preserve">上网之日起至2024年05月24日17:00</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4、招标文件售价：免费</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ff0000"/>
          <w:spacing w:val="0"/>
          <w:sz w:val="21"/>
          <w:szCs w:val="21"/>
          <w:shd w:val="clear" w:color="auto" w:fill="ffffff"/>
          <w:lang w:val="en-US" w:eastAsia="zh-CN" w:bidi="ar"/>
        </w:rPr>
        <w:t xml:space="preserve">1、提交投标文件截止时间：2024年06月07日9:30（北京时间）；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ff0000"/>
          <w:spacing w:val="0"/>
          <w:sz w:val="21"/>
          <w:szCs w:val="21"/>
          <w:shd w:val="clear" w:color="auto" w:fill="ffffff"/>
          <w:lang w:val="en-US" w:eastAsia="zh-CN" w:bidi="ar"/>
        </w:rPr>
        <w:t xml:space="preserve">2、开标时间：2024年06月07日9:30（北京时间）；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3、开标地点：“苏采云”系统（网址：http://jszfcg.jsczt.cn/）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1、采购人：昆山市张浦镇人民政府（昆山市张浦镇农村工作局）</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地址：昆山市张浦镇海虹路1000号</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联系人：马超         </w:t>
      </w:r>
      <w:r>
        <w:rPr>
          <w:rFonts w:hint="eastAsia" w:asciiTheme="minorEastAsia" w:hAnsiTheme="minorEastAsia" w:eastAsiaTheme="minorEastAsia" w:cstheme="minorEastAsia"/>
          <w:i w:val="0"/>
          <w:iCs w:val="0"/>
          <w:caps w:val="0"/>
          <w:color w:val="333333"/>
          <w:spacing w:val="0"/>
          <w:sz w:val="21"/>
          <w:szCs w:val="21"/>
          <w:highlight w:val="none"/>
          <w:shd w:val="clear" w:color="auto" w:fill="ffffff"/>
          <w:lang w:val="en-US" w:eastAsia="zh-CN" w:bidi="ar"/>
        </w:rPr>
        <w:t xml:space="preserve"> 联系电话：0512-57441513</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联系人：袁丹丹        联系电话：0512-57367272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ascii="宋体" w:hAnsi="宋体" w:cs="宋体"/>
          <w:color w:val="0000ff"/>
          <w:szCs w:val="21"/>
        </w:rPr>
      </w:pPr>
      <w:r>
        <w:rPr>
          <w:rFonts w:hint="eastAsia" w:ascii="宋体" w:hAnsi="宋体" w:cs="宋体"/>
          <w:color w:val="0000ff"/>
        </w:rPr>
        <w:t xml:space="preserve">202</w:t>
      </w:r>
      <w:r>
        <w:rPr>
          <w:rFonts w:hint="eastAsia" w:ascii="宋体" w:hAnsi="宋体" w:cs="宋体"/>
          <w:color w:val="0000ff"/>
          <w:lang w:val="en-US" w:eastAsia="zh-CN"/>
        </w:rPr>
        <w:t xml:space="preserve">4</w:t>
      </w:r>
      <w:r>
        <w:rPr>
          <w:rFonts w:hint="eastAsia" w:ascii="宋体" w:hAnsi="宋体" w:cs="宋体"/>
          <w:color w:val="0000ff"/>
        </w:rPr>
        <w:t xml:space="preserve">年</w:t>
      </w:r>
      <w:r>
        <w:rPr>
          <w:rFonts w:hint="eastAsia" w:ascii="宋体" w:hAnsi="宋体" w:cs="宋体"/>
          <w:color w:val="0000ff"/>
          <w:lang w:val="en-US" w:eastAsia="zh-CN"/>
        </w:rPr>
        <w:t xml:space="preserve">05</w:t>
      </w:r>
      <w:r>
        <w:rPr>
          <w:rFonts w:hint="eastAsia" w:ascii="宋体" w:hAnsi="宋体" w:cs="宋体"/>
          <w:color w:val="0000ff"/>
        </w:rPr>
        <w:t xml:space="preserve">月</w:t>
      </w:r>
      <w:r>
        <w:rPr>
          <w:rFonts w:hint="eastAsia" w:ascii="宋体" w:hAnsi="宋体" w:cs="宋体"/>
          <w:color w:val="0000ff"/>
          <w:lang w:val="en-US" w:eastAsia="zh-CN"/>
        </w:rPr>
        <w:t xml:space="preserve">17</w:t>
      </w:r>
      <w:r>
        <w:rPr>
          <w:rFonts w:hint="eastAsia" w:ascii="宋体" w:hAnsi="宋体" w:cs="宋体"/>
          <w:color w:val="0000ff"/>
        </w:rPr>
        <w:t xml:space="preserve">日</w:t>
      </w:r>
      <w:r/>
    </w:p>
    <w:p>
      <w:pPr>
        <w:rPr>
          <w:rFonts w:ascii="宋体" w:hAnsi="宋体"/>
          <w:color w:val="000000"/>
        </w:rPr>
      </w:pPr>
      <w:r>
        <w:rPr>
          <w:rFonts w:hint="eastAsia" w:ascii="宋体" w:hAnsi="宋体"/>
          <w:color w:val="000000"/>
        </w:rPr>
        <w:br w:type="page" w:clear="all"/>
      </w:r>
      <w:r/>
    </w:p>
    <w:p>
      <w:pPr>
        <w:pStyle w:val="860"/>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120614214"/>
      <w:r/>
      <w:bookmarkStart w:id="1" w:name="_Toc513029203"/>
      <w:r/>
      <w:bookmarkStart w:id="2" w:name="_Toc20823275"/>
      <w:r/>
      <w:bookmarkStart w:id="3" w:name="_Toc16938519"/>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20823277"/>
      <w:r/>
      <w:bookmarkStart w:id="10" w:name="_Toc16938521"/>
      <w:r/>
      <w:bookmarkStart w:id="11" w:name="_Toc513029205"/>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513029206"/>
      <w:r/>
      <w:bookmarkStart w:id="13" w:name="_Toc20823278"/>
      <w:r/>
      <w:bookmarkStart w:id="14" w:name="_Toc16938522"/>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16938523"/>
      <w:r/>
      <w:bookmarkStart w:id="16" w:name="_Toc462564067"/>
      <w:r/>
      <w:bookmarkStart w:id="17" w:name="_Toc513029207"/>
      <w:r/>
      <w:bookmarkStart w:id="18" w:name="_Toc20823279"/>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4.2中标单位须向</w:t>
      </w:r>
      <w:r>
        <w:rPr>
          <w:rFonts w:hint="eastAsia" w:ascii="宋体" w:hAnsi="宋体"/>
          <w:color w:val="0000ff"/>
          <w:sz w:val="21"/>
          <w:szCs w:val="21"/>
          <w:lang w:eastAsia="zh-CN"/>
        </w:rPr>
        <w:t xml:space="preserve">招标</w:t>
      </w:r>
      <w:r>
        <w:rPr>
          <w:rFonts w:hint="eastAsia" w:ascii="宋体" w:hAnsi="宋体"/>
          <w:color w:val="0000ff"/>
          <w:sz w:val="21"/>
          <w:szCs w:val="21"/>
        </w:rPr>
        <w:t xml:space="preserve">代理机构缴纳中标服务费：以差额累进法收费（按预算金额100万元以下，收取1.5%；100-500万元，收取1.1%；500-1000万元，收取0.8%；1000-5000万元，收取0.5%，5000-10000万元，收取0.25%；若不足3000元按3000元计）。</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20823281"/>
      <w:r/>
      <w:bookmarkStart w:id="20" w:name="_Toc120614215"/>
      <w:r/>
      <w:bookmarkStart w:id="21" w:name="_Toc16938525"/>
      <w:r/>
      <w:bookmarkStart w:id="22" w:name="_Toc513029209"/>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20823282"/>
      <w:r/>
      <w:bookmarkStart w:id="24" w:name="_Toc16938526"/>
      <w:r/>
      <w:bookmarkStart w:id="25" w:name="_Toc513029210"/>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513029211"/>
      <w:r/>
      <w:bookmarkStart w:id="27" w:name="_Toc462564070"/>
      <w:r/>
      <w:bookmarkStart w:id="28" w:name="_Toc16938527"/>
      <w:r/>
      <w:bookmarkStart w:id="29" w:name="_Toc20823283"/>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任何要求对招标文件进行澄清的投标人，应在投标截止期</w:t>
      </w:r>
      <w:r>
        <w:rPr>
          <w:rFonts w:hint="eastAsia" w:ascii="仿宋_GB2312" w:hAnsi="仿宋_GB2312"/>
          <w:b/>
          <w:color w:val="000000"/>
          <w:sz w:val="21"/>
          <w:szCs w:val="21"/>
        </w:rPr>
        <w:t xml:space="preserve">十日</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16938528"/>
      <w:r/>
      <w:bookmarkStart w:id="31" w:name="_Toc20823284"/>
      <w:r/>
      <w:bookmarkStart w:id="32" w:name="_Toc513029212"/>
      <w:r/>
      <w:bookmarkStart w:id="33" w:name="_Toc462564071"/>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苏州市</w:t>
      </w:r>
      <w:r>
        <w:rPr>
          <w:rFonts w:hint="eastAsia" w:ascii="宋体" w:hAnsi="宋体"/>
          <w:color w:val="0000ff"/>
          <w:sz w:val="21"/>
          <w:szCs w:val="21"/>
        </w:rPr>
        <w:t xml:space="preserve">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513029213"/>
      <w:r/>
      <w:bookmarkStart w:id="35" w:name="_Toc20823285"/>
      <w:r/>
      <w:bookmarkStart w:id="36" w:name="_Toc120614216"/>
      <w:r/>
      <w:bookmarkStart w:id="37" w:name="_Toc462564072"/>
      <w:r/>
      <w:bookmarkStart w:id="38" w:name="_Toc16938529"/>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16938530"/>
      <w:r/>
      <w:bookmarkStart w:id="40" w:name="_Toc462564073"/>
      <w:r/>
      <w:bookmarkStart w:id="41" w:name="_Toc20823286"/>
      <w:r/>
      <w:bookmarkStart w:id="42" w:name="_Toc513029214"/>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462564074"/>
      <w:r/>
      <w:bookmarkStart w:id="44" w:name="_Toc513029215"/>
      <w:r/>
      <w:bookmarkStart w:id="45" w:name="_Toc16938531"/>
      <w:r/>
      <w:bookmarkStart w:id="46" w:name="_Toc20823287"/>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苏州市</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苏州市</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954838"/>
      <w:r/>
      <w:bookmarkEnd w:id="47"/>
      <w:r/>
      <w:bookmarkStart w:id="48" w:name="_Hlt26668975"/>
      <w:r/>
      <w:bookmarkEnd w:id="48"/>
      <w:r/>
      <w:bookmarkStart w:id="49" w:name="_Hlt26670360"/>
      <w:r/>
      <w:bookmarkEnd w:id="49"/>
      <w:r/>
      <w:bookmarkStart w:id="50" w:name="_Toc513029219"/>
      <w:r/>
      <w:bookmarkStart w:id="51" w:name="_Toc49090509"/>
      <w:r/>
      <w:bookmarkStart w:id="52" w:name="_Toc14577357"/>
      <w:r/>
      <w:bookmarkStart w:id="53" w:name="_Toc49090507"/>
      <w:r/>
      <w:bookmarkStart w:id="54" w:name="_Toc14577354"/>
      <w:r/>
      <w:bookmarkStart w:id="55" w:name="_Toc513029216"/>
      <w:r/>
      <w:bookmarkStart w:id="56" w:name="_Toc49090508"/>
      <w:r/>
      <w:bookmarkStart w:id="57" w:name="_Toc14577355"/>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670486"/>
      <w:r/>
      <w:bookmarkEnd w:id="58"/>
      <w:r/>
      <w:bookmarkStart w:id="59" w:name="_Hlt26670482"/>
      <w:r/>
      <w:bookmarkEnd w:id="59"/>
      <w:r/>
      <w:bookmarkStart w:id="60" w:name="_Hlt26954848"/>
      <w:r/>
      <w:bookmarkEnd w:id="60"/>
      <w:r/>
      <w:bookmarkStart w:id="61" w:name="_Hlt26954846"/>
      <w:r/>
      <w:bookmarkEnd w:id="61"/>
      <w:r/>
      <w:bookmarkStart w:id="62" w:name="_Hlt26954731"/>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14577359"/>
      <w:r/>
      <w:bookmarkStart w:id="64" w:name="_Toc49090510"/>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49090511"/>
      <w:r/>
      <w:bookmarkStart w:id="66" w:name="_Toc14577360"/>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739"/>
      <w:r/>
      <w:bookmarkEnd w:id="67"/>
      <w:r/>
      <w:bookmarkStart w:id="68" w:name="_Hlt26954852"/>
      <w:r/>
      <w:bookmarkEnd w:id="68"/>
      <w:r/>
      <w:bookmarkStart w:id="69" w:name="_Toc513029224"/>
      <w:r/>
      <w:bookmarkStart w:id="70" w:name="_Toc16938540"/>
      <w:r/>
      <w:bookmarkStart w:id="71" w:name="_Toc20823296"/>
      <w:r/>
      <w:bookmarkStart w:id="72" w:name="_Toc120614217"/>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462564084"/>
      <w:r/>
      <w:bookmarkStart w:id="74" w:name="_Toc16938541"/>
      <w:r/>
      <w:bookmarkStart w:id="75" w:name="_Toc513029225"/>
      <w:r/>
      <w:bookmarkStart w:id="76" w:name="_Toc20823297"/>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w:t>
      </w:r>
      <w:r/>
    </w:p>
    <w:p>
      <w:pPr>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文件。</w:t>
      </w:r>
      <w:bookmarkStart w:id="77" w:name="_Toc16938542"/>
      <w:r/>
      <w:bookmarkStart w:id="78" w:name="_Toc20823298"/>
      <w:r/>
      <w:bookmarkStart w:id="79" w:name="_Toc513029226"/>
      <w:r/>
      <w:r/>
    </w:p>
    <w:p>
      <w:pPr>
        <w:ind w:firstLine="315"/>
        <w:keepLines/>
        <w:keepNext/>
        <w:pageBreakBefore w:val="0"/>
        <w:spacing w:before="280" w:after="290" w:line="360" w:lineRule="auto"/>
        <w:widowControl w:val="off"/>
        <w:rPr>
          <w:rFonts w:hint="eastAsia" w:ascii="宋体" w:hAnsi="宋体" w:eastAsia="黑体" w:cs="Arial"/>
          <w:bCs/>
          <w:color w:val="000000"/>
          <w:sz w:val="21"/>
          <w:szCs w:val="21"/>
        </w:rPr>
        <w:outlineLvl w:val="3"/>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00"/>
          <w:sz w:val="21"/>
          <w:szCs w:val="21"/>
          <w:u w:val="single"/>
        </w:rPr>
        <w:t xml:space="preserve">19</w:t>
      </w:r>
      <w:r>
        <w:rPr>
          <w:rFonts w:hint="eastAsia" w:ascii="宋体" w:hAnsi="宋体"/>
          <w:i/>
          <w:color w:val="000000"/>
          <w:sz w:val="21"/>
          <w:szCs w:val="21"/>
          <w:u w:val="single"/>
        </w:rPr>
        <w:t xml:space="preserve">.1</w:t>
      </w:r>
      <w:r>
        <w:rPr>
          <w:rFonts w:hint="eastAsia" w:ascii="宋体" w:hAnsi="宋体"/>
          <w:bCs/>
          <w:i/>
          <w:color w:val="000000"/>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16938543"/>
      <w:r/>
      <w:bookmarkStart w:id="81" w:name="_Toc20823299"/>
      <w:r/>
      <w:bookmarkStart w:id="82" w:name="_Toc51302922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513029228"/>
      <w:r/>
      <w:bookmarkStart w:id="84" w:name="_Toc16938544"/>
      <w:r/>
      <w:bookmarkStart w:id="85" w:name="_Toc20823300"/>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120614218"/>
      <w:r/>
      <w:bookmarkStart w:id="87" w:name="_Toc20823301"/>
      <w:r/>
      <w:bookmarkStart w:id="88" w:name="_Toc16938545"/>
      <w:r/>
      <w:bookmarkStart w:id="89" w:name="_Toc513029229"/>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20823302"/>
      <w:r/>
      <w:bookmarkStart w:id="91" w:name="_Toc513029230"/>
      <w:r/>
      <w:bookmarkStart w:id="92" w:name="_Toc16938546"/>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参加开标活动</w:t>
      </w:r>
      <w:r>
        <w:rPr>
          <w:rFonts w:hint="eastAsia" w:ascii="宋体" w:hAnsi="宋体"/>
          <w:color w:val="000000"/>
          <w:sz w:val="21"/>
          <w:szCs w:val="21"/>
        </w:rPr>
        <w:t xml:space="preserve">和在</w:t>
      </w:r>
      <w:r>
        <w:rPr>
          <w:rFonts w:hint="eastAsia" w:ascii="宋体" w:hAnsi="宋体"/>
          <w:color w:val="ff0000"/>
          <w:sz w:val="21"/>
          <w:szCs w:val="21"/>
        </w:rPr>
        <w:t xml:space="preserve">苏采云系统</w:t>
      </w:r>
      <w:r>
        <w:rPr>
          <w:rFonts w:hint="eastAsia" w:ascii="宋体" w:hAnsi="宋体"/>
          <w:color w:val="000000"/>
          <w:sz w:val="21"/>
          <w:szCs w:val="21"/>
        </w:rPr>
        <w:t xml:space="preserve">规定的时间内对投标文件进行解密。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开标仪式由招标代理机构组织。</w:t>
      </w:r>
      <w:r>
        <w:rPr>
          <w:rFonts w:hint="eastAsia" w:ascii="宋体" w:hAnsi="宋体"/>
          <w:color w:val="ff0000"/>
          <w:sz w:val="21"/>
          <w:szCs w:val="21"/>
        </w:rPr>
        <w:t xml:space="preserve">苏采云系统</w:t>
      </w:r>
      <w:r>
        <w:rPr>
          <w:rFonts w:hint="eastAsia" w:ascii="宋体" w:hAnsi="宋体"/>
          <w:color w:val="000000"/>
          <w:sz w:val="21"/>
          <w:szCs w:val="21"/>
        </w:rPr>
        <w:t xml:space="preserve">将自动对</w:t>
      </w:r>
      <w:r>
        <w:rPr>
          <w:rFonts w:ascii="宋体" w:hAnsi="宋体"/>
          <w:color w:val="000000"/>
          <w:sz w:val="21"/>
          <w:szCs w:val="21"/>
        </w:rPr>
        <w:t xml:space="preserve">项目进行开标，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.4投标人如果对开标过程和开标记录有疑义，应当根据《操作手册》规定提出，如 </w:t>
      </w:r>
      <w:r>
        <w:rPr>
          <w:rFonts w:hint="eastAsia" w:ascii="宋体" w:hAnsi="宋体"/>
          <w:color w:val="ff0000"/>
          <w:sz w:val="21"/>
          <w:szCs w:val="21"/>
        </w:rPr>
        <w:t xml:space="preserve">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20823303"/>
      <w:r/>
      <w:bookmarkStart w:id="94" w:name="_Toc16938547"/>
      <w:r/>
      <w:bookmarkStart w:id="95" w:name="_Toc513029231"/>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采用综合评分法的项目，未中标的投标人可于中标结果公告期限届满之日起通过</w:t>
      </w:r>
      <w:r>
        <w:rPr>
          <w:rFonts w:hint="eastAsia" w:ascii="宋体" w:hAnsi="宋体"/>
          <w:color w:val="ff0000"/>
          <w:sz w:val="21"/>
          <w:szCs w:val="21"/>
        </w:rPr>
        <w:t xml:space="preserve">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16938548"/>
      <w:r/>
      <w:bookmarkStart w:id="97" w:name="_Toc513029232"/>
      <w:r/>
      <w:bookmarkStart w:id="98" w:name="_Toc2082330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16938549"/>
      <w:r/>
      <w:bookmarkStart w:id="100" w:name="_Toc513029233"/>
      <w:r/>
      <w:bookmarkStart w:id="101" w:name="_Toc20823305"/>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委员会并非对每个投标人都做澄清要求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.2需要供应商进行澄清、说明和补正的，评委会将通过</w:t>
      </w:r>
      <w:r>
        <w:rPr>
          <w:rFonts w:hint="eastAsia" w:ascii="宋体" w:hAnsi="宋体"/>
          <w:color w:val="ff0000"/>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ff0000"/>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ff0000"/>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20823306"/>
      <w:r/>
      <w:bookmarkStart w:id="103" w:name="_Toc513029234"/>
      <w:r/>
      <w:bookmarkStart w:id="104" w:name="_Toc16938550"/>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.7投标人在开、评标全过程中应保持通讯畅通，及时登录</w:t>
      </w:r>
      <w:r>
        <w:rPr>
          <w:rFonts w:hint="eastAsia" w:ascii="宋体" w:hAnsi="宋体"/>
          <w:color w:val="ff0000"/>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16938551"/>
      <w:r/>
      <w:bookmarkStart w:id="106" w:name="_Toc513029235"/>
      <w:r/>
      <w:bookmarkStart w:id="107" w:name="_Toc20823307"/>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投标人在</w:t>
      </w:r>
      <w:r>
        <w:rPr>
          <w:rFonts w:hint="eastAsia" w:ascii="宋体" w:hAnsi="宋体"/>
          <w:color w:val="ff0000"/>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olor w:val="ff0000"/>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16938554"/>
      <w:r/>
      <w:bookmarkStart w:id="111" w:name="_Toc20823310"/>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00"/>
          <w:sz w:val="21"/>
          <w:szCs w:val="21"/>
          <w:lang w:eastAsia="zh-CN"/>
        </w:rPr>
        <w:t xml:space="preserve">苏州</w:t>
      </w:r>
      <w:r>
        <w:rPr>
          <w:rFonts w:hint="eastAsia" w:ascii="宋体" w:hAnsi="宋体"/>
          <w:color w:val="000000"/>
          <w:sz w:val="21"/>
          <w:szCs w:val="21"/>
        </w:rPr>
        <w:t xml:space="preserve">府采购网”发布中标公告，公告期限为1个工作日。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.4 供应商</w:t>
      </w:r>
      <w:r>
        <w:rPr>
          <w:rFonts w:hint="eastAsia" w:ascii="宋体" w:hAnsi="宋体"/>
          <w:color w:val="ff0000"/>
          <w:sz w:val="21"/>
          <w:szCs w:val="21"/>
        </w:rPr>
        <w:t xml:space="preserve">（含潜在</w:t>
      </w:r>
      <w:r>
        <w:rPr>
          <w:rFonts w:ascii="宋体" w:hAnsi="宋体"/>
          <w:color w:val="ff0000"/>
          <w:sz w:val="21"/>
          <w:szCs w:val="21"/>
        </w:rPr>
        <w:t xml:space="preserve">供应商</w:t>
      </w:r>
      <w:r>
        <w:rPr>
          <w:rFonts w:hint="eastAsia" w:ascii="宋体" w:hAnsi="宋体"/>
          <w:color w:val="ff0000"/>
          <w:sz w:val="21"/>
          <w:szCs w:val="21"/>
        </w:rPr>
        <w:t xml:space="preserve">）</w:t>
      </w:r>
      <w:r>
        <w:rPr>
          <w:rFonts w:hint="eastAsia" w:ascii="宋体" w:hAnsi="宋体"/>
          <w:color w:val="000000"/>
          <w:sz w:val="21"/>
          <w:szCs w:val="21"/>
        </w:rPr>
        <w:t xml:space="preserve">对与</w:t>
      </w:r>
      <w:r>
        <w:rPr>
          <w:rFonts w:ascii="宋体" w:hAnsi="宋体"/>
          <w:color w:val="000000"/>
          <w:sz w:val="21"/>
          <w:szCs w:val="21"/>
        </w:rPr>
        <w:t xml:space="preserve">本项目</w:t>
      </w:r>
      <w:r>
        <w:rPr>
          <w:rFonts w:hint="eastAsia" w:ascii="宋体" w:hAnsi="宋体"/>
          <w:color w:val="000000"/>
          <w:sz w:val="21"/>
          <w:szCs w:val="21"/>
        </w:rPr>
        <w:t xml:space="preserve">有关的</w:t>
      </w:r>
      <w:r>
        <w:rPr>
          <w:rFonts w:ascii="宋体" w:hAnsi="宋体"/>
          <w:color w:val="000000"/>
          <w:sz w:val="21"/>
          <w:szCs w:val="21"/>
        </w:rPr>
        <w:t xml:space="preserve">所有询问、质疑</w:t>
      </w:r>
      <w:r>
        <w:rPr>
          <w:rFonts w:hint="eastAsia" w:ascii="宋体" w:hAnsi="宋体"/>
          <w:color w:val="000000"/>
          <w:sz w:val="21"/>
          <w:szCs w:val="21"/>
        </w:rPr>
        <w:t xml:space="preserve">均</w:t>
      </w:r>
      <w:r>
        <w:rPr>
          <w:rFonts w:ascii="宋体" w:hAnsi="宋体"/>
          <w:color w:val="000000"/>
          <w:sz w:val="21"/>
          <w:szCs w:val="21"/>
        </w:rPr>
        <w:t xml:space="preserve">请向采购人提出，由采购人负责答复。</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只接收以纸质原件形式送达的质疑,建议供应商尽量通过邮寄方式提交质疑</w:t>
      </w:r>
      <w:r>
        <w:rPr>
          <w:rFonts w:hint="eastAsia" w:ascii="宋体" w:hAnsi="宋体"/>
          <w:color w:val="ff0000"/>
          <w:sz w:val="21"/>
          <w:szCs w:val="21"/>
        </w:rPr>
        <w:t xml:space="preserve">（采购人和招标代理机构不接受未填写快递运单的快件）。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eastAsia="zh-CN"/>
        </w:rPr>
        <w:t xml:space="preserve">招标人或招标代理机构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ff0000"/>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ff0000"/>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120614220"/>
      <w:r/>
      <w:bookmarkStart w:id="114" w:name="_Toc513029236"/>
      <w:r/>
      <w:bookmarkStart w:id="115" w:name="_Toc20823308"/>
      <w:r/>
      <w:bookmarkStart w:id="116" w:name="_Toc16938552"/>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16938553"/>
      <w:r/>
      <w:bookmarkStart w:id="118" w:name="_Toc20823309"/>
      <w:r/>
      <w:bookmarkStart w:id="119" w:name="_Toc513029237"/>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00"/>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860"/>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120614282"/>
      <w:r/>
      <w:bookmarkStart w:id="122" w:name="_Toc49090576"/>
      <w:r/>
      <w:bookmarkStart w:id="12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九、小微企业声明函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一</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二</w:t>
      </w:r>
      <w:r>
        <w:rPr>
          <w:rFonts w:hint="eastAsia" w:ascii="宋体" w:hAnsi="宋体"/>
          <w:color w:val="000000"/>
          <w:sz w:val="24"/>
          <w:szCs w:val="21"/>
        </w:rPr>
        <w:t xml:space="preserve">、技术要求响应及偏离表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三</w:t>
      </w:r>
      <w:r>
        <w:rPr>
          <w:rFonts w:hint="eastAsia" w:ascii="宋体" w:hAnsi="宋体"/>
          <w:color w:val="000000"/>
          <w:sz w:val="24"/>
          <w:szCs w:val="21"/>
        </w:rPr>
        <w:t xml:space="preserve">、商务要求响应及偏离表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、开标一览表</w:t>
      </w:r>
      <w:r/>
    </w:p>
    <w:p>
      <w:pPr>
        <w:ind w:firstLine="480"/>
        <w:spacing w:line="440" w:lineRule="exact"/>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招标文件评分标准中要求的其他材料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Hlt26955070"/>
      <w:r/>
      <w:bookmarkEnd w:id="125"/>
      <w:r/>
      <w:bookmarkStart w:id="126" w:name="_Hlt26671380"/>
      <w:r/>
      <w:bookmarkEnd w:id="126"/>
      <w:r/>
      <w:bookmarkStart w:id="127" w:name="_格式3__银行出具的资信证明"/>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ind w:firstLine="339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昆山市张浦镇人民政府（昆山市张浦镇农村工作局）、苏州信衡造价咨询房产评估有限公司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九、小微企业声明函（货物）</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pStyle w:val="978"/>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采购活动，提供的货物全部由符合政策要求的中小企业制造。相关企业（含联合体中的中小企业、签订分包意向协议的中小企业）的具体情况如下：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1.</w:t>
      </w: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w:t>
      </w:r>
      <w:r>
        <w:rPr>
          <w:rFonts w:ascii="宋体" w:hAnsi="宋体"/>
          <w:i/>
          <w:iCs/>
          <w:sz w:val="24"/>
          <w:szCs w:val="24"/>
          <w:u w:val="single"/>
        </w:rPr>
        <w:t xml:space="preserve"> （标的名称）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20"/>
        <w:spacing w:line="360" w:lineRule="auto"/>
        <w:rPr>
          <w:rFonts w:ascii="宋体" w:hAnsi="宋体"/>
        </w:rPr>
      </w:pPr>
      <w:r>
        <w:rPr>
          <w:rFonts w:hint="eastAsia" w:ascii="宋体" w:hAnsi="宋体"/>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yellow"/>
        </w:rPr>
        <w:t xml:space="preserve">备注2：</w:t>
      </w:r>
      <w:r>
        <w:rPr>
          <w:rFonts w:hint="eastAsia" w:ascii="宋体" w:hAnsi="宋体"/>
          <w:color w:val="0000ff"/>
          <w:sz w:val="24"/>
          <w:szCs w:val="24"/>
          <w:highlight w:val="yellow"/>
        </w:rPr>
        <w:t xml:space="preserve">本次采购项目所属行业为“工业”</w:t>
      </w:r>
      <w:r>
        <w:rPr>
          <w:rFonts w:hint="eastAsia" w:ascii="宋体" w:hAnsi="宋体"/>
          <w:color w:val="000000"/>
          <w:sz w:val="24"/>
          <w:szCs w:val="24"/>
          <w:highlight w:val="yellow"/>
        </w:rPr>
        <w:t xml:space="preserve">。</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865"/>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一</w:t>
      </w:r>
      <w:r>
        <w:rPr>
          <w:rFonts w:hint="eastAsia" w:ascii="黑体" w:hAnsi="黑体" w:eastAsia="黑体"/>
          <w:b/>
          <w:color w:val="000000"/>
          <w:sz w:val="32"/>
          <w:szCs w:val="32"/>
        </w:rPr>
        <w:t xml:space="preserve">、投标分项报价表</w:t>
      </w:r>
      <w:r/>
    </w:p>
    <w:p>
      <w:pPr>
        <w:pStyle w:val="979"/>
        <w:ind w:left="-210" w:right="-210"/>
        <w:jc w:val="center"/>
        <w:spacing w:line="360" w:lineRule="auto"/>
        <w:rPr>
          <w:rFonts w:hint="default" w:hAnsi="宋体" w:eastAsia="宋体"/>
          <w:sz w:val="21"/>
          <w:szCs w:val="21"/>
        </w:rPr>
      </w:pPr>
      <w:r>
        <w:rPr>
          <w:rFonts w:hint="default" w:hAnsi="宋体" w:eastAsia="宋体"/>
          <w:sz w:val="21"/>
          <w:szCs w:val="21"/>
          <w:u w:val="single"/>
        </w:rPr>
        <w:t xml:space="preserve"> </w:t>
      </w:r>
      <w:r/>
    </w:p>
    <w:p>
      <w:pPr>
        <w:pStyle w:val="979"/>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981"/>
        <w:tblW w:w="54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4"/>
        <w:gridCol w:w="1210"/>
        <w:gridCol w:w="990"/>
        <w:gridCol w:w="716"/>
        <w:gridCol w:w="859"/>
        <w:gridCol w:w="713"/>
        <w:gridCol w:w="683"/>
        <w:gridCol w:w="928"/>
        <w:gridCol w:w="886"/>
        <w:gridCol w:w="989"/>
        <w:gridCol w:w="1716"/>
      </w:tblGrid>
      <w:tr>
        <w:trPr>
          <w:trHeight w:val="558"/>
        </w:trPr>
        <w:tc>
          <w:tcPr>
            <w:gridSpan w:val="11"/>
            <w:tcW w:w="500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烘干线项目清单（天然气型）</w:t>
            </w:r>
            <w:r/>
          </w:p>
        </w:tc>
      </w:tr>
      <w:tr>
        <w:trPr>
          <w:trHeight w:val="316"/>
        </w:trPr>
        <w:tc>
          <w:tcPr>
            <w:tcBorders>
              <w:bottom w:val="none" w:color="000000" w:sz="4" w:space="0"/>
            </w:tcBorders>
            <w:tcW w:w="247"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bottom w:val="none" w:color="000000" w:sz="4" w:space="0"/>
            </w:tcBorders>
            <w:tcW w:w="593"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产品名称</w:t>
            </w:r>
            <w:r/>
          </w:p>
        </w:tc>
        <w:tc>
          <w:tcPr>
            <w:tcBorders>
              <w:bottom w:val="none" w:color="000000" w:sz="4" w:space="0"/>
            </w:tcBorders>
            <w:tcW w:w="485"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设备型号</w:t>
            </w:r>
            <w:r/>
          </w:p>
        </w:tc>
        <w:tc>
          <w:tcPr>
            <w:tcBorders>
              <w:bottom w:val="none" w:color="000000" w:sz="4" w:space="0"/>
            </w:tcBorders>
            <w:tcW w:w="351"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bottom w:val="none" w:color="000000" w:sz="4" w:space="0"/>
            </w:tcBorders>
            <w:tcW w:w="421"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gridSpan w:val="2"/>
            <w:tcBorders>
              <w:right w:val="single" w:color="auto" w:sz="4" w:space="0"/>
            </w:tcBorders>
            <w:tcW w:w="68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功率（kw）</w:t>
            </w:r>
            <w:r/>
          </w:p>
        </w:tc>
        <w:tc>
          <w:tcPr>
            <w:gridSpan w:val="2"/>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价格（万元）</w:t>
            </w:r>
            <w:r/>
          </w:p>
        </w:tc>
        <w:tc>
          <w:tcPr>
            <w:tcBorders>
              <w:left w:val="single" w:color="auto" w:sz="4" w:space="0"/>
              <w:bottom w:val="none" w:color="000000" w:sz="4" w:space="0"/>
            </w:tcBorders>
            <w:tcW w:w="484" w:type="pct"/>
            <w:vAlign w:val="center"/>
            <w:vMerge w:val="restart"/>
            <w:textDirection w:val="lrTb"/>
            <w:noWrap w:val="false"/>
          </w:tcPr>
          <w:p>
            <w:pPr>
              <w:jc w:val="center"/>
              <w:rPr>
                <w:rFonts w:hint="eastAsia" w:ascii="宋体" w:hAnsi="宋体" w:eastAsia="宋体" w:cs="宋体"/>
                <w:sz w:val="21"/>
                <w:szCs w:val="21"/>
                <w:highlight w:val="yellow"/>
                <w:lang w:eastAsia="zh-CN"/>
              </w:rPr>
            </w:pPr>
            <w:r>
              <w:rPr>
                <w:rFonts w:hint="eastAsia" w:ascii="宋体" w:hAnsi="宋体" w:cs="宋体"/>
                <w:sz w:val="21"/>
                <w:szCs w:val="21"/>
                <w:highlight w:val="yellow"/>
                <w:lang w:eastAsia="zh-CN"/>
              </w:rPr>
              <w:t xml:space="preserve">品牌</w:t>
            </w:r>
            <w:r/>
          </w:p>
        </w:tc>
        <w:tc>
          <w:tcPr>
            <w:tcBorders>
              <w:left w:val="single" w:color="auto" w:sz="4" w:space="0"/>
            </w:tcBorders>
            <w:tcW w:w="841" w:type="pct"/>
            <w:vAlign w:val="center"/>
            <w:vMerge w:val="restart"/>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技术参数/备注</w:t>
            </w:r>
            <w:r/>
          </w:p>
        </w:tc>
      </w:tr>
      <w:tr>
        <w:trPr>
          <w:trHeight w:val="391"/>
        </w:trPr>
        <w:tc>
          <w:tcPr>
            <w:tcBorders>
              <w:top w:val="none" w:color="000000" w:sz="4" w:space="0"/>
            </w:tcBorders>
            <w:tcW w:w="247"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593"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48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351"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421"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单机</w:t>
            </w:r>
            <w:r/>
          </w:p>
        </w:tc>
        <w:tc>
          <w:tcPr>
            <w:tcBorders>
              <w:right w:val="single" w:color="auto" w:sz="4" w:space="0"/>
            </w:tcBorders>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合计</w:t>
            </w:r>
            <w:r/>
          </w:p>
        </w:tc>
        <w:tc>
          <w:tcPr>
            <w:tcBorders>
              <w:top w:val="none" w:color="000000" w:sz="4" w:space="0"/>
              <w:left w:val="single" w:color="auto" w:sz="4" w:space="0"/>
            </w:tcBorders>
            <w:tcW w:w="484"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841" w:type="pct"/>
            <w:vAlign w:val="center"/>
            <w:vMerge w:val="continue"/>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gridSpan w:val="11"/>
            <w:tcW w:w="5000" w:type="pct"/>
            <w:vAlign w:val="center"/>
            <w:textDirection w:val="lrTb"/>
            <w:noWrap w:val="false"/>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t xml:space="preserve">烘干设备</w:t>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地坑进粮斗</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4.3m×3.5m×3.5m</w:t>
            </w:r>
            <w:r/>
          </w:p>
          <w:p>
            <w:pPr>
              <w:jc w:val="center"/>
              <w:rPr>
                <w:rFonts w:hint="eastAsia" w:ascii="宋体" w:hAnsi="宋体" w:eastAsia="宋体" w:cs="宋体"/>
                <w:sz w:val="21"/>
                <w:szCs w:val="21"/>
              </w:rPr>
            </w:pPr>
            <w:r>
              <w:rPr>
                <w:rFonts w:hint="eastAsia" w:ascii="宋体" w:hAnsi="宋体" w:eastAsia="宋体" w:cs="宋体"/>
                <w:sz w:val="21"/>
                <w:szCs w:val="21"/>
              </w:rPr>
              <w:t xml:space="preserve">（长×宽×高）</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tcBorders>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tcBorders>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钢格栅</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4.3m×3.5m （长×宽）</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 斗式提升机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TDTG60/33</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提升机检修平台</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73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组合清理筛</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80型</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4+0.75</w:t>
            </w:r>
            <w:r/>
          </w:p>
        </w:tc>
        <w:tc>
          <w:tcPr>
            <w:tcW w:w="335"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9.5</w:t>
            </w:r>
            <w:r/>
          </w:p>
        </w:tc>
        <w:tc>
          <w:tcPr>
            <w:tcW w:w="45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筛子检修平台及灰房</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皮带机输送机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皮带机平台</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气动三通</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QDST-300-45-00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2#斗式提升机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TDTG60/33</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井字架</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2500x2500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暂存仓</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3*2.75</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5.5</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仓顶气动闸门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TZMQ600x400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仓底手气动闸门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TZMS(S)</w:t>
            </w:r>
            <w:r/>
          </w:p>
          <w:p>
            <w:pPr>
              <w:jc w:val="center"/>
              <w:rPr>
                <w:rFonts w:hint="eastAsia" w:ascii="宋体" w:hAnsi="宋体" w:eastAsia="宋体" w:cs="宋体"/>
                <w:sz w:val="21"/>
                <w:szCs w:val="21"/>
              </w:rPr>
            </w:pPr>
            <w:r>
              <w:rPr>
                <w:rFonts w:hint="eastAsia" w:ascii="宋体" w:hAnsi="宋体" w:eastAsia="宋体" w:cs="宋体"/>
                <w:sz w:val="21"/>
                <w:szCs w:val="21"/>
              </w:rPr>
              <w:t xml:space="preserve">300x300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仓顶刮板机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TGSU40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刮板机检修平台</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17</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仓底皮带机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TGSF65</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皮带机支架</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19</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弯刮板</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7.5</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弯刮板机头检修平台</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3#斗式提升机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TDTG60/33</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井字架</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2500x2500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进粮刮板机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TGSU40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5.5</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刮板机检修平台</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气动闸门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TZMQ600x320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121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color w:val="0000ff"/>
                <w:sz w:val="21"/>
                <w:szCs w:val="21"/>
              </w:rPr>
              <w:t xml:space="preserve">室外型烘干机（燃气式）</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WCGDM30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64</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05"/>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燃烧器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进口品牌</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38"/>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28</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燃气室</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50"/>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29</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中控间</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出粮刮板机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TGSU40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8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缓冲仓</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水稻60吨</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82"/>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仓底手气动闸门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TZMS(S)</w:t>
            </w:r>
            <w:r/>
          </w:p>
          <w:p>
            <w:pPr>
              <w:jc w:val="center"/>
              <w:rPr>
                <w:rFonts w:hint="eastAsia" w:ascii="宋体" w:hAnsi="宋体" w:eastAsia="宋体" w:cs="宋体"/>
                <w:sz w:val="21"/>
                <w:szCs w:val="21"/>
              </w:rPr>
            </w:pPr>
            <w:r>
              <w:rPr>
                <w:rFonts w:hint="eastAsia" w:ascii="宋体" w:hAnsi="宋体" w:eastAsia="宋体" w:cs="宋体"/>
                <w:sz w:val="21"/>
                <w:szCs w:val="21"/>
              </w:rPr>
              <w:t xml:space="preserve">350x350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抑尘料斗</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57"/>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烘干脉冲除尘器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57"/>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烘干机风机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4-79</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176</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烘干机风机风管</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37</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进粮间脉冲除尘器</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38</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除尘风机</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4-72</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713"/>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39</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进料间除尘风网</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空压机系统</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45</w:t>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45</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空压机房</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溜管</w:t>
            </w:r>
            <w:r/>
          </w:p>
          <w:p>
            <w:pPr>
              <w:jc w:val="center"/>
              <w:rPr>
                <w:rFonts w:hint="eastAsia" w:ascii="宋体" w:hAnsi="宋体" w:eastAsia="宋体" w:cs="宋体"/>
                <w:sz w:val="21"/>
                <w:szCs w:val="21"/>
              </w:rPr>
            </w:pPr>
            <w:r>
              <w:rPr>
                <w:rFonts w:hint="eastAsia" w:ascii="宋体" w:hAnsi="宋体" w:eastAsia="宋体" w:cs="宋体"/>
                <w:sz w:val="21"/>
                <w:szCs w:val="21"/>
              </w:rPr>
              <w:t xml:space="preserve">0.30m*0.30m</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43</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辅助材料</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44</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MCC柜</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800*500*2200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2 </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45</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PLC柜</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800*500*2200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 </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46</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烘干机控制柜</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640*400*1640</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 </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47</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检修插座箱</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预留3个插口AC380V</w:t>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10 </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48</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动力电缆及控制电缆</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cs="宋体"/>
                <w:sz w:val="21"/>
                <w:szCs w:val="21"/>
                <w:lang w:val="en-US" w:eastAsia="zh-CN"/>
              </w:rPr>
              <w:t xml:space="preserve">9</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桥架及管材</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50</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电气安装及调试</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51</w:t>
            </w:r>
            <w:r/>
          </w:p>
        </w:tc>
        <w:tc>
          <w:tcPr>
            <w:tcW w:w="593" w:type="pct"/>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信息智能化</w:t>
            </w:r>
            <w:r/>
          </w:p>
        </w:tc>
        <w:tc>
          <w:tcPr>
            <w:tcW w:w="485" w:type="pct"/>
            <w:vAlign w:val="center"/>
            <w:textDirection w:val="lrTb"/>
            <w:noWrap w:val="false"/>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351" w:type="pct"/>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1</w:t>
            </w:r>
            <w:r/>
          </w:p>
        </w:tc>
        <w:tc>
          <w:tcPr>
            <w:tcW w:w="421" w:type="pct"/>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项</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52</w:t>
            </w:r>
            <w:r/>
          </w:p>
        </w:tc>
        <w:tc>
          <w:tcPr>
            <w:tcW w:w="593"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地磅</w:t>
            </w:r>
            <w:r/>
          </w:p>
        </w:tc>
        <w:tc>
          <w:tcPr>
            <w:tcW w:w="485"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50T</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台</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53</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Kw风机隔音房</w:t>
            </w:r>
            <w:r/>
          </w:p>
        </w:tc>
        <w:tc>
          <w:tcPr>
            <w:tcW w:w="485" w:type="pct"/>
            <w:vAlign w:val="center"/>
            <w:textDirection w:val="lrTb"/>
            <w:noWrap w:val="false"/>
          </w:tcPr>
          <w:p>
            <w:pPr>
              <w:jc w:val="center"/>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W w:w="351"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4</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出风口消音器</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φ650*1200</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5</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22Kw风机隔音房</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6</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出风口消音器</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φ900*1800</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7</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出风口方转圆及软接</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风机出风口-φ500</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8</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进风口连接管及软接</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风机进风口-φ500</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9</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出风口方转圆及软接</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风机出风口-φ650</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60</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进风口连接管及软接</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风机进风口-φ650</w:t>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26"/>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61</w:t>
            </w:r>
            <w:r/>
          </w:p>
        </w:tc>
        <w:tc>
          <w:tcPr>
            <w:tcW w:w="593"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出风口消音器支架</w:t>
            </w:r>
            <w:r/>
          </w:p>
        </w:tc>
        <w:tc>
          <w:tcPr>
            <w:tcW w:w="485"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5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 </w:t>
            </w:r>
            <w:r/>
          </w:p>
        </w:tc>
        <w:tc>
          <w:tcPr>
            <w:tcW w:w="42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4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4"/>
        </w:trPr>
        <w:tc>
          <w:tcPr>
            <w:tcW w:w="247"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62</w:t>
            </w:r>
            <w:r/>
          </w:p>
        </w:tc>
        <w:tc>
          <w:tcPr>
            <w:tcW w:w="59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吊装、安装、</w:t>
            </w:r>
            <w:r/>
          </w:p>
          <w:p>
            <w:pPr>
              <w:jc w:val="center"/>
              <w:rPr>
                <w:rFonts w:hint="eastAsia" w:ascii="宋体" w:hAnsi="宋体" w:eastAsia="宋体" w:cs="宋体"/>
                <w:sz w:val="21"/>
                <w:szCs w:val="21"/>
              </w:rPr>
            </w:pPr>
            <w:r>
              <w:rPr>
                <w:rFonts w:hint="eastAsia" w:ascii="宋体" w:hAnsi="宋体" w:eastAsia="宋体" w:cs="宋体"/>
                <w:sz w:val="21"/>
                <w:szCs w:val="21"/>
              </w:rPr>
              <w:t xml:space="preserve">运输、调试</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35"/>
        </w:trPr>
        <w:tc>
          <w:tcPr>
            <w:gridSpan w:val="2"/>
            <w:tcW w:w="84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4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5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3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494.4</w:t>
            </w:r>
            <w:r/>
          </w:p>
        </w:tc>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8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35"/>
        </w:trPr>
        <w:tc>
          <w:tcPr>
            <w:gridSpan w:val="2"/>
            <w:tcW w:w="84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投标总报价</w:t>
            </w:r>
            <w:r/>
          </w:p>
        </w:tc>
        <w:tc>
          <w:tcPr>
            <w:gridSpan w:val="9"/>
            <w:tcW w:w="4159" w:type="pct"/>
            <w:vAlign w:val="center"/>
            <w:textDirection w:val="lrTb"/>
            <w:noWrap w:val="false"/>
          </w:tcPr>
          <w:p>
            <w:pPr>
              <w:jc w:val="center"/>
              <w:rPr>
                <w:rFonts w:hint="default" w:ascii="宋体" w:hAnsi="宋体" w:eastAsia="宋体" w:cs="宋体"/>
                <w:sz w:val="21"/>
                <w:szCs w:val="21"/>
                <w:lang w:val="en-US" w:eastAsia="zh-CN"/>
              </w:rPr>
            </w:pPr>
            <w:r>
              <w:rPr>
                <w:rFonts w:hint="eastAsia" w:hAnsi="宋体" w:eastAsia="宋体" w:cs="宋体"/>
                <w:sz w:val="21"/>
                <w:szCs w:val="21"/>
              </w:rPr>
              <w:t xml:space="preserve">金额大写                      元      （¥：              元）</w:t>
            </w:r>
            <w:r/>
          </w:p>
        </w:tc>
      </w:tr>
    </w:tbl>
    <w:p>
      <w:pPr>
        <w:pStyle w:val="936"/>
        <w:spacing w:line="360" w:lineRule="auto"/>
        <w:rPr>
          <w:rFonts w:hint="eastAsia" w:hAnsi="宋体"/>
          <w:b/>
          <w:szCs w:val="21"/>
        </w:rPr>
      </w:pPr>
      <w:r>
        <w:rPr>
          <w:rFonts w:hAnsi="宋体" w:eastAsia="宋体"/>
          <w:bCs/>
          <w:sz w:val="21"/>
          <w:szCs w:val="21"/>
        </w:rPr>
        <w:t xml:space="preserve">注：本投标报价汇总表的“投标总报价”应与“开标一览表”投标价一致。</w:t>
      </w:r>
      <w:r/>
    </w:p>
    <w:p>
      <w:pPr>
        <w:jc w:val="center"/>
        <w:spacing w:line="520" w:lineRule="exact"/>
        <w:rPr>
          <w:rFonts w:hint="eastAsia" w:ascii="宋体" w:hAnsi="宋体"/>
          <w:b/>
          <w:szCs w:val="21"/>
        </w:rPr>
      </w:pPr>
      <w:r>
        <w:rPr>
          <w:rFonts w:hint="eastAsia" w:ascii="宋体" w:hAnsi="宋体"/>
          <w:b/>
          <w:szCs w:val="21"/>
        </w:rPr>
      </w:r>
      <w:r/>
    </w:p>
    <w:p>
      <w:pPr>
        <w:pStyle w:val="964"/>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964"/>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964"/>
        <w:ind w:right="-252" w:firstLine="3885"/>
        <w:spacing w:line="360" w:lineRule="auto"/>
        <w:rPr>
          <w:rFonts w:eastAsia="宋体"/>
          <w:sz w:val="21"/>
          <w:szCs w:val="21"/>
        </w:rPr>
      </w:pPr>
      <w:r>
        <w:rPr>
          <w:rFonts w:hAnsi="宋体" w:eastAsia="宋体"/>
          <w:sz w:val="21"/>
          <w:szCs w:val="21"/>
        </w:rPr>
        <w:t xml:space="preserve">年     月     日</w:t>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二</w:t>
      </w:r>
      <w:r>
        <w:rPr>
          <w:rFonts w:hint="eastAsia" w:ascii="黑体" w:hAnsi="黑体" w:eastAsia="黑体"/>
          <w:b/>
          <w:color w:val="000000"/>
          <w:sz w:val="32"/>
          <w:szCs w:val="32"/>
        </w:rPr>
        <w:t xml:space="preserve">、技术要求响应及偏离表</w:t>
      </w:r>
      <w:r/>
    </w:p>
    <w:tbl>
      <w:tblPr>
        <w:tblStyle w:val="86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66"/>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866"/>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66"/>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6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66"/>
              <w:ind w:firstLine="0"/>
              <w:jc w:val="center"/>
              <w:spacing w:line="360" w:lineRule="auto"/>
              <w:rPr>
                <w:rFonts w:ascii="宋体" w:hAnsi="宋体" w:eastAsia="宋体"/>
                <w:sz w:val="21"/>
                <w:szCs w:val="21"/>
              </w:rPr>
            </w:pPr>
            <w:r>
              <w:rPr>
                <w:rFonts w:hint="eastAsia" w:ascii="宋体" w:hAnsi="宋体" w:eastAsia="宋体"/>
                <w:sz w:val="21"/>
                <w:szCs w:val="21"/>
              </w:rPr>
              <w:t xml:space="preserve">标的物</w:t>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24"/>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、商务要求响应及偏离表</w:t>
      </w:r>
      <w:r/>
    </w:p>
    <w:tbl>
      <w:tblPr>
        <w:tblStyle w:val="86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66"/>
              <w:ind w:left="-210" w:right="-210" w:firstLine="0"/>
              <w:jc w:val="center"/>
              <w:spacing w:line="360" w:lineRule="auto"/>
              <w:rPr>
                <w:rFonts w:hint="eastAsia" w:ascii="宋体" w:hAnsi="宋体" w:eastAsia="宋体"/>
                <w:sz w:val="21"/>
                <w:szCs w:val="21"/>
              </w:rPr>
            </w:pPr>
            <w:r/>
            <w:bookmarkStart w:id="129" w:name="_Hlt24879081"/>
            <w:r/>
            <w:bookmarkEnd w:id="129"/>
            <w:r/>
            <w:bookmarkStart w:id="130" w:name="_Hlt26609391"/>
            <w:r/>
            <w:bookmarkEnd w:id="130"/>
            <w:r/>
            <w:bookmarkStart w:id="131" w:name="_Hlt26955056"/>
            <w:r/>
            <w:bookmarkEnd w:id="131"/>
            <w:r/>
            <w:bookmarkStart w:id="132" w:name="_Hlt26955064"/>
            <w:r/>
            <w:bookmarkEnd w:id="132"/>
            <w:r/>
            <w:bookmarkStart w:id="133" w:name="_Hlt26580838"/>
            <w:r/>
            <w:bookmarkEnd w:id="133"/>
            <w:r/>
            <w:bookmarkStart w:id="134" w:name="_Hlt26782999"/>
            <w:r/>
            <w:bookmarkEnd w:id="134"/>
            <w:r/>
            <w:bookmarkStart w:id="135" w:name="_Hlt26671343"/>
            <w:r/>
            <w:bookmarkEnd w:id="135"/>
            <w:r/>
            <w:bookmarkStart w:id="136" w:name="_Hlt26671372"/>
            <w:r/>
            <w:bookmarkEnd w:id="136"/>
            <w:r>
              <w:rPr>
                <w:rFonts w:hint="eastAsia" w:ascii="宋体" w:hAnsi="宋体" w:eastAsia="宋体"/>
                <w:sz w:val="21"/>
                <w:szCs w:val="21"/>
              </w:rPr>
              <w:t xml:space="preserve">项      目</w:t>
            </w:r>
            <w:r/>
          </w:p>
        </w:tc>
        <w:tc>
          <w:tcPr>
            <w:tcW w:w="1249" w:type="pct"/>
            <w:vAlign w:val="top"/>
            <w:textDirection w:val="lrTb"/>
            <w:noWrap w:val="false"/>
          </w:tcPr>
          <w:p>
            <w:pPr>
              <w:pStyle w:val="866"/>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66"/>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6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供货期</w:t>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firstLine="0"/>
              <w:spacing w:line="360" w:lineRule="auto"/>
              <w:rPr>
                <w:rFonts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firstLine="0"/>
              <w:spacing w:line="360" w:lineRule="auto"/>
              <w:rPr>
                <w:rFonts w:ascii="宋体" w:hAnsi="宋体" w:eastAsia="宋体"/>
                <w:sz w:val="21"/>
                <w:szCs w:val="21"/>
              </w:rPr>
            </w:pPr>
            <w:r>
              <w:rPr>
                <w:rFonts w:hint="eastAsia" w:ascii="宋体" w:hAnsi="宋体" w:eastAsia="宋体"/>
                <w:sz w:val="21"/>
                <w:szCs w:val="21"/>
              </w:rPr>
              <w:t xml:space="preserve">质保期（如有）</w:t>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66"/>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866"/>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7" w:name="_Hlt26955066"/>
      <w:r/>
      <w:bookmarkEnd w:id="137"/>
      <w:r/>
      <w:bookmarkStart w:id="138" w:name="_Hlt26671374"/>
      <w:r/>
      <w:bookmarkEnd w:id="138"/>
      <w:r/>
      <w:bookmarkStart w:id="139" w:name="_Hlt26609389"/>
      <w:r/>
      <w:bookmarkEnd w:id="139"/>
      <w:r/>
      <w:bookmarkStart w:id="140" w:name="_Toc462564146"/>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四</w:t>
      </w:r>
      <w:r>
        <w:rPr>
          <w:rFonts w:hint="eastAsia" w:ascii="黑体" w:hAnsi="黑体" w:eastAsia="黑体"/>
          <w:b/>
          <w:i/>
          <w:color w:val="000000"/>
          <w:sz w:val="32"/>
          <w:szCs w:val="32"/>
          <w:u w:val="single"/>
        </w:rPr>
        <w:t xml:space="preserve">、开标一览表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w:t>
      </w:r>
      <w:r/>
    </w:p>
    <w:tbl>
      <w:tblPr>
        <w:tblStyle w:val="8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860"/>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szCs w:val="21"/>
          <w:lang w:eastAsia="zh-CN"/>
        </w:rPr>
        <w:t xml:space="preserve">昆山市张浦镇人民政府（昆山市张浦镇农村工作局）</w:t>
      </w:r>
      <w:r>
        <w:rPr>
          <w:rFonts w:hint="eastAsia" w:ascii="宋体" w:hAnsi="宋体"/>
          <w:szCs w:val="21"/>
        </w:rPr>
        <w:t xml:space="preserve">的委托，苏州信衡造价咨询房产评估有限公司作为招标代理人，为委托人拟采购的</w:t>
      </w:r>
      <w:r>
        <w:rPr>
          <w:rFonts w:hint="eastAsia" w:ascii="宋体" w:hAnsi="宋体"/>
          <w:szCs w:val="21"/>
          <w:lang w:eastAsia="zh-CN"/>
        </w:rPr>
        <w:t xml:space="preserve">尚明甸农事服务中心烘干设备</w:t>
      </w:r>
      <w:r>
        <w:rPr>
          <w:rFonts w:hint="eastAsia" w:ascii="宋体" w:hAnsi="宋体"/>
          <w:szCs w:val="21"/>
        </w:rPr>
        <w:t xml:space="preserve">进行公开招标。</w:t>
      </w:r>
      <w:r/>
    </w:p>
    <w:p>
      <w:pPr>
        <w:pStyle w:val="866"/>
        <w:ind w:firstLine="422"/>
        <w:spacing w:line="360" w:lineRule="auto"/>
        <w:rPr>
          <w:rFonts w:hint="eastAsia" w:ascii="宋体" w:hAnsi="宋体" w:eastAsia="宋体"/>
          <w:bCs/>
          <w:sz w:val="21"/>
          <w:szCs w:val="21"/>
          <w:lang w:eastAsia="zh-CN"/>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lang w:eastAsia="zh-CN"/>
        </w:rPr>
        <w:t xml:space="preserve">JSZC-320583-XHSZ-G2024-0008</w:t>
      </w:r>
      <w:r/>
    </w:p>
    <w:p>
      <w:pPr>
        <w:ind w:firstLine="422"/>
        <w:spacing w:line="360" w:lineRule="auto"/>
        <w:rPr>
          <w:rFonts w:hint="eastAsia" w:eastAsia="宋体"/>
          <w:szCs w:val="21"/>
          <w:lang w:eastAsia="zh-CN"/>
        </w:rPr>
        <w:outlineLvl w:val="1"/>
      </w:pPr>
      <w:r>
        <w:rPr>
          <w:rFonts w:hint="eastAsia"/>
          <w:b/>
          <w:szCs w:val="21"/>
        </w:rPr>
        <w:t xml:space="preserve">二</w:t>
      </w:r>
      <w:r>
        <w:rPr>
          <w:b/>
          <w:szCs w:val="21"/>
        </w:rPr>
        <w:t xml:space="preserve">、项目名称</w:t>
      </w:r>
      <w:r>
        <w:rPr>
          <w:rFonts w:hint="eastAsia"/>
          <w:b/>
          <w:szCs w:val="21"/>
        </w:rPr>
        <w:t xml:space="preserve">：</w:t>
      </w:r>
      <w:r>
        <w:rPr>
          <w:rFonts w:hint="eastAsia"/>
          <w:szCs w:val="21"/>
          <w:lang w:eastAsia="zh-CN"/>
        </w:rPr>
        <w:t xml:space="preserve">尚明甸农事服务中心烘干设备</w:t>
      </w:r>
      <w:r/>
    </w:p>
    <w:p>
      <w:pPr>
        <w:ind w:firstLine="422"/>
        <w:spacing w:line="360" w:lineRule="auto"/>
        <w:rPr>
          <w:rFonts w:hint="eastAsia"/>
          <w:b/>
          <w:szCs w:val="21"/>
        </w:rPr>
        <w:outlineLvl w:val="1"/>
      </w:pPr>
      <w:r>
        <w:rPr>
          <w:rFonts w:hint="eastAsia"/>
          <w:b/>
          <w:szCs w:val="21"/>
          <w:highlight w:val="yellow"/>
        </w:rPr>
        <w:t xml:space="preserve">三、核心产品：室外型烘干机（燃气式）</w:t>
      </w:r>
      <w:r/>
    </w:p>
    <w:p>
      <w:pPr>
        <w:ind w:firstLine="422"/>
        <w:spacing w:line="360" w:lineRule="auto"/>
        <w:rPr>
          <w:rFonts w:hint="eastAsia"/>
          <w:b w:val="0"/>
          <w:bCs/>
          <w:szCs w:val="21"/>
          <w:highlight w:val="yellow"/>
        </w:rPr>
        <w:outlineLvl w:val="1"/>
      </w:pPr>
      <w:r>
        <w:rPr>
          <w:rFonts w:hint="eastAsia"/>
          <w:b/>
          <w:szCs w:val="21"/>
          <w:highlight w:val="yellow"/>
        </w:rPr>
        <w:t xml:space="preserve">四、招标内容：</w:t>
      </w:r>
      <w:r>
        <w:rPr>
          <w:rFonts w:hint="eastAsia"/>
          <w:b w:val="0"/>
          <w:bCs/>
          <w:szCs w:val="21"/>
          <w:highlight w:val="yellow"/>
        </w:rPr>
        <w:t xml:space="preserve">项目包含批处理240T（30T/台*8）低温循环式烘干机，高效、节能、环保的高压脉冲除尘系统，2套40T/h的粮食接收系统、清理系统、提升系统及输送系统，8座30T/座的金属方仓（潮粮仓），2座60T/座的金属方仓（干粮仓）</w:t>
      </w:r>
      <w:r/>
    </w:p>
    <w:p>
      <w:pPr>
        <w:ind w:firstLine="422"/>
        <w:spacing w:line="360" w:lineRule="auto"/>
        <w:rPr>
          <w:rFonts w:hint="eastAsia"/>
          <w:b w:val="0"/>
          <w:bCs/>
          <w:szCs w:val="21"/>
          <w:highlight w:val="yellow"/>
          <w:lang w:eastAsia="zh-CN"/>
        </w:rPr>
        <w:outlineLvl w:val="1"/>
      </w:pPr>
      <w:r>
        <w:rPr>
          <w:rFonts w:hint="eastAsia"/>
          <w:b/>
          <w:bCs w:val="0"/>
          <w:szCs w:val="21"/>
          <w:highlight w:val="yellow"/>
          <w:lang w:eastAsia="zh-CN"/>
        </w:rPr>
        <w:t xml:space="preserve">五、项目概况：</w:t>
      </w:r>
      <w:r>
        <w:rPr>
          <w:rFonts w:hint="eastAsia"/>
          <w:b w:val="0"/>
          <w:bCs/>
          <w:szCs w:val="21"/>
          <w:highlight w:val="yellow"/>
          <w:lang w:eastAsia="zh-CN"/>
        </w:rPr>
        <w:t xml:space="preserve">市级基地粮食不落地系统建设项目，总用地面积约4237.8平方米，并建设相应农业配套设施。项目包含烘干区、仓储区、附属配套设施区三大功能区域。</w:t>
      </w:r>
      <w:r/>
    </w:p>
    <w:p>
      <w:pPr>
        <w:ind w:firstLine="422"/>
        <w:spacing w:line="360" w:lineRule="auto"/>
        <w:rPr>
          <w:rFonts w:hint="eastAsia"/>
          <w:b/>
          <w:bCs w:val="0"/>
          <w:szCs w:val="21"/>
          <w:highlight w:val="yellow"/>
          <w:lang w:eastAsia="zh-CN"/>
        </w:rPr>
        <w:outlineLvl w:val="1"/>
      </w:pPr>
      <w:r>
        <w:rPr>
          <w:rFonts w:hint="eastAsia"/>
          <w:b/>
          <w:bCs w:val="0"/>
          <w:szCs w:val="21"/>
          <w:highlight w:val="yellow"/>
          <w:lang w:eastAsia="zh-CN"/>
        </w:rPr>
        <w:t xml:space="preserve">六、项目设备清单及要求（清单中涉及的产品品牌、规格、参数、性能等仅供参考，但投标单位所投产品不得低于招标文件要求）</w:t>
      </w:r>
      <w:r/>
    </w:p>
    <w:tbl>
      <w:tblPr>
        <w:tblStyle w:val="981"/>
        <w:tblW w:w="91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563"/>
        <w:gridCol w:w="1102"/>
        <w:gridCol w:w="522"/>
        <w:gridCol w:w="522"/>
        <w:gridCol w:w="522"/>
        <w:gridCol w:w="642"/>
        <w:gridCol w:w="3480"/>
      </w:tblGrid>
      <w:tr>
        <w:trPr>
          <w:trHeight w:val="558"/>
        </w:trPr>
        <w:tc>
          <w:tcPr>
            <w:gridSpan w:val="8"/>
            <w:tcW w:w="91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烘干线项目清单（天然气型）</w:t>
            </w:r>
            <w:r/>
          </w:p>
        </w:tc>
      </w:tr>
      <w:tr>
        <w:trPr>
          <w:trHeight w:val="316"/>
        </w:trPr>
        <w:tc>
          <w:tcPr>
            <w:tcBorders>
              <w:bottom w:val="none" w:color="000000" w:sz="4" w:space="0"/>
            </w:tcBorders>
            <w:tcW w:w="84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bottom w:val="none" w:color="000000" w:sz="4" w:space="0"/>
            </w:tcBorders>
            <w:tcW w:w="1563"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产品名称</w:t>
            </w:r>
            <w:r/>
          </w:p>
        </w:tc>
        <w:tc>
          <w:tcPr>
            <w:tcBorders>
              <w:bottom w:val="none" w:color="000000" w:sz="4" w:space="0"/>
            </w:tcBorders>
            <w:tcW w:w="110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设备型号</w:t>
            </w:r>
            <w:r/>
          </w:p>
        </w:tc>
        <w:tc>
          <w:tcPr>
            <w:tcBorders>
              <w:bottom w:val="none" w:color="000000" w:sz="4" w:space="0"/>
            </w:tcBorders>
            <w:tcW w:w="52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bottom w:val="none" w:color="000000" w:sz="4" w:space="0"/>
            </w:tcBorders>
            <w:tcW w:w="52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gridSpan w:val="2"/>
            <w:tcW w:w="116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功率（kw）</w:t>
            </w:r>
            <w:r/>
          </w:p>
        </w:tc>
        <w:tc>
          <w:tcPr>
            <w:tcBorders>
              <w:bottom w:val="none" w:color="000000" w:sz="4" w:space="0"/>
            </w:tcBorders>
            <w:tcW w:w="348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技术参数/备注</w:t>
            </w:r>
            <w:r/>
          </w:p>
        </w:tc>
      </w:tr>
      <w:tr>
        <w:trPr>
          <w:trHeight w:val="241"/>
        </w:trPr>
        <w:tc>
          <w:tcPr>
            <w:tcBorders>
              <w:top w:val="none" w:color="000000" w:sz="4" w:space="0"/>
            </w:tcBorders>
            <w:tcW w:w="84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156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110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52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52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单机</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none" w:color="000000" w:sz="4" w:space="0"/>
            </w:tcBorders>
            <w:tcW w:w="348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81"/>
        </w:trPr>
        <w:tc>
          <w:tcPr>
            <w:gridSpan w:val="8"/>
            <w:tcW w:w="91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烘干设备</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地坑进粮斗</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4.3m×3.5m×3.5m</w:t>
            </w:r>
            <w:r/>
          </w:p>
          <w:p>
            <w:pPr>
              <w:jc w:val="center"/>
              <w:rPr>
                <w:rFonts w:hint="eastAsia" w:ascii="宋体" w:hAnsi="宋体" w:eastAsia="宋体" w:cs="宋体"/>
                <w:sz w:val="21"/>
                <w:szCs w:val="21"/>
              </w:rPr>
            </w:pPr>
            <w:r>
              <w:rPr>
                <w:rFonts w:hint="eastAsia" w:ascii="宋体" w:hAnsi="宋体" w:eastAsia="宋体" w:cs="宋体"/>
                <w:sz w:val="21"/>
                <w:szCs w:val="21"/>
              </w:rPr>
              <w:t xml:space="preserve">（长×宽×高）</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斗体现场制作，确保接粮斗卸粮角度不小于45度，外表面需进行防 锈喷涂处理，含手动流量调节阀及四周封板。</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钢格栅</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4.3m×3.5m （长×宽）</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要求有足够的承载力和合适的“ 网孔”大小,并设有清灰口。</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 斗式提升机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TDTG60/33</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产量：稻谷40t/h主材：筒体2mm/Q235</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提升机检修平台</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主材型钢、花纹板或格栅板。</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组合清理筛</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80型</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4+0.75*</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2   11</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筛子检修平台及灰房</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高度主材型钢、花纹板或格栅板、彩钢瓦。</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皮带机输送机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皮带机平台</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气动三通</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QDST-300-45-00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2#斗式提升机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TDTG60/33</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产量：稻谷40t/h主材：筒体2mm/Q235</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井字架</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2500x2500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暂存仓</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3*2.75</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5.5</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仓容：稻谷30吨，露天放置、防风防雨</w:t>
            </w:r>
            <w:r/>
          </w:p>
          <w:p>
            <w:pPr>
              <w:jc w:val="both"/>
              <w:rPr>
                <w:rFonts w:hint="eastAsia" w:ascii="宋体" w:hAnsi="宋体" w:eastAsia="宋体" w:cs="宋体"/>
                <w:sz w:val="21"/>
                <w:szCs w:val="21"/>
              </w:rPr>
            </w:pPr>
            <w:r>
              <w:rPr>
                <w:rFonts w:hint="eastAsia" w:ascii="宋体" w:hAnsi="宋体" w:eastAsia="宋体" w:cs="宋体"/>
                <w:sz w:val="21"/>
                <w:szCs w:val="21"/>
              </w:rPr>
              <w:t xml:space="preserve">配通风及料位系统、手气动闸门，保证湿粮可存放24小时</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仓顶气动闸门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TZMQ600x400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要求流量调控门操作方便、轻巧、无明显阻卡现象；并气缸采用国 内知名品牌，配 DC24V 电磁阀</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仓底手气动闸门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TZMS(S)</w:t>
            </w:r>
            <w:r/>
          </w:p>
          <w:p>
            <w:pPr>
              <w:jc w:val="center"/>
              <w:rPr>
                <w:rFonts w:hint="eastAsia" w:ascii="宋体" w:hAnsi="宋体" w:eastAsia="宋体" w:cs="宋体"/>
                <w:sz w:val="21"/>
                <w:szCs w:val="21"/>
              </w:rPr>
            </w:pPr>
            <w:r>
              <w:rPr>
                <w:rFonts w:hint="eastAsia" w:ascii="宋体" w:hAnsi="宋体" w:eastAsia="宋体" w:cs="宋体"/>
                <w:sz w:val="21"/>
                <w:szCs w:val="21"/>
              </w:rPr>
              <w:t xml:space="preserve">300x300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要求流量调控门操作方便、轻巧、无明显阻卡现象；并气缸采用国 内知名品牌，配 DC24V 电磁阀</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仓顶刮板机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TGSU40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w:t>
            </w:r>
            <w:r/>
          </w:p>
          <w:p>
            <w:pPr>
              <w:jc w:val="both"/>
              <w:rPr>
                <w:rFonts w:hint="eastAsia" w:ascii="宋体" w:hAnsi="宋体" w:eastAsia="宋体" w:cs="宋体"/>
                <w:sz w:val="21"/>
                <w:szCs w:val="21"/>
              </w:rPr>
            </w:pPr>
            <w:r>
              <w:rPr>
                <w:rFonts w:hint="eastAsia" w:ascii="宋体" w:hAnsi="宋体" w:eastAsia="宋体" w:cs="宋体"/>
                <w:sz w:val="21"/>
                <w:szCs w:val="21"/>
              </w:rPr>
              <w:t xml:space="preserve">主材：壳体6mm/Q235  刮板BF305*50，尾部溢料，上盖板可拆</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刮板机检修平台</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主材型钢、花纹板或格栅板。</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17</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仓底皮带机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TGSF65</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18</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皮带机支架</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19</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弯刮板</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7.5</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产量：稻谷40t/h尾部溢料，上盖板可拆</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弯刮板机头检修平台</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主材型钢、花纹板或格栅板。</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3#斗式提升机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TDTG60/33</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产量：稻谷40t/h主材：筒体2mm/Q235</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井字架</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2500x2500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进粮刮板机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TGSU40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5.5</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w:t>
            </w:r>
            <w:r/>
          </w:p>
          <w:p>
            <w:pPr>
              <w:jc w:val="both"/>
              <w:rPr>
                <w:rFonts w:hint="eastAsia" w:ascii="宋体" w:hAnsi="宋体" w:eastAsia="宋体" w:cs="宋体"/>
                <w:sz w:val="21"/>
                <w:szCs w:val="21"/>
              </w:rPr>
            </w:pPr>
            <w:r>
              <w:rPr>
                <w:rFonts w:hint="eastAsia" w:ascii="宋体" w:hAnsi="宋体" w:eastAsia="宋体" w:cs="宋体"/>
                <w:sz w:val="21"/>
                <w:szCs w:val="21"/>
              </w:rPr>
              <w:t xml:space="preserve">主材：壳体6mm/Q235  刮板BF305*50，尾部溢料，上盖板可拆</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刮板机检修平台</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主材型钢、花纹板或格栅板,搭防雨棚。</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气动闸门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TZMQ600x320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要求流量调控门操作方便、轻巧、无明显阻卡现象；并气缸采用国 内知名品牌，配 DC24V 电磁阀</w:t>
            </w:r>
            <w:r/>
          </w:p>
        </w:tc>
      </w:tr>
      <w:tr>
        <w:trPr>
          <w:trHeight w:val="121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室外型烘干机</w:t>
            </w:r>
            <w:r/>
          </w:p>
          <w:p>
            <w:pPr>
              <w:jc w:val="center"/>
              <w:rPr>
                <w:rFonts w:hint="eastAsia" w:ascii="宋体" w:hAnsi="宋体" w:eastAsia="宋体" w:cs="宋体"/>
                <w:sz w:val="21"/>
                <w:szCs w:val="21"/>
              </w:rPr>
            </w:pPr>
            <w:r>
              <w:rPr>
                <w:rFonts w:hint="eastAsia" w:ascii="宋体" w:hAnsi="宋体" w:eastAsia="宋体" w:cs="宋体"/>
                <w:color w:val="0000ff"/>
                <w:sz w:val="21"/>
                <w:szCs w:val="21"/>
              </w:rPr>
              <w:t xml:space="preserve">（燃气式）</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WCGDM30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64</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谷物处理量单机容量≥30吨/批；热风温度在40～65℃之间可调 节，机内粮温在30～55℃之间可调节，且随机对该二个部位有温度 显示和调控装置。工作方式： 电脑PLC自动控制，低温循环式干</w:t>
            </w:r>
            <w:r/>
          </w:p>
          <w:p>
            <w:pPr>
              <w:jc w:val="both"/>
              <w:rPr>
                <w:rFonts w:hint="eastAsia" w:ascii="宋体" w:hAnsi="宋体" w:eastAsia="宋体" w:cs="宋体"/>
                <w:sz w:val="21"/>
                <w:szCs w:val="21"/>
              </w:rPr>
            </w:pPr>
            <w:r>
              <w:rPr>
                <w:rFonts w:hint="eastAsia" w:ascii="宋体" w:hAnsi="宋体" w:eastAsia="宋体" w:cs="宋体"/>
                <w:sz w:val="21"/>
                <w:szCs w:val="21"/>
              </w:rPr>
              <w:t xml:space="preserve">燥，具备干燥层和缓苏层；烘干前后的谷物色泽不得发生明显变化；出机稻谷水分不均匀度≤1%。安全装置包括热风温度传感器、 谷物温度传感器、满量报警、热继电器等装置。烘干机表面必须采 用烤漆工艺。室外型烘干机，在露天环境防风防雨。</w:t>
            </w:r>
            <w:r/>
          </w:p>
        </w:tc>
      </w:tr>
      <w:tr>
        <w:trPr>
          <w:trHeight w:val="505"/>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燃烧器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进口品牌</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比调试含燃烧筒、烟道及热风管道</w:t>
            </w:r>
            <w:r/>
          </w:p>
        </w:tc>
      </w:tr>
      <w:tr>
        <w:trPr>
          <w:trHeight w:val="438"/>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28</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燃气室</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主材型钢和彩钢瓦,高度不低于4.5m。</w:t>
            </w:r>
            <w:r/>
          </w:p>
        </w:tc>
      </w:tr>
      <w:tr>
        <w:trPr>
          <w:trHeight w:val="350"/>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29</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中控间</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主材型材，高度不低于3m。</w:t>
            </w:r>
            <w:r/>
          </w:p>
        </w:tc>
      </w:tr>
      <w:tr>
        <w:trPr>
          <w:trHeight w:val="374"/>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出粮刮板机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TGSU40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产量：稻谷40t/h</w:t>
            </w:r>
            <w:r/>
          </w:p>
          <w:p>
            <w:pPr>
              <w:jc w:val="both"/>
              <w:rPr>
                <w:rFonts w:hint="eastAsia" w:ascii="宋体" w:hAnsi="宋体" w:eastAsia="宋体" w:cs="宋体"/>
                <w:sz w:val="21"/>
                <w:szCs w:val="21"/>
              </w:rPr>
            </w:pPr>
            <w:r>
              <w:rPr>
                <w:rFonts w:hint="eastAsia" w:ascii="宋体" w:hAnsi="宋体" w:eastAsia="宋体" w:cs="宋体"/>
                <w:sz w:val="21"/>
                <w:szCs w:val="21"/>
              </w:rPr>
              <w:t xml:space="preserve">主材：壳体6mm/Q235</w:t>
            </w:r>
            <w:r/>
          </w:p>
          <w:p>
            <w:pPr>
              <w:jc w:val="both"/>
              <w:rPr>
                <w:rFonts w:hint="eastAsia" w:ascii="宋体" w:hAnsi="宋体" w:eastAsia="宋体" w:cs="宋体"/>
                <w:sz w:val="21"/>
                <w:szCs w:val="21"/>
              </w:rPr>
            </w:pPr>
            <w:r>
              <w:rPr>
                <w:rFonts w:hint="eastAsia" w:ascii="宋体" w:hAnsi="宋体" w:eastAsia="宋体" w:cs="宋体"/>
                <w:sz w:val="21"/>
                <w:szCs w:val="21"/>
              </w:rPr>
              <w:t xml:space="preserve">刮板BF305*50，尾部出料，上盖板可拆</w:t>
            </w:r>
            <w:r/>
          </w:p>
        </w:tc>
      </w:tr>
      <w:tr>
        <w:trPr>
          <w:trHeight w:val="38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缓冲仓</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水稻60吨</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含外框及出粮棚</w:t>
            </w:r>
            <w:r/>
          </w:p>
        </w:tc>
      </w:tr>
      <w:tr>
        <w:trPr>
          <w:trHeight w:val="382"/>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仓底手气动闸门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TZMS(S)</w:t>
            </w:r>
            <w:r/>
          </w:p>
          <w:p>
            <w:pPr>
              <w:jc w:val="center"/>
              <w:rPr>
                <w:rFonts w:hint="eastAsia" w:ascii="宋体" w:hAnsi="宋体" w:eastAsia="宋体" w:cs="宋体"/>
                <w:sz w:val="21"/>
                <w:szCs w:val="21"/>
              </w:rPr>
            </w:pPr>
            <w:r>
              <w:rPr>
                <w:rFonts w:hint="eastAsia" w:ascii="宋体" w:hAnsi="宋体" w:eastAsia="宋体" w:cs="宋体"/>
                <w:sz w:val="21"/>
                <w:szCs w:val="21"/>
              </w:rPr>
              <w:t xml:space="preserve">350x350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抑尘料斗</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57"/>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烘干脉冲除尘器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配烘干机，自带灰箱</w:t>
            </w:r>
            <w:r/>
          </w:p>
        </w:tc>
      </w:tr>
      <w:tr>
        <w:trPr>
          <w:trHeight w:val="457"/>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烘干机风机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4-79</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176</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烘干机风机风管</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每套约5m 含变径、弯头及软连接</w:t>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37</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进粮间脉冲除尘器</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38</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除尘风机</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4-72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713"/>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39</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进料间除尘风网</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风管采用螺旋吸尘风管，每个吸尘点均配有风量控制阀门，吸尘口 （罩）现场定位制作。为确保吸尘效果，在安装时尽量减少弯头。</w:t>
            </w:r>
            <w:r/>
          </w:p>
          <w:p>
            <w:pPr>
              <w:jc w:val="both"/>
              <w:rPr>
                <w:rFonts w:hint="eastAsia" w:ascii="宋体" w:hAnsi="宋体" w:eastAsia="宋体" w:cs="宋体"/>
                <w:sz w:val="21"/>
                <w:szCs w:val="21"/>
              </w:rPr>
            </w:pPr>
            <w:r>
              <w:rPr>
                <w:rFonts w:hint="eastAsia" w:ascii="宋体" w:hAnsi="宋体" w:eastAsia="宋体" w:cs="宋体"/>
                <w:sz w:val="21"/>
                <w:szCs w:val="21"/>
              </w:rPr>
              <w:t xml:space="preserve">吸尘口（罩） ，法兰， 以及固定支架均采用银粉漆作为外表面用漆 。筛前提升机及清理筛用。</w:t>
            </w:r>
            <w:r/>
          </w:p>
        </w:tc>
      </w:tr>
      <w:tr>
        <w:trPr>
          <w:trHeight w:val="426"/>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空压机系统</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45</w:t>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45</w:t>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气量7.0m³/min,供气压力0.8MPa，含过滤器、管道及附件，气路采 用镀锌管安装，设备处采用气管现场安装连接</w:t>
            </w:r>
            <w:r/>
          </w:p>
        </w:tc>
      </w:tr>
      <w:tr>
        <w:trPr>
          <w:trHeight w:val="426"/>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空压机房</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型钢框架外敷彩钢瓦，顶部配无动力风帽，高度不低于3m。</w:t>
            </w:r>
            <w:r/>
          </w:p>
        </w:tc>
      </w:tr>
      <w:tr>
        <w:trPr>
          <w:trHeight w:val="426"/>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溜管</w:t>
            </w:r>
            <w:r/>
          </w:p>
          <w:p>
            <w:pPr>
              <w:jc w:val="center"/>
              <w:rPr>
                <w:rFonts w:hint="eastAsia" w:ascii="宋体" w:hAnsi="宋体" w:eastAsia="宋体" w:cs="宋体"/>
                <w:sz w:val="21"/>
                <w:szCs w:val="21"/>
              </w:rPr>
            </w:pPr>
            <w:r>
              <w:rPr>
                <w:rFonts w:hint="eastAsia" w:ascii="宋体" w:hAnsi="宋体" w:eastAsia="宋体" w:cs="宋体"/>
                <w:sz w:val="21"/>
                <w:szCs w:val="21"/>
              </w:rPr>
              <w:t xml:space="preserve">0.30m*0.30m</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含变径、溜管、溢流管(≥60米） 。其中溜管材料为δ2mm冷轧钢 板， 内衬耐磨材料（聚乙烯），法兰连接，外表面现场除锈喷漆。</w:t>
            </w:r>
            <w:r/>
          </w:p>
        </w:tc>
      </w:tr>
      <w:tr>
        <w:trPr>
          <w:trHeight w:val="426"/>
        </w:trPr>
        <w:tc>
          <w:tcPr>
            <w:tcW w:w="8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43</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辅助材料</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焊材、补漆、辅材等。</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44</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MCC柜</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800*500*2200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2 </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施耐德元器件</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45</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PLC柜</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800*500*2200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 </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西门子模块</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46</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烘干机控制柜</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640*400*1640</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 </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施耐德元器件</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47</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检修插座箱</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预留3个插口AC380V</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10 </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施耐德元器件</w:t>
            </w:r>
            <w:r/>
          </w:p>
        </w:tc>
      </w:tr>
      <w:tr>
        <w:trPr>
          <w:trHeight w:val="426"/>
        </w:trPr>
        <w:tc>
          <w:tcPr>
            <w:tcW w:w="84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48</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动力电缆及控制电缆</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上上、远东、江南等优质品牌</w:t>
            </w:r>
            <w:r/>
          </w:p>
          <w:p>
            <w:pPr>
              <w:jc w:val="both"/>
              <w:rPr>
                <w:rFonts w:hint="eastAsia" w:ascii="宋体" w:hAnsi="宋体" w:eastAsia="宋体" w:cs="宋体"/>
                <w:sz w:val="21"/>
                <w:szCs w:val="21"/>
              </w:rPr>
            </w:pPr>
            <w:r>
              <w:rPr>
                <w:rFonts w:hint="eastAsia" w:ascii="宋体" w:hAnsi="宋体" w:eastAsia="宋体" w:cs="宋体"/>
                <w:sz w:val="21"/>
                <w:szCs w:val="21"/>
              </w:rPr>
              <w:t xml:space="preserve">带铠</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cs="宋体"/>
                <w:sz w:val="21"/>
                <w:szCs w:val="21"/>
                <w:lang w:val="en-US" w:eastAsia="zh-CN"/>
              </w:rPr>
              <w:t xml:space="preserve">9</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桥架及管材</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50</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电气安装及调试</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426"/>
        </w:trPr>
        <w:tc>
          <w:tcPr>
            <w:tcW w:w="844" w:type="dxa"/>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51</w:t>
            </w:r>
            <w:r/>
          </w:p>
        </w:tc>
        <w:tc>
          <w:tcPr>
            <w:tcW w:w="1563" w:type="dxa"/>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信息智能化</w:t>
            </w:r>
            <w:r/>
          </w:p>
        </w:tc>
        <w:tc>
          <w:tcPr>
            <w:tcW w:w="1102" w:type="dxa"/>
            <w:vAlign w:val="center"/>
            <w:textDirection w:val="lrTb"/>
            <w:noWrap w:val="false"/>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522" w:type="dxa"/>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1</w:t>
            </w:r>
            <w:r/>
          </w:p>
        </w:tc>
        <w:tc>
          <w:tcPr>
            <w:tcW w:w="522" w:type="dxa"/>
            <w:vAlign w:val="center"/>
            <w:textDirection w:val="lrTb"/>
            <w:noWrap w:val="false"/>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 xml:space="preserve">项</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厂区监控布点及设备智能化控制</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52</w:t>
            </w:r>
            <w:r/>
          </w:p>
        </w:tc>
        <w:tc>
          <w:tcPr>
            <w:tcW w:w="156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地磅</w:t>
            </w:r>
            <w:r/>
          </w:p>
        </w:tc>
        <w:tc>
          <w:tcPr>
            <w:tcW w:w="110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50T</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台</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满足工艺及项目使用要求</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53</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Kw风机隔音房</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2000*1850*1800</w:t>
            </w:r>
            <w:r/>
          </w:p>
        </w:tc>
        <w:tc>
          <w:tcPr>
            <w:tcW w:w="52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主体材质：Q235B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消音层材料：穿孔板0.6mm+玻纤布+消音棉 100mm</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4</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出风口消音器</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φ650*1200mm</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主体材质：Q235B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消音层材料：穿孔板0.6mm+玻纤布+消音棉 50mm</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5</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22Kw风机隔音房</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2800*2600*2500</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主体材质：Q235B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消音层材料：穿孔板0.6mm+玻纤布+消音棉 100mm</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6</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出风口消音器</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φ900*1800</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主体材质：Q235B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消音层材料：穿孔板0.6mm+玻纤布+消音棉 50mm</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7</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出风口方转圆及软接</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风机出风口-φ500</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连接管材质：Q235B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软接材料PVC</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8</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进风口连接管及软接</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风机进风口-φ500</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连接管材质：Q235B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软接材料PVC</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9</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出风口方转圆及软接</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风机出风口-φ650</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连接管材质：Q235B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软接材料PVC</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60</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进风口连接管及软接</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风机进风口-φ650</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连接管材质：Q235B 2mm</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软接材料PVC</w:t>
            </w:r>
            <w:r/>
          </w:p>
        </w:tc>
      </w:tr>
      <w:tr>
        <w:trPr>
          <w:trHeight w:val="426"/>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61</w:t>
            </w:r>
            <w:r/>
          </w:p>
        </w:tc>
        <w:tc>
          <w:tcPr>
            <w:tcW w:w="156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出风口消音器支架</w:t>
            </w:r>
            <w:r/>
          </w:p>
        </w:tc>
        <w:tc>
          <w:tcPr>
            <w:tcW w:w="110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 </w:t>
            </w:r>
            <w:r/>
          </w:p>
        </w:tc>
        <w:tc>
          <w:tcPr>
            <w:tcW w:w="52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4"/>
        </w:trPr>
        <w:tc>
          <w:tcPr>
            <w:tcW w:w="84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62</w:t>
            </w:r>
            <w:r/>
          </w:p>
        </w:tc>
        <w:tc>
          <w:tcPr>
            <w:tcW w:w="156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吊装、安装、</w:t>
            </w:r>
            <w:r/>
          </w:p>
          <w:p>
            <w:pPr>
              <w:jc w:val="center"/>
              <w:rPr>
                <w:rFonts w:hint="eastAsia" w:ascii="宋体" w:hAnsi="宋体" w:eastAsia="宋体" w:cs="宋体"/>
                <w:sz w:val="21"/>
                <w:szCs w:val="21"/>
              </w:rPr>
            </w:pPr>
            <w:r>
              <w:rPr>
                <w:rFonts w:hint="eastAsia" w:ascii="宋体" w:hAnsi="宋体" w:eastAsia="宋体" w:cs="宋体"/>
                <w:sz w:val="21"/>
                <w:szCs w:val="21"/>
              </w:rPr>
              <w:t xml:space="preserve">运输、调试</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4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35"/>
        </w:trPr>
        <w:tc>
          <w:tcPr>
            <w:gridSpan w:val="2"/>
            <w:tcW w:w="24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110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494.4</w:t>
            </w:r>
            <w:r/>
          </w:p>
        </w:tc>
        <w:tc>
          <w:tcPr>
            <w:tcW w:w="34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ind w:firstLine="422"/>
        <w:spacing w:line="360" w:lineRule="auto"/>
        <w:rPr>
          <w:rFonts w:hint="eastAsia"/>
          <w:b/>
          <w:bCs w:val="0"/>
          <w:szCs w:val="21"/>
          <w:highlight w:val="yellow"/>
          <w:lang w:eastAsia="zh-CN"/>
        </w:rPr>
        <w:outlineLvl w:val="1"/>
      </w:pPr>
      <w:r>
        <w:rPr>
          <w:rFonts w:hint="eastAsia"/>
          <w:b/>
          <w:bCs w:val="0"/>
          <w:szCs w:val="21"/>
          <w:highlight w:val="yellow"/>
          <w:lang w:eastAsia="zh-CN"/>
        </w:rPr>
      </w:r>
      <w:r/>
    </w:p>
    <w:p>
      <w:pPr>
        <w:ind w:firstLine="420"/>
        <w:spacing w:line="360" w:lineRule="auto"/>
        <w:rPr>
          <w:rFonts w:hint="eastAsia"/>
          <w:b w:val="0"/>
          <w:bCs/>
          <w:szCs w:val="21"/>
          <w:highlight w:val="yellow"/>
          <w:lang w:eastAsia="zh-CN"/>
        </w:rPr>
        <w:outlineLvl w:val="1"/>
      </w:pPr>
      <w:r>
        <w:rPr>
          <w:rFonts w:hint="eastAsia"/>
          <w:b w:val="0"/>
          <w:bCs/>
          <w:szCs w:val="21"/>
          <w:highlight w:val="yellow"/>
          <w:lang w:eastAsia="zh-CN"/>
        </w:rPr>
      </w:r>
      <w:r/>
    </w:p>
    <w:p>
      <w:pPr>
        <w:ind w:firstLine="420"/>
        <w:spacing w:line="360" w:lineRule="auto"/>
        <w:rPr>
          <w:rFonts w:hint="eastAsia"/>
          <w:b w:val="0"/>
          <w:bCs/>
          <w:szCs w:val="21"/>
          <w:highlight w:val="yellow"/>
          <w:lang w:eastAsia="zh-CN"/>
        </w:rPr>
        <w:outlineLvl w:val="1"/>
      </w:pPr>
      <w:r>
        <w:rPr>
          <w:rFonts w:hint="eastAsia"/>
          <w:b w:val="0"/>
          <w:bCs/>
          <w:szCs w:val="21"/>
          <w:highlight w:val="yellow"/>
          <w:lang w:eastAsia="zh-CN"/>
        </w:rPr>
      </w:r>
      <w:r/>
    </w:p>
    <w:p>
      <w:pPr>
        <w:rPr>
          <w:rFonts w:hint="eastAsia" w:ascii="宋体" w:hAnsi="宋体" w:eastAsia="宋体"/>
          <w:color w:val="000000"/>
        </w:rPr>
      </w:pPr>
      <w:r>
        <w:rPr>
          <w:rFonts w:hint="eastAsia" w:ascii="宋体" w:hAnsi="宋体" w:eastAsia="宋体"/>
          <w:color w:val="000000"/>
        </w:rPr>
        <w:br w:type="page" w:clear="all"/>
      </w:r>
      <w:r/>
    </w:p>
    <w:p>
      <w:pPr>
        <w:pStyle w:val="860"/>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spacing w:line="360" w:lineRule="auto"/>
        <w:rPr>
          <w:rFonts w:ascii="宋体" w:hAnsi="宋体"/>
          <w:szCs w:val="21"/>
        </w:rPr>
      </w:pPr>
      <w:r/>
      <w:bookmarkStart w:id="142" w:name="_Toc13889378"/>
      <w:r/>
      <w:bookmarkStart w:id="143" w:name="_Toc13642118"/>
      <w:r>
        <w:rPr>
          <w:rFonts w:hint="eastAsia" w:ascii="宋体" w:hAnsi="宋体"/>
          <w:szCs w:val="21"/>
        </w:rPr>
        <w:t xml:space="preserve">甲方：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spacing w:line="540" w:lineRule="exact"/>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pStyle w:val="871"/>
        <w:ind w:left="0"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w:t>
      </w:r>
      <w:r>
        <w:rPr>
          <w:rFonts w:hint="eastAsia" w:asciiTheme="minorEastAsia" w:hAnsiTheme="minorEastAsia" w:eastAsiaTheme="minorEastAsia" w:cstheme="minorEastAsia"/>
          <w:sz w:val="21"/>
          <w:szCs w:val="21"/>
          <w:lang w:eastAsia="zh-CN"/>
        </w:rPr>
        <w:t xml:space="preserve">中华人民共和国民法典</w:t>
      </w:r>
      <w:r>
        <w:rPr>
          <w:rFonts w:hint="eastAsia" w:asciiTheme="minorEastAsia" w:hAnsiTheme="minorEastAsia" w:eastAsiaTheme="minorEastAsia" w:cstheme="minorEastAsia"/>
          <w:sz w:val="21"/>
          <w:szCs w:val="21"/>
        </w:rPr>
        <w:t xml:space="preserve">》有关规定，为明确采购单位（甲方）和供应单位（乙方）购销过程中的权利、义务和经济责任，经双方友好协商，签订以下条款，共同遵守。</w:t>
      </w:r>
      <w:r/>
    </w:p>
    <w:p>
      <w:pPr>
        <w:spacing w:line="360" w:lineRule="auto"/>
        <w:rPr>
          <w:rFonts w:ascii="宋体" w:hAnsi="宋体"/>
          <w:szCs w:val="21"/>
        </w:rPr>
      </w:pPr>
      <w:r>
        <w:rPr>
          <w:rFonts w:hint="eastAsia" w:ascii="宋体" w:hAnsi="宋体"/>
          <w:szCs w:val="21"/>
        </w:rPr>
        <w:t xml:space="preserve">一、定义：以下术语有特定的含义：</w:t>
      </w:r>
      <w:r/>
    </w:p>
    <w:p>
      <w:pPr>
        <w:spacing w:line="360" w:lineRule="auto"/>
        <w:rPr>
          <w:rFonts w:ascii="宋体" w:hAnsi="宋体"/>
          <w:szCs w:val="21"/>
        </w:rPr>
      </w:pPr>
      <w:r>
        <w:rPr>
          <w:rFonts w:hint="eastAsia" w:ascii="宋体" w:hAnsi="宋体"/>
          <w:szCs w:val="21"/>
        </w:rPr>
        <w:t xml:space="preserve">  “系统”本合同所称系统是指乙方基于其已成交的报价文件而应向甲方提供的符合采购要求规格及功能的</w:t>
      </w:r>
      <w:r>
        <w:rPr>
          <w:rFonts w:hint="eastAsia" w:ascii="宋体" w:hAnsi="宋体"/>
          <w:szCs w:val="21"/>
          <w:u w:val="single"/>
        </w:rPr>
        <w:t xml:space="preserve">              </w:t>
      </w:r>
      <w:r>
        <w:rPr>
          <w:rFonts w:hint="eastAsia" w:ascii="宋体" w:hAnsi="宋体"/>
          <w:szCs w:val="21"/>
        </w:rPr>
        <w:t xml:space="preserve">它还应包括由乙方送交给甲方的所有的必须文件和与使用及测试有关的应进行的任何规定的服务。</w:t>
      </w:r>
      <w:r/>
    </w:p>
    <w:p>
      <w:pPr>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“服务”系指根据合同规定乙方应承担的与供货有关的辅助义务，比如运输、以及其它伴随服务，比如上门服务、提供技术援助、培训、服务响应和合同中规定乙方应承担的其它义务。</w:t>
      </w:r>
      <w:r/>
    </w:p>
    <w:p>
      <w:pPr>
        <w:spacing w:line="360" w:lineRule="auto"/>
        <w:rPr>
          <w:rFonts w:ascii="宋体" w:hAnsi="宋体"/>
          <w:szCs w:val="21"/>
        </w:rPr>
      </w:pPr>
      <w:r>
        <w:rPr>
          <w:rFonts w:hint="eastAsia" w:ascii="宋体" w:hAnsi="宋体"/>
          <w:szCs w:val="21"/>
        </w:rPr>
        <w:t xml:space="preserve">  “合同价”系指根据成交的报价文件和合同规定，乙方在正确地履行合同义务后甲方应支付乙方的价款。</w:t>
      </w:r>
      <w:r/>
    </w:p>
    <w:p>
      <w:pPr>
        <w:spacing w:line="360" w:lineRule="auto"/>
        <w:rPr>
          <w:rFonts w:ascii="宋体" w:hAnsi="宋体"/>
          <w:szCs w:val="21"/>
        </w:rPr>
      </w:pPr>
      <w:r>
        <w:rPr>
          <w:rFonts w:hint="eastAsia" w:ascii="宋体" w:hAnsi="宋体"/>
          <w:szCs w:val="21"/>
        </w:rPr>
        <w:t xml:space="preserve">  “甲方”系指合同中明确规定的实际购产品和接受服务单位。</w:t>
      </w:r>
      <w:r/>
    </w:p>
    <w:p>
      <w:pPr>
        <w:spacing w:line="360" w:lineRule="auto"/>
        <w:rPr>
          <w:rFonts w:ascii="宋体" w:hAnsi="宋体"/>
          <w:szCs w:val="21"/>
        </w:rPr>
      </w:pPr>
      <w:r>
        <w:rPr>
          <w:rFonts w:hint="eastAsia" w:ascii="宋体" w:hAnsi="宋体"/>
          <w:szCs w:val="21"/>
        </w:rPr>
        <w:t xml:space="preserve">  “乙方”系指合同中规定的提供产品和提供服务的单位。</w:t>
      </w:r>
      <w:r/>
    </w:p>
    <w:p>
      <w:pPr>
        <w:spacing w:line="360" w:lineRule="auto"/>
        <w:rPr>
          <w:rFonts w:ascii="宋体" w:hAnsi="宋体"/>
          <w:szCs w:val="21"/>
        </w:rPr>
      </w:pPr>
      <w:r>
        <w:rPr>
          <w:rFonts w:hint="eastAsia" w:ascii="宋体" w:hAnsi="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ascii="宋体" w:hAnsi="宋体"/>
          <w:szCs w:val="21"/>
        </w:rPr>
      </w:pPr>
      <w:r>
        <w:rPr>
          <w:rFonts w:hint="eastAsia" w:ascii="宋体" w:hAnsi="宋体"/>
          <w:szCs w:val="21"/>
        </w:rPr>
        <w:t xml:space="preserve">二、交货地点： </w:t>
      </w:r>
      <w:r/>
    </w:p>
    <w:p>
      <w:pPr>
        <w:ind w:left="420"/>
        <w:spacing w:line="360" w:lineRule="auto"/>
        <w:rPr>
          <w:rFonts w:ascii="宋体" w:hAnsi="宋体"/>
          <w:szCs w:val="21"/>
        </w:rPr>
      </w:pPr>
      <w:r>
        <w:rPr>
          <w:rFonts w:hint="eastAsia" w:ascii="宋体" w:hAnsi="宋体"/>
          <w:szCs w:val="21"/>
        </w:rPr>
        <w:t xml:space="preserve">项目地点：甲方指定地点</w:t>
      </w:r>
      <w:r/>
    </w:p>
    <w:p>
      <w:pPr>
        <w:spacing w:line="360" w:lineRule="auto"/>
        <w:rPr>
          <w:rFonts w:ascii="宋体" w:hAnsi="宋体"/>
          <w:szCs w:val="21"/>
        </w:rPr>
      </w:pPr>
      <w:r>
        <w:rPr>
          <w:rFonts w:hint="eastAsia" w:ascii="宋体" w:hAnsi="宋体"/>
          <w:szCs w:val="21"/>
        </w:rPr>
        <w:t xml:space="preserve">三、产品名称、数量及价格：</w:t>
      </w:r>
      <w:r/>
    </w:p>
    <w:p>
      <w:pPr>
        <w:spacing w:line="360" w:lineRule="auto"/>
        <w:rPr>
          <w:rFonts w:ascii="宋体" w:hAnsi="宋体"/>
          <w:szCs w:val="21"/>
        </w:rPr>
      </w:pPr>
      <w:r>
        <w:rPr>
          <w:rFonts w:hint="eastAsia" w:ascii="宋体" w:hAnsi="宋体"/>
          <w:szCs w:val="21"/>
        </w:rPr>
        <w:t xml:space="preserve">四、合同总价款：            元整。</w:t>
      </w:r>
      <w:r/>
    </w:p>
    <w:p>
      <w:pPr>
        <w:spacing w:line="360" w:lineRule="auto"/>
        <w:rPr>
          <w:rFonts w:ascii="宋体" w:hAnsi="宋体"/>
          <w:szCs w:val="21"/>
        </w:rPr>
      </w:pPr>
      <w:r>
        <w:rPr>
          <w:rFonts w:hint="eastAsia" w:ascii="宋体" w:hAnsi="宋体"/>
          <w:szCs w:val="21"/>
        </w:rPr>
        <w:t xml:space="preserve">五、合同总价范围：</w:t>
      </w:r>
      <w:r/>
    </w:p>
    <w:p>
      <w:pPr>
        <w:ind w:left="420"/>
        <w:spacing w:line="360" w:lineRule="auto"/>
        <w:rPr>
          <w:rFonts w:ascii="宋体" w:hAnsi="宋体"/>
          <w:szCs w:val="21"/>
        </w:rPr>
      </w:pPr>
      <w:r>
        <w:rPr>
          <w:rFonts w:hint="eastAsia" w:ascii="宋体" w:hAnsi="宋体"/>
          <w:szCs w:val="21"/>
        </w:rPr>
        <w:t xml:space="preserve">1．产品及包装、运输、检测合格等交付使用前的一切费用；</w:t>
      </w:r>
      <w:r/>
    </w:p>
    <w:p>
      <w:pPr>
        <w:ind w:left="420"/>
        <w:spacing w:line="360" w:lineRule="auto"/>
        <w:rPr>
          <w:rFonts w:ascii="宋体" w:hAnsi="宋体"/>
          <w:szCs w:val="21"/>
          <w:highlight w:val="yellow"/>
        </w:rPr>
      </w:pPr>
      <w:r>
        <w:rPr>
          <w:rFonts w:hint="eastAsia" w:ascii="宋体" w:hAnsi="宋体"/>
          <w:szCs w:val="21"/>
          <w:highlight w:val="yellow"/>
        </w:rPr>
        <w:t xml:space="preserve">2．系统及设备免费质保期</w:t>
      </w:r>
      <w:r>
        <w:rPr>
          <w:rFonts w:hint="eastAsia" w:ascii="宋体" w:hAnsi="宋体"/>
          <w:szCs w:val="21"/>
          <w:highlight w:val="yellow"/>
          <w:u w:val="single"/>
        </w:rPr>
        <w:t xml:space="preserve">贰年</w:t>
      </w:r>
      <w:r>
        <w:rPr>
          <w:rFonts w:hint="eastAsia" w:ascii="宋体" w:hAnsi="宋体"/>
          <w:szCs w:val="21"/>
          <w:highlight w:val="yellow"/>
        </w:rPr>
        <w:t xml:space="preserve">，质保期内因产品质量问题给与免费维修更换。质保期另有要求的，以要求高的为准；</w:t>
      </w:r>
      <w:r/>
    </w:p>
    <w:p>
      <w:pPr>
        <w:ind w:left="420"/>
        <w:spacing w:line="360" w:lineRule="auto"/>
        <w:rPr>
          <w:rFonts w:ascii="宋体" w:hAnsi="宋体"/>
          <w:szCs w:val="21"/>
        </w:rPr>
      </w:pPr>
      <w:r>
        <w:rPr>
          <w:rFonts w:hint="eastAsia" w:ascii="宋体" w:hAnsi="宋体"/>
          <w:szCs w:val="21"/>
        </w:rPr>
        <w:t xml:space="preserve">3．中国政府根据现行税法征收的与本合同有关的一切税费。      </w:t>
      </w:r>
      <w:r/>
    </w:p>
    <w:p>
      <w:pPr>
        <w:spacing w:line="360" w:lineRule="auto"/>
        <w:rPr>
          <w:rFonts w:ascii="宋体" w:hAnsi="宋体"/>
          <w:szCs w:val="21"/>
        </w:rPr>
      </w:pPr>
      <w:r>
        <w:rPr>
          <w:rFonts w:hint="eastAsia" w:ascii="宋体" w:hAnsi="宋体"/>
          <w:szCs w:val="21"/>
        </w:rPr>
        <w:t xml:space="preserve">    4．甲方有权根据需求作相应调整，乙方应予同意，其单价按投标报价按实结算。</w:t>
      </w:r>
      <w:r/>
    </w:p>
    <w:p>
      <w:pPr>
        <w:spacing w:line="360" w:lineRule="auto"/>
        <w:rPr>
          <w:rFonts w:ascii="宋体" w:hAnsi="宋体"/>
          <w:szCs w:val="21"/>
        </w:rPr>
      </w:pPr>
      <w:r>
        <w:rPr>
          <w:rFonts w:hint="eastAsia" w:ascii="宋体" w:hAnsi="宋体"/>
          <w:szCs w:val="21"/>
        </w:rPr>
        <w:t xml:space="preserve">六、交货内容：</w:t>
      </w:r>
      <w:r/>
    </w:p>
    <w:p>
      <w:pPr>
        <w:ind w:left="420"/>
        <w:spacing w:line="360" w:lineRule="auto"/>
        <w:rPr>
          <w:rFonts w:ascii="宋体" w:hAnsi="宋体"/>
          <w:szCs w:val="21"/>
        </w:rPr>
      </w:pPr>
      <w:r>
        <w:rPr>
          <w:rFonts w:hint="eastAsia" w:ascii="宋体" w:hAnsi="宋体"/>
          <w:szCs w:val="21"/>
        </w:rPr>
        <w:t xml:space="preserve">1．符合本合同及采购文件规定的产品或服务。</w:t>
      </w:r>
      <w:r/>
    </w:p>
    <w:p>
      <w:pPr>
        <w:ind w:left="420"/>
        <w:spacing w:line="360" w:lineRule="auto"/>
        <w:rPr>
          <w:rFonts w:ascii="宋体" w:hAnsi="宋体"/>
          <w:szCs w:val="21"/>
        </w:rPr>
      </w:pPr>
      <w:r>
        <w:rPr>
          <w:rFonts w:hint="eastAsia" w:ascii="宋体" w:hAnsi="宋体"/>
          <w:szCs w:val="21"/>
        </w:rPr>
        <w:t xml:space="preserve">2．保证产品使用所需的全套技术资料和文件。</w:t>
      </w:r>
      <w:r/>
    </w:p>
    <w:p>
      <w:pPr>
        <w:ind w:left="420"/>
        <w:spacing w:line="360" w:lineRule="auto"/>
        <w:rPr>
          <w:rFonts w:ascii="宋体" w:hAnsi="宋体"/>
          <w:szCs w:val="21"/>
        </w:rPr>
      </w:pPr>
      <w:r>
        <w:rPr>
          <w:rFonts w:hint="eastAsia" w:ascii="宋体" w:hAnsi="宋体"/>
          <w:szCs w:val="21"/>
        </w:rPr>
        <w:t xml:space="preserve">3．其他必备材料和必备工具等。</w:t>
      </w:r>
      <w:r/>
    </w:p>
    <w:p>
      <w:pPr>
        <w:spacing w:line="360" w:lineRule="auto"/>
        <w:rPr>
          <w:rFonts w:ascii="宋体" w:hAnsi="宋体"/>
          <w:szCs w:val="21"/>
        </w:rPr>
      </w:pPr>
      <w:r>
        <w:rPr>
          <w:rFonts w:hint="eastAsia" w:ascii="宋体" w:hAnsi="宋体"/>
          <w:szCs w:val="21"/>
        </w:rPr>
        <w:t xml:space="preserve">七、交货地点：乙方交货及安装至甲方指定地点。</w:t>
      </w:r>
      <w:r/>
    </w:p>
    <w:p>
      <w:pPr>
        <w:spacing w:line="360" w:lineRule="auto"/>
        <w:rPr>
          <w:rFonts w:ascii="宋体" w:hAnsi="宋体"/>
          <w:szCs w:val="21"/>
          <w:highlight w:val="yellow"/>
        </w:rPr>
      </w:pPr>
      <w:r>
        <w:rPr>
          <w:rFonts w:hint="eastAsia" w:ascii="宋体" w:hAnsi="宋体"/>
          <w:szCs w:val="21"/>
          <w:highlight w:val="yellow"/>
        </w:rPr>
        <w:t xml:space="preserve">八、交货时间：320日历天。</w:t>
      </w:r>
      <w:r/>
    </w:p>
    <w:p>
      <w:pPr>
        <w:spacing w:line="360" w:lineRule="auto"/>
        <w:rPr>
          <w:rFonts w:hint="default" w:ascii="宋体" w:hAnsi="宋体"/>
          <w:szCs w:val="21"/>
          <w:highlight w:val="yellow"/>
          <w:lang w:val="en-US"/>
        </w:rPr>
      </w:pPr>
      <w:r>
        <w:rPr>
          <w:rFonts w:hint="eastAsia" w:ascii="宋体" w:hAnsi="宋体"/>
          <w:szCs w:val="21"/>
          <w:highlight w:val="yellow"/>
        </w:rPr>
        <w:t xml:space="preserve">九、付款方式：合同签订后，甲方支付合同价的30%作为预付款；货物全部到达现场，甲方根据验收清单清点无误后，付至合同价的60%；货物全部安装完成，相关部门验收合格且完成结算后，付至结算价的90%；余款结算完成后三年内付清。</w:t>
      </w:r>
      <w:r/>
    </w:p>
    <w:p>
      <w:pPr>
        <w:spacing w:line="360" w:lineRule="auto"/>
        <w:rPr>
          <w:rFonts w:ascii="宋体" w:hAnsi="宋体"/>
          <w:szCs w:val="21"/>
        </w:rPr>
      </w:pPr>
      <w:r>
        <w:rPr>
          <w:rFonts w:hint="eastAsia" w:ascii="宋体" w:hAnsi="宋体"/>
          <w:szCs w:val="21"/>
        </w:rPr>
        <w:t xml:space="preserve">十、技术条款</w:t>
      </w:r>
      <w:r/>
    </w:p>
    <w:p>
      <w:pPr>
        <w:spacing w:line="360" w:lineRule="auto"/>
        <w:rPr>
          <w:rFonts w:ascii="宋体" w:hAnsi="宋体"/>
          <w:szCs w:val="21"/>
        </w:rPr>
      </w:pPr>
      <w:r>
        <w:rPr>
          <w:rFonts w:hint="eastAsia" w:ascii="宋体" w:hAnsi="宋体"/>
          <w:szCs w:val="21"/>
        </w:rPr>
        <w:t xml:space="preserve">乙方所供产品须符合采购文件需求和国家标准及规范要求。</w:t>
      </w:r>
      <w:r/>
    </w:p>
    <w:p>
      <w:pPr>
        <w:spacing w:line="360" w:lineRule="auto"/>
        <w:rPr>
          <w:rFonts w:ascii="宋体" w:hAnsi="宋体"/>
          <w:szCs w:val="21"/>
        </w:rPr>
      </w:pPr>
      <w:r>
        <w:rPr>
          <w:rFonts w:hint="eastAsia" w:ascii="宋体" w:hAnsi="宋体"/>
          <w:szCs w:val="21"/>
        </w:rPr>
        <w:t xml:space="preserve">十一、质量保证</w:t>
      </w:r>
      <w:r/>
    </w:p>
    <w:p>
      <w:pPr>
        <w:spacing w:line="360" w:lineRule="auto"/>
        <w:rPr>
          <w:rFonts w:ascii="宋体" w:hAnsi="宋体"/>
          <w:szCs w:val="21"/>
        </w:rPr>
      </w:pPr>
      <w:r>
        <w:rPr>
          <w:rFonts w:hint="eastAsia" w:ascii="宋体" w:hAnsi="宋体"/>
          <w:szCs w:val="21"/>
        </w:rPr>
        <w:t xml:space="preserve">每批产品须与规定的质量、功能和性能相符，同时提供产品的质量保证书、技术性能说明书、有关部门的检测测试报告等相关材料。</w:t>
      </w:r>
      <w:r/>
    </w:p>
    <w:p>
      <w:pPr>
        <w:spacing w:line="360" w:lineRule="auto"/>
        <w:rPr>
          <w:rFonts w:ascii="宋体" w:hAnsi="宋体"/>
          <w:szCs w:val="21"/>
        </w:rPr>
      </w:pPr>
      <w:r>
        <w:rPr>
          <w:rFonts w:hint="eastAsia" w:ascii="宋体" w:hAnsi="宋体"/>
          <w:szCs w:val="21"/>
        </w:rPr>
        <w:t xml:space="preserve">十二、本合同应为完整产品及技术要求的提供。</w:t>
      </w:r>
      <w:r/>
    </w:p>
    <w:p>
      <w:pPr>
        <w:spacing w:line="360" w:lineRule="auto"/>
        <w:rPr>
          <w:rFonts w:ascii="宋体" w:hAnsi="宋体"/>
          <w:szCs w:val="21"/>
        </w:rPr>
      </w:pPr>
      <w:r>
        <w:rPr>
          <w:rFonts w:hint="eastAsia" w:ascii="宋体" w:hAnsi="宋体"/>
          <w:szCs w:val="21"/>
        </w:rPr>
        <w:t xml:space="preserve">对于甲方在采购文件中所要求的及乙方在报价文件和合同中所承诺提供的参数，乙方应无条件提供，由于其他原因所造成的额外费用由乙方自行承担。</w:t>
      </w:r>
      <w:r/>
    </w:p>
    <w:p>
      <w:pPr>
        <w:spacing w:line="360" w:lineRule="auto"/>
        <w:rPr>
          <w:rFonts w:ascii="宋体" w:hAnsi="宋体"/>
          <w:szCs w:val="21"/>
        </w:rPr>
      </w:pPr>
      <w:r>
        <w:rPr>
          <w:rFonts w:hint="eastAsia" w:ascii="宋体" w:hAnsi="宋体"/>
          <w:szCs w:val="21"/>
        </w:rPr>
        <w:t xml:space="preserve">十三、售后服务</w:t>
      </w:r>
      <w:r/>
    </w:p>
    <w:p>
      <w:pPr>
        <w:spacing w:line="360" w:lineRule="auto"/>
        <w:rPr>
          <w:rFonts w:ascii="宋体" w:hAnsi="宋体"/>
          <w:szCs w:val="21"/>
        </w:rPr>
      </w:pPr>
      <w:r>
        <w:rPr>
          <w:rFonts w:hint="eastAsia" w:ascii="宋体" w:hAnsi="宋体"/>
          <w:szCs w:val="21"/>
        </w:rPr>
        <w:t xml:space="preserve">售后服务见乙方报价文件中的承诺。</w:t>
      </w:r>
      <w:r/>
    </w:p>
    <w:p>
      <w:pPr>
        <w:spacing w:line="360" w:lineRule="auto"/>
        <w:rPr>
          <w:rFonts w:ascii="宋体" w:hAnsi="宋体"/>
          <w:szCs w:val="21"/>
        </w:rPr>
      </w:pPr>
      <w:r>
        <w:rPr>
          <w:rFonts w:hint="eastAsia" w:ascii="宋体" w:hAnsi="宋体"/>
          <w:szCs w:val="21"/>
        </w:rPr>
        <w:t xml:space="preserve">十四、不可抗拒事故</w:t>
      </w:r>
      <w:r/>
    </w:p>
    <w:p>
      <w:pPr>
        <w:spacing w:line="360" w:lineRule="auto"/>
        <w:rPr>
          <w:rFonts w:ascii="宋体" w:hAnsi="宋体"/>
          <w:szCs w:val="21"/>
        </w:rPr>
      </w:pPr>
      <w:r>
        <w:rPr>
          <w:rFonts w:hint="eastAsia" w:ascii="宋体" w:hAnsi="宋体"/>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spacing w:line="360" w:lineRule="auto"/>
        <w:rPr>
          <w:rFonts w:ascii="宋体" w:hAnsi="宋体"/>
          <w:szCs w:val="21"/>
        </w:rPr>
      </w:pPr>
      <w:r>
        <w:rPr>
          <w:rFonts w:hint="eastAsia" w:ascii="宋体" w:hAnsi="宋体"/>
          <w:szCs w:val="21"/>
        </w:rPr>
        <w:t xml:space="preserve">十五、违约责任</w:t>
      </w:r>
      <w:r/>
    </w:p>
    <w:p>
      <w:pPr>
        <w:spacing w:line="360" w:lineRule="auto"/>
        <w:rPr>
          <w:rFonts w:ascii="宋体" w:hAnsi="宋体"/>
          <w:szCs w:val="21"/>
        </w:rPr>
      </w:pPr>
      <w:r>
        <w:rPr>
          <w:rFonts w:hint="eastAsia" w:ascii="宋体" w:hAnsi="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ascii="宋体" w:hAnsi="宋体"/>
          <w:szCs w:val="21"/>
        </w:rPr>
      </w:pPr>
      <w:r>
        <w:rPr>
          <w:rFonts w:hint="eastAsia" w:ascii="宋体" w:hAnsi="宋体"/>
          <w:szCs w:val="21"/>
        </w:rPr>
        <w:t xml:space="preserve">1．除人力不可抗拒因素外，乙方不能按期交货，或因产品质量缺损需要更换而影响实际交付使用时，乙方必须向甲方支付延期交货或延期交付使用的违约金，具体标准按合同总价每日千分之五计算。</w:t>
      </w:r>
      <w:r/>
    </w:p>
    <w:p>
      <w:pPr>
        <w:ind w:firstLine="420"/>
        <w:spacing w:line="360" w:lineRule="auto"/>
        <w:rPr>
          <w:rFonts w:ascii="宋体" w:hAnsi="宋体"/>
          <w:szCs w:val="21"/>
        </w:rPr>
      </w:pPr>
      <w:r>
        <w:rPr>
          <w:rFonts w:hint="eastAsia" w:ascii="宋体" w:hAnsi="宋体"/>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3．乙方因违反合同及采购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4．乙方应在 20    年  月  日前（或甲、乙双方另外规定的时间内）交付甲方使用，除因不可抗拒力造成的误期或延期外，任何交付期限的延长，乙方均应按合同总价款每日千分之五的标准向甲方支付违约金，同时本条款项下的违约金计算不影响上述三项违约金条款的执行。</w:t>
      </w:r>
      <w:r/>
    </w:p>
    <w:p>
      <w:pPr>
        <w:ind w:firstLine="420"/>
        <w:spacing w:line="360" w:lineRule="auto"/>
        <w:rPr>
          <w:rFonts w:ascii="宋体" w:hAnsi="宋体"/>
          <w:szCs w:val="21"/>
        </w:rPr>
      </w:pPr>
      <w:r>
        <w:rPr>
          <w:rFonts w:hint="eastAsia" w:ascii="宋体" w:hAnsi="宋体"/>
          <w:szCs w:val="21"/>
        </w:rPr>
        <w:t xml:space="preserve">5．乙方全部履行合同，甲方在收到乙方的付款通知并审定无误10天内按期付款，如有违约，甲方按合同总价每日千分之五支付延期付款违约金。</w:t>
      </w:r>
      <w:r/>
    </w:p>
    <w:p>
      <w:pPr>
        <w:ind w:left="420"/>
        <w:spacing w:line="360" w:lineRule="auto"/>
        <w:rPr>
          <w:rFonts w:ascii="宋体" w:hAnsi="宋体"/>
          <w:szCs w:val="21"/>
        </w:rPr>
      </w:pPr>
      <w:r>
        <w:rPr>
          <w:rFonts w:hint="eastAsia" w:ascii="宋体" w:hAnsi="宋体"/>
          <w:szCs w:val="21"/>
        </w:rPr>
        <w:t xml:space="preserve">6．乙方提前交货的，甲方接货后，按合同规定的付款方式付款。</w:t>
      </w:r>
      <w:r/>
    </w:p>
    <w:p>
      <w:pPr>
        <w:spacing w:line="360" w:lineRule="auto"/>
        <w:rPr>
          <w:rFonts w:ascii="宋体" w:hAnsi="宋体"/>
          <w:szCs w:val="21"/>
        </w:rPr>
      </w:pPr>
      <w:r>
        <w:rPr>
          <w:rFonts w:hint="eastAsia" w:ascii="宋体" w:hAnsi="宋体"/>
          <w:szCs w:val="21"/>
        </w:rPr>
        <w:t xml:space="preserve">十六、索赔：</w:t>
      </w:r>
      <w:r/>
    </w:p>
    <w:p>
      <w:pPr>
        <w:spacing w:line="360" w:lineRule="auto"/>
        <w:rPr>
          <w:rFonts w:ascii="宋体" w:hAnsi="宋体"/>
          <w:szCs w:val="21"/>
        </w:rPr>
      </w:pPr>
      <w:r>
        <w:rPr>
          <w:rFonts w:hint="eastAsia" w:ascii="宋体" w:hAnsi="宋体"/>
          <w:szCs w:val="21"/>
        </w:rPr>
        <w:t xml:space="preserve">如在产品交货、使用过程中，甲方发现产品品质与合同内容有不符及根据甲方按国家标准或行业标准自己检验的结果或当地技监（信息）部门的检验结果，或者在质量保证期限内，如果设备的数量、质量或规格与合同不符或证实是有缺陷的，包括潜在缺陷或使用不符合要求等时，有权向乙方提出索赔，乙方在收到甲方索赔通知后2-5天内应免费维修或更换有缺陷的部分。如果乙方在收到通知后5天内没有弥补缺陷，甲方可采取必要的补救措施，但风险和费用将由乙方承担，同时甲方对乙方行使的其它权利不受影响。</w:t>
      </w:r>
      <w:r/>
    </w:p>
    <w:p>
      <w:pPr>
        <w:ind w:left="420"/>
        <w:spacing w:line="360" w:lineRule="auto"/>
        <w:rPr>
          <w:rFonts w:ascii="宋体" w:hAnsi="宋体"/>
          <w:szCs w:val="21"/>
        </w:rPr>
      </w:pPr>
      <w:r>
        <w:rPr>
          <w:rFonts w:hint="eastAsia" w:ascii="宋体" w:hAnsi="宋体"/>
          <w:szCs w:val="21"/>
        </w:rPr>
        <w:t xml:space="preserve">索赔方式除上述规定之外，甲方还有权选择以下方式进行索赔：</w:t>
      </w:r>
      <w:r/>
    </w:p>
    <w:p>
      <w:pPr>
        <w:ind w:firstLine="420"/>
        <w:spacing w:line="360" w:lineRule="auto"/>
        <w:rPr>
          <w:rFonts w:ascii="宋体" w:hAnsi="宋体"/>
          <w:szCs w:val="21"/>
        </w:rPr>
      </w:pPr>
      <w:r>
        <w:rPr>
          <w:rFonts w:hint="eastAsia" w:ascii="宋体" w:hAnsi="宋体"/>
          <w:szCs w:val="21"/>
        </w:rPr>
        <w:t xml:space="preserve">1．乙方同意退货，并双倍返还定金及甲方已支付的合同款，并承担由此发生的一切损失和费用，包括甲方直接损失、利息、银行手续费、运费、保险费、以及为保护退回系统所需的其它必要费用。</w:t>
      </w:r>
      <w:r/>
    </w:p>
    <w:p>
      <w:pPr>
        <w:ind w:firstLine="420"/>
        <w:spacing w:line="360" w:lineRule="auto"/>
        <w:rPr>
          <w:rFonts w:ascii="宋体" w:hAnsi="宋体"/>
          <w:szCs w:val="21"/>
        </w:rPr>
      </w:pPr>
      <w:r>
        <w:rPr>
          <w:rFonts w:hint="eastAsia" w:ascii="宋体" w:hAnsi="宋体"/>
          <w:szCs w:val="21"/>
        </w:rPr>
        <w:t xml:space="preserve">2．用符合规格、质量和性能要求的产品来更换有缺陷的产品，乙方应承担一切费用和风险并负担甲方所发生的一切直接费用。</w:t>
      </w:r>
      <w:r/>
    </w:p>
    <w:p>
      <w:pPr>
        <w:ind w:firstLine="420"/>
        <w:spacing w:line="360" w:lineRule="auto"/>
        <w:rPr>
          <w:rFonts w:ascii="宋体" w:hAnsi="宋体"/>
          <w:szCs w:val="21"/>
        </w:rPr>
      </w:pPr>
      <w:r>
        <w:rPr>
          <w:rFonts w:hint="eastAsia" w:ascii="宋体" w:hAnsi="宋体"/>
          <w:szCs w:val="21"/>
        </w:rPr>
        <w:t xml:space="preserve">3．从尚未支付的合同价款或履约保证金中扣除乙方应承担的违约金、赔偿金以及甲方因急需更换产品而支付的各种费用以及因索赔而发生的合理费用，包括律师费用。如果这些金额不足以补偿索赔金额，甲方有权向乙方提出对不足部分的补偿。</w:t>
      </w:r>
      <w:r/>
    </w:p>
    <w:p>
      <w:pPr>
        <w:spacing w:line="360" w:lineRule="auto"/>
        <w:rPr>
          <w:rFonts w:ascii="宋体" w:hAnsi="宋体"/>
          <w:szCs w:val="21"/>
        </w:rPr>
      </w:pPr>
      <w:r>
        <w:rPr>
          <w:rFonts w:hint="eastAsia" w:ascii="宋体" w:hAnsi="宋体"/>
          <w:szCs w:val="21"/>
        </w:rPr>
        <w:t xml:space="preserve">十七、资料提供：合同签订一周内乙方提供产品技术参数报告。</w:t>
      </w:r>
      <w:r/>
    </w:p>
    <w:p>
      <w:pPr>
        <w:spacing w:line="360" w:lineRule="auto"/>
        <w:rPr>
          <w:rFonts w:ascii="宋体" w:hAnsi="宋体"/>
          <w:szCs w:val="21"/>
        </w:rPr>
      </w:pPr>
      <w:r>
        <w:rPr>
          <w:rFonts w:hint="eastAsia" w:ascii="宋体" w:hAnsi="宋体"/>
          <w:szCs w:val="21"/>
        </w:rPr>
        <w:t xml:space="preserve">十八、特别条款</w:t>
      </w:r>
      <w:r/>
    </w:p>
    <w:p>
      <w:pPr>
        <w:ind w:left="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2．本合同系指本文件及其附件中的所有部分；其中招标文件、中标的投标文件、中标单位在招投标过程中的澄清、承诺等为本合同不可缺少的必要组成部分。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3．本合同一式四份，甲乙双方、政府采购管理部门和招标代理单位各执壹份，各份具有同等法律效力。</w:t>
      </w:r>
      <w:r/>
    </w:p>
    <w:p>
      <w:pPr>
        <w:ind w:firstLine="420"/>
        <w:spacing w:line="360" w:lineRule="auto"/>
        <w:rPr>
          <w:rFonts w:ascii="宋体" w:hAnsi="宋体"/>
          <w:szCs w:val="21"/>
        </w:rPr>
      </w:pPr>
      <w:r>
        <w:rPr>
          <w:rFonts w:hint="eastAsia" w:ascii="宋体" w:hAnsi="宋体"/>
          <w:szCs w:val="21"/>
        </w:rPr>
        <w:t xml:space="preserve">4.在产品供货过程中，乙方应严格按照国家有关安全标准和安全措施执行，应遵守甲方的安全保卫其它有关规章制度，承担安全生产责任，凡因此出现的安全事故应由乙方承担自负，并承担相应费用。</w:t>
      </w:r>
      <w:r/>
    </w:p>
    <w:p>
      <w:pPr>
        <w:spacing w:line="360" w:lineRule="auto"/>
        <w:rPr>
          <w:rFonts w:ascii="宋体" w:hAnsi="宋体"/>
          <w:szCs w:val="21"/>
        </w:rPr>
      </w:pPr>
      <w:r>
        <w:rPr>
          <w:rFonts w:hint="eastAsia" w:ascii="宋体" w:hAnsi="宋体"/>
          <w:szCs w:val="21"/>
        </w:rPr>
        <w:t xml:space="preserve">十九、其他</w:t>
      </w:r>
      <w:r/>
    </w:p>
    <w:p>
      <w:pPr>
        <w:ind w:firstLine="420"/>
        <w:spacing w:line="360" w:lineRule="auto"/>
        <w:rPr>
          <w:rFonts w:ascii="宋体" w:hAnsi="宋体"/>
          <w:szCs w:val="21"/>
        </w:rPr>
      </w:pPr>
      <w:r>
        <w:rPr>
          <w:rFonts w:hint="eastAsia" w:ascii="宋体" w:hAnsi="宋体"/>
          <w:szCs w:val="21"/>
        </w:rPr>
        <w:t xml:space="preserve">本合同未尽事宜，签约双方应友好协商解决。协商不成，任何一方均可向甲方所在人民法院提起诉讼。</w:t>
      </w:r>
      <w:r/>
    </w:p>
    <w:p>
      <w:pPr>
        <w:spacing w:line="360" w:lineRule="auto"/>
        <w:rPr>
          <w:rFonts w:ascii="宋体" w:hAnsi="宋体"/>
          <w:szCs w:val="21"/>
        </w:rPr>
      </w:pPr>
      <w:r>
        <w:rPr>
          <w:rFonts w:hint="eastAsia" w:ascii="宋体" w:hAnsi="宋体"/>
          <w:szCs w:val="21"/>
        </w:rPr>
        <w:t xml:space="preserve">二十、合同生效</w:t>
      </w:r>
      <w:r/>
    </w:p>
    <w:p>
      <w:pPr>
        <w:ind w:firstLine="420"/>
        <w:spacing w:line="360" w:lineRule="auto"/>
        <w:rPr>
          <w:rFonts w:ascii="宋体" w:hAnsi="宋体"/>
          <w:szCs w:val="21"/>
        </w:rPr>
      </w:pPr>
      <w:r>
        <w:rPr>
          <w:rFonts w:hint="eastAsia" w:ascii="宋体" w:hAnsi="宋体"/>
          <w:szCs w:val="21"/>
        </w:rPr>
        <w:t xml:space="preserve">本合同经甲乙双方法定代表人或被授权人签章和盖公章或合同章后</w:t>
      </w:r>
      <w:r>
        <w:rPr>
          <w:rFonts w:ascii="宋体" w:hAnsi="宋体" w:cs="宋体"/>
          <w:szCs w:val="21"/>
        </w:rPr>
        <w:t xml:space="preserve">生效</w:t>
      </w:r>
      <w:r>
        <w:rPr>
          <w:rFonts w:hint="eastAsia" w:ascii="宋体" w:hAnsi="宋体"/>
          <w:szCs w:val="21"/>
        </w:rPr>
        <w:t xml:space="preserve">。</w:t>
      </w:r>
      <w:r/>
    </w:p>
    <w:p>
      <w:pPr>
        <w:spacing w:line="520" w:lineRule="exact"/>
        <w:rPr>
          <w:rFonts w:ascii="宋体" w:hAnsi="宋体"/>
          <w:szCs w:val="21"/>
        </w:rPr>
      </w:pPr>
      <w:r>
        <w:rPr>
          <w:rFonts w:hint="eastAsia" w:ascii="宋体" w:hAnsi="宋体"/>
          <w:szCs w:val="21"/>
        </w:rPr>
        <w:t xml:space="preserve">甲方：                                     乙方：                    </w:t>
      </w:r>
      <w:r/>
    </w:p>
    <w:p>
      <w:pPr>
        <w:spacing w:line="520" w:lineRule="exact"/>
        <w:rPr>
          <w:rFonts w:ascii="宋体" w:hAnsi="宋体"/>
          <w:szCs w:val="21"/>
        </w:rPr>
      </w:pPr>
      <w:r>
        <w:rPr>
          <w:rFonts w:hint="eastAsia" w:ascii="宋体" w:hAnsi="宋体"/>
          <w:szCs w:val="21"/>
        </w:rPr>
        <w:t xml:space="preserve">法人代表（授权代表）：                      法人代表（授权代表）：    </w:t>
      </w:r>
      <w:r/>
    </w:p>
    <w:p>
      <w:pPr>
        <w:spacing w:line="520" w:lineRule="exact"/>
        <w:rPr>
          <w:rFonts w:ascii="宋体" w:hAnsi="宋体"/>
          <w:szCs w:val="21"/>
        </w:rPr>
      </w:pPr>
      <w:r>
        <w:rPr>
          <w:rFonts w:hint="eastAsia" w:ascii="宋体" w:hAnsi="宋体"/>
          <w:szCs w:val="21"/>
        </w:rPr>
        <w:t xml:space="preserve">签约日期：                                 签约日期：     </w:t>
      </w:r>
      <w:r/>
    </w:p>
    <w:p>
      <w:pPr>
        <w:spacing w:line="360" w:lineRule="auto"/>
        <w:rPr>
          <w:rFonts w:hint="eastAsia" w:ascii="宋体" w:hAnsi="宋体" w:cs="Arial"/>
          <w:szCs w:val="21"/>
        </w:rPr>
      </w:pPr>
      <w:r>
        <w:rPr>
          <w:rFonts w:hint="eastAsia" w:ascii="宋体" w:hAnsi="宋体" w:cs="Arial"/>
          <w:szCs w:val="21"/>
        </w:rPr>
      </w:r>
      <w:r/>
    </w:p>
    <w:p>
      <w:pPr>
        <w:ind w:firstLine="420"/>
        <w:spacing w:line="360" w:lineRule="auto"/>
        <w:rPr>
          <w:rFonts w:hint="eastAsia" w:ascii="宋体" w:hAnsi="宋体" w:cs="Arial"/>
          <w:szCs w:val="21"/>
        </w:rPr>
      </w:pPr>
      <w:r>
        <w:rPr>
          <w:rFonts w:hint="eastAsia" w:ascii="宋体" w:hAnsi="宋体" w:cs="Arial"/>
          <w:szCs w:val="21"/>
        </w:rPr>
        <w:t xml:space="preserve">备案机构：</w:t>
      </w:r>
      <w:bookmarkEnd w:id="142"/>
      <w:r/>
      <w:bookmarkEnd w:id="143"/>
      <w:r/>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860"/>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firstLine="420"/>
        <w:spacing w:line="360" w:lineRule="auto"/>
        <w:rPr>
          <w:rFonts w:ascii="宋体" w:hAnsi="宋体"/>
          <w:szCs w:val="21"/>
        </w:rPr>
      </w:pPr>
      <w:r>
        <w:rPr>
          <w:rFonts w:hint="eastAsia" w:ascii="宋体" w:hAnsi="宋体"/>
          <w:szCs w:val="21"/>
        </w:rPr>
        <w:t xml:space="preserve">2、综合评分的主要因素为：价格、技术、信誉、业绩、服务、对招标文件的响应程度，以及相应的比重或者数值等。总分值100分，商务评审分值为30分，技术评审分值为70分。</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spacing w:line="360" w:lineRule="auto"/>
        <w:rPr>
          <w:rFonts w:ascii="宋体" w:hAnsi="宋体"/>
          <w:b/>
          <w:szCs w:val="21"/>
        </w:rPr>
      </w:pPr>
      <w:r>
        <w:rPr>
          <w:rFonts w:hint="eastAsia" w:ascii="宋体" w:hAnsi="宋体"/>
          <w:b/>
          <w:szCs w:val="21"/>
        </w:rPr>
        <w:t xml:space="preserve">二、价格分（30分）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大</w:t>
      </w:r>
      <w:r>
        <w:rPr>
          <w:rFonts w:ascii="宋体" w:hAnsi="宋体"/>
          <w:szCs w:val="21"/>
        </w:rPr>
        <w:t xml:space="preserve">于财政预算价格的，为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价格得分=（评标基准价/投标报价）×价格权重×100；（计算到小数点后二位）</w:t>
      </w:r>
      <w:r/>
    </w:p>
    <w:p>
      <w:pPr>
        <w:spacing w:line="360" w:lineRule="auto"/>
        <w:tabs>
          <w:tab w:val="left" w:pos="1140" w:leader="none"/>
        </w:tabs>
        <w:rPr>
          <w:rFonts w:hint="eastAsia" w:ascii="宋体" w:hAnsi="宋体" w:cs="Arial"/>
          <w:b/>
          <w:szCs w:val="21"/>
        </w:rPr>
      </w:pPr>
      <w:r>
        <w:rPr>
          <w:rFonts w:hint="eastAsia" w:ascii="宋体" w:hAnsi="宋体" w:cs="Arial"/>
          <w:b/>
          <w:szCs w:val="21"/>
        </w:rPr>
        <w:t xml:space="preserve">三、评分标准</w:t>
      </w:r>
      <w:r/>
    </w:p>
    <w:p>
      <w:pPr>
        <w:spacing w:line="360" w:lineRule="auto"/>
        <w:rPr>
          <w:rFonts w:ascii="宋体" w:hAnsi="宋体"/>
          <w:b/>
          <w:sz w:val="24"/>
        </w:rPr>
      </w:pPr>
      <w:r>
        <w:rPr>
          <w:rFonts w:hint="eastAsia" w:ascii="宋体" w:hAnsi="宋体"/>
          <w:b/>
          <w:sz w:val="24"/>
        </w:rPr>
        <w:t xml:space="preserve">初审评审指标</w:t>
      </w:r>
      <w:r/>
    </w:p>
    <w:tbl>
      <w:tblPr>
        <w:tblStyle w:val="865"/>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ascii="宋体" w:hAnsi="宋体"/>
                <w:sz w:val="24"/>
              </w:rPr>
            </w:pPr>
            <w:r/>
            <w:bookmarkStart w:id="144" w:name="gpc_accord_horizontal_1"/>
            <w:r>
              <w:rPr>
                <w:rFonts w:hint="eastAsia" w:ascii="宋体" w:hAnsi="宋体"/>
                <w:sz w:val="24"/>
              </w:rPr>
              <w:t xml:space="preserve">指标</w:t>
            </w:r>
            <w:r/>
          </w:p>
        </w:tc>
        <w:tc>
          <w:tcPr>
            <w:tcW w:w="3546" w:type="dxa"/>
            <w:vAlign w:val="center"/>
            <w:textDirection w:val="lrTb"/>
            <w:noWrap w:val="false"/>
          </w:tcPr>
          <w:p>
            <w:pPr>
              <w:jc w:val="center"/>
              <w:rPr>
                <w:rFonts w:ascii="宋体" w:hAnsi="宋体"/>
                <w:sz w:val="24"/>
              </w:rPr>
            </w:pPr>
            <w:r>
              <w:rPr>
                <w:rFonts w:hint="eastAsia" w:ascii="宋体" w:hAnsi="宋体"/>
                <w:sz w:val="24"/>
              </w:rPr>
              <w:t xml:space="preserve">描述</w:t>
            </w:r>
            <w:r/>
          </w:p>
        </w:tc>
        <w:tc>
          <w:tcPr>
            <w:tcW w:w="2103"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是否合格</w:t>
            </w:r>
            <w:r/>
          </w:p>
        </w:tc>
      </w:tr>
      <w:tr>
        <w:trPr>
          <w:trHeight w:val="346"/>
        </w:trPr>
        <w:tc>
          <w:tcPr>
            <w:tcW w:w="2849" w:type="dxa"/>
            <w:vAlign w:val="center"/>
            <w:textDirection w:val="lrTb"/>
            <w:noWrap w:val="false"/>
          </w:tcPr>
          <w:p>
            <w:pPr>
              <w:jc w:val="center"/>
              <w:rPr>
                <w:rFonts w:ascii="宋体" w:hAnsi="宋体"/>
                <w:sz w:val="24"/>
              </w:rPr>
            </w:pPr>
            <w:r>
              <w:rPr>
                <w:rFonts w:hint="eastAsia" w:ascii="宋体" w:hAnsi="宋体"/>
                <w:sz w:val="24"/>
              </w:rPr>
              <w:t xml:space="preserve">资格性检查</w:t>
            </w:r>
            <w:r/>
          </w:p>
        </w:tc>
        <w:tc>
          <w:tcPr>
            <w:tcW w:w="3546" w:type="dxa"/>
            <w:vAlign w:val="center"/>
            <w:textDirection w:val="lrTb"/>
            <w:noWrap w:val="false"/>
          </w:tcPr>
          <w:p>
            <w:pPr>
              <w:jc w:val="center"/>
              <w:rPr>
                <w:rFonts w:ascii="宋体" w:hAnsi="宋体"/>
                <w:sz w:val="24"/>
              </w:rPr>
            </w:pPr>
            <w:r>
              <w:rPr>
                <w:rFonts w:ascii="宋体" w:hAnsi="宋体"/>
                <w:sz w:val="24"/>
              </w:rPr>
            </w:r>
            <w:r/>
          </w:p>
        </w:tc>
        <w:tc>
          <w:tcPr>
            <w:tcW w:w="2103" w:type="dxa"/>
            <w:vAlign w:val="center"/>
            <w:textDirection w:val="lrTb"/>
            <w:noWrap w:val="false"/>
          </w:tcPr>
          <w:p>
            <w:pPr>
              <w:jc w:val="center"/>
              <w:rPr>
                <w:rFonts w:ascii="宋体" w:hAnsi="宋体"/>
                <w:sz w:val="24"/>
              </w:rPr>
            </w:pPr>
            <w:r>
              <w:rPr>
                <w:rFonts w:ascii="宋体" w:hAnsi="宋体"/>
                <w:sz w:val="24"/>
              </w:rPr>
            </w:r>
            <w:r/>
          </w:p>
        </w:tc>
      </w:tr>
      <w:tr>
        <w:trPr>
          <w:trHeight w:val="356"/>
        </w:trPr>
        <w:tc>
          <w:tcPr>
            <w:tcW w:w="2849" w:type="dxa"/>
            <w:vAlign w:val="center"/>
            <w:textDirection w:val="lrTb"/>
            <w:noWrap w:val="false"/>
          </w:tcPr>
          <w:p>
            <w:pPr>
              <w:jc w:val="center"/>
              <w:rPr>
                <w:rFonts w:ascii="宋体" w:hAnsi="宋体"/>
                <w:sz w:val="24"/>
              </w:rPr>
            </w:pPr>
            <w:r>
              <w:rPr>
                <w:rFonts w:hint="eastAsia" w:ascii="宋体" w:hAnsi="宋体"/>
                <w:sz w:val="24"/>
              </w:rPr>
              <w:t xml:space="preserve">符合性检查</w:t>
            </w:r>
            <w:r/>
          </w:p>
        </w:tc>
        <w:tc>
          <w:tcPr>
            <w:tcW w:w="3546" w:type="dxa"/>
            <w:vAlign w:val="center"/>
            <w:textDirection w:val="lrTb"/>
            <w:noWrap w:val="false"/>
          </w:tcPr>
          <w:p>
            <w:pPr>
              <w:jc w:val="center"/>
              <w:rPr>
                <w:rFonts w:ascii="宋体" w:hAnsi="宋体"/>
                <w:sz w:val="24"/>
              </w:rPr>
            </w:pPr>
            <w:r>
              <w:rPr>
                <w:rFonts w:hint="eastAsia" w:ascii="宋体" w:hAnsi="宋体"/>
                <w:sz w:val="24"/>
              </w:rPr>
              <w:t xml:space="preserve">交货时间、付款方式、投标内容</w:t>
            </w:r>
            <w:r/>
          </w:p>
        </w:tc>
        <w:tc>
          <w:tcPr>
            <w:tcW w:w="2103" w:type="dxa"/>
            <w:vAlign w:val="center"/>
            <w:textDirection w:val="lrTb"/>
            <w:noWrap w:val="false"/>
          </w:tcPr>
          <w:p>
            <w:pPr>
              <w:jc w:val="center"/>
              <w:rPr>
                <w:rFonts w:ascii="宋体" w:hAnsi="宋体"/>
                <w:sz w:val="24"/>
              </w:rPr>
            </w:pPr>
            <w:r>
              <w:rPr>
                <w:rFonts w:ascii="宋体" w:hAnsi="宋体"/>
                <w:sz w:val="24"/>
              </w:rPr>
            </w:r>
            <w:bookmarkEnd w:id="144"/>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865"/>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840"/>
        <w:gridCol w:w="6088"/>
        <w:gridCol w:w="849"/>
      </w:tblGrid>
      <w:tr>
        <w:trPr>
          <w:jc w:val="center"/>
          <w:trHeight w:val="686"/>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bookmarkStart w:id="145" w:name="gpc_score_horizontal_1"/>
            <w:r>
              <w:rPr>
                <w:rFonts w:hint="eastAsia" w:asciiTheme="minorEastAsia" w:hAnsiTheme="minorEastAsia" w:eastAsiaTheme="minorEastAsia" w:cstheme="minorEastAsia"/>
                <w:sz w:val="21"/>
                <w:szCs w:val="21"/>
                <w:highlight w:val="none"/>
                <w:u w:val="none"/>
              </w:rPr>
              <w:t xml:space="preserve">序号</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评分因素</w:t>
            </w:r>
            <w:r/>
          </w:p>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及权重</w:t>
            </w:r>
            <w:r/>
          </w:p>
        </w:tc>
        <w:tc>
          <w:tcPr>
            <w:tcW w:w="6088"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评分标准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分值</w:t>
            </w:r>
            <w:r/>
          </w:p>
        </w:tc>
      </w:tr>
      <w:tr>
        <w:trPr>
          <w:jc w:val="center"/>
          <w:trHeight w:val="801"/>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1</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投标报价</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以本次最低有效投标报价为基准价，投标报价得分=(基准价／投标报价)*</w:t>
            </w:r>
            <w:r>
              <w:rPr>
                <w:rFonts w:hint="eastAsia" w:asciiTheme="minorEastAsia" w:hAnsiTheme="minorEastAsia" w:eastAsiaTheme="minorEastAsia" w:cstheme="minorEastAsia"/>
                <w:sz w:val="21"/>
                <w:szCs w:val="21"/>
                <w:highlight w:val="none"/>
                <w:u w:val="none"/>
                <w:lang w:val="en-US" w:eastAsia="zh-CN"/>
              </w:rPr>
              <w:t xml:space="preserve">3</w:t>
            </w:r>
            <w:r>
              <w:rPr>
                <w:rFonts w:hint="eastAsia" w:asciiTheme="minorEastAsia" w:hAnsiTheme="minorEastAsia" w:eastAsiaTheme="minorEastAsia" w:cstheme="minorEastAsia"/>
                <w:sz w:val="21"/>
                <w:szCs w:val="21"/>
                <w:highlight w:val="none"/>
                <w:u w:val="none"/>
              </w:rPr>
              <w:t xml:space="preserve">0分。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lang w:val="en-US" w:eastAsia="zh-CN"/>
              </w:rPr>
              <w:t xml:space="preserve">3</w:t>
            </w:r>
            <w:r>
              <w:rPr>
                <w:rFonts w:hint="eastAsia" w:asciiTheme="minorEastAsia" w:hAnsiTheme="minorEastAsia" w:eastAsiaTheme="minorEastAsia" w:cstheme="minorEastAsia"/>
                <w:sz w:val="21"/>
                <w:szCs w:val="21"/>
                <w:highlight w:val="none"/>
                <w:u w:val="none"/>
              </w:rPr>
              <w:t xml:space="preserve">0</w:t>
            </w:r>
            <w:r/>
          </w:p>
        </w:tc>
      </w:tr>
      <w:tr>
        <w:trPr>
          <w:jc w:val="center"/>
          <w:trHeight w:val="1787"/>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2</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烘干机主机</w:t>
            </w:r>
            <w:r>
              <w:rPr>
                <w:rFonts w:hint="eastAsia" w:asciiTheme="minorEastAsia" w:hAnsiTheme="minorEastAsia" w:eastAsiaTheme="minorEastAsia" w:cstheme="minorEastAsia"/>
                <w:sz w:val="21"/>
                <w:szCs w:val="21"/>
                <w:highlight w:val="none"/>
                <w:lang w:val="en-US" w:eastAsia="zh-CN"/>
              </w:rPr>
              <w:t xml:space="preserve">结构</w:t>
            </w:r>
            <w:r/>
          </w:p>
        </w:tc>
        <w:tc>
          <w:tcPr>
            <w:tcW w:w="6088" w:type="dxa"/>
            <w:vAlign w:val="center"/>
            <w:textDirection w:val="lrTb"/>
            <w:noWrap w:val="false"/>
          </w:tcPr>
          <w:p>
            <w:pPr>
              <w:jc w:val="left"/>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烘干机底部配置高1.5米以上的钢架台，与烘干机为一体结构、方便清扫，需提供钢架台纵剖图及工程案例图片</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jc w:val="left"/>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设置风选装置，循环烘干过程中可有效去除粮食里的粉尘、稻梗、 壳等杂质，需提供相关结构图纸及工程案例图片</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采用无上绞龙进料，可减少设备故障和谷物破碎率；需提供相关图纸及工程案例图片</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烘干机主机外壁装配彩钢瓦防雨防风，需提供彩钢瓦外壁做法详图及其机体总装纵横剖面图。（</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jc w:val="left"/>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注：图片须注明使用单位名称、地址、联系人、联系方式等。</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8</w:t>
            </w:r>
            <w:r/>
          </w:p>
        </w:tc>
      </w:tr>
      <w:tr>
        <w:trPr>
          <w:jc w:val="center"/>
          <w:trHeight w:val="2561"/>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3</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lang w:val="en-US" w:eastAsia="zh-CN"/>
              </w:rPr>
              <w:t xml:space="preserve">性能参数</w:t>
            </w:r>
            <w:r/>
          </w:p>
        </w:tc>
        <w:tc>
          <w:tcPr>
            <w:tcW w:w="6088" w:type="dxa"/>
            <w:vAlign w:val="center"/>
            <w:textDirection w:val="lrTb"/>
            <w:noWrap w:val="false"/>
          </w:tcPr>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投标人所投烘干机的技术参数全部满足（或优于）以下要求，得12分：</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1、烘干机现场噪音≤82dB（A）；</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2、粉尘浓度≤6.8mg/m³</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3、破碎率增值≤0.2%；</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4、烘干不均匀度≤0.5%；</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5、爆腰率增值≤0.5%；</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6、种子发芽率不低于干燥前。</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lang w:val="en-US" w:eastAsia="zh-CN"/>
              </w:rPr>
              <w:t xml:space="preserve">满足（或优于）以上参数，每一项得2分，最多得12分。以上参数须提供省级及以上农机鉴定部门出具的检验报告扫描件加盖公章。</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12</w:t>
            </w:r>
            <w:r/>
          </w:p>
        </w:tc>
      </w:tr>
      <w:tr>
        <w:trPr>
          <w:jc w:val="center"/>
          <w:trHeight w:val="1017"/>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4</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技术方案</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投标人根据对招标文件的内容要求，结合自身产品特性，整体设计方案合理、节约空间、满足工艺要求等因素提供以下图片：</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1、提供设备工艺流程图</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2、提供设备平面布置图</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3、提供设备立面图</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4、提供设备剖面图。</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无技术方案不得分。</w:t>
            </w:r>
            <w:r/>
          </w:p>
        </w:tc>
        <w:tc>
          <w:tcPr>
            <w:tcW w:w="8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8</w:t>
            </w:r>
            <w:r/>
          </w:p>
        </w:tc>
      </w:tr>
      <w:tr>
        <w:trPr>
          <w:jc w:val="center"/>
          <w:trHeight w:val="1365"/>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val="en-US" w:eastAsia="zh-CN"/>
              </w:rPr>
              <w:t xml:space="preserve">5</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企业业绩</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投标人自20</w:t>
            </w:r>
            <w:r>
              <w:rPr>
                <w:rFonts w:hint="eastAsia" w:asciiTheme="minorEastAsia" w:hAnsiTheme="minorEastAsia" w:eastAsiaTheme="minorEastAsia" w:cstheme="minorEastAsia"/>
                <w:sz w:val="21"/>
                <w:szCs w:val="21"/>
                <w:highlight w:val="none"/>
                <w:lang w:val="en-US" w:eastAsia="zh-CN"/>
              </w:rPr>
              <w:t xml:space="preserve">21</w:t>
            </w:r>
            <w:r>
              <w:rPr>
                <w:rFonts w:hint="eastAsia" w:asciiTheme="minorEastAsia" w:hAnsiTheme="minorEastAsia" w:eastAsiaTheme="minorEastAsia" w:cstheme="minorEastAsia"/>
                <w:sz w:val="21"/>
                <w:szCs w:val="21"/>
                <w:highlight w:val="none"/>
              </w:rPr>
              <w:t xml:space="preserve">年1月1日以来（以合同签订时间为准）承接过类似项目</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rPr>
              <w:t xml:space="preserve">每有一个得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分，最高得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lang w:val="en-US" w:eastAsia="zh-CN"/>
              </w:rPr>
              <w:t xml:space="preserve">需</w:t>
            </w:r>
            <w:r>
              <w:rPr>
                <w:rFonts w:hint="eastAsia" w:asciiTheme="minorEastAsia" w:hAnsiTheme="minorEastAsia" w:eastAsiaTheme="minorEastAsia" w:cstheme="minorEastAsia"/>
                <w:sz w:val="21"/>
                <w:szCs w:val="21"/>
                <w:highlight w:val="none"/>
              </w:rPr>
              <w:t xml:space="preserve">提供合同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现场照片、验收报告或验收单</w:t>
            </w:r>
            <w:r>
              <w:rPr>
                <w:rFonts w:hint="eastAsia" w:asciiTheme="minorEastAsia" w:hAnsiTheme="minorEastAsia" w:eastAsiaTheme="minorEastAsia" w:cstheme="minorEastAsia"/>
                <w:sz w:val="21"/>
                <w:szCs w:val="21"/>
                <w:highlight w:val="none"/>
                <w:lang w:eastAsia="zh-CN"/>
              </w:rPr>
              <w:t xml:space="preserve">。</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6</w:t>
            </w:r>
            <w:r/>
          </w:p>
        </w:tc>
      </w:tr>
      <w:tr>
        <w:trPr>
          <w:jc w:val="center"/>
          <w:trHeight w:val="1864"/>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val="en-US" w:eastAsia="zh-CN"/>
              </w:rPr>
              <w:t xml:space="preserve">6</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企业资质</w:t>
            </w:r>
            <w:r>
              <w:rPr>
                <w:rFonts w:hint="eastAsia" w:asciiTheme="minorEastAsia" w:hAnsiTheme="minorEastAsia" w:eastAsiaTheme="minorEastAsia" w:cstheme="minorEastAsia"/>
                <w:sz w:val="21"/>
                <w:szCs w:val="21"/>
                <w:highlight w:val="none"/>
                <w:lang w:val="en-US" w:eastAsia="zh-CN"/>
              </w:rPr>
              <w:t xml:space="preserve">及荣誉</w:t>
            </w:r>
            <w:r/>
          </w:p>
        </w:tc>
        <w:tc>
          <w:tcPr>
            <w:tcW w:w="6088"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投标人</w:t>
            </w:r>
            <w:r>
              <w:rPr>
                <w:rFonts w:hint="eastAsia" w:asciiTheme="minorEastAsia" w:hAnsiTheme="minorEastAsia" w:eastAsiaTheme="minorEastAsia" w:cstheme="minorEastAsia"/>
                <w:sz w:val="21"/>
                <w:szCs w:val="21"/>
                <w:highlight w:val="none"/>
              </w:rPr>
              <w:t xml:space="preserve">拥有国家</w:t>
            </w:r>
            <w:r>
              <w:rPr>
                <w:rFonts w:hint="eastAsia" w:asciiTheme="minorEastAsia" w:hAnsiTheme="minorEastAsia" w:eastAsiaTheme="minorEastAsia" w:cstheme="minorEastAsia"/>
                <w:sz w:val="21"/>
                <w:szCs w:val="21"/>
                <w:highlight w:val="none"/>
                <w:lang w:val="en-US" w:eastAsia="zh-CN"/>
              </w:rPr>
              <w:t xml:space="preserve">发明</w:t>
            </w:r>
            <w:r>
              <w:rPr>
                <w:rFonts w:hint="eastAsia" w:asciiTheme="minorEastAsia" w:hAnsiTheme="minorEastAsia" w:eastAsiaTheme="minorEastAsia" w:cstheme="minorEastAsia"/>
                <w:sz w:val="21"/>
                <w:szCs w:val="21"/>
                <w:highlight w:val="none"/>
              </w:rPr>
              <w:t xml:space="preserve">专利</w:t>
            </w:r>
            <w:r>
              <w:rPr>
                <w:rFonts w:hint="eastAsia" w:asciiTheme="minorEastAsia" w:hAnsiTheme="minorEastAsia" w:eastAsiaTheme="minorEastAsia" w:cstheme="minorEastAsia"/>
                <w:sz w:val="21"/>
                <w:szCs w:val="21"/>
                <w:highlight w:val="none"/>
                <w:lang w:val="en-US" w:eastAsia="zh-CN"/>
              </w:rPr>
              <w:t xml:space="preserve">证书</w:t>
            </w:r>
            <w:r>
              <w:rPr>
                <w:rFonts w:hint="eastAsia" w:asciiTheme="minorEastAsia" w:hAnsiTheme="minorEastAsia" w:eastAsiaTheme="minorEastAsia" w:cstheme="minorEastAsia"/>
                <w:sz w:val="21"/>
                <w:szCs w:val="21"/>
                <w:highlight w:val="none"/>
              </w:rPr>
              <w:t xml:space="preserve">，每拥有1项专利得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分，最多得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投标人</w:t>
            </w:r>
            <w:r>
              <w:rPr>
                <w:rFonts w:hint="eastAsia" w:asciiTheme="minorEastAsia" w:hAnsiTheme="minorEastAsia" w:eastAsiaTheme="minorEastAsia" w:cstheme="minorEastAsia"/>
                <w:sz w:val="21"/>
                <w:szCs w:val="21"/>
                <w:highlight w:val="none"/>
              </w:rPr>
              <w:t xml:space="preserve">获得过科学技术奖项荣誉</w:t>
            </w:r>
            <w:r>
              <w:rPr>
                <w:rFonts w:hint="eastAsia" w:asciiTheme="minorEastAsia" w:hAnsiTheme="minorEastAsia" w:eastAsiaTheme="minorEastAsia" w:cstheme="minorEastAsia"/>
                <w:sz w:val="21"/>
                <w:szCs w:val="21"/>
                <w:highlight w:val="none"/>
                <w:lang w:val="en-US" w:eastAsia="zh-CN"/>
              </w:rPr>
              <w:t xml:space="preserve">的</w:t>
            </w:r>
            <w:r>
              <w:rPr>
                <w:rFonts w:hint="eastAsia" w:asciiTheme="minorEastAsia" w:hAnsiTheme="minorEastAsia" w:eastAsiaTheme="minorEastAsia" w:cstheme="minorEastAsia"/>
                <w:sz w:val="21"/>
                <w:szCs w:val="21"/>
                <w:highlight w:val="none"/>
              </w:rPr>
              <w:t xml:space="preserve">，国家级的</w:t>
            </w:r>
            <w:r>
              <w:rPr>
                <w:rFonts w:hint="eastAsia" w:asciiTheme="minorEastAsia" w:hAnsiTheme="minorEastAsia" w:eastAsiaTheme="minorEastAsia" w:cstheme="minorEastAsia"/>
                <w:sz w:val="21"/>
                <w:szCs w:val="21"/>
                <w:highlight w:val="none"/>
                <w:lang w:val="en-US" w:eastAsia="zh-CN"/>
              </w:rPr>
              <w:t xml:space="preserve">每有一个</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分，省级</w:t>
            </w:r>
            <w:r>
              <w:rPr>
                <w:rFonts w:hint="eastAsia" w:asciiTheme="minorEastAsia" w:hAnsiTheme="minorEastAsia" w:eastAsiaTheme="minorEastAsia" w:cstheme="minorEastAsia"/>
                <w:sz w:val="21"/>
                <w:szCs w:val="21"/>
                <w:highlight w:val="none"/>
                <w:lang w:val="en-US" w:eastAsia="zh-CN"/>
              </w:rPr>
              <w:t xml:space="preserve">每有一个</w:t>
            </w:r>
            <w:r>
              <w:rPr>
                <w:rFonts w:hint="eastAsia" w:asciiTheme="minorEastAsia" w:hAnsiTheme="minorEastAsia" w:eastAsiaTheme="minorEastAsia" w:cstheme="minorEastAsia"/>
                <w:sz w:val="21"/>
                <w:szCs w:val="21"/>
                <w:highlight w:val="none"/>
              </w:rPr>
              <w:t xml:space="preserve">的得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分，最多得</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sz w:val="21"/>
                <w:szCs w:val="21"/>
                <w:highlight w:val="none"/>
                <w:lang w:eastAsia="zh-CN"/>
              </w:rPr>
              <w:t xml:space="preserve">。</w:t>
            </w:r>
            <w:r/>
          </w:p>
          <w:p>
            <w:pP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需</w:t>
            </w:r>
            <w:r>
              <w:rPr>
                <w:rFonts w:hint="eastAsia" w:asciiTheme="minorEastAsia" w:hAnsiTheme="minorEastAsia" w:eastAsiaTheme="minorEastAsia" w:cstheme="minorEastAsia"/>
                <w:sz w:val="21"/>
                <w:szCs w:val="21"/>
                <w:highlight w:val="none"/>
              </w:rPr>
              <w:t xml:space="preserve">提供</w:t>
            </w:r>
            <w:r>
              <w:rPr>
                <w:rFonts w:hint="eastAsia" w:asciiTheme="minorEastAsia" w:hAnsiTheme="minorEastAsia" w:eastAsiaTheme="minorEastAsia" w:cstheme="minorEastAsia"/>
                <w:sz w:val="21"/>
                <w:szCs w:val="21"/>
                <w:highlight w:val="none"/>
                <w:lang w:val="en-US" w:eastAsia="zh-CN"/>
              </w:rPr>
              <w:t xml:space="preserve">证书扫描件加盖公章。</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12</w:t>
            </w:r>
            <w:r/>
          </w:p>
        </w:tc>
      </w:tr>
      <w:tr>
        <w:trPr>
          <w:jc w:val="center"/>
          <w:trHeight w:val="1192"/>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7</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人员资质</w:t>
            </w:r>
            <w:r/>
          </w:p>
        </w:tc>
        <w:tc>
          <w:tcPr>
            <w:tcW w:w="6088" w:type="dxa"/>
            <w:vAlign w:val="center"/>
            <w:textDirection w:val="lrTb"/>
            <w:noWrap w:val="false"/>
          </w:tcPr>
          <w:p>
            <w:pPr>
              <w:numPr>
                <w:ilvl w:val="0"/>
                <w:numId w:val="0"/>
              </w:numPr>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项目</w:t>
            </w:r>
            <w:r>
              <w:rPr>
                <w:rFonts w:hint="eastAsia" w:asciiTheme="minorEastAsia" w:hAnsiTheme="minorEastAsia" w:eastAsiaTheme="minorEastAsia" w:cstheme="minorEastAsia"/>
                <w:sz w:val="21"/>
                <w:szCs w:val="21"/>
                <w:highlight w:val="none"/>
                <w:lang w:val="en-US" w:eastAsia="zh-CN"/>
              </w:rPr>
              <w:t xml:space="preserve">组</w:t>
            </w:r>
            <w:r>
              <w:rPr>
                <w:rFonts w:hint="eastAsia" w:asciiTheme="minorEastAsia" w:hAnsiTheme="minorEastAsia" w:eastAsiaTheme="minorEastAsia" w:cstheme="minorEastAsia"/>
                <w:sz w:val="21"/>
                <w:szCs w:val="21"/>
                <w:highlight w:val="none"/>
              </w:rPr>
              <w:t xml:space="preserve">成员</w:t>
            </w:r>
            <w:r>
              <w:rPr>
                <w:rFonts w:hint="eastAsia" w:asciiTheme="minorEastAsia" w:hAnsiTheme="minorEastAsia" w:eastAsiaTheme="minorEastAsia" w:cstheme="minorEastAsia"/>
                <w:sz w:val="21"/>
                <w:szCs w:val="21"/>
                <w:highlight w:val="none"/>
                <w:lang w:eastAsia="zh-CN"/>
              </w:rPr>
              <w:t xml:space="preserve">其中一人</w:t>
            </w:r>
            <w:r>
              <w:rPr>
                <w:rFonts w:hint="eastAsia" w:asciiTheme="minorEastAsia" w:hAnsiTheme="minorEastAsia" w:eastAsiaTheme="minorEastAsia" w:cstheme="minorEastAsia"/>
                <w:sz w:val="21"/>
                <w:szCs w:val="21"/>
                <w:highlight w:val="none"/>
                <w:lang w:val="en-US" w:eastAsia="zh-CN"/>
              </w:rPr>
              <w:t xml:space="preserve">具有高级工程师得2分，中级工程师</w:t>
            </w:r>
            <w:r>
              <w:rPr>
                <w:rFonts w:hint="eastAsia" w:asciiTheme="minorEastAsia" w:hAnsiTheme="minorEastAsia" w:eastAsiaTheme="minorEastAsia" w:cstheme="minorEastAsia"/>
                <w:sz w:val="21"/>
                <w:szCs w:val="21"/>
                <w:highlight w:val="none"/>
                <w:lang w:val="zh-CN" w:eastAsia="zh-CN"/>
              </w:rPr>
              <w:t xml:space="preserve">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eastAsia="zh-CN"/>
              </w:rPr>
              <w:t xml:space="preserve">分，</w:t>
            </w:r>
            <w:r>
              <w:rPr>
                <w:rFonts w:hint="eastAsia" w:asciiTheme="minorEastAsia" w:hAnsiTheme="minorEastAsia" w:eastAsiaTheme="minorEastAsia" w:cstheme="minorEastAsia"/>
                <w:sz w:val="21"/>
                <w:szCs w:val="21"/>
                <w:highlight w:val="none"/>
              </w:rPr>
              <w:t xml:space="preserve">最多得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numPr>
                <w:ilvl w:val="0"/>
                <w:numId w:val="0"/>
              </w:numPr>
              <w:keepLines w:val="0"/>
              <w:keepNext w:val="0"/>
              <w:pageBreakBefore w:val="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项目</w:t>
            </w:r>
            <w:r>
              <w:rPr>
                <w:rFonts w:hint="eastAsia" w:asciiTheme="minorEastAsia" w:hAnsiTheme="minorEastAsia" w:eastAsiaTheme="minorEastAsia" w:cstheme="minorEastAsia"/>
                <w:sz w:val="21"/>
                <w:szCs w:val="21"/>
                <w:highlight w:val="none"/>
                <w:lang w:val="en-US" w:eastAsia="zh-CN"/>
              </w:rPr>
              <w:t xml:space="preserve">组</w:t>
            </w:r>
            <w:r>
              <w:rPr>
                <w:rFonts w:hint="eastAsia" w:asciiTheme="minorEastAsia" w:hAnsiTheme="minorEastAsia" w:eastAsiaTheme="minorEastAsia" w:cstheme="minorEastAsia"/>
                <w:sz w:val="21"/>
                <w:szCs w:val="21"/>
                <w:highlight w:val="none"/>
              </w:rPr>
              <w:t xml:space="preserve">成员</w:t>
            </w:r>
            <w:r>
              <w:rPr>
                <w:rFonts w:hint="eastAsia" w:asciiTheme="minorEastAsia" w:hAnsiTheme="minorEastAsia" w:eastAsiaTheme="minorEastAsia" w:cstheme="minorEastAsia"/>
                <w:sz w:val="21"/>
                <w:szCs w:val="21"/>
                <w:highlight w:val="none"/>
                <w:lang w:eastAsia="zh-CN"/>
              </w:rPr>
              <w:t xml:space="preserve">其中一人</w:t>
            </w:r>
            <w:r>
              <w:rPr>
                <w:rFonts w:hint="eastAsia" w:asciiTheme="minorEastAsia" w:hAnsiTheme="minorEastAsia" w:eastAsiaTheme="minorEastAsia" w:cstheme="minorEastAsia"/>
                <w:sz w:val="21"/>
                <w:szCs w:val="21"/>
                <w:highlight w:val="none"/>
              </w:rPr>
              <w:t xml:space="preserve">具有</w:t>
            </w:r>
            <w:r>
              <w:rPr>
                <w:rFonts w:hint="eastAsia" w:asciiTheme="minorEastAsia" w:hAnsiTheme="minorEastAsia" w:eastAsiaTheme="minorEastAsia" w:cstheme="minorEastAsia"/>
                <w:sz w:val="21"/>
                <w:szCs w:val="21"/>
                <w:highlight w:val="none"/>
                <w:lang w:val="en-US" w:eastAsia="zh-CN"/>
              </w:rPr>
              <w:t xml:space="preserve">注册安全工程师得2分，</w:t>
            </w:r>
            <w:r>
              <w:rPr>
                <w:rFonts w:hint="eastAsia" w:asciiTheme="minorEastAsia" w:hAnsiTheme="minorEastAsia" w:eastAsiaTheme="minorEastAsia" w:cstheme="minorEastAsia"/>
                <w:sz w:val="21"/>
                <w:szCs w:val="21"/>
                <w:highlight w:val="none"/>
              </w:rPr>
            </w:r>
            <w:r>
              <w:rPr>
                <w:rFonts w:hint="eastAsia" w:asciiTheme="minorEastAsia" w:hAnsiTheme="minorEastAsia" w:eastAsiaTheme="minorEastAsia" w:cstheme="minorEastAsia"/>
                <w:sz w:val="21"/>
                <w:szCs w:val="21"/>
                <w:highlight w:val="none"/>
                <w:lang w:eastAsia="zh-CN"/>
              </w:rPr>
              <w:t xml:space="preserve">其中一人</w:t>
            </w:r>
            <w:r/>
            <w:r>
              <w:rPr>
                <w:rFonts w:hint="eastAsia" w:asciiTheme="minorEastAsia" w:hAnsiTheme="minorEastAsia" w:eastAsiaTheme="minorEastAsia" w:cstheme="minorEastAsia"/>
                <w:sz w:val="21"/>
                <w:szCs w:val="21"/>
                <w:highlight w:val="none"/>
                <w:lang w:val="en-US" w:eastAsia="zh-CN"/>
              </w:rPr>
            </w:r>
            <w:r>
              <w:rPr>
                <w:rFonts w:hint="eastAsia" w:asciiTheme="minorEastAsia" w:hAnsiTheme="minorEastAsia" w:eastAsiaTheme="minorEastAsia" w:cstheme="minorEastAsia"/>
                <w:sz w:val="21"/>
                <w:szCs w:val="21"/>
                <w:highlight w:val="none"/>
              </w:rPr>
              <w:t xml:space="preserve">专职安全员（省级住建厅及以上行政部门颁发）得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numPr>
                <w:ilvl w:val="0"/>
                <w:numId w:val="0"/>
              </w:numPr>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项目</w:t>
            </w:r>
            <w:r>
              <w:rPr>
                <w:rFonts w:hint="eastAsia" w:asciiTheme="minorEastAsia" w:hAnsiTheme="minorEastAsia" w:eastAsiaTheme="minorEastAsia" w:cstheme="minorEastAsia"/>
                <w:sz w:val="21"/>
                <w:szCs w:val="21"/>
                <w:highlight w:val="none"/>
                <w:lang w:val="en-US" w:eastAsia="zh-CN"/>
              </w:rPr>
              <w:t xml:space="preserve">组</w:t>
            </w:r>
            <w:r>
              <w:rPr>
                <w:rFonts w:hint="eastAsia" w:asciiTheme="minorEastAsia" w:hAnsiTheme="minorEastAsia" w:eastAsiaTheme="minorEastAsia" w:cstheme="minorEastAsia"/>
                <w:sz w:val="21"/>
                <w:szCs w:val="21"/>
                <w:highlight w:val="none"/>
              </w:rPr>
              <w:t xml:space="preserve">成员</w:t>
            </w:r>
            <w:r>
              <w:rPr>
                <w:rFonts w:hint="eastAsia" w:asciiTheme="minorEastAsia" w:hAnsiTheme="minorEastAsia" w:eastAsiaTheme="minorEastAsia" w:cstheme="minorEastAsia"/>
                <w:sz w:val="21"/>
                <w:szCs w:val="21"/>
                <w:highlight w:val="none"/>
                <w:lang w:eastAsia="zh-CN"/>
              </w:rPr>
              <w:t xml:space="preserve">其中一人</w:t>
            </w:r>
            <w:r>
              <w:rPr>
                <w:rFonts w:hint="eastAsia" w:asciiTheme="minorEastAsia" w:hAnsiTheme="minorEastAsia" w:eastAsiaTheme="minorEastAsia" w:cstheme="minorEastAsia"/>
                <w:sz w:val="21"/>
                <w:szCs w:val="21"/>
                <w:highlight w:val="none"/>
              </w:rPr>
              <w:t xml:space="preserve">具有二级及以上机电工程建造师资格得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lang w:val="en-US" w:eastAsia="zh-CN"/>
              </w:rPr>
              <w:t xml:space="preserve">以上</w:t>
            </w:r>
            <w:r>
              <w:rPr>
                <w:rFonts w:hint="eastAsia" w:asciiTheme="minorEastAsia" w:hAnsiTheme="minorEastAsia" w:eastAsiaTheme="minorEastAsia" w:cstheme="minorEastAsia"/>
                <w:sz w:val="21"/>
                <w:szCs w:val="21"/>
                <w:highlight w:val="none"/>
                <w:lang w:eastAsia="zh-CN"/>
              </w:rPr>
              <w:t xml:space="preserve">相关人员须提供</w:t>
            </w:r>
            <w:r>
              <w:rPr>
                <w:rFonts w:hint="eastAsia" w:asciiTheme="minorEastAsia" w:hAnsiTheme="minorEastAsia" w:eastAsiaTheme="minorEastAsia" w:cstheme="minorEastAsia"/>
                <w:sz w:val="21"/>
                <w:szCs w:val="21"/>
                <w:highlight w:val="none"/>
                <w:lang w:val="en-US" w:eastAsia="zh-CN"/>
              </w:rPr>
              <w:t xml:space="preserve">相关证书及本单位近期为其缴纳的社保证明</w:t>
            </w:r>
            <w:r>
              <w:rPr>
                <w:rFonts w:hint="eastAsia" w:asciiTheme="minorEastAsia" w:hAnsiTheme="minorEastAsia" w:eastAsiaTheme="minorEastAsia" w:cstheme="minorEastAsia"/>
                <w:sz w:val="21"/>
                <w:szCs w:val="21"/>
                <w:highlight w:val="none"/>
                <w:lang w:eastAsia="zh-CN"/>
              </w:rPr>
              <w:t xml:space="preserve">。</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8</w:t>
            </w:r>
            <w:r/>
          </w:p>
        </w:tc>
      </w:tr>
      <w:tr>
        <w:trPr>
          <w:jc w:val="center"/>
          <w:trHeight w:val="1864"/>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8</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企业管理体系认证</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1、投标人具有质量管理体系认证证书，认证范围：粮食机械设备（烘干、仓储、输送、加工）的设计和生产，得2分；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2、投标人具有能源管理体系认证证书，认证范围：粮食机械设备（烘干、仓储、输送、加工）的设计和生产所涉及的能源管理活动，得2分；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3、投标人具有环境管理体系认证证书，认证范围：粮食机械设备（烘干、仓储、输送、加工）的设计和生产，得2分；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4、投标人具有安全生产标准化认证证书，得2分。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lang w:val="en-US" w:eastAsia="zh-CN"/>
              </w:rPr>
              <w:t xml:space="preserve">需</w:t>
            </w:r>
            <w:r>
              <w:rPr>
                <w:rFonts w:hint="eastAsia" w:asciiTheme="minorEastAsia" w:hAnsiTheme="minorEastAsia" w:eastAsiaTheme="minorEastAsia" w:cstheme="minorEastAsia"/>
                <w:sz w:val="21"/>
                <w:szCs w:val="21"/>
                <w:highlight w:val="none"/>
              </w:rPr>
              <w:t xml:space="preserve">提供</w:t>
            </w:r>
            <w:r>
              <w:rPr>
                <w:rFonts w:hint="eastAsia" w:asciiTheme="minorEastAsia" w:hAnsiTheme="minorEastAsia" w:eastAsiaTheme="minorEastAsia" w:cstheme="minorEastAsia"/>
                <w:sz w:val="21"/>
                <w:szCs w:val="21"/>
                <w:highlight w:val="none"/>
                <w:lang w:val="en-US" w:eastAsia="zh-CN"/>
              </w:rPr>
              <w:t xml:space="preserve">证书扫描件加盖公章。</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8</w:t>
            </w:r>
            <w:r/>
          </w:p>
        </w:tc>
      </w:tr>
      <w:tr>
        <w:trPr>
          <w:jc w:val="center"/>
          <w:trHeight w:val="1864"/>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9</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安装及调试方案</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lang w:val="en-US" w:eastAsia="zh-CN"/>
              </w:rPr>
              <w:t xml:space="preserve">投标人根据对招标文件的内容要求，制定</w:t>
            </w:r>
            <w:r>
              <w:rPr>
                <w:rFonts w:hint="eastAsia" w:asciiTheme="minorEastAsia" w:hAnsiTheme="minorEastAsia" w:eastAsiaTheme="minorEastAsia" w:cstheme="minorEastAsia"/>
                <w:sz w:val="21"/>
                <w:szCs w:val="21"/>
                <w:highlight w:val="none"/>
                <w:u w:val="none"/>
              </w:rPr>
              <w:t xml:space="preserve">安装及调试方案</w:t>
            </w:r>
            <w:r>
              <w:rPr>
                <w:rFonts w:hint="eastAsia" w:asciiTheme="minorEastAsia" w:hAnsiTheme="minorEastAsia" w:eastAsiaTheme="minorEastAsia" w:cstheme="minorEastAsia"/>
                <w:sz w:val="21"/>
                <w:szCs w:val="21"/>
                <w:highlight w:val="none"/>
                <w:u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1</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施工方案及措施，包括如何做好与多工种间的交叉、配合施工；（1分）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2</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质量保证体系及措施；（1分）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3</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安全文明施工保证措施、环保措施；（1分）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4</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施工进度计划和各阶段进度的保证措施；（1分）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5</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项目管理班子的人员配备、素质及管理经验。（1分）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5</w:t>
            </w:r>
            <w:r/>
          </w:p>
        </w:tc>
      </w:tr>
      <w:tr>
        <w:trPr>
          <w:jc w:val="center"/>
          <w:trHeight w:val="1389"/>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10</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售后服务</w:t>
            </w:r>
            <w:r>
              <w:rPr>
                <w:rFonts w:hint="eastAsia" w:asciiTheme="minorEastAsia" w:hAnsiTheme="minorEastAsia" w:eastAsiaTheme="minorEastAsia" w:cstheme="minorEastAsia"/>
                <w:sz w:val="21"/>
                <w:szCs w:val="21"/>
                <w:highlight w:val="none"/>
                <w:lang w:val="en-US" w:eastAsia="zh-CN"/>
              </w:rPr>
              <w:t xml:space="preserve">及培训方案</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1、售后服务方案中设备发生故障，承诺在3小时内到达现场进行维修的得1分。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2、制定详细完善操作培训计划得2分。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3</w:t>
            </w:r>
            <w:bookmarkEnd w:id="145"/>
            <w:r/>
            <w:r/>
          </w:p>
        </w:tc>
      </w:tr>
    </w:tbl>
    <w:p>
      <w:pPr>
        <w:ind w:right="-252" w:firstLine="422"/>
        <w:jc w:val="right"/>
        <w:spacing w:line="360" w:lineRule="auto"/>
        <w:rPr>
          <w:rFonts w:hint="eastAsia" w:ascii="宋体" w:hAnsi="宋体" w:cs="Arial"/>
          <w:b/>
        </w:rPr>
      </w:pPr>
      <w:r>
        <w:rPr>
          <w:rFonts w:hint="eastAsia" w:ascii="宋体" w:hAnsi="宋体" w:cs="Arial"/>
          <w:b/>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rPr>
      </w:pPr>
      <w:r>
        <w:rPr>
          <w:rFonts w:hint="eastAsia" w:ascii="宋体" w:hAnsi="宋体"/>
          <w:b/>
          <w:szCs w:val="21"/>
        </w:rPr>
        <w:t xml:space="preserve">3、防止虚假应标，采购代理机构及采购单位有权对中标单位所有证书和业绩的真实性进行核查，如有不实，将取消中标资格，并按相关规定进行处理。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eastAsia="宋体"/>
          <w:b/>
          <w:szCs w:val="21"/>
          <w:lang w:val="en-US" w:eastAsia="zh-CN"/>
        </w:rPr>
      </w:pPr>
      <w:r>
        <w:rPr>
          <w:rFonts w:hint="eastAsia" w:ascii="宋体" w:hAnsi="宋体"/>
          <w:b/>
          <w:szCs w:val="21"/>
          <w:lang w:val="en-US" w:eastAsia="zh-CN"/>
        </w:rPr>
        <w:t xml:space="preserve">4、为确保货物、服务质量，投标单位除价格分之外技术部分的分值低于其总分的75%（即52.5</w:t>
      </w:r>
      <w:bookmarkStart w:id="146" w:name="_GoBack"/>
      <w:r/>
      <w:bookmarkEnd w:id="146"/>
      <w:r>
        <w:rPr>
          <w:rFonts w:hint="eastAsia" w:ascii="宋体" w:hAnsi="宋体"/>
          <w:b/>
          <w:szCs w:val="21"/>
          <w:lang w:val="en-US" w:eastAsia="zh-CN"/>
        </w:rPr>
        <w:t xml:space="preserve">分）作为无效标处理。</w:t>
      </w:r>
      <w:r/>
    </w:p>
    <w:p>
      <w:pPr>
        <w:spacing w:line="360" w:lineRule="auto"/>
      </w:pPr>
      <w:r/>
      <w:r/>
    </w:p>
    <w:p>
      <w:pPr>
        <w:pStyle w:val="902"/>
        <w:ind w:firstLine="420"/>
        <w:spacing w:line="360" w:lineRule="auto"/>
        <w:rPr>
          <w:rFonts w:eastAsia="等线"/>
        </w:rPr>
      </w:pPr>
      <w:r>
        <w:rPr>
          <w:rFonts w:eastAsia="等线"/>
        </w:rPr>
      </w:r>
      <w:r/>
    </w:p>
    <w:p>
      <w:pPr>
        <w:spacing w:line="360" w:lineRule="auto"/>
      </w:pPr>
      <w:r>
        <w:br w:type="page" w:clear="all"/>
      </w:r>
      <w:r/>
    </w:p>
    <w:p>
      <w:pPr>
        <w:pStyle w:val="860"/>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JSZC-320583-XHSZ-G2024-0008</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6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4"/>
    <w:link w:val="860"/>
    <w:uiPriority w:val="9"/>
    <w:rPr>
      <w:rFonts w:ascii="Arial" w:hAnsi="Arial" w:eastAsia="Arial" w:cs="Arial"/>
      <w:sz w:val="40"/>
      <w:szCs w:val="40"/>
    </w:rPr>
  </w:style>
  <w:style w:type="character" w:styleId="693">
    <w:name w:val="Heading 2 Char"/>
    <w:basedOn w:val="864"/>
    <w:link w:val="861"/>
    <w:uiPriority w:val="9"/>
    <w:rPr>
      <w:rFonts w:ascii="Arial" w:hAnsi="Arial" w:eastAsia="Arial" w:cs="Arial"/>
      <w:sz w:val="34"/>
    </w:rPr>
  </w:style>
  <w:style w:type="character" w:styleId="694">
    <w:name w:val="Heading 3 Char"/>
    <w:basedOn w:val="864"/>
    <w:link w:val="862"/>
    <w:uiPriority w:val="9"/>
    <w:rPr>
      <w:rFonts w:ascii="Arial" w:hAnsi="Arial" w:eastAsia="Arial" w:cs="Arial"/>
      <w:sz w:val="30"/>
      <w:szCs w:val="30"/>
    </w:rPr>
  </w:style>
  <w:style w:type="character" w:styleId="695">
    <w:name w:val="Heading 4 Char"/>
    <w:basedOn w:val="864"/>
    <w:link w:val="863"/>
    <w:uiPriority w:val="9"/>
    <w:rPr>
      <w:rFonts w:ascii="Arial" w:hAnsi="Arial" w:eastAsia="Arial" w:cs="Arial"/>
      <w:b/>
      <w:bCs/>
      <w:sz w:val="26"/>
      <w:szCs w:val="26"/>
    </w:rPr>
  </w:style>
  <w:style w:type="paragraph" w:styleId="696">
    <w:name w:val="Heading 5"/>
    <w:basedOn w:val="859"/>
    <w:next w:val="859"/>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4"/>
    <w:link w:val="696"/>
    <w:uiPriority w:val="9"/>
    <w:rPr>
      <w:rFonts w:ascii="Arial" w:hAnsi="Arial" w:eastAsia="Arial" w:cs="Arial"/>
      <w:b/>
      <w:bCs/>
      <w:sz w:val="24"/>
      <w:szCs w:val="24"/>
    </w:rPr>
  </w:style>
  <w:style w:type="paragraph" w:styleId="698">
    <w:name w:val="Heading 6"/>
    <w:basedOn w:val="859"/>
    <w:next w:val="859"/>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4"/>
    <w:link w:val="698"/>
    <w:uiPriority w:val="9"/>
    <w:rPr>
      <w:rFonts w:ascii="Arial" w:hAnsi="Arial" w:eastAsia="Arial" w:cs="Arial"/>
      <w:b/>
      <w:bCs/>
      <w:sz w:val="22"/>
      <w:szCs w:val="22"/>
    </w:rPr>
  </w:style>
  <w:style w:type="paragraph" w:styleId="700">
    <w:name w:val="Heading 7"/>
    <w:basedOn w:val="859"/>
    <w:next w:val="859"/>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4"/>
    <w:link w:val="700"/>
    <w:uiPriority w:val="9"/>
    <w:rPr>
      <w:rFonts w:ascii="Arial" w:hAnsi="Arial" w:eastAsia="Arial" w:cs="Arial"/>
      <w:b/>
      <w:bCs/>
      <w:i/>
      <w:iCs/>
      <w:sz w:val="22"/>
      <w:szCs w:val="22"/>
    </w:rPr>
  </w:style>
  <w:style w:type="paragraph" w:styleId="702">
    <w:name w:val="Heading 8"/>
    <w:basedOn w:val="859"/>
    <w:next w:val="859"/>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4"/>
    <w:link w:val="702"/>
    <w:uiPriority w:val="9"/>
    <w:rPr>
      <w:rFonts w:ascii="Arial" w:hAnsi="Arial" w:eastAsia="Arial" w:cs="Arial"/>
      <w:i/>
      <w:iCs/>
      <w:sz w:val="22"/>
      <w:szCs w:val="22"/>
    </w:rPr>
  </w:style>
  <w:style w:type="paragraph" w:styleId="704">
    <w:name w:val="Heading 9"/>
    <w:basedOn w:val="859"/>
    <w:next w:val="859"/>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4"/>
    <w:link w:val="704"/>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character" w:styleId="707">
    <w:name w:val="Title Char"/>
    <w:basedOn w:val="864"/>
    <w:link w:val="885"/>
    <w:uiPriority w:val="10"/>
    <w:rPr>
      <w:sz w:val="48"/>
      <w:szCs w:val="48"/>
    </w:rPr>
  </w:style>
  <w:style w:type="paragraph" w:styleId="708">
    <w:name w:val="Subtitle"/>
    <w:basedOn w:val="859"/>
    <w:next w:val="859"/>
    <w:link w:val="709"/>
    <w:uiPriority w:val="11"/>
    <w:qFormat/>
    <w:pPr>
      <w:spacing w:before="200" w:after="200"/>
    </w:pPr>
    <w:rPr>
      <w:sz w:val="24"/>
      <w:szCs w:val="24"/>
    </w:rPr>
  </w:style>
  <w:style w:type="character" w:styleId="709">
    <w:name w:val="Subtitle Char"/>
    <w:basedOn w:val="864"/>
    <w:link w:val="708"/>
    <w:uiPriority w:val="11"/>
    <w:rPr>
      <w:sz w:val="24"/>
      <w:szCs w:val="24"/>
    </w:rPr>
  </w:style>
  <w:style w:type="paragraph" w:styleId="710">
    <w:name w:val="Quote"/>
    <w:basedOn w:val="859"/>
    <w:next w:val="859"/>
    <w:link w:val="711"/>
    <w:uiPriority w:val="29"/>
    <w:qFormat/>
    <w:pPr>
      <w:ind w:left="720" w:right="720"/>
    </w:pPr>
    <w:rPr>
      <w:i/>
    </w:rPr>
  </w:style>
  <w:style w:type="character" w:styleId="711">
    <w:name w:val="Quote Char"/>
    <w:link w:val="710"/>
    <w:uiPriority w:val="29"/>
    <w:rPr>
      <w:i/>
    </w:rPr>
  </w:style>
  <w:style w:type="paragraph" w:styleId="712">
    <w:name w:val="Intense Quote"/>
    <w:basedOn w:val="859"/>
    <w:next w:val="859"/>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4"/>
    <w:link w:val="878"/>
    <w:uiPriority w:val="99"/>
  </w:style>
  <w:style w:type="character" w:styleId="715">
    <w:name w:val="Footer Char"/>
    <w:basedOn w:val="864"/>
    <w:link w:val="877"/>
    <w:uiPriority w:val="99"/>
  </w:style>
  <w:style w:type="paragraph" w:styleId="716">
    <w:name w:val="Caption"/>
    <w:basedOn w:val="859"/>
    <w:next w:val="859"/>
    <w:uiPriority w:val="35"/>
    <w:semiHidden/>
    <w:unhideWhenUsed/>
    <w:qFormat/>
    <w:pPr>
      <w:spacing w:line="276" w:lineRule="auto"/>
    </w:pPr>
    <w:rPr>
      <w:b/>
      <w:bCs/>
      <w:color w:val="4f81bd" w:themeColor="accent1"/>
      <w:sz w:val="18"/>
      <w:szCs w:val="18"/>
    </w:rPr>
  </w:style>
  <w:style w:type="character" w:styleId="717">
    <w:name w:val="Caption Char"/>
    <w:basedOn w:val="716"/>
    <w:link w:val="877"/>
    <w:uiPriority w:val="99"/>
  </w:style>
  <w:style w:type="table" w:styleId="71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9"/>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4"/>
    <w:uiPriority w:val="99"/>
    <w:unhideWhenUsed/>
    <w:rPr>
      <w:vertAlign w:val="superscript"/>
    </w:rPr>
  </w:style>
  <w:style w:type="paragraph" w:styleId="846">
    <w:name w:val="endnote text"/>
    <w:basedOn w:val="859"/>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4"/>
    <w:uiPriority w:val="99"/>
    <w:semiHidden/>
    <w:unhideWhenUsed/>
    <w:rPr>
      <w:vertAlign w:val="superscript"/>
    </w:r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0">
    <w:name w:val="Heading 1"/>
    <w:basedOn w:val="859"/>
    <w:next w:val="859"/>
    <w:uiPriority w:val="0"/>
    <w:qFormat/>
    <w:pPr>
      <w:keepLines/>
      <w:keepNext/>
      <w:spacing w:before="340" w:after="330" w:line="576" w:lineRule="auto"/>
      <w:outlineLvl w:val="0"/>
    </w:pPr>
    <w:rPr>
      <w:rFonts w:eastAsia="楷体_GB2312"/>
      <w:b/>
      <w:sz w:val="44"/>
      <w:szCs w:val="20"/>
    </w:rPr>
  </w:style>
  <w:style w:type="paragraph" w:styleId="861">
    <w:name w:val="Heading 2"/>
    <w:basedOn w:val="859"/>
    <w:next w:val="859"/>
    <w:link w:val="892"/>
    <w:uiPriority w:val="0"/>
    <w:qFormat/>
    <w:pPr>
      <w:keepLines/>
      <w:keepNext/>
      <w:spacing w:before="260" w:after="260" w:line="416" w:lineRule="auto"/>
      <w:outlineLvl w:val="1"/>
    </w:pPr>
    <w:rPr>
      <w:rFonts w:ascii="Cambria" w:hAnsi="Cambria"/>
      <w:b/>
      <w:bCs/>
      <w:sz w:val="32"/>
      <w:szCs w:val="32"/>
    </w:rPr>
  </w:style>
  <w:style w:type="paragraph" w:styleId="862">
    <w:name w:val="Heading 3"/>
    <w:basedOn w:val="859"/>
    <w:next w:val="859"/>
    <w:link w:val="893"/>
    <w:uiPriority w:val="0"/>
    <w:qFormat/>
    <w:pPr>
      <w:keepLines/>
      <w:keepNext/>
      <w:spacing w:before="260" w:after="260" w:line="416" w:lineRule="auto"/>
      <w:outlineLvl w:val="2"/>
    </w:pPr>
    <w:rPr>
      <w:b/>
      <w:bCs/>
      <w:sz w:val="32"/>
      <w:szCs w:val="32"/>
    </w:rPr>
  </w:style>
  <w:style w:type="paragraph" w:styleId="863">
    <w:name w:val="Heading 4"/>
    <w:basedOn w:val="859"/>
    <w:next w:val="859"/>
    <w:link w:val="894"/>
    <w:uiPriority w:val="0"/>
    <w:qFormat/>
    <w:pPr>
      <w:keepLines/>
      <w:keepNext/>
      <w:spacing w:before="280" w:after="290" w:line="376" w:lineRule="auto"/>
      <w:outlineLvl w:val="3"/>
    </w:pPr>
    <w:rPr>
      <w:rFonts w:ascii="Cambria" w:hAnsi="Cambria"/>
      <w:b/>
      <w:bCs/>
      <w:sz w:val="28"/>
      <w:szCs w:val="28"/>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59"/>
    <w:next w:val="859"/>
    <w:link w:val="895"/>
    <w:uiPriority w:val="0"/>
    <w:qFormat/>
    <w:pPr>
      <w:ind w:firstLine="420"/>
      <w:jc w:val="left"/>
    </w:pPr>
    <w:rPr>
      <w:rFonts w:eastAsia="楷体_GB2312"/>
      <w:sz w:val="24"/>
      <w:szCs w:val="20"/>
    </w:rPr>
  </w:style>
  <w:style w:type="paragraph" w:styleId="867">
    <w:name w:val="Document Map"/>
    <w:basedOn w:val="860"/>
    <w:next w:val="868"/>
    <w:uiPriority w:val="0"/>
    <w:semiHidden/>
    <w:qFormat/>
    <w:pPr>
      <w:shd w:val="clear" w:color="auto" w:fill="000080"/>
    </w:pPr>
  </w:style>
  <w:style w:type="paragraph" w:styleId="868">
    <w:name w:val="annotation subject"/>
    <w:next w:val="859"/>
    <w:uiPriority w:val="0"/>
    <w:semiHidden/>
    <w:qFormat/>
    <w:pPr>
      <w:ind w:firstLine="4608"/>
      <w:spacing w:line="360" w:lineRule="auto"/>
    </w:pPr>
    <w:rPr>
      <w:rFonts w:ascii="宋体" w:hAnsi="宋体" w:eastAsia="宋体" w:cs="宋体"/>
      <w:lang w:val="en-US" w:eastAsia="zh-CN" w:bidi="ar-SA"/>
    </w:rPr>
  </w:style>
  <w:style w:type="paragraph" w:styleId="869">
    <w:name w:val="annotation text"/>
    <w:basedOn w:val="859"/>
    <w:link w:val="896"/>
    <w:uiPriority w:val="0"/>
    <w:qFormat/>
    <w:pPr>
      <w:jc w:val="left"/>
    </w:pPr>
  </w:style>
  <w:style w:type="paragraph" w:styleId="870">
    <w:name w:val="Body Text"/>
    <w:basedOn w:val="859"/>
    <w:next w:val="859"/>
    <w:uiPriority w:val="0"/>
    <w:qFormat/>
    <w:pPr>
      <w:jc w:val="center"/>
    </w:pPr>
    <w:rPr>
      <w:rFonts w:ascii="方正大黑简体" w:eastAsia="方正大黑简体"/>
      <w:position w:val="6"/>
      <w:sz w:val="30"/>
      <w:szCs w:val="20"/>
    </w:rPr>
  </w:style>
  <w:style w:type="paragraph" w:styleId="871">
    <w:name w:val="Body Text Indent"/>
    <w:basedOn w:val="859"/>
    <w:link w:val="891"/>
    <w:uiPriority w:val="0"/>
    <w:qFormat/>
    <w:pPr>
      <w:ind w:left="570"/>
      <w:spacing w:line="520" w:lineRule="exact"/>
    </w:pPr>
    <w:rPr>
      <w:rFonts w:ascii="方正仿宋简体" w:hAnsi="创艺简仿宋" w:eastAsia="方正仿宋简体"/>
      <w:sz w:val="24"/>
      <w:szCs w:val="20"/>
    </w:rPr>
  </w:style>
  <w:style w:type="paragraph" w:styleId="872">
    <w:name w:val="Block Text"/>
    <w:basedOn w:val="859"/>
    <w:next w:val="870"/>
    <w:uiPriority w:val="0"/>
    <w:qFormat/>
    <w:pPr>
      <w:ind w:right="210" w:firstLine="560"/>
      <w:spacing w:line="360" w:lineRule="auto"/>
    </w:pPr>
    <w:rPr>
      <w:rFonts w:ascii="宋体" w:hAnsi="宋体"/>
      <w:color w:val="000000"/>
      <w:spacing w:val="20"/>
      <w:sz w:val="24"/>
      <w:szCs w:val="18"/>
    </w:rPr>
  </w:style>
  <w:style w:type="paragraph" w:styleId="873">
    <w:name w:val="Plain Text"/>
    <w:basedOn w:val="859"/>
    <w:link w:val="897"/>
    <w:uiPriority w:val="0"/>
    <w:qFormat/>
    <w:rPr>
      <w:rFonts w:ascii="宋体" w:hAnsi="Courier New" w:eastAsia="楷体_GB2312"/>
      <w:sz w:val="28"/>
      <w:szCs w:val="20"/>
    </w:rPr>
  </w:style>
  <w:style w:type="paragraph" w:styleId="874">
    <w:name w:val="Date"/>
    <w:basedOn w:val="859"/>
    <w:next w:val="859"/>
    <w:uiPriority w:val="0"/>
    <w:qFormat/>
    <w:rPr>
      <w:rFonts w:hint="eastAsia" w:ascii="宋体" w:hAnsi="宋体" w:eastAsia="楷体_GB2312"/>
      <w:sz w:val="24"/>
      <w:szCs w:val="20"/>
    </w:rPr>
  </w:style>
  <w:style w:type="paragraph" w:styleId="875">
    <w:name w:val="Body Text Indent 2"/>
    <w:basedOn w:val="859"/>
    <w:uiPriority w:val="0"/>
    <w:qFormat/>
    <w:pPr>
      <w:ind w:firstLine="540"/>
      <w:spacing w:line="360" w:lineRule="auto"/>
    </w:pPr>
    <w:rPr>
      <w:rFonts w:ascii="宋体" w:hAnsi="宋体"/>
      <w:sz w:val="24"/>
    </w:rPr>
  </w:style>
  <w:style w:type="paragraph" w:styleId="876">
    <w:name w:val="Balloon Text"/>
    <w:basedOn w:val="859"/>
    <w:link w:val="898"/>
    <w:uiPriority w:val="0"/>
    <w:qFormat/>
    <w:rPr>
      <w:sz w:val="18"/>
      <w:szCs w:val="18"/>
    </w:rPr>
  </w:style>
  <w:style w:type="paragraph" w:styleId="877">
    <w:name w:val="Footer"/>
    <w:basedOn w:val="859"/>
    <w:link w:val="899"/>
    <w:uiPriority w:val="99"/>
    <w:qFormat/>
    <w:pPr>
      <w:jc w:val="left"/>
      <w:tabs>
        <w:tab w:val="center" w:pos="4153" w:leader="none"/>
        <w:tab w:val="right" w:pos="8306" w:leader="none"/>
      </w:tabs>
    </w:pPr>
    <w:rPr>
      <w:sz w:val="18"/>
      <w:szCs w:val="18"/>
    </w:rPr>
  </w:style>
  <w:style w:type="paragraph" w:styleId="878">
    <w:name w:val="Header"/>
    <w:basedOn w:val="859"/>
    <w:link w:val="900"/>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79">
    <w:name w:val="toc 1"/>
    <w:basedOn w:val="859"/>
    <w:next w:val="859"/>
    <w:uiPriority w:val="39"/>
    <w:qFormat/>
    <w:pPr>
      <w:jc w:val="left"/>
    </w:pPr>
    <w:rPr>
      <w:rFonts w:eastAsia="楷体_GB2312"/>
      <w:sz w:val="24"/>
      <w:szCs w:val="20"/>
    </w:rPr>
  </w:style>
  <w:style w:type="paragraph" w:styleId="880">
    <w:name w:val="Body Text Indent 3"/>
    <w:basedOn w:val="859"/>
    <w:uiPriority w:val="0"/>
    <w:qFormat/>
    <w:pPr>
      <w:ind w:left="420"/>
      <w:spacing w:after="120"/>
    </w:pPr>
    <w:rPr>
      <w:sz w:val="16"/>
      <w:szCs w:val="16"/>
    </w:rPr>
  </w:style>
  <w:style w:type="paragraph" w:styleId="881">
    <w:name w:val="Body Text 2"/>
    <w:basedOn w:val="859"/>
    <w:uiPriority w:val="0"/>
    <w:qFormat/>
    <w:pPr>
      <w:spacing w:after="120" w:line="480" w:lineRule="auto"/>
    </w:pPr>
  </w:style>
  <w:style w:type="paragraph" w:styleId="882">
    <w:name w:val="Message Header"/>
    <w:basedOn w:val="859"/>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83">
    <w:name w:val="HTML Preformatted"/>
    <w:basedOn w:val="859"/>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84">
    <w:name w:val="Normal (Web)"/>
    <w:basedOn w:val="859"/>
    <w:uiPriority w:val="0"/>
    <w:qFormat/>
    <w:pPr>
      <w:jc w:val="left"/>
      <w:spacing w:before="100" w:beforeAutospacing="1" w:after="100" w:afterAutospacing="1"/>
      <w:widowControl/>
    </w:pPr>
    <w:rPr>
      <w:rFonts w:ascii="宋体" w:hAnsi="宋体"/>
      <w:sz w:val="24"/>
    </w:rPr>
  </w:style>
  <w:style w:type="paragraph" w:styleId="885">
    <w:name w:val="Title"/>
    <w:basedOn w:val="859"/>
    <w:next w:val="859"/>
    <w:link w:val="901"/>
    <w:uiPriority w:val="0"/>
    <w:qFormat/>
    <w:pPr>
      <w:jc w:val="center"/>
      <w:spacing w:before="240" w:after="60"/>
      <w:outlineLvl w:val="0"/>
    </w:pPr>
    <w:rPr>
      <w:rFonts w:ascii="Cambria" w:hAnsi="Cambria"/>
      <w:b/>
      <w:bCs/>
      <w:sz w:val="32"/>
      <w:szCs w:val="32"/>
    </w:rPr>
  </w:style>
  <w:style w:type="paragraph" w:styleId="886">
    <w:name w:val="Body Text First Indent 2"/>
    <w:basedOn w:val="871"/>
    <w:uiPriority w:val="0"/>
    <w:unhideWhenUsed/>
    <w:qFormat/>
    <w:pPr>
      <w:ind w:left="420" w:firstLine="420"/>
      <w:spacing w:line="360" w:lineRule="auto"/>
    </w:pPr>
    <w:rPr>
      <w:rFonts w:ascii="Times New Roman" w:hAnsi="Times New Roman" w:eastAsia="宋体"/>
      <w:spacing w:val="-4"/>
    </w:rPr>
  </w:style>
  <w:style w:type="table" w:styleId="887">
    <w:name w:val="Table Grid"/>
    <w:basedOn w:val="86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page number"/>
    <w:basedOn w:val="864"/>
    <w:uiPriority w:val="0"/>
    <w:qFormat/>
  </w:style>
  <w:style w:type="character" w:styleId="889">
    <w:name w:val="FollowedHyperlink"/>
    <w:uiPriority w:val="99"/>
    <w:qFormat/>
    <w:rPr>
      <w:color w:val="606420"/>
      <w:u w:val="single"/>
    </w:rPr>
  </w:style>
  <w:style w:type="character" w:styleId="890">
    <w:name w:val="Hyperlink"/>
    <w:uiPriority w:val="99"/>
    <w:qFormat/>
    <w:rPr>
      <w:color w:val="0000ff"/>
      <w:u w:val="single"/>
    </w:rPr>
  </w:style>
  <w:style w:type="character" w:styleId="891" w:customStyle="1">
    <w:name w:val="正文文本缩进 Char"/>
    <w:link w:val="871"/>
    <w:uiPriority w:val="0"/>
    <w:qFormat/>
    <w:rPr>
      <w:rFonts w:ascii="方正仿宋简体" w:hAnsi="创艺简仿宋" w:eastAsia="方正仿宋简体"/>
      <w:sz w:val="24"/>
    </w:rPr>
  </w:style>
  <w:style w:type="character" w:styleId="892" w:customStyle="1">
    <w:name w:val="标题 2 Char"/>
    <w:link w:val="861"/>
    <w:uiPriority w:val="0"/>
    <w:qFormat/>
    <w:rPr>
      <w:rFonts w:ascii="Cambria" w:hAnsi="Cambria"/>
      <w:b/>
      <w:bCs/>
      <w:sz w:val="32"/>
      <w:szCs w:val="32"/>
    </w:rPr>
  </w:style>
  <w:style w:type="character" w:styleId="893" w:customStyle="1">
    <w:name w:val="标题 3 Char"/>
    <w:link w:val="862"/>
    <w:uiPriority w:val="0"/>
    <w:semiHidden/>
    <w:qFormat/>
    <w:rPr>
      <w:b/>
      <w:bCs/>
      <w:sz w:val="32"/>
      <w:szCs w:val="32"/>
    </w:rPr>
  </w:style>
  <w:style w:type="character" w:styleId="894" w:customStyle="1">
    <w:name w:val="标题 4 Char"/>
    <w:link w:val="863"/>
    <w:uiPriority w:val="0"/>
    <w:qFormat/>
    <w:rPr>
      <w:rFonts w:ascii="Cambria" w:hAnsi="Cambria" w:eastAsia="宋体" w:cs="Times New Roman"/>
      <w:b/>
      <w:bCs/>
      <w:sz w:val="28"/>
      <w:szCs w:val="28"/>
    </w:rPr>
  </w:style>
  <w:style w:type="character" w:styleId="895" w:customStyle="1">
    <w:name w:val="正文缩进 Char"/>
    <w:link w:val="866"/>
    <w:uiPriority w:val="0"/>
    <w:qFormat/>
    <w:rPr>
      <w:rFonts w:eastAsia="楷体_GB2312"/>
      <w:sz w:val="24"/>
    </w:rPr>
  </w:style>
  <w:style w:type="character" w:styleId="896" w:customStyle="1">
    <w:name w:val="批注文字 Char"/>
    <w:link w:val="869"/>
    <w:uiPriority w:val="0"/>
    <w:qFormat/>
    <w:rPr>
      <w:sz w:val="21"/>
      <w:szCs w:val="24"/>
    </w:rPr>
  </w:style>
  <w:style w:type="character" w:styleId="897" w:customStyle="1">
    <w:name w:val="纯文本 Char"/>
    <w:link w:val="873"/>
    <w:uiPriority w:val="0"/>
    <w:qFormat/>
    <w:rPr>
      <w:rFonts w:ascii="宋体" w:hAnsi="Courier New" w:eastAsia="楷体_GB2312"/>
      <w:sz w:val="28"/>
    </w:rPr>
  </w:style>
  <w:style w:type="character" w:styleId="898" w:customStyle="1">
    <w:name w:val="批注框文本 Char"/>
    <w:link w:val="876"/>
    <w:uiPriority w:val="0"/>
    <w:qFormat/>
    <w:rPr>
      <w:sz w:val="18"/>
      <w:szCs w:val="18"/>
    </w:rPr>
  </w:style>
  <w:style w:type="character" w:styleId="899" w:customStyle="1">
    <w:name w:val="页脚 Char"/>
    <w:link w:val="877"/>
    <w:uiPriority w:val="99"/>
    <w:qFormat/>
    <w:rPr>
      <w:sz w:val="18"/>
      <w:szCs w:val="18"/>
    </w:rPr>
  </w:style>
  <w:style w:type="character" w:styleId="900" w:customStyle="1">
    <w:name w:val="页眉 Char"/>
    <w:link w:val="878"/>
    <w:uiPriority w:val="99"/>
    <w:qFormat/>
    <w:rPr>
      <w:rFonts w:eastAsia="楷体_GB2312"/>
      <w:sz w:val="18"/>
    </w:rPr>
  </w:style>
  <w:style w:type="character" w:styleId="901" w:customStyle="1">
    <w:name w:val="标题 Char"/>
    <w:link w:val="885"/>
    <w:uiPriority w:val="0"/>
    <w:qFormat/>
    <w:rPr>
      <w:rFonts w:ascii="Cambria" w:hAnsi="Cambria" w:cs="Times New Roman"/>
      <w:b/>
      <w:bCs/>
      <w:sz w:val="32"/>
      <w:szCs w:val="32"/>
    </w:rPr>
  </w:style>
  <w:style w:type="paragraph" w:styleId="902" w:customStyle="1">
    <w:name w:val="段"/>
    <w:next w:val="859"/>
    <w:uiPriority w:val="0"/>
    <w:qFormat/>
    <w:pPr>
      <w:ind w:firstLine="200"/>
      <w:jc w:val="both"/>
    </w:pPr>
    <w:rPr>
      <w:rFonts w:ascii="宋体" w:hAnsi="Calibri" w:eastAsia="Times New Roman" w:cs="Times New Roman"/>
      <w:sz w:val="21"/>
      <w:lang w:val="en-US" w:eastAsia="zh-CN" w:bidi="ar-SA"/>
    </w:rPr>
  </w:style>
  <w:style w:type="character" w:styleId="903" w:customStyle="1">
    <w:name w:val="font21"/>
    <w:uiPriority w:val="0"/>
    <w:qFormat/>
    <w:rPr>
      <w:rFonts w:hint="eastAsia" w:ascii="宋体" w:hAnsi="宋体" w:eastAsia="宋体" w:cs="宋体"/>
      <w:color w:val="000000"/>
      <w:sz w:val="24"/>
      <w:szCs w:val="24"/>
      <w:u w:val="none"/>
    </w:rPr>
  </w:style>
  <w:style w:type="character" w:styleId="904" w:customStyle="1">
    <w:name w:val="font81"/>
    <w:uiPriority w:val="0"/>
    <w:qFormat/>
    <w:rPr>
      <w:rFonts w:hint="default" w:ascii="Futura Md BT" w:hAnsi="Futura Md BT" w:eastAsia="Futura Md BT" w:cs="Futura Md BT"/>
      <w:color w:val="000000"/>
      <w:sz w:val="20"/>
      <w:szCs w:val="20"/>
      <w:u w:val="none"/>
    </w:rPr>
  </w:style>
  <w:style w:type="character" w:styleId="905" w:customStyle="1">
    <w:name w:val="font71"/>
    <w:uiPriority w:val="0"/>
    <w:qFormat/>
    <w:rPr>
      <w:rFonts w:hint="eastAsia" w:ascii="宋体" w:hAnsi="宋体" w:eastAsia="宋体" w:cs="宋体"/>
      <w:color w:val="000000"/>
      <w:sz w:val="18"/>
      <w:szCs w:val="18"/>
      <w:u w:val="none"/>
    </w:rPr>
  </w:style>
  <w:style w:type="character" w:styleId="906" w:customStyle="1">
    <w:name w:val="font31"/>
    <w:uiPriority w:val="0"/>
    <w:qFormat/>
    <w:rPr>
      <w:rFonts w:hint="eastAsia" w:ascii="宋体" w:hAnsi="宋体" w:eastAsia="宋体" w:cs="宋体"/>
      <w:color w:val="000000"/>
      <w:sz w:val="20"/>
      <w:szCs w:val="20"/>
      <w:u w:val="none"/>
    </w:rPr>
  </w:style>
  <w:style w:type="character" w:styleId="907" w:customStyle="1">
    <w:name w:val="font51"/>
    <w:uiPriority w:val="0"/>
    <w:qFormat/>
    <w:rPr>
      <w:rFonts w:hint="default" w:ascii="Futura Md BT" w:hAnsi="Futura Md BT" w:eastAsia="Futura Md BT" w:cs="Futura Md BT"/>
      <w:color w:val="000000"/>
      <w:sz w:val="18"/>
      <w:szCs w:val="18"/>
      <w:u w:val="none"/>
    </w:rPr>
  </w:style>
  <w:style w:type="character" w:styleId="908" w:customStyle="1">
    <w:name w:val="font61"/>
    <w:uiPriority w:val="0"/>
    <w:qFormat/>
    <w:rPr>
      <w:rFonts w:ascii="Wingdings 2" w:hAnsi="Wingdings 2" w:eastAsia="Wingdings 2" w:cs="Wingdings 2"/>
      <w:color w:val="000000"/>
      <w:sz w:val="20"/>
      <w:szCs w:val="20"/>
      <w:u w:val="none"/>
    </w:rPr>
  </w:style>
  <w:style w:type="character" w:styleId="909" w:customStyle="1">
    <w:name w:val="font11"/>
    <w:uiPriority w:val="0"/>
    <w:qFormat/>
    <w:rPr>
      <w:rFonts w:hint="eastAsia" w:ascii="宋体" w:hAnsi="宋体" w:eastAsia="宋体" w:cs="宋体"/>
      <w:color w:val="000000"/>
      <w:sz w:val="21"/>
      <w:szCs w:val="21"/>
      <w:u w:val="none"/>
    </w:rPr>
  </w:style>
  <w:style w:type="character" w:styleId="910" w:customStyle="1">
    <w:name w:val="font01"/>
    <w:uiPriority w:val="0"/>
    <w:qFormat/>
    <w:rPr>
      <w:rFonts w:hint="eastAsia" w:ascii="宋体" w:hAnsi="宋体" w:eastAsia="宋体" w:cs="宋体"/>
      <w:color w:val="000000"/>
      <w:sz w:val="20"/>
      <w:szCs w:val="20"/>
      <w:u w:val="none"/>
    </w:rPr>
  </w:style>
  <w:style w:type="character" w:styleId="911" w:customStyle="1">
    <w:name w:val="Plain Text Char"/>
    <w:link w:val="912"/>
    <w:uiPriority w:val="0"/>
    <w:qFormat/>
    <w:rPr>
      <w:rFonts w:ascii="宋体" w:hAnsi="Courier New" w:eastAsia="楷体_GB2312"/>
      <w:sz w:val="26"/>
    </w:rPr>
  </w:style>
  <w:style w:type="paragraph" w:styleId="912" w:customStyle="1">
    <w:name w:val="纯文本5"/>
    <w:basedOn w:val="859"/>
    <w:link w:val="911"/>
    <w:uiPriority w:val="0"/>
    <w:qFormat/>
    <w:rPr>
      <w:rFonts w:ascii="宋体" w:hAnsi="Courier New" w:eastAsia="楷体_GB2312"/>
      <w:sz w:val="26"/>
      <w:szCs w:val="20"/>
    </w:rPr>
  </w:style>
  <w:style w:type="paragraph" w:styleId="913" w:customStyle="1">
    <w:name w:val="font8"/>
    <w:basedOn w:val="85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14" w:customStyle="1">
    <w:name w:val="xl25"/>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5" w:customStyle="1">
    <w:name w:val="xl37"/>
    <w:basedOn w:val="8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16" w:customStyle="1">
    <w:name w:val="xl30"/>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17" w:customStyle="1">
    <w:name w:val="xl34"/>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8" w:customStyle="1">
    <w:name w:val="xl27"/>
    <w:basedOn w:val="8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19" w:customStyle="1">
    <w:name w:val="xl33"/>
    <w:basedOn w:val="859"/>
    <w:uiPriority w:val="0"/>
    <w:qFormat/>
    <w:pPr>
      <w:jc w:val="center"/>
      <w:spacing w:before="100" w:beforeAutospacing="1" w:after="100" w:afterAutospacing="1"/>
      <w:widowControl/>
    </w:pPr>
    <w:rPr>
      <w:sz w:val="24"/>
    </w:rPr>
  </w:style>
  <w:style w:type="paragraph" w:styleId="920" w:customStyle="1">
    <w:name w:val="xl42"/>
    <w:basedOn w:val="859"/>
    <w:uiPriority w:val="0"/>
    <w:qFormat/>
    <w:pPr>
      <w:jc w:val="left"/>
      <w:spacing w:before="100" w:beforeAutospacing="1" w:after="100" w:afterAutospacing="1"/>
      <w:widowControl/>
      <w:pBdr>
        <w:top w:val="single" w:color="auto" w:sz="4" w:space="0"/>
      </w:pBdr>
    </w:pPr>
    <w:rPr>
      <w:sz w:val="24"/>
    </w:rPr>
  </w:style>
  <w:style w:type="paragraph" w:styleId="921" w:customStyle="1">
    <w:name w:val="正文2"/>
    <w:basedOn w:val="859"/>
    <w:uiPriority w:val="0"/>
    <w:qFormat/>
    <w:pPr>
      <w:ind w:firstLine="200"/>
      <w:jc w:val="left"/>
      <w:spacing w:after="160" w:line="360" w:lineRule="auto"/>
      <w:widowControl/>
    </w:pPr>
    <w:rPr>
      <w:szCs w:val="20"/>
    </w:rPr>
  </w:style>
  <w:style w:type="paragraph" w:styleId="922" w:customStyle="1">
    <w:name w:val="xl36"/>
    <w:basedOn w:val="85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3" w:customStyle="1">
    <w:name w:val="font0"/>
    <w:basedOn w:val="859"/>
    <w:uiPriority w:val="0"/>
    <w:qFormat/>
    <w:pPr>
      <w:jc w:val="left"/>
      <w:spacing w:before="100" w:beforeAutospacing="1" w:after="100" w:afterAutospacing="1"/>
      <w:widowControl/>
    </w:pPr>
    <w:rPr>
      <w:rFonts w:hint="eastAsia" w:ascii="宋体" w:hAnsi="宋体"/>
      <w:sz w:val="24"/>
    </w:rPr>
  </w:style>
  <w:style w:type="paragraph" w:styleId="924" w:customStyle="1">
    <w:name w:val="首行缩进"/>
    <w:basedOn w:val="859"/>
    <w:uiPriority w:val="0"/>
    <w:qFormat/>
    <w:pPr>
      <w:ind w:firstLine="480"/>
    </w:pPr>
    <w:rPr>
      <w:szCs w:val="20"/>
      <w:lang w:val="zh-CN"/>
    </w:rPr>
  </w:style>
  <w:style w:type="paragraph" w:styleId="925" w:customStyle="1">
    <w:name w:val="_Style 12"/>
    <w:basedOn w:val="867"/>
    <w:uiPriority w:val="0"/>
    <w:qFormat/>
    <w:pPr>
      <w:jc w:val="left"/>
      <w:spacing w:line="360" w:lineRule="auto"/>
      <w:widowControl/>
    </w:pPr>
    <w:rPr>
      <w:sz w:val="24"/>
    </w:rPr>
  </w:style>
  <w:style w:type="paragraph" w:styleId="926" w:customStyle="1">
    <w:name w:val="xl31"/>
    <w:basedOn w:val="85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27" w:customStyle="1">
    <w:name w:val="xl47"/>
    <w:basedOn w:val="85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28" w:customStyle="1">
    <w:name w:val="正文1"/>
    <w:basedOn w:val="859"/>
    <w:next w:val="859"/>
    <w:uiPriority w:val="0"/>
    <w:qFormat/>
    <w:pPr>
      <w:ind w:left="2160"/>
      <w:spacing w:line="360" w:lineRule="auto"/>
      <w:tabs>
        <w:tab w:val="left" w:pos="1980" w:leader="none"/>
        <w:tab w:val="left" w:pos="2160" w:leader="none"/>
      </w:tabs>
    </w:pPr>
    <w:rPr>
      <w:rFonts w:ascii="宋体" w:hAnsi="宋体"/>
    </w:rPr>
  </w:style>
  <w:style w:type="paragraph" w:styleId="929" w:customStyle="1">
    <w:name w:val="font7"/>
    <w:basedOn w:val="859"/>
    <w:uiPriority w:val="0"/>
    <w:qFormat/>
    <w:pPr>
      <w:jc w:val="left"/>
      <w:spacing w:before="100" w:beforeAutospacing="1" w:after="100" w:afterAutospacing="1"/>
      <w:widowControl/>
    </w:pPr>
    <w:rPr>
      <w:sz w:val="24"/>
    </w:rPr>
  </w:style>
  <w:style w:type="paragraph" w:styleId="930">
    <w:name w:val="List Paragraph"/>
    <w:basedOn w:val="859"/>
    <w:uiPriority w:val="34"/>
    <w:qFormat/>
    <w:pPr>
      <w:ind w:firstLine="420"/>
    </w:pPr>
  </w:style>
  <w:style w:type="paragraph" w:styleId="931" w:customStyle="1">
    <w:name w:val="font5"/>
    <w:basedOn w:val="859"/>
    <w:uiPriority w:val="0"/>
    <w:qFormat/>
    <w:pPr>
      <w:jc w:val="left"/>
      <w:spacing w:before="100" w:beforeAutospacing="1" w:after="100" w:afterAutospacing="1"/>
      <w:widowControl/>
    </w:pPr>
    <w:rPr>
      <w:rFonts w:hint="eastAsia" w:ascii="宋体" w:hAnsi="宋体"/>
      <w:sz w:val="24"/>
    </w:rPr>
  </w:style>
  <w:style w:type="paragraph" w:styleId="932" w:customStyle="1">
    <w:name w:val="纯文本11"/>
    <w:basedOn w:val="859"/>
    <w:uiPriority w:val="0"/>
    <w:qFormat/>
    <w:rPr>
      <w:rFonts w:hint="eastAsia" w:ascii="宋体" w:hAnsi="Courier New" w:eastAsia="楷体_GB2312"/>
      <w:sz w:val="28"/>
      <w:szCs w:val="20"/>
    </w:rPr>
  </w:style>
  <w:style w:type="paragraph" w:styleId="933" w:customStyle="1">
    <w:name w:val="xl49"/>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4" w:customStyle="1">
    <w:name w:val="xl26"/>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5" w:customStyle="1">
    <w:name w:val="Plain Text1"/>
    <w:basedOn w:val="859"/>
    <w:uiPriority w:val="0"/>
    <w:qFormat/>
    <w:rPr>
      <w:rFonts w:ascii="宋体" w:hAnsi="Courier New" w:eastAsia="楷体_GB2312"/>
      <w:sz w:val="28"/>
      <w:szCs w:val="20"/>
    </w:rPr>
  </w:style>
  <w:style w:type="paragraph" w:styleId="936" w:customStyle="1">
    <w:name w:val="纯文本1"/>
    <w:basedOn w:val="859"/>
    <w:uiPriority w:val="0"/>
    <w:qFormat/>
    <w:rPr>
      <w:rFonts w:hint="eastAsia" w:ascii="宋体" w:hAnsi="Courier New" w:eastAsia="楷体_GB2312"/>
      <w:sz w:val="28"/>
      <w:szCs w:val="20"/>
    </w:rPr>
  </w:style>
  <w:style w:type="paragraph" w:styleId="937" w:customStyle="1">
    <w:name w:val="xl28"/>
    <w:basedOn w:val="859"/>
    <w:uiPriority w:val="0"/>
    <w:qFormat/>
    <w:pPr>
      <w:jc w:val="left"/>
      <w:spacing w:before="100" w:beforeAutospacing="1" w:after="100" w:afterAutospacing="1"/>
      <w:widowControl/>
    </w:pPr>
    <w:rPr>
      <w:sz w:val="24"/>
    </w:rPr>
  </w:style>
  <w:style w:type="paragraph" w:styleId="938" w:customStyle="1">
    <w:name w:val="xl32"/>
    <w:basedOn w:val="85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9" w:customStyle="1">
    <w:name w:val="xl48"/>
    <w:basedOn w:val="8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0" w:customStyle="1">
    <w:name w:val="xl38"/>
    <w:basedOn w:val="85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1" w:customStyle="1">
    <w:name w:val="xl43"/>
    <w:basedOn w:val="859"/>
    <w:uiPriority w:val="0"/>
    <w:qFormat/>
    <w:pPr>
      <w:jc w:val="center"/>
      <w:spacing w:before="100" w:beforeAutospacing="1" w:after="100" w:afterAutospacing="1"/>
      <w:widowControl/>
    </w:pPr>
    <w:rPr>
      <w:rFonts w:ascii="宋体" w:hAnsi="宋体"/>
      <w:b/>
      <w:bCs/>
      <w:sz w:val="32"/>
      <w:szCs w:val="32"/>
    </w:rPr>
  </w:style>
  <w:style w:type="paragraph" w:styleId="942" w:customStyle="1">
    <w:name w:val="Char Char1"/>
    <w:basedOn w:val="859"/>
    <w:uiPriority w:val="0"/>
    <w:qFormat/>
    <w:pPr>
      <w:jc w:val="left"/>
      <w:spacing w:after="160" w:line="240" w:lineRule="exact"/>
      <w:widowControl/>
    </w:pPr>
    <w:rPr>
      <w:rFonts w:ascii="Verdana" w:hAnsi="Verdana"/>
      <w:sz w:val="20"/>
      <w:szCs w:val="20"/>
      <w:lang w:eastAsia="en-US"/>
    </w:rPr>
  </w:style>
  <w:style w:type="paragraph" w:styleId="943" w:customStyle="1">
    <w:name w:val="xl44"/>
    <w:basedOn w:val="859"/>
    <w:uiPriority w:val="0"/>
    <w:qFormat/>
    <w:pPr>
      <w:jc w:val="left"/>
      <w:spacing w:before="100" w:beforeAutospacing="1" w:after="100" w:afterAutospacing="1"/>
      <w:widowControl/>
    </w:pPr>
    <w:rPr>
      <w:sz w:val="24"/>
    </w:rPr>
  </w:style>
  <w:style w:type="paragraph" w:styleId="944" w:customStyle="1">
    <w:name w:val="xl51"/>
    <w:basedOn w:val="85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5" w:customStyle="1">
    <w:name w:val="xl52"/>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46" w:customStyle="1">
    <w:name w:val="xl53"/>
    <w:basedOn w:val="85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7" w:customStyle="1">
    <w:name w:val="xl41"/>
    <w:basedOn w:val="85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48" w:customStyle="1">
    <w:name w:val="xl55"/>
    <w:basedOn w:val="8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49" w:customStyle="1">
    <w:name w:val="font6"/>
    <w:basedOn w:val="859"/>
    <w:uiPriority w:val="0"/>
    <w:qFormat/>
    <w:pPr>
      <w:jc w:val="left"/>
      <w:spacing w:before="100" w:beforeAutospacing="1" w:after="100" w:afterAutospacing="1"/>
      <w:widowControl/>
    </w:pPr>
    <w:rPr>
      <w:rFonts w:hint="eastAsia" w:ascii="宋体" w:hAnsi="宋体"/>
      <w:sz w:val="18"/>
      <w:szCs w:val="18"/>
    </w:rPr>
  </w:style>
  <w:style w:type="paragraph" w:styleId="950" w:customStyle="1">
    <w:name w:val="xl29"/>
    <w:basedOn w:val="85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1" w:customStyle="1">
    <w:name w:val="Char Char Char"/>
    <w:basedOn w:val="859"/>
    <w:uiPriority w:val="0"/>
    <w:qFormat/>
    <w:pPr>
      <w:ind w:left="495" w:hanging="495"/>
      <w:tabs>
        <w:tab w:val="left" w:pos="495" w:leader="none"/>
        <w:tab w:val="left" w:pos="1545" w:leader="none"/>
      </w:tabs>
    </w:pPr>
    <w:rPr>
      <w:rFonts w:ascii="宋体" w:hAnsi="宋体"/>
    </w:rPr>
  </w:style>
  <w:style w:type="paragraph" w:styleId="952" w:customStyle="1">
    <w:name w:val="xl24"/>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3" w:customStyle="1">
    <w:name w:val="xl50"/>
    <w:basedOn w:val="85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4" w:customStyle="1">
    <w:name w:val="xl40"/>
    <w:basedOn w:val="859"/>
    <w:uiPriority w:val="0"/>
    <w:qFormat/>
    <w:pPr>
      <w:jc w:val="left"/>
      <w:spacing w:before="100" w:beforeAutospacing="1" w:after="100" w:afterAutospacing="1"/>
      <w:widowControl/>
      <w:pBdr>
        <w:bottom w:val="single" w:color="auto" w:sz="4" w:space="0"/>
      </w:pBdr>
    </w:pPr>
    <w:rPr>
      <w:sz w:val="24"/>
    </w:rPr>
  </w:style>
  <w:style w:type="paragraph" w:styleId="955" w:customStyle="1">
    <w:name w:val="xl45"/>
    <w:basedOn w:val="859"/>
    <w:uiPriority w:val="0"/>
    <w:qFormat/>
    <w:pPr>
      <w:jc w:val="left"/>
      <w:spacing w:before="100" w:beforeAutospacing="1" w:after="100" w:afterAutospacing="1"/>
      <w:widowControl/>
    </w:pPr>
    <w:rPr>
      <w:rFonts w:hint="eastAsia" w:ascii="仿宋_GB2312" w:hAnsi="宋体" w:eastAsia="仿宋_GB2312"/>
      <w:sz w:val="24"/>
    </w:rPr>
  </w:style>
  <w:style w:type="paragraph" w:styleId="956" w:customStyle="1">
    <w:name w:val="xl35"/>
    <w:basedOn w:val="85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57" w:customStyle="1">
    <w:name w:val="Table Paragraph"/>
    <w:basedOn w:val="859"/>
    <w:uiPriority w:val="1"/>
    <w:qFormat/>
    <w:rPr>
      <w:rFonts w:ascii="宋体" w:hAnsi="宋体" w:cs="宋体"/>
      <w:lang w:val="zh-CN" w:bidi="zh-CN"/>
    </w:rPr>
  </w:style>
  <w:style w:type="paragraph" w:styleId="958" w:customStyle="1">
    <w:name w:val="列出段落1"/>
    <w:basedOn w:val="859"/>
    <w:uiPriority w:val="0"/>
    <w:qFormat/>
    <w:pPr>
      <w:ind w:firstLine="420"/>
    </w:pPr>
    <w:rPr>
      <w:szCs w:val="22"/>
    </w:rPr>
  </w:style>
  <w:style w:type="paragraph" w:styleId="959" w:customStyle="1">
    <w:name w:val="xl46"/>
    <w:basedOn w:val="859"/>
    <w:uiPriority w:val="0"/>
    <w:qFormat/>
    <w:pPr>
      <w:jc w:val="left"/>
      <w:spacing w:before="100" w:beforeAutospacing="1" w:after="100" w:afterAutospacing="1"/>
      <w:widowControl/>
    </w:pPr>
    <w:rPr>
      <w:rFonts w:hint="eastAsia" w:ascii="仿宋_GB2312" w:hAnsi="宋体" w:eastAsia="仿宋_GB2312"/>
      <w:sz w:val="24"/>
    </w:rPr>
  </w:style>
  <w:style w:type="paragraph" w:styleId="960" w:customStyle="1">
    <w:name w:val="纯文本4"/>
    <w:basedOn w:val="859"/>
    <w:uiPriority w:val="0"/>
    <w:qFormat/>
    <w:rPr>
      <w:rFonts w:ascii="宋体" w:hAnsi="Courier New" w:eastAsia="楷体_GB2312"/>
      <w:sz w:val="26"/>
      <w:szCs w:val="20"/>
    </w:rPr>
  </w:style>
  <w:style w:type="paragraph" w:styleId="961" w:customStyle="1">
    <w:name w:val="List Paragraph1"/>
    <w:basedOn w:val="859"/>
    <w:uiPriority w:val="0"/>
    <w:qFormat/>
    <w:pPr>
      <w:ind w:firstLine="420"/>
    </w:pPr>
    <w:rPr>
      <w:szCs w:val="22"/>
    </w:rPr>
  </w:style>
  <w:style w:type="paragraph" w:styleId="962" w:customStyle="1">
    <w:name w:val="xl54"/>
    <w:basedOn w:val="859"/>
    <w:uiPriority w:val="0"/>
    <w:qFormat/>
    <w:pPr>
      <w:jc w:val="center"/>
      <w:spacing w:before="100" w:beforeAutospacing="1" w:after="100" w:afterAutospacing="1"/>
      <w:widowControl/>
    </w:pPr>
    <w:rPr>
      <w:rFonts w:hint="eastAsia" w:ascii="隶书" w:hAnsi="宋体" w:eastAsia="隶书"/>
      <w:sz w:val="48"/>
      <w:szCs w:val="48"/>
    </w:rPr>
  </w:style>
  <w:style w:type="paragraph" w:styleId="963" w:customStyle="1">
    <w:name w:val="p0"/>
    <w:uiPriority w:val="0"/>
    <w:qFormat/>
    <w:rPr>
      <w:rFonts w:ascii="Calibri" w:hAnsi="Calibri" w:eastAsia="宋体" w:cs="Times New Roman"/>
      <w:szCs w:val="21"/>
      <w:lang w:val="en-US" w:eastAsia="zh-CN" w:bidi="ar-SA"/>
    </w:rPr>
  </w:style>
  <w:style w:type="paragraph" w:styleId="964" w:customStyle="1">
    <w:name w:val="纯文本2"/>
    <w:basedOn w:val="859"/>
    <w:uiPriority w:val="0"/>
    <w:qFormat/>
    <w:rPr>
      <w:rFonts w:ascii="宋体" w:hAnsi="Courier New" w:eastAsia="楷体_GB2312"/>
      <w:sz w:val="28"/>
      <w:szCs w:val="20"/>
    </w:rPr>
  </w:style>
  <w:style w:type="paragraph" w:styleId="965" w:customStyle="1">
    <w:name w:val="Char"/>
    <w:basedOn w:val="859"/>
    <w:uiPriority w:val="0"/>
    <w:qFormat/>
    <w:pPr>
      <w:numPr>
        <w:ilvl w:val="0"/>
        <w:numId w:val="1"/>
      </w:numPr>
    </w:pPr>
    <w:rPr>
      <w:sz w:val="24"/>
    </w:rPr>
  </w:style>
  <w:style w:type="paragraph" w:styleId="966" w:customStyle="1">
    <w:name w:val="纯文本21"/>
    <w:basedOn w:val="859"/>
    <w:uiPriority w:val="0"/>
    <w:qFormat/>
    <w:rPr>
      <w:rFonts w:ascii="宋体" w:hAnsi="Courier New" w:eastAsia="楷体_GB2312"/>
      <w:sz w:val="26"/>
      <w:szCs w:val="20"/>
    </w:rPr>
  </w:style>
  <w:style w:type="paragraph" w:styleId="967" w:customStyle="1">
    <w:name w:val="xl39"/>
    <w:basedOn w:val="859"/>
    <w:uiPriority w:val="0"/>
    <w:qFormat/>
    <w:pPr>
      <w:jc w:val="left"/>
      <w:spacing w:before="100" w:beforeAutospacing="1" w:after="100" w:afterAutospacing="1"/>
      <w:widowControl/>
      <w:pBdr>
        <w:bottom w:val="single" w:color="auto" w:sz="4" w:space="0"/>
      </w:pBdr>
    </w:pPr>
    <w:rPr>
      <w:rFonts w:ascii="宋体" w:hAnsi="宋体"/>
      <w:sz w:val="24"/>
    </w:rPr>
  </w:style>
  <w:style w:type="table" w:styleId="968" w:customStyle="1">
    <w:name w:val="网格型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9" w:customStyle="1">
    <w:name w:val="Char Char16"/>
    <w:uiPriority w:val="0"/>
    <w:qFormat/>
    <w:rPr>
      <w:rFonts w:ascii="Arial" w:hAnsi="Arial" w:eastAsia="黑体"/>
      <w:sz w:val="21"/>
      <w:szCs w:val="21"/>
      <w:lang w:bidi="ar-SA"/>
    </w:rPr>
  </w:style>
  <w:style w:type="character" w:styleId="970" w:customStyle="1">
    <w:name w:val="正文缩进 字符"/>
    <w:uiPriority w:val="0"/>
    <w:qFormat/>
    <w:rPr>
      <w:rFonts w:eastAsia="楷体_GB2312"/>
      <w:sz w:val="24"/>
    </w:rPr>
  </w:style>
  <w:style w:type="paragraph" w:styleId="971" w:customStyle="1">
    <w:name w:val="正文文本缩进1"/>
    <w:basedOn w:val="859"/>
    <w:uiPriority w:val="0"/>
    <w:qFormat/>
    <w:pPr>
      <w:ind w:firstLine="420"/>
      <w:spacing w:line="360" w:lineRule="auto"/>
    </w:pPr>
  </w:style>
  <w:style w:type="paragraph" w:styleId="972" w:customStyle="1">
    <w:name w:val="正文缩进1"/>
    <w:basedOn w:val="859"/>
    <w:uiPriority w:val="0"/>
    <w:qFormat/>
    <w:pPr>
      <w:ind w:firstLine="420"/>
    </w:pPr>
  </w:style>
  <w:style w:type="character" w:styleId="973" w:customStyle="1">
    <w:name w:val="正文缩进 Char1"/>
    <w:uiPriority w:val="0"/>
    <w:qFormat/>
    <w:rPr>
      <w:rFonts w:eastAsia="楷体_GB2312"/>
      <w:sz w:val="24"/>
      <w:lang w:val="en-US" w:eastAsia="zh-CN" w:bidi="ar-SA"/>
    </w:rPr>
  </w:style>
  <w:style w:type="character" w:styleId="974" w:customStyle="1">
    <w:name w:val="NormalCharacter"/>
    <w:uiPriority w:val="0"/>
    <w:semiHidden/>
    <w:qFormat/>
  </w:style>
  <w:style w:type="paragraph" w:styleId="975" w:customStyle="1">
    <w:name w:val="_Style 122"/>
    <w:basedOn w:val="871"/>
    <w:next w:val="886"/>
    <w:uiPriority w:val="0"/>
    <w:unhideWhenUsed/>
    <w:qFormat/>
    <w:pPr>
      <w:ind w:left="420" w:firstLine="420"/>
      <w:spacing w:line="360" w:lineRule="auto"/>
    </w:pPr>
    <w:rPr>
      <w:rFonts w:ascii="Times New Roman" w:hAnsi="Times New Roman" w:eastAsia="宋体"/>
      <w:spacing w:val="-4"/>
    </w:rPr>
  </w:style>
  <w:style w:type="paragraph" w:styleId="976" w:customStyle="1">
    <w:name w:val="Plain Text11"/>
    <w:basedOn w:val="859"/>
    <w:uiPriority w:val="0"/>
    <w:qFormat/>
    <w:rPr>
      <w:rFonts w:ascii="宋体" w:hAnsi="Courier New" w:eastAsia="楷体_GB2312"/>
      <w:sz w:val="28"/>
      <w:szCs w:val="20"/>
    </w:rPr>
  </w:style>
  <w:style w:type="paragraph" w:styleId="977" w:customStyle="1">
    <w:name w:val="样式  + 首行缩进:  2 字符"/>
    <w:basedOn w:val="859"/>
    <w:uiPriority w:val="0"/>
    <w:qFormat/>
    <w:pPr>
      <w:ind w:firstLine="524"/>
      <w:spacing w:line="360" w:lineRule="auto"/>
    </w:pPr>
    <w:rPr>
      <w:rFonts w:ascii="宋体" w:hAnsi="宋体"/>
      <w:spacing w:val="11"/>
      <w:sz w:val="24"/>
    </w:rPr>
  </w:style>
  <w:style w:type="paragraph" w:styleId="978" w:customStyle="1">
    <w:name w:val="纯文本12"/>
    <w:basedOn w:val="859"/>
    <w:uiPriority w:val="0"/>
    <w:qFormat/>
    <w:rPr>
      <w:rFonts w:hint="eastAsia" w:ascii="宋体" w:hAnsi="Courier New" w:eastAsia="楷体_GB2312"/>
      <w:sz w:val="28"/>
      <w:szCs w:val="20"/>
    </w:rPr>
  </w:style>
  <w:style w:type="paragraph" w:styleId="979" w:customStyle="1">
    <w:name w:val="Plain Text"/>
    <w:basedOn w:val="859"/>
    <w:uiPriority w:val="0"/>
    <w:qFormat/>
    <w:rPr>
      <w:rFonts w:hint="eastAsia" w:ascii="宋体" w:hAnsi="Courier New" w:eastAsia="楷体_GB2312"/>
      <w:sz w:val="28"/>
      <w:szCs w:val="20"/>
    </w:rPr>
  </w:style>
  <w:style w:type="character" w:styleId="980" w:customStyle="1">
    <w:name w:val="ask-title2"/>
    <w:basedOn w:val="864"/>
    <w:uiPriority w:val="0"/>
    <w:qFormat/>
  </w:style>
  <w:style w:type="table" w:styleId="981" w:customStyle="1">
    <w:name w:val="Table Normal"/>
    <w:uiPriority w:val="0"/>
    <w:unhideWhenUsed/>
    <w:qFormat/>
    <w:tblPr>
      <w:tblCellMar>
        <w:left w:w="0" w:type="dxa"/>
        <w:top w:w="0" w:type="dxa"/>
        <w:right w:w="0" w:type="dxa"/>
        <w:bottom w:w="0" w:type="dxa"/>
      </w:tblCellMar>
    </w:tbl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5</cp:revision>
  <dcterms:created xsi:type="dcterms:W3CDTF">2023-05-11T07:09:00Z</dcterms:created>
  <dcterms:modified xsi:type="dcterms:W3CDTF">2024-05-16T08:54:45Z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2052-12.1.0.16729</vt:lpwstr>
  </property>
  <property fmtid="{D5CDD505-2E9C-101B-9397-08002B2CF9AE}" pid="10" name="ICV">
    <vt:lpwstr>A0BCB67FAE2644BF8D4F533331FB4C56_13</vt:lpwstr>
  </property>
</Properties>
</file>